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01" w:rsidRDefault="008C0264">
      <w:pPr>
        <w:spacing w:after="160"/>
        <w:rPr>
          <w:rFonts w:ascii="仿宋_GB2312" w:eastAsia="仿宋_GB2312" w:hAnsi="仿宋_GB2312"/>
          <w:sz w:val="32"/>
          <w:szCs w:val="32"/>
        </w:rPr>
      </w:pPr>
      <w:r>
        <w:rPr>
          <w:rFonts w:ascii="仿宋_GB2312" w:eastAsia="仿宋_GB2312" w:hAnsi="仿宋_GB2312"/>
          <w:sz w:val="32"/>
          <w:szCs w:val="32"/>
        </w:rPr>
        <w:t>附件二：</w:t>
      </w:r>
    </w:p>
    <w:p w:rsidR="00855A01" w:rsidRDefault="008C0264">
      <w:pPr>
        <w:spacing w:after="160"/>
        <w:jc w:val="center"/>
        <w:rPr>
          <w:rFonts w:ascii="仿宋_GB2312" w:eastAsia="仿宋_GB2312" w:hAnsi="仿宋_GB2312"/>
          <w:sz w:val="44"/>
          <w:szCs w:val="44"/>
        </w:rPr>
      </w:pPr>
      <w:r>
        <w:rPr>
          <w:rFonts w:ascii="仿宋_GB2312" w:eastAsia="仿宋_GB2312" w:hAnsi="仿宋_GB2312"/>
          <w:sz w:val="44"/>
          <w:szCs w:val="44"/>
        </w:rPr>
        <w:t>花垣</w:t>
      </w:r>
      <w:proofErr w:type="gramStart"/>
      <w:r>
        <w:rPr>
          <w:rFonts w:ascii="仿宋_GB2312" w:eastAsia="仿宋_GB2312" w:hAnsi="仿宋_GB2312"/>
          <w:sz w:val="44"/>
          <w:szCs w:val="44"/>
        </w:rPr>
        <w:t>县涉企行政</w:t>
      </w:r>
      <w:proofErr w:type="gramEnd"/>
      <w:r>
        <w:rPr>
          <w:rFonts w:ascii="仿宋_GB2312" w:eastAsia="仿宋_GB2312" w:hAnsi="仿宋_GB2312"/>
          <w:sz w:val="44"/>
          <w:szCs w:val="44"/>
        </w:rPr>
        <w:t>事业性收费项目清单</w:t>
      </w:r>
    </w:p>
    <w:p w:rsidR="00855A01" w:rsidRDefault="008C0264">
      <w:pPr>
        <w:spacing w:after="160"/>
        <w:jc w:val="center"/>
        <w:rPr>
          <w:rFonts w:ascii="仿宋_GB2312" w:eastAsia="仿宋_GB2312" w:hAnsi="仿宋_GB2312"/>
          <w:sz w:val="44"/>
          <w:szCs w:val="44"/>
        </w:rPr>
      </w:pPr>
      <w:r>
        <w:rPr>
          <w:rFonts w:ascii="仿宋_GB2312" w:eastAsia="仿宋_GB2312" w:hAnsi="仿宋_GB2312"/>
          <w:sz w:val="44"/>
          <w:szCs w:val="44"/>
        </w:rPr>
        <w:t>（2018年1月-2019年5月）</w:t>
      </w:r>
    </w:p>
    <w:tbl>
      <w:tblPr>
        <w:tblW w:w="13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907"/>
        <w:gridCol w:w="599"/>
        <w:gridCol w:w="2410"/>
        <w:gridCol w:w="851"/>
        <w:gridCol w:w="2409"/>
        <w:gridCol w:w="3119"/>
        <w:gridCol w:w="2888"/>
      </w:tblGrid>
      <w:tr w:rsidR="00855A01">
        <w:trPr>
          <w:trHeight w:val="466"/>
          <w:tblHeader/>
          <w:jc w:val="center"/>
        </w:trPr>
        <w:tc>
          <w:tcPr>
            <w:tcW w:w="749"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分</w:t>
            </w:r>
          </w:p>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907"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收费</w:t>
            </w:r>
          </w:p>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部门</w:t>
            </w:r>
          </w:p>
        </w:tc>
        <w:tc>
          <w:tcPr>
            <w:tcW w:w="599"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序</w:t>
            </w:r>
          </w:p>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2410"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851"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项目</w:t>
            </w:r>
          </w:p>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级别</w:t>
            </w:r>
          </w:p>
        </w:tc>
        <w:tc>
          <w:tcPr>
            <w:tcW w:w="2409"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3119"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88" w:type="dxa"/>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855A01" w:rsidTr="00B84290">
        <w:trPr>
          <w:trHeight w:val="578"/>
          <w:jc w:val="center"/>
        </w:trPr>
        <w:tc>
          <w:tcPr>
            <w:tcW w:w="749" w:type="dxa"/>
            <w:vMerge w:val="restart"/>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一</w:t>
            </w:r>
          </w:p>
          <w:p w:rsidR="00855A01" w:rsidRDefault="00855A01" w:rsidP="00B84290">
            <w:pPr>
              <w:spacing w:line="240" w:lineRule="exact"/>
              <w:jc w:val="center"/>
              <w:rPr>
                <w:rFonts w:ascii="仿宋_GB2312" w:eastAsia="仿宋_GB2312" w:hAnsi="仿宋_GB2312"/>
                <w:sz w:val="18"/>
                <w:szCs w:val="18"/>
              </w:rPr>
            </w:pPr>
          </w:p>
        </w:tc>
        <w:tc>
          <w:tcPr>
            <w:tcW w:w="907" w:type="dxa"/>
            <w:vMerge w:val="restart"/>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hint="eastAsia"/>
                <w:sz w:val="18"/>
                <w:szCs w:val="18"/>
              </w:rPr>
              <w:t>行政执法局</w:t>
            </w:r>
          </w:p>
        </w:tc>
        <w:tc>
          <w:tcPr>
            <w:tcW w:w="599" w:type="dxa"/>
            <w:vMerge w:val="restart"/>
            <w:vAlign w:val="center"/>
          </w:tcPr>
          <w:p w:rsidR="00855A01" w:rsidRDefault="008C0264"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1</w:t>
            </w:r>
          </w:p>
          <w:p w:rsidR="00855A01" w:rsidRDefault="00855A01" w:rsidP="00B84290">
            <w:pPr>
              <w:spacing w:line="240" w:lineRule="exact"/>
              <w:jc w:val="center"/>
              <w:rPr>
                <w:rFonts w:ascii="仿宋_GB2312" w:eastAsia="仿宋_GB2312" w:hAnsi="仿宋_GB2312"/>
                <w:sz w:val="18"/>
                <w:szCs w:val="18"/>
              </w:rPr>
            </w:pPr>
          </w:p>
        </w:tc>
        <w:tc>
          <w:tcPr>
            <w:tcW w:w="2410" w:type="dxa"/>
            <w:vAlign w:val="center"/>
          </w:tcPr>
          <w:p w:rsidR="00855A01" w:rsidRDefault="008C0264" w:rsidP="00B84290">
            <w:pPr>
              <w:spacing w:line="240" w:lineRule="exact"/>
              <w:rPr>
                <w:rFonts w:ascii="仿宋_GB2312" w:eastAsia="仿宋_GB2312" w:hAnsi="仿宋_GB2312"/>
                <w:sz w:val="18"/>
                <w:szCs w:val="18"/>
              </w:rPr>
            </w:pPr>
            <w:r>
              <w:rPr>
                <w:rFonts w:ascii="仿宋_GB2312" w:eastAsia="仿宋_GB2312" w:hAnsi="仿宋_GB2312"/>
                <w:sz w:val="18"/>
                <w:szCs w:val="18"/>
              </w:rPr>
              <w:t>城市道路占用费</w:t>
            </w:r>
          </w:p>
        </w:tc>
        <w:tc>
          <w:tcPr>
            <w:tcW w:w="851" w:type="dxa"/>
            <w:vAlign w:val="center"/>
          </w:tcPr>
          <w:p w:rsidR="00855A01" w:rsidRDefault="008C0264" w:rsidP="00B84290">
            <w:pPr>
              <w:spacing w:line="240" w:lineRule="exact"/>
              <w:rPr>
                <w:rFonts w:ascii="仿宋_GB2312" w:eastAsia="仿宋_GB2312" w:hAnsi="仿宋_GB2312"/>
                <w:sz w:val="18"/>
                <w:szCs w:val="18"/>
              </w:rPr>
            </w:pPr>
            <w:r>
              <w:rPr>
                <w:rFonts w:ascii="仿宋_GB2312" w:eastAsia="仿宋_GB2312" w:hAnsi="仿宋_GB2312"/>
                <w:sz w:val="18"/>
                <w:szCs w:val="18"/>
              </w:rPr>
              <w:t>中央</w:t>
            </w:r>
          </w:p>
        </w:tc>
        <w:tc>
          <w:tcPr>
            <w:tcW w:w="2409" w:type="dxa"/>
            <w:vMerge w:val="restart"/>
            <w:vAlign w:val="center"/>
          </w:tcPr>
          <w:p w:rsidR="00855A01" w:rsidRDefault="008C0264" w:rsidP="00B84290">
            <w:pPr>
              <w:spacing w:line="240" w:lineRule="exact"/>
              <w:rPr>
                <w:rFonts w:ascii="仿宋_GB2312" w:eastAsia="仿宋_GB2312" w:hAnsi="仿宋_GB2312"/>
                <w:sz w:val="18"/>
                <w:szCs w:val="18"/>
              </w:rPr>
            </w:pPr>
            <w:r>
              <w:rPr>
                <w:rFonts w:ascii="仿宋_GB2312" w:eastAsia="仿宋_GB2312" w:hAnsi="仿宋_GB2312"/>
                <w:sz w:val="18"/>
                <w:szCs w:val="18"/>
              </w:rPr>
              <w:t>财综〔2012〕47号</w:t>
            </w:r>
          </w:p>
          <w:p w:rsidR="00855A01" w:rsidRDefault="008C0264" w:rsidP="00B84290">
            <w:pPr>
              <w:spacing w:line="240" w:lineRule="exact"/>
              <w:rPr>
                <w:rFonts w:ascii="仿宋_GB2312" w:eastAsia="仿宋_GB2312" w:hAnsi="仿宋_GB2312"/>
                <w:sz w:val="18"/>
                <w:szCs w:val="18"/>
              </w:rPr>
            </w:pPr>
            <w:r>
              <w:rPr>
                <w:rFonts w:ascii="仿宋_GB2312" w:eastAsia="仿宋_GB2312" w:hAnsi="仿宋_GB2312"/>
                <w:sz w:val="18"/>
                <w:szCs w:val="18"/>
              </w:rPr>
              <w:t>财税〔2015〕68号</w:t>
            </w:r>
          </w:p>
          <w:p w:rsidR="00855A01" w:rsidRDefault="00855A01" w:rsidP="00B84290">
            <w:pPr>
              <w:spacing w:line="240" w:lineRule="exact"/>
              <w:rPr>
                <w:rFonts w:ascii="仿宋_GB2312" w:eastAsia="仿宋_GB2312" w:hAnsi="仿宋_GB2312"/>
                <w:sz w:val="18"/>
                <w:szCs w:val="18"/>
              </w:rPr>
            </w:pPr>
          </w:p>
        </w:tc>
        <w:tc>
          <w:tcPr>
            <w:tcW w:w="3119" w:type="dxa"/>
            <w:vMerge w:val="restart"/>
            <w:vAlign w:val="center"/>
          </w:tcPr>
          <w:p w:rsidR="00855A01" w:rsidRDefault="008C0264" w:rsidP="00B84290">
            <w:pPr>
              <w:spacing w:line="24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费〔2015〕1119号</w:t>
            </w:r>
          </w:p>
          <w:p w:rsidR="00855A01" w:rsidRDefault="008C0264" w:rsidP="00B84290">
            <w:pPr>
              <w:spacing w:line="24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费〔2016〕716号</w:t>
            </w:r>
          </w:p>
          <w:p w:rsidR="00855A01" w:rsidRDefault="008C0264" w:rsidP="00B84290">
            <w:pPr>
              <w:spacing w:line="24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费[2018]426号</w:t>
            </w:r>
          </w:p>
        </w:tc>
        <w:tc>
          <w:tcPr>
            <w:tcW w:w="2888" w:type="dxa"/>
            <w:vAlign w:val="center"/>
          </w:tcPr>
          <w:p w:rsidR="00855A01" w:rsidRDefault="008C0264" w:rsidP="00B84290">
            <w:pPr>
              <w:spacing w:line="240" w:lineRule="exact"/>
              <w:rPr>
                <w:rFonts w:ascii="仿宋_GB2312" w:eastAsia="仿宋_GB2312" w:hAnsi="仿宋_GB2312"/>
                <w:sz w:val="18"/>
                <w:szCs w:val="18"/>
              </w:rPr>
            </w:pPr>
            <w:r>
              <w:rPr>
                <w:rFonts w:ascii="仿宋_GB2312" w:eastAsia="仿宋_GB2312" w:hAnsi="仿宋_GB2312"/>
                <w:sz w:val="18"/>
                <w:szCs w:val="18"/>
              </w:rPr>
              <w:t>自2016年9月1日起降标</w:t>
            </w:r>
          </w:p>
        </w:tc>
      </w:tr>
      <w:tr w:rsidR="00855A01" w:rsidTr="00B84290">
        <w:trPr>
          <w:trHeight w:val="360"/>
          <w:jc w:val="center"/>
        </w:trPr>
        <w:tc>
          <w:tcPr>
            <w:tcW w:w="749" w:type="dxa"/>
            <w:vMerge/>
            <w:vAlign w:val="center"/>
          </w:tcPr>
          <w:p w:rsidR="00855A01" w:rsidRDefault="00855A01" w:rsidP="00B84290">
            <w:pPr>
              <w:spacing w:line="240" w:lineRule="exact"/>
              <w:rPr>
                <w:sz w:val="18"/>
                <w:szCs w:val="18"/>
              </w:rPr>
            </w:pPr>
          </w:p>
        </w:tc>
        <w:tc>
          <w:tcPr>
            <w:tcW w:w="907" w:type="dxa"/>
            <w:vMerge/>
            <w:vAlign w:val="center"/>
          </w:tcPr>
          <w:p w:rsidR="00855A01" w:rsidRDefault="00855A01" w:rsidP="00B84290">
            <w:pPr>
              <w:spacing w:line="240" w:lineRule="exact"/>
              <w:rPr>
                <w:sz w:val="18"/>
                <w:szCs w:val="18"/>
              </w:rPr>
            </w:pPr>
          </w:p>
        </w:tc>
        <w:tc>
          <w:tcPr>
            <w:tcW w:w="599" w:type="dxa"/>
            <w:vMerge/>
            <w:vAlign w:val="center"/>
          </w:tcPr>
          <w:p w:rsidR="00855A01" w:rsidRDefault="00855A01" w:rsidP="00B84290">
            <w:pPr>
              <w:spacing w:line="240" w:lineRule="exact"/>
              <w:rPr>
                <w:sz w:val="18"/>
                <w:szCs w:val="18"/>
              </w:rPr>
            </w:pPr>
          </w:p>
        </w:tc>
        <w:tc>
          <w:tcPr>
            <w:tcW w:w="2410" w:type="dxa"/>
            <w:vAlign w:val="center"/>
          </w:tcPr>
          <w:p w:rsidR="00855A01" w:rsidRDefault="008C0264" w:rsidP="00B84290">
            <w:pPr>
              <w:spacing w:line="240" w:lineRule="exact"/>
              <w:rPr>
                <w:rFonts w:ascii="仿宋_GB2312" w:eastAsia="仿宋_GB2312" w:hAnsi="仿宋_GB2312"/>
                <w:sz w:val="18"/>
                <w:szCs w:val="18"/>
              </w:rPr>
            </w:pPr>
            <w:r>
              <w:rPr>
                <w:rFonts w:ascii="Wingdings" w:eastAsia="仿宋_GB2312" w:hAnsi="仿宋_GB2312"/>
                <w:sz w:val="18"/>
                <w:szCs w:val="18"/>
              </w:rPr>
              <w:t></w:t>
            </w:r>
            <w:r>
              <w:rPr>
                <w:rFonts w:ascii="Wingdings" w:eastAsia="仿宋_GB2312" w:hAnsi="仿宋_GB2312"/>
                <w:sz w:val="18"/>
                <w:szCs w:val="18"/>
              </w:rPr>
              <w:t></w:t>
            </w:r>
            <w:r>
              <w:rPr>
                <w:rFonts w:ascii="仿宋_GB2312" w:eastAsia="仿宋_GB2312" w:hAnsi="仿宋_GB2312"/>
                <w:sz w:val="18"/>
                <w:szCs w:val="18"/>
              </w:rPr>
              <w:t>其他项目</w:t>
            </w:r>
          </w:p>
        </w:tc>
        <w:tc>
          <w:tcPr>
            <w:tcW w:w="851" w:type="dxa"/>
            <w:vAlign w:val="center"/>
          </w:tcPr>
          <w:p w:rsidR="00855A01" w:rsidRDefault="00855A01" w:rsidP="00B84290">
            <w:pPr>
              <w:spacing w:line="240" w:lineRule="exact"/>
              <w:rPr>
                <w:rFonts w:ascii="仿宋_GB2312" w:eastAsia="仿宋_GB2312" w:hAnsi="仿宋_GB2312"/>
                <w:sz w:val="18"/>
                <w:szCs w:val="18"/>
              </w:rPr>
            </w:pPr>
          </w:p>
        </w:tc>
        <w:tc>
          <w:tcPr>
            <w:tcW w:w="2409" w:type="dxa"/>
            <w:vMerge/>
            <w:vAlign w:val="center"/>
          </w:tcPr>
          <w:p w:rsidR="00855A01" w:rsidRDefault="00855A01" w:rsidP="00B84290">
            <w:pPr>
              <w:spacing w:line="240" w:lineRule="exact"/>
              <w:rPr>
                <w:sz w:val="18"/>
                <w:szCs w:val="18"/>
              </w:rPr>
            </w:pPr>
          </w:p>
        </w:tc>
        <w:tc>
          <w:tcPr>
            <w:tcW w:w="3119" w:type="dxa"/>
            <w:vMerge/>
            <w:vAlign w:val="center"/>
          </w:tcPr>
          <w:p w:rsidR="00855A01" w:rsidRDefault="00855A01" w:rsidP="00B84290">
            <w:pPr>
              <w:spacing w:line="240" w:lineRule="exact"/>
              <w:rPr>
                <w:sz w:val="18"/>
                <w:szCs w:val="18"/>
              </w:rPr>
            </w:pPr>
          </w:p>
        </w:tc>
        <w:tc>
          <w:tcPr>
            <w:tcW w:w="2888" w:type="dxa"/>
            <w:vAlign w:val="center"/>
          </w:tcPr>
          <w:p w:rsidR="00855A01" w:rsidRDefault="00855A01" w:rsidP="00B84290">
            <w:pPr>
              <w:spacing w:line="240" w:lineRule="exact"/>
              <w:rPr>
                <w:rFonts w:ascii="仿宋_GB2312" w:eastAsia="仿宋_GB2312" w:hAnsi="仿宋_GB2312"/>
                <w:sz w:val="18"/>
                <w:szCs w:val="18"/>
              </w:rPr>
            </w:pPr>
          </w:p>
        </w:tc>
      </w:tr>
      <w:tr w:rsidR="00855A01" w:rsidTr="00B84290">
        <w:trPr>
          <w:trHeight w:val="298"/>
          <w:jc w:val="center"/>
        </w:trPr>
        <w:tc>
          <w:tcPr>
            <w:tcW w:w="749" w:type="dxa"/>
            <w:vMerge/>
            <w:vAlign w:val="center"/>
          </w:tcPr>
          <w:p w:rsidR="00855A01" w:rsidRDefault="00855A01" w:rsidP="00B84290">
            <w:pPr>
              <w:spacing w:line="240" w:lineRule="exact"/>
              <w:rPr>
                <w:sz w:val="18"/>
                <w:szCs w:val="18"/>
              </w:rPr>
            </w:pPr>
          </w:p>
        </w:tc>
        <w:tc>
          <w:tcPr>
            <w:tcW w:w="907" w:type="dxa"/>
            <w:vMerge/>
            <w:vAlign w:val="center"/>
          </w:tcPr>
          <w:p w:rsidR="00855A01" w:rsidRDefault="00855A01" w:rsidP="00B84290">
            <w:pPr>
              <w:spacing w:line="240" w:lineRule="exact"/>
              <w:rPr>
                <w:sz w:val="18"/>
                <w:szCs w:val="18"/>
              </w:rPr>
            </w:pPr>
          </w:p>
        </w:tc>
        <w:tc>
          <w:tcPr>
            <w:tcW w:w="599" w:type="dxa"/>
            <w:vMerge/>
            <w:vAlign w:val="center"/>
          </w:tcPr>
          <w:p w:rsidR="00855A01" w:rsidRDefault="00855A01" w:rsidP="00B84290">
            <w:pPr>
              <w:spacing w:line="240" w:lineRule="exact"/>
              <w:rPr>
                <w:sz w:val="18"/>
                <w:szCs w:val="18"/>
              </w:rPr>
            </w:pPr>
          </w:p>
        </w:tc>
        <w:tc>
          <w:tcPr>
            <w:tcW w:w="2410" w:type="dxa"/>
            <w:vAlign w:val="center"/>
          </w:tcPr>
          <w:p w:rsidR="00855A01" w:rsidRDefault="008C0264" w:rsidP="00B84290">
            <w:pPr>
              <w:spacing w:line="240" w:lineRule="exact"/>
              <w:ind w:firstLineChars="200" w:firstLine="360"/>
              <w:rPr>
                <w:rFonts w:ascii="仿宋_GB2312" w:eastAsia="仿宋_GB2312" w:hAnsi="仿宋_GB2312"/>
                <w:sz w:val="18"/>
                <w:szCs w:val="18"/>
              </w:rPr>
            </w:pPr>
            <w:r>
              <w:rPr>
                <w:rFonts w:ascii="仿宋_GB2312" w:eastAsia="仿宋_GB2312" w:hAnsi="仿宋_GB2312"/>
                <w:sz w:val="18"/>
                <w:szCs w:val="18"/>
              </w:rPr>
              <w:t>建设项目</w:t>
            </w:r>
          </w:p>
        </w:tc>
        <w:tc>
          <w:tcPr>
            <w:tcW w:w="851" w:type="dxa"/>
            <w:vMerge w:val="restart"/>
            <w:vAlign w:val="center"/>
          </w:tcPr>
          <w:p w:rsidR="00855A01" w:rsidRDefault="008C0264" w:rsidP="00B84290">
            <w:pPr>
              <w:spacing w:line="240" w:lineRule="exact"/>
              <w:rPr>
                <w:rFonts w:ascii="仿宋_GB2312" w:eastAsia="仿宋_GB2312" w:hAnsi="仿宋_GB2312"/>
                <w:sz w:val="18"/>
                <w:szCs w:val="18"/>
              </w:rPr>
            </w:pPr>
            <w:r>
              <w:rPr>
                <w:rFonts w:ascii="仿宋_GB2312" w:eastAsia="仿宋_GB2312" w:hAnsi="仿宋_GB2312"/>
                <w:sz w:val="18"/>
                <w:szCs w:val="18"/>
              </w:rPr>
              <w:t>中央</w:t>
            </w:r>
          </w:p>
        </w:tc>
        <w:tc>
          <w:tcPr>
            <w:tcW w:w="2409" w:type="dxa"/>
            <w:vMerge/>
            <w:vAlign w:val="center"/>
          </w:tcPr>
          <w:p w:rsidR="00855A01" w:rsidRDefault="00855A01" w:rsidP="00B84290">
            <w:pPr>
              <w:spacing w:line="240" w:lineRule="exact"/>
              <w:rPr>
                <w:sz w:val="18"/>
                <w:szCs w:val="18"/>
              </w:rPr>
            </w:pPr>
          </w:p>
        </w:tc>
        <w:tc>
          <w:tcPr>
            <w:tcW w:w="3119" w:type="dxa"/>
            <w:vMerge/>
            <w:vAlign w:val="center"/>
          </w:tcPr>
          <w:p w:rsidR="00855A01" w:rsidRDefault="00855A01" w:rsidP="00B84290">
            <w:pPr>
              <w:spacing w:line="240" w:lineRule="exact"/>
              <w:rPr>
                <w:sz w:val="18"/>
                <w:szCs w:val="18"/>
              </w:rPr>
            </w:pPr>
          </w:p>
        </w:tc>
        <w:tc>
          <w:tcPr>
            <w:tcW w:w="2888" w:type="dxa"/>
            <w:vAlign w:val="center"/>
          </w:tcPr>
          <w:p w:rsidR="00855A01" w:rsidRDefault="00855A01" w:rsidP="00B84290">
            <w:pPr>
              <w:spacing w:line="240" w:lineRule="exact"/>
              <w:rPr>
                <w:rFonts w:ascii="仿宋_GB2312" w:eastAsia="仿宋_GB2312" w:hAnsi="仿宋_GB2312"/>
                <w:sz w:val="18"/>
                <w:szCs w:val="18"/>
              </w:rPr>
            </w:pPr>
          </w:p>
        </w:tc>
      </w:tr>
      <w:tr w:rsidR="00B84290">
        <w:trPr>
          <w:trHeight w:val="1148"/>
          <w:jc w:val="center"/>
        </w:trPr>
        <w:tc>
          <w:tcPr>
            <w:tcW w:w="749" w:type="dxa"/>
            <w:vMerge/>
            <w:vAlign w:val="center"/>
          </w:tcPr>
          <w:p w:rsidR="00B84290" w:rsidRDefault="00B84290" w:rsidP="00B84290">
            <w:pPr>
              <w:spacing w:line="240" w:lineRule="exact"/>
              <w:rPr>
                <w:sz w:val="18"/>
                <w:szCs w:val="18"/>
              </w:rPr>
            </w:pPr>
          </w:p>
        </w:tc>
        <w:tc>
          <w:tcPr>
            <w:tcW w:w="907" w:type="dxa"/>
            <w:vMerge/>
            <w:vAlign w:val="center"/>
          </w:tcPr>
          <w:p w:rsidR="00B84290" w:rsidRDefault="00B84290" w:rsidP="00B84290">
            <w:pPr>
              <w:spacing w:line="240" w:lineRule="exact"/>
              <w:rPr>
                <w:sz w:val="18"/>
                <w:szCs w:val="18"/>
              </w:rPr>
            </w:pPr>
          </w:p>
        </w:tc>
        <w:tc>
          <w:tcPr>
            <w:tcW w:w="599" w:type="dxa"/>
            <w:vAlign w:val="center"/>
          </w:tcPr>
          <w:p w:rsidR="00B84290" w:rsidRDefault="00B84290"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2</w:t>
            </w:r>
          </w:p>
        </w:tc>
        <w:tc>
          <w:tcPr>
            <w:tcW w:w="2410" w:type="dxa"/>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城市道路挖掘修复费</w:t>
            </w:r>
          </w:p>
        </w:tc>
        <w:tc>
          <w:tcPr>
            <w:tcW w:w="851" w:type="dxa"/>
            <w:vMerge/>
            <w:vAlign w:val="center"/>
          </w:tcPr>
          <w:p w:rsidR="00B84290" w:rsidRDefault="00B84290" w:rsidP="00B84290">
            <w:pPr>
              <w:spacing w:line="240" w:lineRule="exact"/>
              <w:rPr>
                <w:sz w:val="18"/>
                <w:szCs w:val="18"/>
              </w:rPr>
            </w:pPr>
          </w:p>
        </w:tc>
        <w:tc>
          <w:tcPr>
            <w:tcW w:w="2409" w:type="dxa"/>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财综〔2012〕47号</w:t>
            </w:r>
          </w:p>
        </w:tc>
        <w:tc>
          <w:tcPr>
            <w:tcW w:w="3119" w:type="dxa"/>
            <w:vAlign w:val="center"/>
          </w:tcPr>
          <w:p w:rsidR="00B84290" w:rsidRDefault="00B84290" w:rsidP="00B84290">
            <w:pPr>
              <w:spacing w:line="24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费〔2014〕958号</w:t>
            </w:r>
          </w:p>
          <w:p w:rsidR="00B84290" w:rsidRDefault="00B84290" w:rsidP="00B84290">
            <w:pPr>
              <w:spacing w:line="240" w:lineRule="exact"/>
              <w:rPr>
                <w:rFonts w:ascii="仿宋_GB2312" w:eastAsia="仿宋_GB2312" w:hAnsi="仿宋_GB2312"/>
                <w:sz w:val="18"/>
                <w:szCs w:val="18"/>
              </w:rPr>
            </w:pPr>
          </w:p>
        </w:tc>
        <w:tc>
          <w:tcPr>
            <w:tcW w:w="2888" w:type="dxa"/>
            <w:vAlign w:val="center"/>
          </w:tcPr>
          <w:p w:rsidR="00B84290" w:rsidRDefault="00B84290" w:rsidP="00B84290">
            <w:pPr>
              <w:snapToGrid w:val="0"/>
              <w:spacing w:line="240" w:lineRule="exact"/>
              <w:rPr>
                <w:rFonts w:ascii="仿宋_GB2312" w:eastAsia="仿宋_GB2312" w:hAnsi="仿宋_GB2312"/>
                <w:sz w:val="18"/>
                <w:szCs w:val="18"/>
              </w:rPr>
            </w:pPr>
            <w:r>
              <w:rPr>
                <w:rFonts w:ascii="仿宋_GB2312" w:eastAsia="仿宋_GB2312" w:hAnsi="仿宋_GB2312"/>
                <w:sz w:val="18"/>
                <w:szCs w:val="18"/>
              </w:rPr>
              <w:t>自行修复并经城市建设管理部门验收合格的不得收费。因特殊原因，在新建、改建的道路两年内需对其开挖的，按修复成本的两倍收取。</w:t>
            </w:r>
          </w:p>
        </w:tc>
      </w:tr>
      <w:tr w:rsidR="00B84290">
        <w:trPr>
          <w:trHeight w:val="806"/>
          <w:jc w:val="center"/>
        </w:trPr>
        <w:tc>
          <w:tcPr>
            <w:tcW w:w="749" w:type="dxa"/>
            <w:vMerge w:val="restart"/>
            <w:vAlign w:val="center"/>
          </w:tcPr>
          <w:p w:rsidR="00B84290" w:rsidRDefault="00B84290"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二</w:t>
            </w:r>
          </w:p>
        </w:tc>
        <w:tc>
          <w:tcPr>
            <w:tcW w:w="907" w:type="dxa"/>
            <w:vMerge w:val="restart"/>
            <w:vAlign w:val="center"/>
          </w:tcPr>
          <w:p w:rsidR="00B84290" w:rsidRDefault="00B84290" w:rsidP="00B84290">
            <w:pPr>
              <w:spacing w:line="240" w:lineRule="exact"/>
              <w:jc w:val="center"/>
              <w:rPr>
                <w:rFonts w:ascii="仿宋_GB2312" w:eastAsia="仿宋_GB2312" w:hAnsi="仿宋_GB2312"/>
                <w:sz w:val="18"/>
                <w:szCs w:val="18"/>
              </w:rPr>
            </w:pPr>
            <w:r>
              <w:rPr>
                <w:rFonts w:ascii="仿宋_GB2312" w:eastAsia="仿宋_GB2312" w:hAnsi="仿宋_GB2312" w:hint="eastAsia"/>
                <w:sz w:val="18"/>
                <w:szCs w:val="18"/>
              </w:rPr>
              <w:t>自然资源</w:t>
            </w:r>
          </w:p>
        </w:tc>
        <w:tc>
          <w:tcPr>
            <w:tcW w:w="599" w:type="dxa"/>
            <w:vAlign w:val="center"/>
          </w:tcPr>
          <w:p w:rsidR="00B84290" w:rsidRDefault="00B84290"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3</w:t>
            </w:r>
          </w:p>
        </w:tc>
        <w:tc>
          <w:tcPr>
            <w:tcW w:w="2410" w:type="dxa"/>
            <w:tcBorders>
              <w:bottom w:val="single" w:sz="4" w:space="0" w:color="auto"/>
            </w:tcBorders>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土地闲置费</w:t>
            </w:r>
          </w:p>
        </w:tc>
        <w:tc>
          <w:tcPr>
            <w:tcW w:w="851" w:type="dxa"/>
            <w:vMerge w:val="restart"/>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中央</w:t>
            </w:r>
          </w:p>
        </w:tc>
        <w:tc>
          <w:tcPr>
            <w:tcW w:w="2409" w:type="dxa"/>
            <w:tcBorders>
              <w:bottom w:val="single" w:sz="4" w:space="0" w:color="auto"/>
            </w:tcBorders>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财综〔2012〕47号</w:t>
            </w:r>
          </w:p>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湘财综〔2008〕68号</w:t>
            </w:r>
          </w:p>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湘财综〔2015〕5号</w:t>
            </w:r>
          </w:p>
        </w:tc>
        <w:tc>
          <w:tcPr>
            <w:tcW w:w="3119" w:type="dxa"/>
            <w:vMerge w:val="restart"/>
            <w:vAlign w:val="center"/>
          </w:tcPr>
          <w:p w:rsidR="00B84290" w:rsidRDefault="00B84290" w:rsidP="00B84290">
            <w:pPr>
              <w:spacing w:line="240" w:lineRule="exact"/>
              <w:rPr>
                <w:sz w:val="18"/>
                <w:szCs w:val="18"/>
              </w:rPr>
            </w:pPr>
          </w:p>
          <w:p w:rsidR="00B84290" w:rsidRDefault="00B84290" w:rsidP="00B84290">
            <w:pPr>
              <w:spacing w:line="24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费〔2014〕958号</w:t>
            </w:r>
          </w:p>
          <w:p w:rsidR="00B84290" w:rsidRDefault="00B84290" w:rsidP="00B84290">
            <w:pPr>
              <w:spacing w:line="240" w:lineRule="exact"/>
              <w:rPr>
                <w:sz w:val="18"/>
                <w:szCs w:val="18"/>
              </w:rPr>
            </w:pPr>
            <w:r>
              <w:rPr>
                <w:rFonts w:ascii="仿宋_GB2312" w:eastAsia="仿宋_GB2312" w:hAnsi="仿宋_GB2312"/>
                <w:sz w:val="18"/>
                <w:szCs w:val="18"/>
              </w:rPr>
              <w:t>湘政办发〔2010〕47号</w:t>
            </w:r>
          </w:p>
        </w:tc>
        <w:tc>
          <w:tcPr>
            <w:tcW w:w="2888" w:type="dxa"/>
            <w:vMerge w:val="restart"/>
            <w:vAlign w:val="center"/>
          </w:tcPr>
          <w:p w:rsidR="00B84290" w:rsidRDefault="00B84290" w:rsidP="00B84290">
            <w:pPr>
              <w:snapToGrid w:val="0"/>
              <w:spacing w:line="240" w:lineRule="exact"/>
              <w:rPr>
                <w:rFonts w:ascii="仿宋_GB2312" w:eastAsia="仿宋_GB2312" w:hAnsi="仿宋_GB2312"/>
                <w:sz w:val="18"/>
                <w:szCs w:val="18"/>
              </w:rPr>
            </w:pPr>
            <w:r>
              <w:rPr>
                <w:rFonts w:ascii="仿宋_GB2312" w:eastAsia="仿宋_GB2312" w:hAnsi="仿宋_GB2312"/>
                <w:sz w:val="18"/>
                <w:szCs w:val="18"/>
              </w:rPr>
              <w:t>对非营利养老和医疗机构建设免征,对营利养老和医疗机构建设减半收取</w:t>
            </w:r>
          </w:p>
        </w:tc>
      </w:tr>
      <w:tr w:rsidR="00B84290" w:rsidTr="00D80D03">
        <w:trPr>
          <w:trHeight w:val="719"/>
          <w:jc w:val="center"/>
        </w:trPr>
        <w:tc>
          <w:tcPr>
            <w:tcW w:w="749" w:type="dxa"/>
            <w:vMerge/>
            <w:vAlign w:val="center"/>
          </w:tcPr>
          <w:p w:rsidR="00B84290" w:rsidRDefault="00B84290" w:rsidP="00B84290">
            <w:pPr>
              <w:spacing w:line="240" w:lineRule="exact"/>
              <w:rPr>
                <w:sz w:val="18"/>
                <w:szCs w:val="18"/>
              </w:rPr>
            </w:pPr>
          </w:p>
        </w:tc>
        <w:tc>
          <w:tcPr>
            <w:tcW w:w="907" w:type="dxa"/>
            <w:vMerge/>
            <w:vAlign w:val="center"/>
          </w:tcPr>
          <w:p w:rsidR="00B84290" w:rsidRDefault="00B84290" w:rsidP="00B84290">
            <w:pPr>
              <w:spacing w:line="240" w:lineRule="exact"/>
              <w:rPr>
                <w:sz w:val="18"/>
                <w:szCs w:val="18"/>
              </w:rPr>
            </w:pPr>
          </w:p>
        </w:tc>
        <w:tc>
          <w:tcPr>
            <w:tcW w:w="599" w:type="dxa"/>
            <w:vAlign w:val="center"/>
          </w:tcPr>
          <w:p w:rsidR="00B84290" w:rsidRDefault="00B84290"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4</w:t>
            </w:r>
          </w:p>
        </w:tc>
        <w:tc>
          <w:tcPr>
            <w:tcW w:w="2410" w:type="dxa"/>
            <w:tcBorders>
              <w:bottom w:val="single" w:sz="4" w:space="0" w:color="auto"/>
            </w:tcBorders>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土地复垦费</w:t>
            </w:r>
          </w:p>
        </w:tc>
        <w:tc>
          <w:tcPr>
            <w:tcW w:w="851" w:type="dxa"/>
            <w:vMerge/>
            <w:vAlign w:val="center"/>
          </w:tcPr>
          <w:p w:rsidR="00B84290" w:rsidRDefault="00B84290" w:rsidP="00B84290">
            <w:pPr>
              <w:spacing w:line="240" w:lineRule="exact"/>
              <w:rPr>
                <w:sz w:val="18"/>
                <w:szCs w:val="18"/>
              </w:rPr>
            </w:pPr>
          </w:p>
        </w:tc>
        <w:tc>
          <w:tcPr>
            <w:tcW w:w="2409" w:type="dxa"/>
            <w:tcBorders>
              <w:bottom w:val="single" w:sz="4" w:space="0" w:color="auto"/>
            </w:tcBorders>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财综〔2012〕47号</w:t>
            </w:r>
          </w:p>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湘财综〔2015〕5号</w:t>
            </w:r>
          </w:p>
        </w:tc>
        <w:tc>
          <w:tcPr>
            <w:tcW w:w="3119" w:type="dxa"/>
            <w:vMerge/>
            <w:tcBorders>
              <w:bottom w:val="single" w:sz="4" w:space="0" w:color="auto"/>
            </w:tcBorders>
          </w:tcPr>
          <w:p w:rsidR="00B84290" w:rsidRDefault="00B84290" w:rsidP="00B84290">
            <w:pPr>
              <w:spacing w:line="240" w:lineRule="exact"/>
              <w:rPr>
                <w:sz w:val="18"/>
                <w:szCs w:val="18"/>
              </w:rPr>
            </w:pPr>
          </w:p>
        </w:tc>
        <w:tc>
          <w:tcPr>
            <w:tcW w:w="2888" w:type="dxa"/>
            <w:vMerge/>
            <w:vAlign w:val="center"/>
          </w:tcPr>
          <w:p w:rsidR="00B84290" w:rsidRDefault="00B84290" w:rsidP="00B84290">
            <w:pPr>
              <w:spacing w:line="240" w:lineRule="exact"/>
              <w:rPr>
                <w:sz w:val="18"/>
                <w:szCs w:val="18"/>
              </w:rPr>
            </w:pPr>
          </w:p>
        </w:tc>
      </w:tr>
      <w:tr w:rsidR="00B84290">
        <w:trPr>
          <w:trHeight w:val="789"/>
          <w:jc w:val="center"/>
        </w:trPr>
        <w:tc>
          <w:tcPr>
            <w:tcW w:w="749" w:type="dxa"/>
            <w:vMerge/>
            <w:vAlign w:val="center"/>
          </w:tcPr>
          <w:p w:rsidR="00B84290" w:rsidRDefault="00B84290" w:rsidP="00B84290">
            <w:pPr>
              <w:spacing w:line="240" w:lineRule="exact"/>
              <w:rPr>
                <w:sz w:val="18"/>
                <w:szCs w:val="18"/>
              </w:rPr>
            </w:pPr>
          </w:p>
        </w:tc>
        <w:tc>
          <w:tcPr>
            <w:tcW w:w="907" w:type="dxa"/>
            <w:vMerge/>
            <w:vAlign w:val="center"/>
          </w:tcPr>
          <w:p w:rsidR="00B84290" w:rsidRDefault="00B84290" w:rsidP="00B84290">
            <w:pPr>
              <w:spacing w:line="240" w:lineRule="exact"/>
              <w:rPr>
                <w:sz w:val="18"/>
                <w:szCs w:val="18"/>
              </w:rPr>
            </w:pPr>
          </w:p>
        </w:tc>
        <w:tc>
          <w:tcPr>
            <w:tcW w:w="599" w:type="dxa"/>
            <w:vAlign w:val="center"/>
          </w:tcPr>
          <w:p w:rsidR="00B84290" w:rsidRDefault="00B84290" w:rsidP="00B84290">
            <w:pPr>
              <w:spacing w:line="240" w:lineRule="exact"/>
              <w:jc w:val="center"/>
              <w:rPr>
                <w:rFonts w:ascii="仿宋_GB2312" w:eastAsia="仿宋_GB2312" w:hAnsi="仿宋_GB2312"/>
                <w:sz w:val="18"/>
                <w:szCs w:val="18"/>
              </w:rPr>
            </w:pPr>
            <w:r>
              <w:rPr>
                <w:rFonts w:ascii="仿宋_GB2312" w:eastAsia="仿宋_GB2312" w:hAnsi="仿宋_GB2312"/>
                <w:sz w:val="18"/>
                <w:szCs w:val="18"/>
              </w:rPr>
              <w:t>5</w:t>
            </w:r>
          </w:p>
        </w:tc>
        <w:tc>
          <w:tcPr>
            <w:tcW w:w="2410" w:type="dxa"/>
            <w:tcBorders>
              <w:bottom w:val="single" w:sz="4" w:space="0" w:color="auto"/>
            </w:tcBorders>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耕地开垦费</w:t>
            </w:r>
          </w:p>
        </w:tc>
        <w:tc>
          <w:tcPr>
            <w:tcW w:w="851" w:type="dxa"/>
            <w:vMerge/>
            <w:vAlign w:val="center"/>
          </w:tcPr>
          <w:p w:rsidR="00B84290" w:rsidRDefault="00B84290" w:rsidP="00B84290">
            <w:pPr>
              <w:spacing w:line="240" w:lineRule="exact"/>
              <w:rPr>
                <w:sz w:val="18"/>
                <w:szCs w:val="18"/>
              </w:rPr>
            </w:pPr>
          </w:p>
        </w:tc>
        <w:tc>
          <w:tcPr>
            <w:tcW w:w="2409" w:type="dxa"/>
            <w:tcBorders>
              <w:bottom w:val="single" w:sz="4" w:space="0" w:color="auto"/>
            </w:tcBorders>
            <w:vAlign w:val="center"/>
          </w:tcPr>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财综〔2012〕47号</w:t>
            </w:r>
          </w:p>
          <w:p w:rsidR="00B84290" w:rsidRDefault="00B84290" w:rsidP="00B84290">
            <w:pPr>
              <w:spacing w:line="240" w:lineRule="exact"/>
              <w:rPr>
                <w:rFonts w:ascii="仿宋_GB2312" w:eastAsia="仿宋_GB2312" w:hAnsi="仿宋_GB2312"/>
                <w:sz w:val="18"/>
                <w:szCs w:val="18"/>
              </w:rPr>
            </w:pPr>
            <w:r>
              <w:rPr>
                <w:rFonts w:ascii="仿宋_GB2312" w:eastAsia="仿宋_GB2312" w:hAnsi="仿宋_GB2312"/>
                <w:sz w:val="18"/>
                <w:szCs w:val="18"/>
              </w:rPr>
              <w:t>湘财综〔2015〕5号</w:t>
            </w:r>
          </w:p>
        </w:tc>
        <w:tc>
          <w:tcPr>
            <w:tcW w:w="3119" w:type="dxa"/>
            <w:tcBorders>
              <w:bottom w:val="single" w:sz="4" w:space="0" w:color="auto"/>
            </w:tcBorders>
          </w:tcPr>
          <w:p w:rsidR="00B84290" w:rsidRDefault="00B84290" w:rsidP="00B84290">
            <w:pPr>
              <w:spacing w:line="240" w:lineRule="exact"/>
              <w:rPr>
                <w:rFonts w:ascii="仿宋_GB2312" w:eastAsia="仿宋_GB2312" w:hAnsi="仿宋_GB2312"/>
                <w:sz w:val="18"/>
                <w:szCs w:val="18"/>
              </w:rPr>
            </w:pPr>
          </w:p>
        </w:tc>
        <w:tc>
          <w:tcPr>
            <w:tcW w:w="2888" w:type="dxa"/>
            <w:vMerge/>
            <w:vAlign w:val="center"/>
          </w:tcPr>
          <w:p w:rsidR="00B84290" w:rsidRDefault="00B84290" w:rsidP="00B84290">
            <w:pPr>
              <w:spacing w:line="240" w:lineRule="exact"/>
              <w:rPr>
                <w:sz w:val="18"/>
                <w:szCs w:val="18"/>
              </w:rPr>
            </w:pPr>
          </w:p>
        </w:tc>
      </w:tr>
    </w:tbl>
    <w:p w:rsidR="00FE2080" w:rsidRDefault="00FE2080">
      <w:pPr>
        <w:spacing w:after="160"/>
        <w:jc w:val="center"/>
        <w:rPr>
          <w:rFonts w:ascii="仿宋_GB2312" w:eastAsia="仿宋_GB2312" w:hAnsi="仿宋_GB2312" w:hint="eastAsia"/>
          <w:sz w:val="44"/>
          <w:szCs w:val="44"/>
        </w:rPr>
      </w:pPr>
    </w:p>
    <w:p w:rsidR="00855A01" w:rsidRDefault="008C0264">
      <w:pPr>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花垣县涉企行政事业性收费项目清单</w:t>
      </w:r>
    </w:p>
    <w:tbl>
      <w:tblPr>
        <w:tblW w:w="13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816"/>
        <w:gridCol w:w="708"/>
        <w:gridCol w:w="2268"/>
        <w:gridCol w:w="709"/>
        <w:gridCol w:w="2126"/>
        <w:gridCol w:w="2835"/>
        <w:gridCol w:w="3688"/>
      </w:tblGrid>
      <w:tr w:rsidR="00855A01">
        <w:trPr>
          <w:trHeight w:val="466"/>
          <w:tblHeader/>
          <w:jc w:val="center"/>
        </w:trPr>
        <w:tc>
          <w:tcPr>
            <w:tcW w:w="680"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分</w:t>
            </w:r>
          </w:p>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816"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收费</w:t>
            </w:r>
          </w:p>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部门</w:t>
            </w:r>
          </w:p>
        </w:tc>
        <w:tc>
          <w:tcPr>
            <w:tcW w:w="708"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序</w:t>
            </w:r>
          </w:p>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2268"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709"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项目</w:t>
            </w:r>
          </w:p>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级别</w:t>
            </w:r>
          </w:p>
        </w:tc>
        <w:tc>
          <w:tcPr>
            <w:tcW w:w="2126"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35"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3688"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855A01">
        <w:trPr>
          <w:trHeight w:val="70"/>
          <w:jc w:val="center"/>
        </w:trPr>
        <w:tc>
          <w:tcPr>
            <w:tcW w:w="680" w:type="dxa"/>
            <w:vMerge w:val="restart"/>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hint="eastAsia"/>
                <w:sz w:val="18"/>
                <w:szCs w:val="18"/>
              </w:rPr>
              <w:t>二</w:t>
            </w:r>
          </w:p>
        </w:tc>
        <w:tc>
          <w:tcPr>
            <w:tcW w:w="816" w:type="dxa"/>
            <w:vMerge w:val="restart"/>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hint="eastAsia"/>
                <w:sz w:val="18"/>
                <w:szCs w:val="18"/>
              </w:rPr>
              <w:t>自然资源</w:t>
            </w:r>
          </w:p>
        </w:tc>
        <w:tc>
          <w:tcPr>
            <w:tcW w:w="708" w:type="dxa"/>
            <w:vMerge w:val="restart"/>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6</w:t>
            </w: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不动产登记费</w:t>
            </w:r>
          </w:p>
        </w:tc>
        <w:tc>
          <w:tcPr>
            <w:tcW w:w="709" w:type="dxa"/>
            <w:vMerge w:val="restart"/>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中央</w:t>
            </w:r>
          </w:p>
        </w:tc>
        <w:tc>
          <w:tcPr>
            <w:tcW w:w="2126" w:type="dxa"/>
            <w:vMerge w:val="restart"/>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财税〔2017〕79号</w:t>
            </w:r>
          </w:p>
        </w:tc>
        <w:tc>
          <w:tcPr>
            <w:tcW w:w="2835" w:type="dxa"/>
            <w:vMerge w:val="restart"/>
            <w:vAlign w:val="center"/>
          </w:tcPr>
          <w:p w:rsidR="00855A01" w:rsidRDefault="008C0264">
            <w:pPr>
              <w:spacing w:line="32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费〔2017〕264号</w:t>
            </w:r>
          </w:p>
        </w:tc>
        <w:tc>
          <w:tcPr>
            <w:tcW w:w="3688" w:type="dxa"/>
            <w:vMerge w:val="restart"/>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廉租住房、公共租赁住房、经济适用住房和棚户区改造安置住房所有权及其建设用地使用权办理不动产登记，登记收费标准为零。</w:t>
            </w:r>
          </w:p>
        </w:tc>
      </w:tr>
      <w:tr w:rsidR="00855A01">
        <w:trPr>
          <w:trHeight w:val="911"/>
          <w:jc w:val="center"/>
        </w:trPr>
        <w:tc>
          <w:tcPr>
            <w:tcW w:w="680" w:type="dxa"/>
            <w:vMerge/>
            <w:vAlign w:val="center"/>
          </w:tcPr>
          <w:p w:rsidR="00855A01" w:rsidRDefault="00855A01">
            <w:pPr>
              <w:spacing w:line="320" w:lineRule="exact"/>
              <w:rPr>
                <w:sz w:val="18"/>
                <w:szCs w:val="18"/>
              </w:rPr>
            </w:pPr>
          </w:p>
        </w:tc>
        <w:tc>
          <w:tcPr>
            <w:tcW w:w="816" w:type="dxa"/>
            <w:vMerge/>
            <w:vAlign w:val="center"/>
          </w:tcPr>
          <w:p w:rsidR="00855A01" w:rsidRDefault="00855A01">
            <w:pPr>
              <w:spacing w:line="320" w:lineRule="exact"/>
              <w:rPr>
                <w:sz w:val="18"/>
                <w:szCs w:val="18"/>
              </w:rPr>
            </w:pPr>
          </w:p>
        </w:tc>
        <w:tc>
          <w:tcPr>
            <w:tcW w:w="708" w:type="dxa"/>
            <w:vMerge/>
            <w:vAlign w:val="center"/>
          </w:tcPr>
          <w:p w:rsidR="00855A01" w:rsidRDefault="00855A01">
            <w:pPr>
              <w:spacing w:line="320" w:lineRule="exact"/>
              <w:rPr>
                <w:sz w:val="18"/>
                <w:szCs w:val="18"/>
              </w:rPr>
            </w:pP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（1）住宅类</w:t>
            </w:r>
          </w:p>
        </w:tc>
        <w:tc>
          <w:tcPr>
            <w:tcW w:w="709" w:type="dxa"/>
            <w:vMerge/>
            <w:vAlign w:val="center"/>
          </w:tcPr>
          <w:p w:rsidR="00855A01" w:rsidRDefault="00855A01">
            <w:pPr>
              <w:spacing w:line="320" w:lineRule="exact"/>
              <w:rPr>
                <w:sz w:val="18"/>
                <w:szCs w:val="18"/>
              </w:rPr>
            </w:pPr>
          </w:p>
        </w:tc>
        <w:tc>
          <w:tcPr>
            <w:tcW w:w="2126" w:type="dxa"/>
            <w:vMerge/>
            <w:vAlign w:val="center"/>
          </w:tcPr>
          <w:p w:rsidR="00855A01" w:rsidRDefault="00855A01">
            <w:pPr>
              <w:spacing w:line="320" w:lineRule="exact"/>
              <w:rPr>
                <w:sz w:val="18"/>
                <w:szCs w:val="18"/>
              </w:rPr>
            </w:pPr>
          </w:p>
        </w:tc>
        <w:tc>
          <w:tcPr>
            <w:tcW w:w="2835" w:type="dxa"/>
            <w:vMerge/>
            <w:vAlign w:val="center"/>
          </w:tcPr>
          <w:p w:rsidR="00855A01" w:rsidRDefault="00855A01">
            <w:pPr>
              <w:spacing w:line="320" w:lineRule="exact"/>
              <w:rPr>
                <w:sz w:val="18"/>
                <w:szCs w:val="18"/>
              </w:rPr>
            </w:pPr>
          </w:p>
        </w:tc>
        <w:tc>
          <w:tcPr>
            <w:tcW w:w="3688" w:type="dxa"/>
            <w:vMerge/>
            <w:vAlign w:val="center"/>
          </w:tcPr>
          <w:p w:rsidR="00855A01" w:rsidRDefault="00855A01">
            <w:pPr>
              <w:spacing w:line="320" w:lineRule="exact"/>
              <w:rPr>
                <w:sz w:val="18"/>
                <w:szCs w:val="18"/>
              </w:rPr>
            </w:pPr>
          </w:p>
        </w:tc>
      </w:tr>
      <w:tr w:rsidR="00855A01">
        <w:trPr>
          <w:trHeight w:val="1130"/>
          <w:jc w:val="center"/>
        </w:trPr>
        <w:tc>
          <w:tcPr>
            <w:tcW w:w="680" w:type="dxa"/>
            <w:vMerge/>
            <w:vAlign w:val="center"/>
          </w:tcPr>
          <w:p w:rsidR="00855A01" w:rsidRDefault="00855A01">
            <w:pPr>
              <w:spacing w:line="320" w:lineRule="exact"/>
              <w:rPr>
                <w:sz w:val="18"/>
                <w:szCs w:val="18"/>
              </w:rPr>
            </w:pPr>
          </w:p>
        </w:tc>
        <w:tc>
          <w:tcPr>
            <w:tcW w:w="816" w:type="dxa"/>
            <w:vMerge/>
            <w:vAlign w:val="center"/>
          </w:tcPr>
          <w:p w:rsidR="00855A01" w:rsidRDefault="00855A01">
            <w:pPr>
              <w:spacing w:line="320" w:lineRule="exact"/>
              <w:rPr>
                <w:sz w:val="18"/>
                <w:szCs w:val="18"/>
              </w:rPr>
            </w:pPr>
          </w:p>
        </w:tc>
        <w:tc>
          <w:tcPr>
            <w:tcW w:w="708" w:type="dxa"/>
            <w:vMerge/>
            <w:vAlign w:val="center"/>
          </w:tcPr>
          <w:p w:rsidR="00855A01" w:rsidRDefault="00855A01">
            <w:pPr>
              <w:spacing w:line="320" w:lineRule="exact"/>
              <w:rPr>
                <w:sz w:val="18"/>
                <w:szCs w:val="18"/>
              </w:rPr>
            </w:pP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（2）非住宅类</w:t>
            </w:r>
          </w:p>
        </w:tc>
        <w:tc>
          <w:tcPr>
            <w:tcW w:w="709" w:type="dxa"/>
            <w:vMerge/>
            <w:vAlign w:val="center"/>
          </w:tcPr>
          <w:p w:rsidR="00855A01" w:rsidRDefault="00855A01">
            <w:pPr>
              <w:spacing w:line="320" w:lineRule="exact"/>
              <w:rPr>
                <w:sz w:val="18"/>
                <w:szCs w:val="18"/>
              </w:rPr>
            </w:pPr>
          </w:p>
        </w:tc>
        <w:tc>
          <w:tcPr>
            <w:tcW w:w="2126" w:type="dxa"/>
            <w:vMerge/>
            <w:vAlign w:val="center"/>
          </w:tcPr>
          <w:p w:rsidR="00855A01" w:rsidRDefault="00855A01">
            <w:pPr>
              <w:spacing w:line="320" w:lineRule="exact"/>
              <w:rPr>
                <w:sz w:val="18"/>
                <w:szCs w:val="18"/>
              </w:rPr>
            </w:pPr>
          </w:p>
        </w:tc>
        <w:tc>
          <w:tcPr>
            <w:tcW w:w="2835" w:type="dxa"/>
            <w:vMerge/>
            <w:vAlign w:val="center"/>
          </w:tcPr>
          <w:p w:rsidR="00855A01" w:rsidRDefault="00855A01">
            <w:pPr>
              <w:spacing w:line="320" w:lineRule="exact"/>
              <w:rPr>
                <w:sz w:val="18"/>
                <w:szCs w:val="18"/>
              </w:rPr>
            </w:pPr>
          </w:p>
        </w:tc>
        <w:tc>
          <w:tcPr>
            <w:tcW w:w="368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不动产登记机构依法办理不动产查封登记、注销登记、预告登记和因不动产登记机构错误导致的更正登记，不得收取不动产登记费。</w:t>
            </w:r>
          </w:p>
        </w:tc>
      </w:tr>
      <w:tr w:rsidR="00855A01">
        <w:trPr>
          <w:trHeight w:val="1405"/>
          <w:jc w:val="center"/>
        </w:trPr>
        <w:tc>
          <w:tcPr>
            <w:tcW w:w="680" w:type="dxa"/>
            <w:vMerge/>
            <w:vAlign w:val="center"/>
          </w:tcPr>
          <w:p w:rsidR="00855A01" w:rsidRDefault="00855A01">
            <w:pPr>
              <w:spacing w:line="320" w:lineRule="exact"/>
              <w:rPr>
                <w:sz w:val="18"/>
                <w:szCs w:val="18"/>
              </w:rPr>
            </w:pPr>
          </w:p>
        </w:tc>
        <w:tc>
          <w:tcPr>
            <w:tcW w:w="816" w:type="dxa"/>
            <w:vMerge/>
            <w:vAlign w:val="center"/>
          </w:tcPr>
          <w:p w:rsidR="00855A01" w:rsidRDefault="00855A01">
            <w:pPr>
              <w:spacing w:line="320" w:lineRule="exact"/>
              <w:rPr>
                <w:sz w:val="18"/>
                <w:szCs w:val="18"/>
              </w:rPr>
            </w:pPr>
          </w:p>
        </w:tc>
        <w:tc>
          <w:tcPr>
            <w:tcW w:w="708" w:type="dxa"/>
            <w:vMerge/>
            <w:vAlign w:val="center"/>
          </w:tcPr>
          <w:p w:rsidR="00855A01" w:rsidRDefault="00855A01">
            <w:pPr>
              <w:spacing w:line="320" w:lineRule="exact"/>
              <w:rPr>
                <w:sz w:val="18"/>
                <w:szCs w:val="18"/>
              </w:rPr>
            </w:pP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（3）证书工本费</w:t>
            </w:r>
          </w:p>
        </w:tc>
        <w:tc>
          <w:tcPr>
            <w:tcW w:w="709" w:type="dxa"/>
            <w:vMerge/>
            <w:vAlign w:val="center"/>
          </w:tcPr>
          <w:p w:rsidR="00855A01" w:rsidRDefault="00855A01">
            <w:pPr>
              <w:spacing w:line="320" w:lineRule="exact"/>
              <w:rPr>
                <w:sz w:val="18"/>
                <w:szCs w:val="18"/>
              </w:rPr>
            </w:pPr>
          </w:p>
        </w:tc>
        <w:tc>
          <w:tcPr>
            <w:tcW w:w="2126" w:type="dxa"/>
            <w:vMerge/>
            <w:vAlign w:val="center"/>
          </w:tcPr>
          <w:p w:rsidR="00855A01" w:rsidRDefault="00855A01">
            <w:pPr>
              <w:spacing w:line="320" w:lineRule="exact"/>
              <w:rPr>
                <w:sz w:val="18"/>
                <w:szCs w:val="18"/>
              </w:rPr>
            </w:pPr>
          </w:p>
        </w:tc>
        <w:tc>
          <w:tcPr>
            <w:tcW w:w="2835" w:type="dxa"/>
            <w:vMerge/>
            <w:vAlign w:val="center"/>
          </w:tcPr>
          <w:p w:rsidR="00855A01" w:rsidRDefault="00855A01">
            <w:pPr>
              <w:spacing w:line="320" w:lineRule="exact"/>
              <w:rPr>
                <w:sz w:val="18"/>
                <w:szCs w:val="18"/>
              </w:rPr>
            </w:pPr>
          </w:p>
        </w:tc>
        <w:tc>
          <w:tcPr>
            <w:tcW w:w="368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向一个以上不动产权利人核发权属证书的，每增加一本证书加收证书工本费10元。不动产登记机构依法核发不动产登记证明，不得收取登记证明工本费</w:t>
            </w:r>
          </w:p>
        </w:tc>
      </w:tr>
      <w:tr w:rsidR="00855A01">
        <w:trPr>
          <w:trHeight w:val="795"/>
          <w:jc w:val="center"/>
        </w:trPr>
        <w:tc>
          <w:tcPr>
            <w:tcW w:w="680" w:type="dxa"/>
            <w:vMerge w:val="restart"/>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hint="eastAsia"/>
                <w:sz w:val="18"/>
                <w:szCs w:val="18"/>
              </w:rPr>
              <w:t>三</w:t>
            </w:r>
          </w:p>
        </w:tc>
        <w:tc>
          <w:tcPr>
            <w:tcW w:w="816" w:type="dxa"/>
            <w:vMerge w:val="restart"/>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交警</w:t>
            </w:r>
          </w:p>
        </w:tc>
        <w:tc>
          <w:tcPr>
            <w:tcW w:w="708" w:type="dxa"/>
            <w:vAlign w:val="center"/>
          </w:tcPr>
          <w:p w:rsidR="00855A01" w:rsidRDefault="008C0264">
            <w:pPr>
              <w:spacing w:line="320" w:lineRule="exact"/>
              <w:jc w:val="center"/>
              <w:rPr>
                <w:rFonts w:ascii="仿宋_GB2312" w:eastAsia="仿宋_GB2312" w:hAnsi="仿宋_GB2312"/>
                <w:sz w:val="18"/>
                <w:szCs w:val="18"/>
              </w:rPr>
            </w:pPr>
            <w:r>
              <w:rPr>
                <w:rFonts w:ascii="仿宋_GB2312" w:eastAsia="仿宋_GB2312" w:hAnsi="仿宋_GB2312"/>
                <w:sz w:val="18"/>
                <w:szCs w:val="18"/>
              </w:rPr>
              <w:t>7</w:t>
            </w: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证照类收费</w:t>
            </w:r>
          </w:p>
        </w:tc>
        <w:tc>
          <w:tcPr>
            <w:tcW w:w="709" w:type="dxa"/>
            <w:vMerge w:val="restart"/>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中央</w:t>
            </w:r>
          </w:p>
        </w:tc>
        <w:tc>
          <w:tcPr>
            <w:tcW w:w="2126"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湘财综〔2010〕15号</w:t>
            </w:r>
          </w:p>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财综〔2012〕47号</w:t>
            </w:r>
          </w:p>
        </w:tc>
        <w:tc>
          <w:tcPr>
            <w:tcW w:w="2835" w:type="dxa"/>
            <w:vMerge w:val="restart"/>
            <w:vAlign w:val="center"/>
          </w:tcPr>
          <w:p w:rsidR="00855A01" w:rsidRDefault="008C0264">
            <w:pPr>
              <w:snapToGrid w:val="0"/>
              <w:spacing w:line="320" w:lineRule="exact"/>
              <w:rPr>
                <w:rFonts w:ascii="仿宋_GB2312" w:eastAsia="仿宋_GB2312" w:hAnsi="仿宋_GB2312"/>
                <w:sz w:val="18"/>
                <w:szCs w:val="18"/>
              </w:rPr>
            </w:pPr>
            <w:proofErr w:type="gramStart"/>
            <w:r>
              <w:rPr>
                <w:rFonts w:ascii="仿宋_GB2312" w:eastAsia="仿宋_GB2312" w:hAnsi="仿宋_GB2312"/>
                <w:sz w:val="18"/>
                <w:szCs w:val="18"/>
              </w:rPr>
              <w:t>发改价格</w:t>
            </w:r>
            <w:proofErr w:type="gramEnd"/>
            <w:r>
              <w:rPr>
                <w:rFonts w:ascii="仿宋_GB2312" w:eastAsia="仿宋_GB2312" w:hAnsi="仿宋_GB2312"/>
                <w:sz w:val="18"/>
                <w:szCs w:val="18"/>
              </w:rPr>
              <w:t>〔2004〕2831号</w:t>
            </w:r>
          </w:p>
          <w:p w:rsidR="00855A01" w:rsidRDefault="008C0264">
            <w:pPr>
              <w:snapToGrid w:val="0"/>
              <w:spacing w:line="320" w:lineRule="exact"/>
              <w:rPr>
                <w:rFonts w:ascii="仿宋_GB2312" w:eastAsia="仿宋_GB2312" w:hAnsi="仿宋_GB2312"/>
                <w:sz w:val="18"/>
                <w:szCs w:val="18"/>
              </w:rPr>
            </w:pPr>
            <w:r>
              <w:rPr>
                <w:rFonts w:ascii="仿宋_GB2312" w:eastAsia="仿宋_GB2312" w:hAnsi="仿宋_GB2312"/>
                <w:sz w:val="18"/>
                <w:szCs w:val="18"/>
              </w:rPr>
              <w:t>计价格〔1994〕783号</w:t>
            </w:r>
          </w:p>
          <w:p w:rsidR="00855A01" w:rsidRDefault="008C0264">
            <w:pPr>
              <w:snapToGrid w:val="0"/>
              <w:spacing w:line="320" w:lineRule="exact"/>
              <w:rPr>
                <w:rFonts w:ascii="仿宋_GB2312" w:eastAsia="仿宋_GB2312" w:hAnsi="仿宋_GB2312"/>
                <w:sz w:val="18"/>
                <w:szCs w:val="18"/>
              </w:rPr>
            </w:pPr>
            <w:r>
              <w:rPr>
                <w:rFonts w:ascii="仿宋_GB2312" w:eastAsia="仿宋_GB2312" w:hAnsi="仿宋_GB2312"/>
                <w:sz w:val="18"/>
                <w:szCs w:val="18"/>
              </w:rPr>
              <w:t>价费字〔1992〕240号</w:t>
            </w:r>
          </w:p>
          <w:p w:rsidR="00855A01" w:rsidRDefault="008C0264">
            <w:pPr>
              <w:snapToGrid w:val="0"/>
              <w:spacing w:line="32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费〔2016〕375号</w:t>
            </w:r>
          </w:p>
          <w:p w:rsidR="00855A01" w:rsidRDefault="008C0264">
            <w:pPr>
              <w:snapToGrid w:val="0"/>
              <w:spacing w:line="32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费〔2017〕606号</w:t>
            </w:r>
          </w:p>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计价格〔2001〕1979号</w:t>
            </w:r>
          </w:p>
        </w:tc>
        <w:tc>
          <w:tcPr>
            <w:tcW w:w="368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取消其中的机动车新车上户、转籍、变更人工检验费</w:t>
            </w:r>
          </w:p>
        </w:tc>
      </w:tr>
      <w:tr w:rsidR="00855A01">
        <w:trPr>
          <w:trHeight w:val="795"/>
          <w:jc w:val="center"/>
        </w:trPr>
        <w:tc>
          <w:tcPr>
            <w:tcW w:w="680" w:type="dxa"/>
            <w:vMerge/>
            <w:vAlign w:val="center"/>
          </w:tcPr>
          <w:p w:rsidR="00855A01" w:rsidRDefault="00855A01">
            <w:pPr>
              <w:spacing w:line="320" w:lineRule="exact"/>
              <w:rPr>
                <w:sz w:val="18"/>
                <w:szCs w:val="18"/>
              </w:rPr>
            </w:pPr>
          </w:p>
        </w:tc>
        <w:tc>
          <w:tcPr>
            <w:tcW w:w="816" w:type="dxa"/>
            <w:vMerge/>
            <w:vAlign w:val="center"/>
          </w:tcPr>
          <w:p w:rsidR="00855A01" w:rsidRDefault="00855A01">
            <w:pPr>
              <w:spacing w:line="320" w:lineRule="exact"/>
              <w:rPr>
                <w:sz w:val="18"/>
                <w:szCs w:val="18"/>
              </w:rPr>
            </w:pPr>
          </w:p>
        </w:tc>
        <w:tc>
          <w:tcPr>
            <w:tcW w:w="708" w:type="dxa"/>
            <w:vAlign w:val="center"/>
          </w:tcPr>
          <w:p w:rsidR="00855A01" w:rsidRDefault="00855A01">
            <w:pPr>
              <w:spacing w:line="320" w:lineRule="exact"/>
              <w:jc w:val="center"/>
              <w:rPr>
                <w:rFonts w:ascii="仿宋_GB2312" w:eastAsia="仿宋_GB2312" w:hAnsi="仿宋_GB2312"/>
                <w:sz w:val="18"/>
                <w:szCs w:val="18"/>
              </w:rPr>
            </w:pP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（1）机动车号牌工本费</w:t>
            </w:r>
          </w:p>
        </w:tc>
        <w:tc>
          <w:tcPr>
            <w:tcW w:w="709" w:type="dxa"/>
            <w:vMerge/>
            <w:vAlign w:val="center"/>
          </w:tcPr>
          <w:p w:rsidR="00855A01" w:rsidRDefault="00855A01">
            <w:pPr>
              <w:spacing w:line="320" w:lineRule="exact"/>
              <w:rPr>
                <w:sz w:val="18"/>
                <w:szCs w:val="18"/>
              </w:rPr>
            </w:pPr>
          </w:p>
        </w:tc>
        <w:tc>
          <w:tcPr>
            <w:tcW w:w="2126"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《道路交通安全法》行业标准GA36-2014</w:t>
            </w:r>
          </w:p>
        </w:tc>
        <w:tc>
          <w:tcPr>
            <w:tcW w:w="2835" w:type="dxa"/>
            <w:vMerge/>
            <w:vAlign w:val="center"/>
          </w:tcPr>
          <w:p w:rsidR="00855A01" w:rsidRDefault="00855A01">
            <w:pPr>
              <w:spacing w:line="320" w:lineRule="exact"/>
              <w:rPr>
                <w:sz w:val="18"/>
                <w:szCs w:val="18"/>
              </w:rPr>
            </w:pPr>
          </w:p>
        </w:tc>
        <w:tc>
          <w:tcPr>
            <w:tcW w:w="368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临时入境机动车号牌工本费由每本15元降为每本10元</w:t>
            </w:r>
          </w:p>
        </w:tc>
      </w:tr>
      <w:tr w:rsidR="00855A01">
        <w:trPr>
          <w:trHeight w:val="910"/>
          <w:jc w:val="center"/>
        </w:trPr>
        <w:tc>
          <w:tcPr>
            <w:tcW w:w="680" w:type="dxa"/>
            <w:vMerge/>
            <w:vAlign w:val="center"/>
          </w:tcPr>
          <w:p w:rsidR="00855A01" w:rsidRDefault="00855A01">
            <w:pPr>
              <w:spacing w:line="320" w:lineRule="exact"/>
              <w:rPr>
                <w:sz w:val="18"/>
                <w:szCs w:val="18"/>
              </w:rPr>
            </w:pPr>
          </w:p>
        </w:tc>
        <w:tc>
          <w:tcPr>
            <w:tcW w:w="816" w:type="dxa"/>
            <w:vMerge/>
            <w:vAlign w:val="center"/>
          </w:tcPr>
          <w:p w:rsidR="00855A01" w:rsidRDefault="00855A01">
            <w:pPr>
              <w:spacing w:line="320" w:lineRule="exact"/>
              <w:rPr>
                <w:sz w:val="18"/>
                <w:szCs w:val="18"/>
              </w:rPr>
            </w:pPr>
          </w:p>
        </w:tc>
        <w:tc>
          <w:tcPr>
            <w:tcW w:w="708" w:type="dxa"/>
            <w:vAlign w:val="center"/>
          </w:tcPr>
          <w:p w:rsidR="00855A01" w:rsidRDefault="00855A01">
            <w:pPr>
              <w:spacing w:line="320" w:lineRule="exact"/>
              <w:jc w:val="center"/>
              <w:rPr>
                <w:rFonts w:ascii="仿宋_GB2312" w:eastAsia="仿宋_GB2312" w:hAnsi="仿宋_GB2312"/>
                <w:sz w:val="18"/>
                <w:szCs w:val="18"/>
              </w:rPr>
            </w:pPr>
          </w:p>
        </w:tc>
        <w:tc>
          <w:tcPr>
            <w:tcW w:w="226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（2）机动车行驶证、登记证、驾驶证工本费</w:t>
            </w:r>
          </w:p>
        </w:tc>
        <w:tc>
          <w:tcPr>
            <w:tcW w:w="709" w:type="dxa"/>
            <w:vMerge/>
            <w:vAlign w:val="center"/>
          </w:tcPr>
          <w:p w:rsidR="00855A01" w:rsidRDefault="00855A01">
            <w:pPr>
              <w:spacing w:line="320" w:lineRule="exact"/>
              <w:rPr>
                <w:sz w:val="18"/>
                <w:szCs w:val="18"/>
              </w:rPr>
            </w:pPr>
          </w:p>
        </w:tc>
        <w:tc>
          <w:tcPr>
            <w:tcW w:w="2126" w:type="dxa"/>
            <w:vAlign w:val="center"/>
          </w:tcPr>
          <w:p w:rsidR="00855A01" w:rsidRDefault="008C0264">
            <w:pPr>
              <w:snapToGrid w:val="0"/>
              <w:spacing w:line="320" w:lineRule="exact"/>
              <w:rPr>
                <w:rFonts w:ascii="仿宋_GB2312" w:eastAsia="仿宋_GB2312" w:hAnsi="仿宋_GB2312"/>
                <w:sz w:val="18"/>
                <w:szCs w:val="18"/>
              </w:rPr>
            </w:pPr>
            <w:r>
              <w:rPr>
                <w:rFonts w:ascii="仿宋_GB2312" w:eastAsia="仿宋_GB2312" w:hAnsi="仿宋_GB2312"/>
                <w:sz w:val="18"/>
                <w:szCs w:val="18"/>
              </w:rPr>
              <w:t>《道路交通安全法》</w:t>
            </w:r>
          </w:p>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财综〔2001〕67号</w:t>
            </w:r>
          </w:p>
        </w:tc>
        <w:tc>
          <w:tcPr>
            <w:tcW w:w="2835" w:type="dxa"/>
            <w:vMerge/>
            <w:vAlign w:val="center"/>
          </w:tcPr>
          <w:p w:rsidR="00855A01" w:rsidRDefault="00855A01">
            <w:pPr>
              <w:spacing w:line="320" w:lineRule="exact"/>
              <w:rPr>
                <w:sz w:val="18"/>
                <w:szCs w:val="18"/>
              </w:rPr>
            </w:pPr>
          </w:p>
        </w:tc>
        <w:tc>
          <w:tcPr>
            <w:tcW w:w="3688" w:type="dxa"/>
            <w:vAlign w:val="center"/>
          </w:tcPr>
          <w:p w:rsidR="00855A01" w:rsidRDefault="008C0264">
            <w:pPr>
              <w:spacing w:line="320" w:lineRule="exact"/>
              <w:rPr>
                <w:rFonts w:ascii="仿宋_GB2312" w:eastAsia="仿宋_GB2312" w:hAnsi="仿宋_GB2312"/>
                <w:sz w:val="18"/>
                <w:szCs w:val="18"/>
              </w:rPr>
            </w:pPr>
            <w:r>
              <w:rPr>
                <w:rFonts w:ascii="仿宋_GB2312" w:eastAsia="仿宋_GB2312" w:hAnsi="仿宋_GB2312"/>
                <w:sz w:val="18"/>
                <w:szCs w:val="18"/>
              </w:rPr>
              <w:t>临时入境行驶证工本费标准由每本15元降为每本10元</w:t>
            </w:r>
          </w:p>
        </w:tc>
      </w:tr>
    </w:tbl>
    <w:p w:rsidR="00855A01" w:rsidRDefault="008C0264">
      <w:pPr>
        <w:snapToGrid w:val="0"/>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w:t>
      </w:r>
      <w:proofErr w:type="gramStart"/>
      <w:r>
        <w:rPr>
          <w:rFonts w:ascii="仿宋_GB2312" w:eastAsia="仿宋_GB2312" w:hAnsi="仿宋_GB2312"/>
          <w:sz w:val="44"/>
          <w:szCs w:val="44"/>
        </w:rPr>
        <w:t>县涉企行政</w:t>
      </w:r>
      <w:proofErr w:type="gramEnd"/>
      <w:r>
        <w:rPr>
          <w:rFonts w:ascii="仿宋_GB2312" w:eastAsia="仿宋_GB2312" w:hAnsi="仿宋_GB2312"/>
          <w:sz w:val="44"/>
          <w:szCs w:val="44"/>
        </w:rPr>
        <w:t>事业性收费项目清单</w:t>
      </w:r>
    </w:p>
    <w:tbl>
      <w:tblPr>
        <w:tblW w:w="13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886"/>
        <w:gridCol w:w="708"/>
        <w:gridCol w:w="2552"/>
        <w:gridCol w:w="850"/>
        <w:gridCol w:w="2410"/>
        <w:gridCol w:w="2870"/>
        <w:gridCol w:w="3049"/>
      </w:tblGrid>
      <w:tr w:rsidR="00855A01" w:rsidTr="00A331C9">
        <w:trPr>
          <w:trHeight w:val="466"/>
          <w:tblHeader/>
          <w:jc w:val="center"/>
        </w:trPr>
        <w:tc>
          <w:tcPr>
            <w:tcW w:w="645"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分</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886"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收费</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部门</w:t>
            </w:r>
          </w:p>
        </w:tc>
        <w:tc>
          <w:tcPr>
            <w:tcW w:w="708"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序</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2552"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850"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项目</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级别</w:t>
            </w:r>
          </w:p>
        </w:tc>
        <w:tc>
          <w:tcPr>
            <w:tcW w:w="2410"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70"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3049"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855A01" w:rsidTr="00A331C9">
        <w:trPr>
          <w:trHeight w:val="1833"/>
          <w:jc w:val="center"/>
        </w:trPr>
        <w:tc>
          <w:tcPr>
            <w:tcW w:w="645"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hint="eastAsia"/>
                <w:sz w:val="18"/>
                <w:szCs w:val="18"/>
              </w:rPr>
              <w:t>四</w:t>
            </w:r>
          </w:p>
        </w:tc>
        <w:tc>
          <w:tcPr>
            <w:tcW w:w="886"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法院</w:t>
            </w:r>
          </w:p>
        </w:tc>
        <w:tc>
          <w:tcPr>
            <w:tcW w:w="708"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8</w:t>
            </w:r>
          </w:p>
        </w:tc>
        <w:tc>
          <w:tcPr>
            <w:tcW w:w="2552" w:type="dxa"/>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诉讼费</w:t>
            </w:r>
          </w:p>
        </w:tc>
        <w:tc>
          <w:tcPr>
            <w:tcW w:w="850" w:type="dxa"/>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中央</w:t>
            </w:r>
          </w:p>
        </w:tc>
        <w:tc>
          <w:tcPr>
            <w:tcW w:w="2410" w:type="dxa"/>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财综〔2012〕47号</w:t>
            </w:r>
          </w:p>
        </w:tc>
        <w:tc>
          <w:tcPr>
            <w:tcW w:w="2870" w:type="dxa"/>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国务院令第481号</w:t>
            </w:r>
          </w:p>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湘价费〔2007〕154号</w:t>
            </w:r>
          </w:p>
          <w:p w:rsidR="00855A01" w:rsidRDefault="008C0264">
            <w:pPr>
              <w:snapToGrid w:val="0"/>
              <w:spacing w:line="3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费〔2017〕493号</w:t>
            </w:r>
          </w:p>
        </w:tc>
        <w:tc>
          <w:tcPr>
            <w:tcW w:w="3049" w:type="dxa"/>
            <w:vAlign w:val="center"/>
          </w:tcPr>
          <w:p w:rsidR="00A331C9" w:rsidRDefault="00A331C9" w:rsidP="00A331C9">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代省级部门执收</w:t>
            </w:r>
          </w:p>
          <w:p w:rsidR="00855A01" w:rsidRDefault="00A331C9" w:rsidP="00A331C9">
            <w:pPr>
              <w:snapToGrid w:val="0"/>
              <w:spacing w:line="300" w:lineRule="exact"/>
              <w:rPr>
                <w:rFonts w:ascii="仿宋_GB2312" w:eastAsia="仿宋_GB2312" w:hAnsi="仿宋_GB2312"/>
                <w:sz w:val="18"/>
                <w:szCs w:val="18"/>
              </w:rPr>
            </w:pPr>
            <w:r>
              <w:rPr>
                <w:rFonts w:ascii="仿宋_GB2312" w:eastAsia="仿宋_GB2312" w:hAnsi="仿宋_GB2312"/>
                <w:sz w:val="18"/>
                <w:szCs w:val="18"/>
              </w:rPr>
              <w:t>具体减、免、缓、退费事项详见文件</w:t>
            </w:r>
          </w:p>
        </w:tc>
      </w:tr>
      <w:tr w:rsidR="00855A01" w:rsidTr="00A331C9">
        <w:trPr>
          <w:trHeight w:val="617"/>
          <w:jc w:val="center"/>
        </w:trPr>
        <w:tc>
          <w:tcPr>
            <w:tcW w:w="64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hint="eastAsia"/>
                <w:sz w:val="18"/>
                <w:szCs w:val="18"/>
              </w:rPr>
              <w:t>五</w:t>
            </w:r>
          </w:p>
        </w:tc>
        <w:tc>
          <w:tcPr>
            <w:tcW w:w="88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水利</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9</w:t>
            </w:r>
          </w:p>
        </w:tc>
        <w:tc>
          <w:tcPr>
            <w:tcW w:w="2552"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水土保持补偿费</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中央</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财综〔2012〕47号</w:t>
            </w:r>
          </w:p>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湘财综〔2006〕55号</w:t>
            </w:r>
          </w:p>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湘财综〔2014〕49号</w:t>
            </w:r>
          </w:p>
        </w:tc>
        <w:tc>
          <w:tcPr>
            <w:tcW w:w="287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proofErr w:type="gramStart"/>
            <w:r w:rsidRPr="00A331C9">
              <w:rPr>
                <w:rFonts w:ascii="仿宋_GB2312" w:eastAsia="仿宋_GB2312" w:hAnsi="仿宋_GB2312"/>
                <w:spacing w:val="33"/>
                <w:w w:val="86"/>
                <w:sz w:val="18"/>
                <w:szCs w:val="18"/>
                <w:fitText w:val="2640"/>
              </w:rPr>
              <w:t>湘发改价</w:t>
            </w:r>
            <w:proofErr w:type="gramEnd"/>
            <w:r w:rsidRPr="00A331C9">
              <w:rPr>
                <w:rFonts w:ascii="仿宋_GB2312" w:eastAsia="仿宋_GB2312" w:hAnsi="仿宋_GB2312"/>
                <w:spacing w:val="33"/>
                <w:w w:val="86"/>
                <w:sz w:val="18"/>
                <w:szCs w:val="18"/>
                <w:fitText w:val="2640"/>
              </w:rPr>
              <w:t>费〔2014〕1171</w:t>
            </w:r>
            <w:r w:rsidRPr="00A331C9">
              <w:rPr>
                <w:rFonts w:ascii="仿宋_GB2312" w:eastAsia="仿宋_GB2312" w:hAnsi="仿宋_GB2312"/>
                <w:spacing w:val="1"/>
                <w:w w:val="86"/>
                <w:sz w:val="18"/>
                <w:szCs w:val="18"/>
                <w:fitText w:val="2640"/>
              </w:rPr>
              <w:t>号</w:t>
            </w:r>
          </w:p>
          <w:p w:rsidR="00855A01" w:rsidRDefault="008C0264">
            <w:pPr>
              <w:snapToGrid w:val="0"/>
              <w:spacing w:line="30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费〔2017〕534号</w:t>
            </w:r>
          </w:p>
        </w:tc>
        <w:tc>
          <w:tcPr>
            <w:tcW w:w="304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从2017年7月1日起降标30%</w:t>
            </w:r>
          </w:p>
        </w:tc>
      </w:tr>
      <w:tr w:rsidR="00855A01" w:rsidTr="00A331C9">
        <w:trPr>
          <w:trHeight w:val="431"/>
          <w:jc w:val="center"/>
        </w:trPr>
        <w:tc>
          <w:tcPr>
            <w:tcW w:w="64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55A01">
            <w:pPr>
              <w:spacing w:line="300" w:lineRule="exact"/>
              <w:rPr>
                <w:sz w:val="18"/>
                <w:szCs w:val="18"/>
              </w:rPr>
            </w:pPr>
          </w:p>
        </w:tc>
        <w:tc>
          <w:tcPr>
            <w:tcW w:w="886"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55A01">
            <w:pPr>
              <w:spacing w:line="300" w:lineRule="exact"/>
              <w:rPr>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10</w:t>
            </w:r>
          </w:p>
        </w:tc>
        <w:tc>
          <w:tcPr>
            <w:tcW w:w="2552"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水资源费</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55A01">
            <w:pPr>
              <w:spacing w:line="300" w:lineRule="exact"/>
              <w:rPr>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财综〔2012〕47号</w:t>
            </w:r>
          </w:p>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湘财综〔2009〕32号</w:t>
            </w:r>
          </w:p>
        </w:tc>
        <w:tc>
          <w:tcPr>
            <w:tcW w:w="287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费〔2018〕683号</w:t>
            </w:r>
          </w:p>
        </w:tc>
        <w:tc>
          <w:tcPr>
            <w:tcW w:w="304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55A01">
            <w:pPr>
              <w:snapToGrid w:val="0"/>
              <w:spacing w:line="300" w:lineRule="exact"/>
              <w:rPr>
                <w:rFonts w:ascii="仿宋_GB2312" w:eastAsia="仿宋_GB2312" w:hAnsi="仿宋_GB2312"/>
                <w:sz w:val="18"/>
                <w:szCs w:val="18"/>
              </w:rPr>
            </w:pPr>
          </w:p>
        </w:tc>
      </w:tr>
      <w:tr w:rsidR="00855A01" w:rsidTr="00A331C9">
        <w:trPr>
          <w:trHeight w:val="426"/>
          <w:jc w:val="center"/>
        </w:trPr>
        <w:tc>
          <w:tcPr>
            <w:tcW w:w="64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hint="eastAsia"/>
                <w:sz w:val="18"/>
                <w:szCs w:val="18"/>
              </w:rPr>
              <w:t>六</w:t>
            </w:r>
          </w:p>
        </w:tc>
        <w:tc>
          <w:tcPr>
            <w:tcW w:w="88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人防</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jc w:val="center"/>
              <w:rPr>
                <w:rFonts w:ascii="仿宋_GB2312" w:eastAsia="仿宋_GB2312" w:hAnsi="仿宋_GB2312"/>
                <w:sz w:val="18"/>
                <w:szCs w:val="18"/>
              </w:rPr>
            </w:pPr>
            <w:r>
              <w:rPr>
                <w:rFonts w:ascii="仿宋_GB2312" w:eastAsia="仿宋_GB2312" w:hAnsi="仿宋_GB2312"/>
                <w:sz w:val="18"/>
                <w:szCs w:val="18"/>
              </w:rPr>
              <w:t>11</w:t>
            </w:r>
          </w:p>
        </w:tc>
        <w:tc>
          <w:tcPr>
            <w:tcW w:w="2552"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防空地下室易地建设费</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中央</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财综〔2012〕47号</w:t>
            </w:r>
          </w:p>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湘财综〔2015〕5号</w:t>
            </w:r>
          </w:p>
        </w:tc>
        <w:tc>
          <w:tcPr>
            <w:tcW w:w="287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费[2017]1187号</w:t>
            </w:r>
          </w:p>
        </w:tc>
        <w:tc>
          <w:tcPr>
            <w:tcW w:w="304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855A01" w:rsidRDefault="008C0264">
            <w:pPr>
              <w:snapToGrid w:val="0"/>
              <w:spacing w:line="300" w:lineRule="exact"/>
              <w:rPr>
                <w:rFonts w:ascii="仿宋_GB2312" w:eastAsia="仿宋_GB2312" w:hAnsi="仿宋_GB2312"/>
                <w:sz w:val="18"/>
                <w:szCs w:val="18"/>
              </w:rPr>
            </w:pPr>
            <w:r>
              <w:rPr>
                <w:rFonts w:ascii="仿宋_GB2312" w:eastAsia="仿宋_GB2312" w:hAnsi="仿宋_GB2312"/>
                <w:sz w:val="18"/>
                <w:szCs w:val="18"/>
              </w:rPr>
              <w:t>对非营利养老和医疗机构建设免征,对营利养老和医疗机构建设减半收取</w:t>
            </w:r>
          </w:p>
        </w:tc>
      </w:tr>
    </w:tbl>
    <w:p w:rsidR="00855A01" w:rsidRDefault="008C0264">
      <w:pPr>
        <w:spacing w:after="160"/>
        <w:ind w:firstLine="240"/>
        <w:rPr>
          <w:rFonts w:hAnsi="Times New Roman"/>
        </w:rPr>
      </w:pPr>
      <w:r>
        <w:rPr>
          <w:rFonts w:ascii="仿宋_GB2312" w:eastAsia="仿宋_GB2312" w:hAnsi="仿宋_GB2312"/>
          <w:sz w:val="24"/>
          <w:szCs w:val="24"/>
        </w:rPr>
        <w:t>注：本目录清单公布后如有收费政策调整，按相关文件新规定执行。</w:t>
      </w:r>
      <w:bookmarkStart w:id="0" w:name="_GoBack"/>
      <w:bookmarkEnd w:id="0"/>
    </w:p>
    <w:sectPr w:rsidR="00855A01" w:rsidSect="00855A01">
      <w:headerReference w:type="default" r:id="rId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A01" w:rsidRDefault="00855A01" w:rsidP="00855A01">
      <w:r>
        <w:separator/>
      </w:r>
    </w:p>
  </w:endnote>
  <w:endnote w:type="continuationSeparator" w:id="1">
    <w:p w:rsidR="00855A01" w:rsidRDefault="00855A01" w:rsidP="00855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A01" w:rsidRDefault="00855A01" w:rsidP="00855A01">
      <w:r>
        <w:separator/>
      </w:r>
    </w:p>
  </w:footnote>
  <w:footnote w:type="continuationSeparator" w:id="1">
    <w:p w:rsidR="00855A01" w:rsidRDefault="00855A01" w:rsidP="00855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01" w:rsidRDefault="00855A01" w:rsidP="00B8429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balanceSingleByteDoubleByteWidth/>
    <w:ulTrailSpace/>
    <w:adjustLineHeightInTable/>
    <w:useFELayout/>
  </w:compat>
  <w:rsids>
    <w:rsidRoot w:val="0040500D"/>
    <w:rsid w:val="00376F1D"/>
    <w:rsid w:val="0040500D"/>
    <w:rsid w:val="004F29BD"/>
    <w:rsid w:val="005D3B75"/>
    <w:rsid w:val="005E1318"/>
    <w:rsid w:val="00660038"/>
    <w:rsid w:val="00855A01"/>
    <w:rsid w:val="008C0264"/>
    <w:rsid w:val="00925218"/>
    <w:rsid w:val="00937F4F"/>
    <w:rsid w:val="00A331C9"/>
    <w:rsid w:val="00B84290"/>
    <w:rsid w:val="00B847A2"/>
    <w:rsid w:val="00FE2080"/>
    <w:rsid w:val="04765B66"/>
    <w:rsid w:val="111E6199"/>
    <w:rsid w:val="2F0C0091"/>
    <w:rsid w:val="424D337D"/>
    <w:rsid w:val="778F64D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caption" w:semiHidden="1" w:unhideWhenUsed="1" w:qFormat="1"/>
    <w:lsdException w:name="Title" w:uiPriority="6" w:qFormat="1"/>
    <w:lsdException w:name="Default Paragraph Font" w:semiHidden="1" w:uiPriority="1" w:unhideWhenUsed="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55A01"/>
    <w:pPr>
      <w:jc w:val="both"/>
    </w:pPr>
    <w:rPr>
      <w:rFonts w:eastAsia="Times New Roman"/>
      <w:sz w:val="21"/>
      <w:szCs w:val="21"/>
    </w:rPr>
  </w:style>
  <w:style w:type="paragraph" w:styleId="1">
    <w:name w:val="heading 1"/>
    <w:next w:val="a"/>
    <w:uiPriority w:val="7"/>
    <w:qFormat/>
    <w:rsid w:val="00855A01"/>
    <w:pPr>
      <w:jc w:val="both"/>
      <w:outlineLvl w:val="0"/>
    </w:pPr>
    <w:rPr>
      <w:rFonts w:eastAsia="Times New Roman"/>
      <w:sz w:val="28"/>
      <w:szCs w:val="28"/>
    </w:rPr>
  </w:style>
  <w:style w:type="paragraph" w:styleId="2">
    <w:name w:val="heading 2"/>
    <w:next w:val="a"/>
    <w:uiPriority w:val="8"/>
    <w:qFormat/>
    <w:rsid w:val="00855A01"/>
    <w:pPr>
      <w:jc w:val="both"/>
      <w:outlineLvl w:val="1"/>
    </w:pPr>
    <w:rPr>
      <w:rFonts w:eastAsia="Times New Roman"/>
      <w:sz w:val="21"/>
      <w:szCs w:val="21"/>
    </w:rPr>
  </w:style>
  <w:style w:type="paragraph" w:styleId="3">
    <w:name w:val="heading 3"/>
    <w:next w:val="a"/>
    <w:uiPriority w:val="9"/>
    <w:qFormat/>
    <w:rsid w:val="00855A01"/>
    <w:pPr>
      <w:ind w:left="1000" w:hanging="400"/>
      <w:jc w:val="both"/>
      <w:outlineLvl w:val="2"/>
    </w:pPr>
    <w:rPr>
      <w:rFonts w:eastAsia="Times New Roman"/>
      <w:sz w:val="21"/>
      <w:szCs w:val="21"/>
    </w:rPr>
  </w:style>
  <w:style w:type="paragraph" w:styleId="4">
    <w:name w:val="heading 4"/>
    <w:next w:val="a"/>
    <w:uiPriority w:val="10"/>
    <w:qFormat/>
    <w:rsid w:val="00855A01"/>
    <w:pPr>
      <w:ind w:left="1200" w:hanging="400"/>
      <w:jc w:val="both"/>
      <w:outlineLvl w:val="3"/>
    </w:pPr>
    <w:rPr>
      <w:rFonts w:eastAsia="Times New Roman"/>
      <w:b/>
      <w:sz w:val="21"/>
      <w:szCs w:val="21"/>
    </w:rPr>
  </w:style>
  <w:style w:type="paragraph" w:styleId="5">
    <w:name w:val="heading 5"/>
    <w:next w:val="a"/>
    <w:uiPriority w:val="11"/>
    <w:qFormat/>
    <w:rsid w:val="00855A01"/>
    <w:pPr>
      <w:ind w:left="1400" w:hanging="400"/>
      <w:jc w:val="both"/>
      <w:outlineLvl w:val="4"/>
    </w:pPr>
    <w:rPr>
      <w:rFonts w:eastAsia="Times New Roman"/>
      <w:sz w:val="21"/>
      <w:szCs w:val="21"/>
    </w:rPr>
  </w:style>
  <w:style w:type="paragraph" w:styleId="6">
    <w:name w:val="heading 6"/>
    <w:next w:val="a"/>
    <w:uiPriority w:val="12"/>
    <w:qFormat/>
    <w:rsid w:val="00855A01"/>
    <w:pPr>
      <w:ind w:left="1600" w:hanging="400"/>
      <w:jc w:val="both"/>
      <w:outlineLvl w:val="5"/>
    </w:pPr>
    <w:rPr>
      <w:rFonts w:eastAsia="Times New Roman"/>
      <w:b/>
      <w:sz w:val="21"/>
      <w:szCs w:val="21"/>
    </w:rPr>
  </w:style>
  <w:style w:type="paragraph" w:styleId="7">
    <w:name w:val="heading 7"/>
    <w:next w:val="a"/>
    <w:uiPriority w:val="13"/>
    <w:qFormat/>
    <w:rsid w:val="00855A01"/>
    <w:pPr>
      <w:ind w:left="1800" w:hanging="400"/>
      <w:jc w:val="both"/>
      <w:outlineLvl w:val="6"/>
    </w:pPr>
    <w:rPr>
      <w:rFonts w:eastAsia="Times New Roman"/>
      <w:sz w:val="21"/>
      <w:szCs w:val="21"/>
    </w:rPr>
  </w:style>
  <w:style w:type="paragraph" w:styleId="8">
    <w:name w:val="heading 8"/>
    <w:next w:val="a"/>
    <w:uiPriority w:val="14"/>
    <w:qFormat/>
    <w:rsid w:val="00855A01"/>
    <w:pPr>
      <w:ind w:left="2000" w:hanging="400"/>
      <w:jc w:val="both"/>
      <w:outlineLvl w:val="7"/>
    </w:pPr>
    <w:rPr>
      <w:rFonts w:eastAsia="Times New Roman"/>
      <w:sz w:val="21"/>
      <w:szCs w:val="21"/>
    </w:rPr>
  </w:style>
  <w:style w:type="paragraph" w:styleId="9">
    <w:name w:val="heading 9"/>
    <w:next w:val="a"/>
    <w:uiPriority w:val="15"/>
    <w:qFormat/>
    <w:rsid w:val="00855A01"/>
    <w:pPr>
      <w:ind w:left="2200" w:hanging="400"/>
      <w:jc w:val="both"/>
      <w:outlineLvl w:val="8"/>
    </w:pPr>
    <w:rPr>
      <w:rFonts w:eastAsia="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855A01"/>
    <w:pPr>
      <w:ind w:left="2550"/>
      <w:jc w:val="both"/>
    </w:pPr>
    <w:rPr>
      <w:rFonts w:eastAsia="Times New Roman"/>
      <w:sz w:val="21"/>
      <w:szCs w:val="21"/>
    </w:rPr>
  </w:style>
  <w:style w:type="paragraph" w:styleId="50">
    <w:name w:val="toc 5"/>
    <w:next w:val="a"/>
    <w:uiPriority w:val="32"/>
    <w:unhideWhenUsed/>
    <w:qFormat/>
    <w:rsid w:val="00855A01"/>
    <w:pPr>
      <w:ind w:left="1700"/>
      <w:jc w:val="both"/>
    </w:pPr>
    <w:rPr>
      <w:rFonts w:eastAsia="Times New Roman"/>
      <w:sz w:val="21"/>
      <w:szCs w:val="21"/>
    </w:rPr>
  </w:style>
  <w:style w:type="paragraph" w:styleId="30">
    <w:name w:val="toc 3"/>
    <w:next w:val="a"/>
    <w:uiPriority w:val="30"/>
    <w:unhideWhenUsed/>
    <w:qFormat/>
    <w:rsid w:val="00855A01"/>
    <w:pPr>
      <w:ind w:left="850"/>
      <w:jc w:val="both"/>
    </w:pPr>
    <w:rPr>
      <w:rFonts w:eastAsia="Times New Roman"/>
      <w:sz w:val="21"/>
      <w:szCs w:val="21"/>
    </w:rPr>
  </w:style>
  <w:style w:type="paragraph" w:styleId="80">
    <w:name w:val="toc 8"/>
    <w:next w:val="a"/>
    <w:uiPriority w:val="35"/>
    <w:unhideWhenUsed/>
    <w:qFormat/>
    <w:rsid w:val="00855A01"/>
    <w:pPr>
      <w:ind w:left="2975"/>
      <w:jc w:val="both"/>
    </w:pPr>
    <w:rPr>
      <w:rFonts w:eastAsia="Times New Roman"/>
      <w:sz w:val="21"/>
      <w:szCs w:val="21"/>
    </w:rPr>
  </w:style>
  <w:style w:type="paragraph" w:styleId="a3">
    <w:name w:val="footer"/>
    <w:basedOn w:val="a"/>
    <w:link w:val="Char"/>
    <w:rsid w:val="00855A01"/>
    <w:pPr>
      <w:tabs>
        <w:tab w:val="center" w:pos="4153"/>
        <w:tab w:val="right" w:pos="8306"/>
      </w:tabs>
      <w:snapToGrid w:val="0"/>
      <w:jc w:val="left"/>
    </w:pPr>
    <w:rPr>
      <w:sz w:val="18"/>
      <w:szCs w:val="18"/>
    </w:rPr>
  </w:style>
  <w:style w:type="paragraph" w:styleId="a4">
    <w:name w:val="header"/>
    <w:basedOn w:val="a"/>
    <w:link w:val="Char0"/>
    <w:rsid w:val="00855A01"/>
    <w:pPr>
      <w:pBdr>
        <w:bottom w:val="single" w:sz="6" w:space="1" w:color="auto"/>
      </w:pBdr>
      <w:tabs>
        <w:tab w:val="center" w:pos="4153"/>
        <w:tab w:val="right" w:pos="8306"/>
      </w:tabs>
      <w:snapToGrid w:val="0"/>
      <w:jc w:val="center"/>
    </w:pPr>
    <w:rPr>
      <w:sz w:val="18"/>
      <w:szCs w:val="18"/>
    </w:rPr>
  </w:style>
  <w:style w:type="paragraph" w:styleId="10">
    <w:name w:val="toc 1"/>
    <w:next w:val="a"/>
    <w:uiPriority w:val="28"/>
    <w:unhideWhenUsed/>
    <w:qFormat/>
    <w:rsid w:val="00855A01"/>
    <w:pPr>
      <w:jc w:val="both"/>
    </w:pPr>
    <w:rPr>
      <w:rFonts w:eastAsia="Times New Roman"/>
      <w:sz w:val="21"/>
      <w:szCs w:val="21"/>
    </w:rPr>
  </w:style>
  <w:style w:type="paragraph" w:styleId="40">
    <w:name w:val="toc 4"/>
    <w:next w:val="a"/>
    <w:uiPriority w:val="31"/>
    <w:unhideWhenUsed/>
    <w:qFormat/>
    <w:rsid w:val="00855A01"/>
    <w:pPr>
      <w:ind w:left="1275"/>
      <w:jc w:val="both"/>
    </w:pPr>
    <w:rPr>
      <w:rFonts w:eastAsia="Times New Roman"/>
      <w:sz w:val="21"/>
      <w:szCs w:val="21"/>
    </w:rPr>
  </w:style>
  <w:style w:type="paragraph" w:styleId="a5">
    <w:name w:val="Subtitle"/>
    <w:uiPriority w:val="16"/>
    <w:qFormat/>
    <w:rsid w:val="00855A01"/>
    <w:pPr>
      <w:jc w:val="center"/>
    </w:pPr>
    <w:rPr>
      <w:rFonts w:eastAsia="Times New Roman"/>
      <w:sz w:val="24"/>
      <w:szCs w:val="24"/>
    </w:rPr>
  </w:style>
  <w:style w:type="paragraph" w:styleId="60">
    <w:name w:val="toc 6"/>
    <w:next w:val="a"/>
    <w:uiPriority w:val="33"/>
    <w:unhideWhenUsed/>
    <w:qFormat/>
    <w:rsid w:val="00855A01"/>
    <w:pPr>
      <w:ind w:left="2125"/>
      <w:jc w:val="both"/>
    </w:pPr>
    <w:rPr>
      <w:rFonts w:eastAsia="Times New Roman"/>
      <w:sz w:val="21"/>
      <w:szCs w:val="21"/>
    </w:rPr>
  </w:style>
  <w:style w:type="paragraph" w:styleId="20">
    <w:name w:val="toc 2"/>
    <w:next w:val="a"/>
    <w:uiPriority w:val="29"/>
    <w:unhideWhenUsed/>
    <w:qFormat/>
    <w:rsid w:val="00855A01"/>
    <w:pPr>
      <w:ind w:left="425"/>
      <w:jc w:val="both"/>
    </w:pPr>
    <w:rPr>
      <w:rFonts w:eastAsia="Times New Roman"/>
      <w:sz w:val="21"/>
      <w:szCs w:val="21"/>
    </w:rPr>
  </w:style>
  <w:style w:type="paragraph" w:styleId="90">
    <w:name w:val="toc 9"/>
    <w:next w:val="a"/>
    <w:uiPriority w:val="36"/>
    <w:unhideWhenUsed/>
    <w:qFormat/>
    <w:rsid w:val="00855A01"/>
    <w:pPr>
      <w:ind w:left="3400"/>
      <w:jc w:val="both"/>
    </w:pPr>
    <w:rPr>
      <w:rFonts w:eastAsia="Times New Roman"/>
      <w:sz w:val="21"/>
      <w:szCs w:val="21"/>
    </w:rPr>
  </w:style>
  <w:style w:type="paragraph" w:styleId="a6">
    <w:name w:val="Title"/>
    <w:uiPriority w:val="6"/>
    <w:qFormat/>
    <w:rsid w:val="00855A01"/>
    <w:pPr>
      <w:jc w:val="center"/>
    </w:pPr>
    <w:rPr>
      <w:rFonts w:eastAsia="Times New Roman"/>
      <w:b/>
      <w:sz w:val="32"/>
      <w:szCs w:val="32"/>
    </w:rPr>
  </w:style>
  <w:style w:type="character" w:styleId="a7">
    <w:name w:val="Strong"/>
    <w:uiPriority w:val="20"/>
    <w:qFormat/>
    <w:rsid w:val="00855A01"/>
    <w:rPr>
      <w:b/>
      <w:w w:val="100"/>
      <w:sz w:val="21"/>
      <w:szCs w:val="21"/>
      <w:shd w:val="clear" w:color="auto" w:fill="auto"/>
    </w:rPr>
  </w:style>
  <w:style w:type="character" w:styleId="a8">
    <w:name w:val="Emphasis"/>
    <w:uiPriority w:val="18"/>
    <w:qFormat/>
    <w:rsid w:val="00855A01"/>
    <w:rPr>
      <w:i/>
      <w:w w:val="100"/>
      <w:sz w:val="21"/>
      <w:szCs w:val="21"/>
      <w:shd w:val="clear" w:color="auto" w:fill="auto"/>
    </w:rPr>
  </w:style>
  <w:style w:type="paragraph" w:styleId="a9">
    <w:name w:val="No Spacing"/>
    <w:uiPriority w:val="5"/>
    <w:qFormat/>
    <w:rsid w:val="00855A01"/>
    <w:pPr>
      <w:jc w:val="both"/>
    </w:pPr>
    <w:rPr>
      <w:rFonts w:eastAsia="Times New Roman"/>
      <w:sz w:val="21"/>
      <w:szCs w:val="21"/>
    </w:rPr>
  </w:style>
  <w:style w:type="character" w:customStyle="1" w:styleId="11">
    <w:name w:val="不明显强调1"/>
    <w:uiPriority w:val="17"/>
    <w:qFormat/>
    <w:rsid w:val="00855A01"/>
    <w:rPr>
      <w:i/>
      <w:color w:val="404040"/>
      <w:w w:val="100"/>
      <w:sz w:val="21"/>
      <w:szCs w:val="21"/>
      <w:shd w:val="clear" w:color="auto" w:fill="auto"/>
    </w:rPr>
  </w:style>
  <w:style w:type="character" w:customStyle="1" w:styleId="12">
    <w:name w:val="明显强调1"/>
    <w:uiPriority w:val="19"/>
    <w:qFormat/>
    <w:rsid w:val="00855A01"/>
    <w:rPr>
      <w:i/>
      <w:color w:val="5B9BD5"/>
      <w:w w:val="100"/>
      <w:sz w:val="21"/>
      <w:szCs w:val="21"/>
      <w:shd w:val="clear" w:color="auto" w:fill="auto"/>
    </w:rPr>
  </w:style>
  <w:style w:type="paragraph" w:styleId="aa">
    <w:name w:val="Quote"/>
    <w:uiPriority w:val="21"/>
    <w:qFormat/>
    <w:rsid w:val="00855A01"/>
    <w:pPr>
      <w:ind w:left="864" w:right="864"/>
      <w:jc w:val="center"/>
    </w:pPr>
    <w:rPr>
      <w:rFonts w:eastAsia="Times New Roman"/>
      <w:i/>
      <w:color w:val="404040"/>
      <w:sz w:val="21"/>
      <w:szCs w:val="21"/>
    </w:rPr>
  </w:style>
  <w:style w:type="paragraph" w:styleId="ab">
    <w:name w:val="Intense Quote"/>
    <w:uiPriority w:val="22"/>
    <w:qFormat/>
    <w:rsid w:val="00855A01"/>
    <w:pPr>
      <w:ind w:left="950" w:right="950"/>
      <w:jc w:val="center"/>
    </w:pPr>
    <w:rPr>
      <w:rFonts w:eastAsia="Times New Roman"/>
      <w:i/>
      <w:color w:val="5B9BD5"/>
      <w:sz w:val="21"/>
      <w:szCs w:val="21"/>
    </w:rPr>
  </w:style>
  <w:style w:type="character" w:customStyle="1" w:styleId="13">
    <w:name w:val="不明显参考1"/>
    <w:uiPriority w:val="23"/>
    <w:qFormat/>
    <w:rsid w:val="00855A01"/>
    <w:rPr>
      <w:smallCaps/>
      <w:color w:val="5A5A5A"/>
      <w:w w:val="100"/>
      <w:sz w:val="21"/>
      <w:szCs w:val="21"/>
      <w:shd w:val="clear" w:color="auto" w:fill="auto"/>
    </w:rPr>
  </w:style>
  <w:style w:type="character" w:customStyle="1" w:styleId="14">
    <w:name w:val="明显参考1"/>
    <w:uiPriority w:val="24"/>
    <w:qFormat/>
    <w:rsid w:val="00855A01"/>
    <w:rPr>
      <w:b/>
      <w:smallCaps/>
      <w:color w:val="5B9BD5"/>
      <w:w w:val="100"/>
      <w:sz w:val="21"/>
      <w:szCs w:val="21"/>
      <w:shd w:val="clear" w:color="auto" w:fill="auto"/>
    </w:rPr>
  </w:style>
  <w:style w:type="character" w:customStyle="1" w:styleId="15">
    <w:name w:val="书籍标题1"/>
    <w:uiPriority w:val="25"/>
    <w:qFormat/>
    <w:rsid w:val="00855A01"/>
    <w:rPr>
      <w:b/>
      <w:i/>
      <w:w w:val="100"/>
      <w:sz w:val="21"/>
      <w:szCs w:val="21"/>
      <w:shd w:val="clear" w:color="auto" w:fill="auto"/>
    </w:rPr>
  </w:style>
  <w:style w:type="paragraph" w:styleId="ac">
    <w:name w:val="List Paragraph"/>
    <w:uiPriority w:val="26"/>
    <w:qFormat/>
    <w:rsid w:val="00855A01"/>
    <w:pPr>
      <w:ind w:left="850"/>
      <w:jc w:val="both"/>
    </w:pPr>
    <w:rPr>
      <w:rFonts w:eastAsia="Times New Roman"/>
      <w:sz w:val="21"/>
      <w:szCs w:val="21"/>
    </w:rPr>
  </w:style>
  <w:style w:type="paragraph" w:customStyle="1" w:styleId="TOC1">
    <w:name w:val="TOC 标题1"/>
    <w:uiPriority w:val="27"/>
    <w:unhideWhenUsed/>
    <w:qFormat/>
    <w:rsid w:val="00855A01"/>
    <w:rPr>
      <w:rFonts w:eastAsia="Times New Roman"/>
      <w:color w:val="2E74B5"/>
      <w:sz w:val="32"/>
      <w:szCs w:val="32"/>
    </w:rPr>
  </w:style>
  <w:style w:type="character" w:customStyle="1" w:styleId="Char0">
    <w:name w:val="页眉 Char"/>
    <w:basedOn w:val="a0"/>
    <w:link w:val="a4"/>
    <w:rsid w:val="00855A01"/>
    <w:rPr>
      <w:rFonts w:eastAsia="Times New Roman"/>
      <w:sz w:val="18"/>
      <w:szCs w:val="18"/>
    </w:rPr>
  </w:style>
  <w:style w:type="character" w:customStyle="1" w:styleId="Char">
    <w:name w:val="页脚 Char"/>
    <w:basedOn w:val="a0"/>
    <w:link w:val="a3"/>
    <w:rsid w:val="00855A01"/>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1161</Words>
  <Characters>482</Characters>
  <Application>Microsoft Office Word</Application>
  <DocSecurity>0</DocSecurity>
  <Lines>4</Lines>
  <Paragraphs>3</Paragraphs>
  <ScaleCrop>false</ScaleCrop>
  <Company>微软中国</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dog</dc:creator>
  <cp:lastModifiedBy>CONGGANG</cp:lastModifiedBy>
  <cp:revision>10</cp:revision>
  <dcterms:created xsi:type="dcterms:W3CDTF">2019-06-03T08:03:00Z</dcterms:created>
  <dcterms:modified xsi:type="dcterms:W3CDTF">2019-06-13T09:16:00Z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