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580" w:lineRule="exact"/>
        <w:jc w:val="center"/>
        <w:rPr>
          <w:rFonts w:eastAsia="方正小标宋简体"/>
        </w:rPr>
      </w:pPr>
      <w:r>
        <w:fldChar w:fldCharType="begin"/>
      </w:r>
      <w:r>
        <w:instrText xml:space="preserve"> HYPERLINK "http://files.hnedu.cn/53/82/attach/20120612/20120612153313461004.doc" \t "http://jsc.gov.hnedu.cn/c/2016-10-12/_blank" </w:instrText>
      </w:r>
      <w:r>
        <w:fldChar w:fldCharType="separate"/>
      </w:r>
      <w:r>
        <w:rPr>
          <w:rFonts w:eastAsia="方正小标宋简体"/>
          <w:sz w:val="44"/>
          <w:szCs w:val="44"/>
        </w:rPr>
        <w:t>湖南省教师资格认定体检表</w:t>
      </w:r>
      <w:r>
        <w:rPr>
          <w:rFonts w:eastAsia="方正小标宋简体"/>
          <w:sz w:val="44"/>
          <w:szCs w:val="44"/>
        </w:rPr>
        <w:fldChar w:fldCharType="end"/>
      </w:r>
    </w:p>
    <w:p>
      <w:pPr>
        <w:snapToGrid w:val="0"/>
        <w:ind w:right="-2"/>
        <w:jc w:val="righ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                            第    号                                             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616"/>
        <w:gridCol w:w="624"/>
        <w:gridCol w:w="196"/>
        <w:gridCol w:w="68"/>
        <w:gridCol w:w="389"/>
        <w:gridCol w:w="282"/>
        <w:gridCol w:w="168"/>
        <w:gridCol w:w="65"/>
        <w:gridCol w:w="397"/>
        <w:gridCol w:w="761"/>
        <w:gridCol w:w="25"/>
        <w:gridCol w:w="272"/>
        <w:gridCol w:w="53"/>
        <w:gridCol w:w="6"/>
        <w:gridCol w:w="63"/>
        <w:gridCol w:w="383"/>
        <w:gridCol w:w="448"/>
        <w:gridCol w:w="239"/>
        <w:gridCol w:w="166"/>
        <w:gridCol w:w="285"/>
        <w:gridCol w:w="317"/>
        <w:gridCol w:w="256"/>
        <w:gridCol w:w="84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    名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43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婚否</w:t>
            </w:r>
          </w:p>
        </w:tc>
        <w:tc>
          <w:tcPr>
            <w:tcW w:w="471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半身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正面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相片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证号</w:t>
            </w:r>
          </w:p>
        </w:tc>
        <w:tc>
          <w:tcPr>
            <w:tcW w:w="2274" w:type="pct"/>
            <w:gridSpan w:val="14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863" w:type="pct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户籍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94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现住所及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2072" w:type="pct"/>
            <w:gridSpan w:val="1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种类</w:t>
            </w:r>
          </w:p>
        </w:tc>
        <w:tc>
          <w:tcPr>
            <w:tcW w:w="940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249" w:type="pct"/>
            <w:gridSpan w:val="1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既往病史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（须明确标明肝炎、结核、皮肤病、性传播疾病、精神病、其他，并受检者确认签字）</w:t>
            </w:r>
          </w:p>
        </w:tc>
        <w:tc>
          <w:tcPr>
            <w:tcW w:w="2750" w:type="pct"/>
            <w:gridSpan w:val="1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受检者签名：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9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家族病史</w:t>
            </w:r>
          </w:p>
        </w:tc>
        <w:tc>
          <w:tcPr>
            <w:tcW w:w="4050" w:type="pct"/>
            <w:gridSpan w:val="2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官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视力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矫正视力</w:t>
            </w:r>
          </w:p>
        </w:tc>
        <w:tc>
          <w:tcPr>
            <w:tcW w:w="691" w:type="pct"/>
            <w:gridSpan w:val="7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553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辨</w:t>
            </w:r>
            <w:r>
              <w:rPr>
                <w:sz w:val="18"/>
                <w:szCs w:val="18"/>
              </w:rPr>
              <w:t>色力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gridSpan w:val="7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553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砂眼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　  　公尺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　　  公尺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嗅觉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鼻及鼻窦疾病</w:t>
            </w:r>
          </w:p>
        </w:tc>
        <w:tc>
          <w:tcPr>
            <w:tcW w:w="1852" w:type="pct"/>
            <w:gridSpan w:val="1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咽喉</w:t>
            </w:r>
          </w:p>
        </w:tc>
        <w:tc>
          <w:tcPr>
            <w:tcW w:w="1209" w:type="pct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唇腭</w:t>
            </w:r>
          </w:p>
        </w:tc>
        <w:tc>
          <w:tcPr>
            <w:tcW w:w="441" w:type="pct"/>
            <w:gridSpan w:val="6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口吃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</w:t>
            </w:r>
          </w:p>
        </w:tc>
        <w:tc>
          <w:tcPr>
            <w:tcW w:w="452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龋齿</w:t>
            </w:r>
          </w:p>
        </w:tc>
        <w:tc>
          <w:tcPr>
            <w:tcW w:w="782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缺齿</w:t>
            </w:r>
          </w:p>
        </w:tc>
        <w:tc>
          <w:tcPr>
            <w:tcW w:w="210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齿槽脓漏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身高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胸围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皮肤</w:t>
            </w:r>
          </w:p>
        </w:tc>
        <w:tc>
          <w:tcPr>
            <w:tcW w:w="782" w:type="pct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体重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呼吸差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pct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淋巴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甲状腺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脊柱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四肢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关节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平嗻足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泌尿生殖器</w:t>
            </w:r>
          </w:p>
        </w:tc>
        <w:tc>
          <w:tcPr>
            <w:tcW w:w="1728" w:type="pct"/>
            <w:gridSpan w:val="14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肛门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疝</w:t>
            </w:r>
          </w:p>
        </w:tc>
        <w:tc>
          <w:tcPr>
            <w:tcW w:w="1299" w:type="pct"/>
            <w:gridSpan w:val="9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1411" w:type="pct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</w:t>
            </w: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血压</w:t>
            </w:r>
          </w:p>
        </w:tc>
        <w:tc>
          <w:tcPr>
            <w:tcW w:w="1483" w:type="pct"/>
            <w:gridSpan w:val="1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毫米汞柱</w:t>
            </w:r>
          </w:p>
        </w:tc>
        <w:tc>
          <w:tcPr>
            <w:tcW w:w="626" w:type="pct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脉搏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发育及营养状况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神经及精神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肺及呼吸道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心脏及血管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腹部器官</w:t>
            </w:r>
          </w:p>
        </w:tc>
        <w:tc>
          <w:tcPr>
            <w:tcW w:w="865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肝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脾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9" w:type="pct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kern w:val="13"/>
                <w:sz w:val="18"/>
                <w:szCs w:val="18"/>
              </w:rPr>
              <w:t>认定幼儿园教师资格人员必填</w:t>
            </w: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淋球菌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滴虫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9" w:type="pct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梅毒螺旋体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外阴阴道假丝酵母菌（念球菌）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化验检查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贴肝功能化验单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　　　　　　　　化验员（签章）：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胸部爱克斯线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　　视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　　　　       　  医师（签章）：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检查结论</w:t>
            </w:r>
          </w:p>
        </w:tc>
        <w:tc>
          <w:tcPr>
            <w:tcW w:w="2673" w:type="pct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</w:pPr>
            <w:r>
              <w:t>认定学科建议：不宜认定体检标准中第二部分</w:t>
            </w:r>
          </w:p>
          <w:p>
            <w:pPr>
              <w:snapToGrid w:val="0"/>
            </w:pPr>
            <w:r>
              <w:t>第□□，□□，□□，□□，□□条所列相关学科。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体检结论：（1.合格，2.学科受限，3.不合格）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负责医师（签章）：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体检医院盖章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年    月    日</w:t>
            </w:r>
          </w:p>
        </w:tc>
      </w:tr>
    </w:tbl>
    <w:p>
      <w:pPr>
        <w:widowControl/>
        <w:shd w:val="clear" w:color="auto" w:fill="FFFFFF"/>
        <w:spacing w:before="287" w:line="56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注 意 事 项</w:t>
      </w: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一、预约分流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为错峰分流，建议申请人提前电话预约。</w:t>
      </w: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二、体检医嘱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申请人应在体检前一天保持正常饮食，不要饮酒，不暴饮暴食，避免剧烈运动和情绪激动，注意休息。体检当日清晨空腹禁食水，不化妆，不佩戴贵重饰品，穿着宽松衣服。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三、体检方式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体检方式：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申请人自行下载附件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体检表，A4纸双面打印，完成表中个人基本信息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粘好一张本人证件照（与网上申报时上传的电子证件照同底版同要求），在页脚空白处注明本人手机号码。携带本人有效身份证</w:t>
      </w:r>
      <w:r>
        <w:rPr>
          <w:rFonts w:ascii="仿宋" w:hAnsi="仿宋" w:eastAsia="仿宋" w:cs="Arial"/>
          <w:sz w:val="32"/>
          <w:szCs w:val="32"/>
        </w:rPr>
        <w:t>自行</w:t>
      </w:r>
      <w:r>
        <w:rPr>
          <w:rFonts w:hint="eastAsia" w:ascii="仿宋" w:hAnsi="仿宋" w:eastAsia="仿宋" w:cs="Arial"/>
          <w:sz w:val="32"/>
          <w:szCs w:val="32"/>
        </w:rPr>
        <w:t>前往认定机构</w:t>
      </w:r>
      <w:r>
        <w:rPr>
          <w:rFonts w:ascii="仿宋" w:hAnsi="仿宋" w:eastAsia="仿宋" w:cs="Arial"/>
          <w:sz w:val="32"/>
          <w:szCs w:val="32"/>
        </w:rPr>
        <w:t>指定的体检机构</w:t>
      </w:r>
      <w:r>
        <w:rPr>
          <w:rFonts w:hint="eastAsia" w:ascii="仿宋" w:hAnsi="仿宋" w:eastAsia="仿宋" w:cs="仿宋_GB2312"/>
          <w:sz w:val="32"/>
          <w:szCs w:val="32"/>
        </w:rPr>
        <w:t xml:space="preserve">。 </w:t>
      </w:r>
      <w:r>
        <w:rPr>
          <w:rFonts w:hint="default" w:ascii="仿宋" w:hAnsi="仿宋" w:eastAsia="仿宋" w:cs="仿宋_GB2312"/>
          <w:sz w:val="32"/>
          <w:szCs w:val="32"/>
          <w:lang w:val="en"/>
        </w:rPr>
        <w:t>(</w:t>
      </w:r>
      <w:r>
        <w:rPr>
          <w:rFonts w:hint="eastAsia" w:ascii="仿宋" w:hAnsi="仿宋" w:eastAsia="仿宋" w:cs="仿宋_GB2312"/>
          <w:sz w:val="32"/>
          <w:szCs w:val="32"/>
          <w:lang w:val="en" w:eastAsia="zh-CN"/>
        </w:rPr>
        <w:t>花垣县民族中医院体检科</w:t>
      </w:r>
      <w:r>
        <w:rPr>
          <w:rFonts w:hint="default" w:ascii="仿宋" w:hAnsi="仿宋" w:eastAsia="仿宋" w:cs="仿宋_GB2312"/>
          <w:sz w:val="32"/>
          <w:szCs w:val="32"/>
          <w:lang w:val="en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         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 xml:space="preserve">  </w:t>
      </w:r>
    </w:p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四、体检结论。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1.申请人完成全部体检项目后，保留体检发票，以便查询。如体检结论异常，由体检医院通知解释，按医嘱复查一次；体检结论合格的，不另行通知，体检表由认定机构统一领取。</w:t>
      </w:r>
    </w:p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sz w:val="32"/>
          <w:szCs w:val="32"/>
        </w:rPr>
        <w:t>.</w:t>
      </w:r>
      <w:r>
        <w:rPr>
          <w:rFonts w:ascii="仿宋" w:hAnsi="仿宋" w:eastAsia="仿宋" w:cs="Arial"/>
          <w:sz w:val="32"/>
          <w:szCs w:val="32"/>
        </w:rPr>
        <w:t>体检有效期</w:t>
      </w:r>
      <w:r>
        <w:rPr>
          <w:rFonts w:hint="eastAsia" w:ascii="仿宋" w:hAnsi="仿宋" w:eastAsia="仿宋" w:cs="Arial"/>
          <w:sz w:val="32"/>
          <w:szCs w:val="32"/>
        </w:rPr>
        <w:t>：</w:t>
      </w:r>
      <w:r>
        <w:rPr>
          <w:rFonts w:ascii="仿宋" w:hAnsi="仿宋" w:eastAsia="仿宋" w:cs="Arial"/>
          <w:sz w:val="32"/>
          <w:szCs w:val="32"/>
        </w:rPr>
        <w:t>教师资格认定体检有效期为半年。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五、体检纪律</w:t>
      </w:r>
    </w:p>
    <w:p>
      <w:pPr>
        <w:widowControl/>
        <w:shd w:val="clear" w:color="auto" w:fill="FFFFFF"/>
        <w:spacing w:line="560" w:lineRule="atLeast"/>
        <w:ind w:firstLine="624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如发现体检中有冒名顶替现象，一经查实，按弄虚作假、骗取教师资格处理。</w:t>
      </w:r>
    </w:p>
    <w:p>
      <w:bookmarkStart w:id="0" w:name="_GoBack"/>
      <w:bookmarkEnd w:id="0"/>
    </w:p>
    <w:sectPr>
      <w:pgSz w:w="11906" w:h="16838"/>
      <w:pgMar w:top="1417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10BEF96-6364-4F81-A37A-A5C018F0FE3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C25CE4-2C35-42CB-ACCF-6FCA4A2936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0E7288F8-84E6-46EB-9F3D-67D7BFE730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CF05C15-2461-4DC5-A242-3520CB8A57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765B5B1-9AA6-4A5A-B614-C9859638EF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4629889-2AEA-4F57-B248-CFF566A956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DJiYTVhZWEwNmRlNmJlZTA2MzcwMTcxYTZjNWYifQ=="/>
  </w:docVars>
  <w:rsids>
    <w:rsidRoot w:val="0E4E7BC1"/>
    <w:rsid w:val="0E4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2024-05-10T01:28:00Z</dcterms:created>
  <dc:creator>WPS_1491546755</dc:creator>
  <cp:lastModifiedBy>WPS_1491546755</cp:lastModifiedBy>
  <dcterms:modified xsi:type="dcterms:W3CDTF">2024-05-10T01:30:07Z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2438AA5713834F5C89F3D321C09C0240_11</vt:lpwstr>
  </property>
</Properties>
</file>