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244" w:tblpY="110"/>
        <w:tblOverlap w:val="never"/>
        <w:tblW w:w="54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029"/>
        <w:gridCol w:w="1158"/>
        <w:gridCol w:w="1637"/>
        <w:gridCol w:w="3327"/>
        <w:gridCol w:w="1627"/>
      </w:tblGrid>
      <w:tr w14:paraId="47E5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left w:val="nil"/>
              <w:bottom w:val="single" w:color="auto" w:sz="4" w:space="0"/>
              <w:right w:val="nil"/>
            </w:tcBorders>
            <w:noWrap/>
            <w:vAlign w:val="center"/>
          </w:tcPr>
          <w:p w14:paraId="1895E505">
            <w:pPr>
              <w:widowControl/>
              <w:suppressAutoHyphens/>
              <w:rPr>
                <w:rFonts w:ascii="宋体" w:hAnsi="宋体" w:eastAsia="宋体" w:cs="宋体"/>
                <w:b/>
                <w:color w:val="auto"/>
                <w:kern w:val="0"/>
                <w:sz w:val="30"/>
                <w:szCs w:val="30"/>
              </w:rPr>
            </w:pPr>
            <w:bookmarkStart w:id="0" w:name="_Hlk107991251"/>
            <w:r>
              <w:rPr>
                <w:rFonts w:hint="eastAsia" w:ascii="宋体" w:hAnsi="宋体" w:eastAsia="宋体" w:cs="宋体"/>
                <w:b/>
                <w:color w:val="auto"/>
                <w:kern w:val="0"/>
                <w:sz w:val="30"/>
                <w:szCs w:val="30"/>
              </w:rPr>
              <w:t>附件2:</w:t>
            </w:r>
          </w:p>
          <w:p w14:paraId="306C1E3A">
            <w:pPr>
              <w:widowControl/>
              <w:suppressAutoHyphens/>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2024年</w:t>
            </w:r>
            <w:r>
              <w:rPr>
                <w:rFonts w:hint="eastAsia" w:ascii="宋体" w:hAnsi="宋体" w:eastAsia="宋体" w:cs="宋体"/>
                <w:b/>
                <w:color w:val="auto"/>
                <w:kern w:val="0"/>
                <w:sz w:val="36"/>
                <w:szCs w:val="36"/>
                <w:lang w:eastAsia="zh-CN"/>
              </w:rPr>
              <w:t>花垣</w:t>
            </w:r>
            <w:r>
              <w:rPr>
                <w:rFonts w:hint="eastAsia" w:ascii="宋体" w:hAnsi="宋体" w:eastAsia="宋体" w:cs="宋体"/>
                <w:b/>
                <w:color w:val="auto"/>
                <w:kern w:val="0"/>
                <w:sz w:val="36"/>
                <w:szCs w:val="36"/>
              </w:rPr>
              <w:t>县高素质农民培育项目培</w:t>
            </w:r>
            <w:r>
              <w:rPr>
                <w:rFonts w:hint="eastAsia" w:ascii="宋体" w:hAnsi="宋体" w:cs="宋体"/>
                <w:b/>
                <w:color w:val="auto"/>
                <w:kern w:val="0"/>
                <w:sz w:val="36"/>
                <w:szCs w:val="36"/>
                <w:lang w:val="en-US" w:eastAsia="zh-CN"/>
              </w:rPr>
              <w:t>训</w:t>
            </w:r>
            <w:r>
              <w:rPr>
                <w:rFonts w:hint="eastAsia" w:ascii="宋体" w:hAnsi="宋体" w:eastAsia="宋体" w:cs="宋体"/>
                <w:b/>
                <w:color w:val="auto"/>
                <w:kern w:val="0"/>
                <w:sz w:val="36"/>
                <w:szCs w:val="36"/>
              </w:rPr>
              <w:t>机构遴选评分表</w:t>
            </w:r>
          </w:p>
        </w:tc>
      </w:tr>
      <w:tr w14:paraId="480B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7" w:type="pct"/>
            <w:gridSpan w:val="2"/>
            <w:tcBorders>
              <w:top w:val="single" w:color="auto" w:sz="4" w:space="0"/>
            </w:tcBorders>
            <w:noWrap/>
            <w:vAlign w:val="center"/>
          </w:tcPr>
          <w:p w14:paraId="4AE7D27C">
            <w:pPr>
              <w:widowControl/>
              <w:suppressAutoHyphens/>
              <w:spacing w:line="240" w:lineRule="exact"/>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项目申报单位</w:t>
            </w:r>
          </w:p>
        </w:tc>
        <w:tc>
          <w:tcPr>
            <w:tcW w:w="4173" w:type="pct"/>
            <w:gridSpan w:val="4"/>
            <w:tcBorders>
              <w:top w:val="single" w:color="auto" w:sz="4" w:space="0"/>
            </w:tcBorders>
            <w:noWrap/>
            <w:vAlign w:val="center"/>
          </w:tcPr>
          <w:p w14:paraId="7EF4C86E">
            <w:pPr>
              <w:widowControl/>
              <w:suppressAutoHyphens/>
              <w:spacing w:line="240" w:lineRule="exact"/>
              <w:jc w:val="center"/>
              <w:rPr>
                <w:rFonts w:ascii="宋体" w:hAnsi="Calibri" w:eastAsia="宋体" w:cs="宋体"/>
                <w:b/>
                <w:bCs/>
                <w:color w:val="auto"/>
                <w:kern w:val="0"/>
                <w:sz w:val="22"/>
                <w:szCs w:val="22"/>
              </w:rPr>
            </w:pPr>
          </w:p>
        </w:tc>
      </w:tr>
      <w:tr w14:paraId="5D8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27" w:type="pct"/>
            <w:gridSpan w:val="2"/>
            <w:vMerge w:val="restart"/>
            <w:vAlign w:val="center"/>
          </w:tcPr>
          <w:p w14:paraId="34B50E7F">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color w:val="auto"/>
                <w:kern w:val="0"/>
                <w:sz w:val="22"/>
                <w:szCs w:val="22"/>
              </w:rPr>
              <w:t>一票</w:t>
            </w:r>
            <w:r>
              <w:rPr>
                <w:rFonts w:hint="eastAsia" w:ascii="仿宋_GB2312" w:hAnsi="宋体" w:eastAsia="仿宋_GB2312" w:cs="宋体"/>
                <w:b/>
                <w:bCs/>
                <w:color w:val="auto"/>
                <w:kern w:val="0"/>
                <w:sz w:val="22"/>
                <w:szCs w:val="22"/>
              </w:rPr>
              <w:t>否决项</w:t>
            </w:r>
          </w:p>
        </w:tc>
        <w:tc>
          <w:tcPr>
            <w:tcW w:w="3297" w:type="pct"/>
            <w:gridSpan w:val="3"/>
            <w:vAlign w:val="center"/>
          </w:tcPr>
          <w:p w14:paraId="591273AE">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▲未被列入农业农村部或省农业农村厅认定的培</w:t>
            </w:r>
            <w:r>
              <w:rPr>
                <w:rFonts w:hint="eastAsia" w:ascii="仿宋_GB2312" w:hAnsi="宋体" w:eastAsia="仿宋_GB2312" w:cs="宋体"/>
                <w:color w:val="auto"/>
                <w:kern w:val="0"/>
                <w:sz w:val="22"/>
                <w:szCs w:val="22"/>
                <w:lang w:eastAsia="zh-CN"/>
              </w:rPr>
              <w:t>育</w:t>
            </w:r>
            <w:r>
              <w:rPr>
                <w:rFonts w:hint="eastAsia" w:ascii="仿宋_GB2312" w:hAnsi="宋体" w:eastAsia="仿宋_GB2312" w:cs="宋体"/>
                <w:color w:val="auto"/>
                <w:kern w:val="0"/>
                <w:sz w:val="22"/>
                <w:szCs w:val="22"/>
              </w:rPr>
              <w:t>机构目录</w:t>
            </w:r>
          </w:p>
        </w:tc>
        <w:tc>
          <w:tcPr>
            <w:tcW w:w="876" w:type="pct"/>
            <w:vAlign w:val="center"/>
          </w:tcPr>
          <w:p w14:paraId="26EBA23C">
            <w:pPr>
              <w:widowControl/>
              <w:suppressAutoHyphens/>
              <w:spacing w:line="240" w:lineRule="exact"/>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是</w:t>
            </w:r>
            <w:r>
              <w:rPr>
                <w:rFonts w:ascii="Wingdings 2" w:hAnsi="Wingdings 2" w:eastAsia="仿宋_GB2312" w:cs="宋体"/>
                <w:color w:val="auto"/>
                <w:kern w:val="0"/>
                <w:sz w:val="22"/>
                <w:szCs w:val="22"/>
              </w:rPr>
              <w:t></w:t>
            </w:r>
            <w:r>
              <w:rPr>
                <w:rFonts w:ascii="仿宋_GB2312" w:hAnsi="宋体" w:eastAsia="仿宋_GB2312" w:cs="宋体"/>
                <w:color w:val="auto"/>
                <w:kern w:val="0"/>
                <w:sz w:val="22"/>
                <w:szCs w:val="22"/>
              </w:rPr>
              <w:t xml:space="preserve">  </w:t>
            </w:r>
            <w:r>
              <w:rPr>
                <w:rFonts w:hint="eastAsia" w:ascii="仿宋_GB2312" w:hAnsi="宋体" w:eastAsia="仿宋_GB2312" w:cs="宋体"/>
                <w:color w:val="auto"/>
                <w:kern w:val="0"/>
                <w:sz w:val="22"/>
                <w:szCs w:val="22"/>
              </w:rPr>
              <w:t>否</w:t>
            </w:r>
            <w:r>
              <w:rPr>
                <w:rFonts w:ascii="Wingdings 2" w:hAnsi="Wingdings 2" w:eastAsia="仿宋_GB2312" w:cs="宋体"/>
                <w:color w:val="auto"/>
                <w:kern w:val="0"/>
                <w:sz w:val="22"/>
                <w:szCs w:val="22"/>
              </w:rPr>
              <w:t></w:t>
            </w:r>
          </w:p>
        </w:tc>
      </w:tr>
      <w:tr w14:paraId="015D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27" w:type="pct"/>
            <w:gridSpan w:val="2"/>
            <w:vMerge w:val="continue"/>
            <w:vAlign w:val="center"/>
          </w:tcPr>
          <w:p w14:paraId="112772D4">
            <w:pPr>
              <w:widowControl/>
              <w:suppressAutoHyphens/>
              <w:spacing w:line="240" w:lineRule="exact"/>
              <w:jc w:val="left"/>
              <w:rPr>
                <w:rFonts w:ascii="仿宋_GB2312" w:hAnsi="宋体" w:eastAsia="仿宋_GB2312" w:cs="宋体"/>
                <w:b/>
                <w:bCs/>
                <w:color w:val="auto"/>
                <w:kern w:val="0"/>
                <w:sz w:val="22"/>
                <w:szCs w:val="22"/>
              </w:rPr>
            </w:pPr>
          </w:p>
        </w:tc>
        <w:tc>
          <w:tcPr>
            <w:tcW w:w="3297" w:type="pct"/>
            <w:gridSpan w:val="3"/>
            <w:vAlign w:val="center"/>
          </w:tcPr>
          <w:p w14:paraId="05B93AEB">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▲上一年度存在培育项目验收不合格（</w:t>
            </w:r>
            <w:r>
              <w:rPr>
                <w:rFonts w:ascii="仿宋_GB2312" w:hAnsi="宋体" w:eastAsia="仿宋_GB2312" w:cs="宋体"/>
                <w:color w:val="auto"/>
                <w:kern w:val="0"/>
                <w:sz w:val="22"/>
                <w:szCs w:val="22"/>
              </w:rPr>
              <w:t>以首次验收结果为准）或对未按期完成验收且应承担主要责任的</w:t>
            </w:r>
            <w:r>
              <w:rPr>
                <w:rFonts w:hint="eastAsia" w:ascii="仿宋_GB2312" w:hAnsi="宋体" w:eastAsia="仿宋_GB2312" w:cs="宋体"/>
                <w:color w:val="auto"/>
                <w:kern w:val="0"/>
                <w:sz w:val="22"/>
                <w:szCs w:val="22"/>
              </w:rPr>
              <w:t>机构</w:t>
            </w:r>
          </w:p>
        </w:tc>
        <w:tc>
          <w:tcPr>
            <w:tcW w:w="876" w:type="pct"/>
            <w:vAlign w:val="center"/>
          </w:tcPr>
          <w:p w14:paraId="2B4036EA">
            <w:pPr>
              <w:widowControl/>
              <w:suppressAutoHyphens/>
              <w:spacing w:line="240" w:lineRule="exact"/>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是</w:t>
            </w:r>
            <w:r>
              <w:rPr>
                <w:rFonts w:ascii="Wingdings 2" w:hAnsi="Wingdings 2" w:eastAsia="仿宋_GB2312" w:cs="宋体"/>
                <w:color w:val="auto"/>
                <w:kern w:val="0"/>
                <w:sz w:val="22"/>
                <w:szCs w:val="22"/>
              </w:rPr>
              <w:t></w:t>
            </w:r>
            <w:r>
              <w:rPr>
                <w:rFonts w:ascii="仿宋_GB2312" w:hAnsi="宋体" w:eastAsia="仿宋_GB2312" w:cs="宋体"/>
                <w:color w:val="auto"/>
                <w:kern w:val="0"/>
                <w:sz w:val="22"/>
                <w:szCs w:val="22"/>
              </w:rPr>
              <w:t xml:space="preserve">  </w:t>
            </w:r>
            <w:r>
              <w:rPr>
                <w:rFonts w:hint="eastAsia" w:ascii="仿宋_GB2312" w:hAnsi="宋体" w:eastAsia="仿宋_GB2312" w:cs="宋体"/>
                <w:color w:val="auto"/>
                <w:kern w:val="0"/>
                <w:sz w:val="22"/>
                <w:szCs w:val="22"/>
              </w:rPr>
              <w:t>否</w:t>
            </w:r>
            <w:r>
              <w:rPr>
                <w:rFonts w:ascii="Wingdings 2" w:hAnsi="Wingdings 2" w:eastAsia="仿宋_GB2312" w:cs="宋体"/>
                <w:color w:val="auto"/>
                <w:kern w:val="0"/>
                <w:sz w:val="22"/>
                <w:szCs w:val="22"/>
              </w:rPr>
              <w:t></w:t>
            </w:r>
          </w:p>
        </w:tc>
      </w:tr>
      <w:tr w14:paraId="6C29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pct"/>
            <w:gridSpan w:val="2"/>
            <w:vMerge w:val="continue"/>
            <w:vAlign w:val="center"/>
          </w:tcPr>
          <w:p w14:paraId="112F21A3">
            <w:pPr>
              <w:widowControl/>
              <w:suppressAutoHyphens/>
              <w:spacing w:line="240" w:lineRule="exact"/>
              <w:jc w:val="left"/>
              <w:rPr>
                <w:rFonts w:ascii="仿宋_GB2312" w:hAnsi="宋体" w:eastAsia="仿宋_GB2312" w:cs="宋体"/>
                <w:b/>
                <w:bCs/>
                <w:color w:val="auto"/>
                <w:kern w:val="0"/>
                <w:sz w:val="22"/>
                <w:szCs w:val="22"/>
              </w:rPr>
            </w:pPr>
          </w:p>
        </w:tc>
        <w:tc>
          <w:tcPr>
            <w:tcW w:w="3297" w:type="pct"/>
            <w:gridSpan w:val="3"/>
            <w:vAlign w:val="center"/>
          </w:tcPr>
          <w:p w14:paraId="1746CA84">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▲提供虚假证明或佐证材料造假</w:t>
            </w:r>
          </w:p>
        </w:tc>
        <w:tc>
          <w:tcPr>
            <w:tcW w:w="876" w:type="pct"/>
            <w:vAlign w:val="center"/>
          </w:tcPr>
          <w:p w14:paraId="3743E395">
            <w:pPr>
              <w:widowControl/>
              <w:suppressAutoHyphens/>
              <w:spacing w:line="240" w:lineRule="exact"/>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是</w:t>
            </w:r>
            <w:r>
              <w:rPr>
                <w:rFonts w:ascii="Wingdings 2" w:hAnsi="Wingdings 2" w:eastAsia="仿宋_GB2312" w:cs="宋体"/>
                <w:color w:val="auto"/>
                <w:kern w:val="0"/>
                <w:sz w:val="22"/>
                <w:szCs w:val="22"/>
              </w:rPr>
              <w:sym w:font="Wingdings 2" w:char="00A3"/>
            </w:r>
            <w:r>
              <w:rPr>
                <w:rFonts w:ascii="仿宋_GB2312" w:hAnsi="宋体" w:eastAsia="仿宋_GB2312" w:cs="宋体"/>
                <w:color w:val="auto"/>
                <w:kern w:val="0"/>
                <w:sz w:val="22"/>
                <w:szCs w:val="22"/>
              </w:rPr>
              <w:t xml:space="preserve">  </w:t>
            </w:r>
            <w:r>
              <w:rPr>
                <w:rFonts w:hint="eastAsia" w:ascii="仿宋_GB2312" w:hAnsi="宋体" w:eastAsia="仿宋_GB2312" w:cs="宋体"/>
                <w:color w:val="auto"/>
                <w:kern w:val="0"/>
                <w:sz w:val="22"/>
                <w:szCs w:val="22"/>
              </w:rPr>
              <w:t>否</w:t>
            </w:r>
            <w:r>
              <w:rPr>
                <w:rFonts w:ascii="Wingdings 2" w:hAnsi="Wingdings 2" w:eastAsia="仿宋_GB2312" w:cs="宋体"/>
                <w:color w:val="auto"/>
                <w:kern w:val="0"/>
                <w:sz w:val="22"/>
                <w:szCs w:val="22"/>
              </w:rPr>
              <w:t></w:t>
            </w:r>
          </w:p>
        </w:tc>
      </w:tr>
      <w:tr w14:paraId="105E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 w:type="pct"/>
            <w:vAlign w:val="center"/>
          </w:tcPr>
          <w:p w14:paraId="5B8B519B">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序号</w:t>
            </w:r>
          </w:p>
        </w:tc>
        <w:tc>
          <w:tcPr>
            <w:tcW w:w="552" w:type="pct"/>
            <w:vAlign w:val="center"/>
          </w:tcPr>
          <w:p w14:paraId="64087F40">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评审</w:t>
            </w:r>
          </w:p>
          <w:p w14:paraId="363327DA">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项目</w:t>
            </w:r>
          </w:p>
        </w:tc>
        <w:tc>
          <w:tcPr>
            <w:tcW w:w="3297" w:type="pct"/>
            <w:gridSpan w:val="3"/>
            <w:vAlign w:val="center"/>
          </w:tcPr>
          <w:p w14:paraId="34515EA1">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项目评分参考内容</w:t>
            </w:r>
          </w:p>
        </w:tc>
        <w:tc>
          <w:tcPr>
            <w:tcW w:w="876" w:type="pct"/>
            <w:vAlign w:val="center"/>
          </w:tcPr>
          <w:p w14:paraId="11525479">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得分</w:t>
            </w:r>
          </w:p>
        </w:tc>
      </w:tr>
      <w:tr w14:paraId="4D6E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75" w:type="pct"/>
            <w:vMerge w:val="restart"/>
            <w:vAlign w:val="center"/>
          </w:tcPr>
          <w:p w14:paraId="50A0E775">
            <w:pPr>
              <w:widowControl/>
              <w:suppressAutoHyphens/>
              <w:spacing w:line="240" w:lineRule="exact"/>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1</w:t>
            </w:r>
          </w:p>
        </w:tc>
        <w:tc>
          <w:tcPr>
            <w:tcW w:w="552" w:type="pct"/>
            <w:vMerge w:val="restart"/>
            <w:vAlign w:val="center"/>
          </w:tcPr>
          <w:p w14:paraId="28D1969A">
            <w:pPr>
              <w:widowControl/>
              <w:suppressAutoHyphens/>
              <w:spacing w:line="240" w:lineRule="exact"/>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培</w:t>
            </w:r>
            <w:r>
              <w:rPr>
                <w:rFonts w:hint="eastAsia" w:ascii="仿宋_GB2312" w:hAnsi="宋体" w:eastAsia="仿宋_GB2312" w:cs="宋体"/>
                <w:b/>
                <w:bCs/>
                <w:color w:val="auto"/>
                <w:kern w:val="0"/>
                <w:sz w:val="22"/>
                <w:szCs w:val="22"/>
                <w:lang w:val="en-US" w:eastAsia="zh-CN"/>
              </w:rPr>
              <w:t>训</w:t>
            </w:r>
            <w:r>
              <w:rPr>
                <w:rFonts w:hint="eastAsia" w:ascii="仿宋_GB2312" w:hAnsi="宋体" w:eastAsia="仿宋_GB2312" w:cs="宋体"/>
                <w:b/>
                <w:bCs/>
                <w:color w:val="auto"/>
                <w:kern w:val="0"/>
                <w:sz w:val="22"/>
                <w:szCs w:val="22"/>
              </w:rPr>
              <w:t>机构资质条件（</w:t>
            </w:r>
            <w:r>
              <w:rPr>
                <w:rFonts w:ascii="仿宋_GB2312" w:hAnsi="宋体" w:eastAsia="仿宋_GB2312" w:cs="宋体"/>
                <w:b/>
                <w:bCs/>
                <w:color w:val="auto"/>
                <w:kern w:val="0"/>
                <w:sz w:val="22"/>
                <w:szCs w:val="22"/>
              </w:rPr>
              <w:t>15</w:t>
            </w:r>
            <w:r>
              <w:rPr>
                <w:rFonts w:hint="eastAsia" w:ascii="仿宋_GB2312" w:hAnsi="宋体" w:eastAsia="仿宋_GB2312" w:cs="宋体"/>
                <w:b/>
                <w:bCs/>
                <w:color w:val="auto"/>
                <w:kern w:val="0"/>
                <w:sz w:val="22"/>
                <w:szCs w:val="22"/>
              </w:rPr>
              <w:t>分）</w:t>
            </w:r>
          </w:p>
        </w:tc>
        <w:tc>
          <w:tcPr>
            <w:tcW w:w="3297" w:type="pct"/>
            <w:gridSpan w:val="3"/>
            <w:vAlign w:val="center"/>
          </w:tcPr>
          <w:p w14:paraId="3B5E1E00">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lang w:val="en-US" w:eastAsia="zh-CN"/>
              </w:rPr>
              <w:t>入选中国农村远程教育网（http://www.ngx.net.cn）培育单位库</w:t>
            </w:r>
            <w:r>
              <w:rPr>
                <w:rFonts w:hint="eastAsia" w:ascii="仿宋_GB2312" w:hAnsi="宋体" w:eastAsia="仿宋_GB2312" w:cs="宋体"/>
                <w:color w:val="auto"/>
                <w:kern w:val="0"/>
                <w:sz w:val="22"/>
                <w:szCs w:val="22"/>
              </w:rPr>
              <w:t>（</w:t>
            </w:r>
            <w:r>
              <w:rPr>
                <w:rFonts w:hint="eastAsia" w:ascii="仿宋_GB2312" w:hAnsi="宋体" w:eastAsia="仿宋_GB2312" w:cs="宋体"/>
                <w:color w:val="auto"/>
                <w:kern w:val="0"/>
                <w:sz w:val="22"/>
                <w:szCs w:val="22"/>
                <w:lang w:val="en-US" w:eastAsia="zh-CN"/>
              </w:rPr>
              <w:t>6</w:t>
            </w:r>
            <w:r>
              <w:rPr>
                <w:rFonts w:hint="eastAsia" w:ascii="仿宋_GB2312" w:hAnsi="宋体" w:eastAsia="仿宋_GB2312" w:cs="宋体"/>
                <w:color w:val="auto"/>
                <w:kern w:val="0"/>
                <w:sz w:val="22"/>
                <w:szCs w:val="22"/>
              </w:rPr>
              <w:t>分），</w:t>
            </w:r>
            <w:r>
              <w:rPr>
                <w:rFonts w:hint="eastAsia" w:ascii="仿宋_GB2312" w:hAnsi="宋体" w:eastAsia="仿宋_GB2312" w:cs="宋体"/>
                <w:color w:val="auto"/>
                <w:kern w:val="0"/>
                <w:sz w:val="22"/>
                <w:szCs w:val="22"/>
                <w:lang w:val="en-US" w:eastAsia="zh-CN"/>
              </w:rPr>
              <w:t>入选省级优秀培训机构</w:t>
            </w:r>
            <w:r>
              <w:rPr>
                <w:rFonts w:ascii="仿宋_GB2312" w:hAnsi="宋体" w:eastAsia="仿宋_GB2312" w:cs="宋体"/>
                <w:color w:val="auto"/>
                <w:kern w:val="0"/>
                <w:sz w:val="22"/>
                <w:szCs w:val="22"/>
              </w:rPr>
              <w:t xml:space="preserve"> (</w:t>
            </w:r>
            <w:r>
              <w:rPr>
                <w:rFonts w:hint="eastAsia" w:ascii="仿宋_GB2312" w:hAnsi="宋体" w:eastAsia="仿宋_GB2312" w:cs="宋体"/>
                <w:color w:val="auto"/>
                <w:kern w:val="0"/>
                <w:sz w:val="22"/>
                <w:szCs w:val="22"/>
                <w:lang w:val="en-US" w:eastAsia="zh-CN"/>
              </w:rPr>
              <w:t>4</w:t>
            </w:r>
            <w:r>
              <w:rPr>
                <w:rFonts w:hint="eastAsia" w:ascii="仿宋_GB2312" w:hAnsi="宋体" w:eastAsia="仿宋_GB2312" w:cs="宋体"/>
                <w:color w:val="auto"/>
                <w:kern w:val="0"/>
                <w:sz w:val="22"/>
                <w:szCs w:val="22"/>
              </w:rPr>
              <w:t>分）</w:t>
            </w:r>
          </w:p>
        </w:tc>
        <w:tc>
          <w:tcPr>
            <w:tcW w:w="876" w:type="pct"/>
            <w:noWrap/>
            <w:vAlign w:val="center"/>
          </w:tcPr>
          <w:p w14:paraId="35796866">
            <w:pPr>
              <w:widowControl/>
              <w:suppressAutoHyphens/>
              <w:spacing w:line="240" w:lineRule="exact"/>
              <w:jc w:val="center"/>
              <w:rPr>
                <w:rFonts w:ascii="仿宋_GB2312" w:hAnsi="宋体" w:eastAsia="仿宋_GB2312" w:cs="宋体"/>
                <w:color w:val="auto"/>
                <w:kern w:val="0"/>
                <w:sz w:val="22"/>
                <w:szCs w:val="22"/>
              </w:rPr>
            </w:pPr>
          </w:p>
        </w:tc>
      </w:tr>
      <w:tr w14:paraId="7DBE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75" w:type="pct"/>
            <w:vMerge w:val="continue"/>
            <w:vAlign w:val="center"/>
          </w:tcPr>
          <w:p w14:paraId="2CD21D57">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5AAAA921">
            <w:pPr>
              <w:widowControl/>
              <w:suppressAutoHyphens/>
              <w:spacing w:line="240" w:lineRule="exact"/>
              <w:jc w:val="left"/>
              <w:rPr>
                <w:rFonts w:ascii="仿宋_GB2312" w:hAnsi="宋体" w:eastAsia="仿宋_GB2312" w:cs="宋体"/>
                <w:b/>
                <w:bCs/>
                <w:color w:val="auto"/>
                <w:kern w:val="0"/>
                <w:sz w:val="22"/>
                <w:szCs w:val="22"/>
              </w:rPr>
            </w:pPr>
          </w:p>
        </w:tc>
        <w:tc>
          <w:tcPr>
            <w:tcW w:w="3297" w:type="pct"/>
            <w:gridSpan w:val="3"/>
            <w:vAlign w:val="center"/>
          </w:tcPr>
          <w:p w14:paraId="409E6EE6">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申报单位具有独立法人资格，不接受两个或两个以上机构合作申报（</w:t>
            </w:r>
            <w:r>
              <w:rPr>
                <w:rFonts w:ascii="仿宋_GB2312" w:hAnsi="宋体" w:eastAsia="仿宋_GB2312" w:cs="宋体"/>
                <w:color w:val="auto"/>
                <w:kern w:val="0"/>
                <w:sz w:val="22"/>
                <w:szCs w:val="22"/>
              </w:rPr>
              <w:t>5</w:t>
            </w:r>
            <w:r>
              <w:rPr>
                <w:rFonts w:hint="eastAsia" w:ascii="仿宋_GB2312" w:hAnsi="宋体" w:eastAsia="仿宋_GB2312" w:cs="宋体"/>
                <w:color w:val="auto"/>
                <w:kern w:val="0"/>
                <w:sz w:val="22"/>
                <w:szCs w:val="22"/>
              </w:rPr>
              <w:t>分）</w:t>
            </w:r>
          </w:p>
        </w:tc>
        <w:tc>
          <w:tcPr>
            <w:tcW w:w="876" w:type="pct"/>
            <w:noWrap/>
            <w:vAlign w:val="center"/>
          </w:tcPr>
          <w:p w14:paraId="4470A1A7">
            <w:pPr>
              <w:widowControl/>
              <w:suppressAutoHyphens/>
              <w:spacing w:line="240" w:lineRule="exact"/>
              <w:jc w:val="center"/>
              <w:rPr>
                <w:rFonts w:ascii="仿宋_GB2312" w:hAnsi="宋体" w:eastAsia="仿宋_GB2312" w:cs="宋体"/>
                <w:color w:val="auto"/>
                <w:kern w:val="0"/>
                <w:sz w:val="22"/>
                <w:szCs w:val="22"/>
              </w:rPr>
            </w:pPr>
          </w:p>
        </w:tc>
      </w:tr>
      <w:tr w14:paraId="054A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75" w:type="pct"/>
            <w:vMerge w:val="restart"/>
            <w:vAlign w:val="center"/>
          </w:tcPr>
          <w:p w14:paraId="47A5B2BC">
            <w:pPr>
              <w:widowControl/>
              <w:suppressAutoHyphens/>
              <w:spacing w:line="240" w:lineRule="exact"/>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2</w:t>
            </w:r>
          </w:p>
        </w:tc>
        <w:tc>
          <w:tcPr>
            <w:tcW w:w="552" w:type="pct"/>
            <w:vMerge w:val="restart"/>
            <w:vAlign w:val="center"/>
          </w:tcPr>
          <w:p w14:paraId="2D2795FB">
            <w:pPr>
              <w:widowControl/>
              <w:suppressAutoHyphens/>
              <w:spacing w:line="240" w:lineRule="exact"/>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培</w:t>
            </w:r>
            <w:r>
              <w:rPr>
                <w:rFonts w:hint="eastAsia" w:ascii="仿宋_GB2312" w:hAnsi="宋体" w:eastAsia="仿宋_GB2312" w:cs="宋体"/>
                <w:b/>
                <w:bCs/>
                <w:color w:val="auto"/>
                <w:kern w:val="0"/>
                <w:sz w:val="22"/>
                <w:szCs w:val="22"/>
                <w:lang w:val="en-US" w:eastAsia="zh-CN"/>
              </w:rPr>
              <w:t>训</w:t>
            </w:r>
            <w:r>
              <w:rPr>
                <w:rFonts w:hint="eastAsia" w:ascii="仿宋_GB2312" w:hAnsi="宋体" w:eastAsia="仿宋_GB2312" w:cs="宋体"/>
                <w:b/>
                <w:bCs/>
                <w:color w:val="auto"/>
                <w:kern w:val="0"/>
                <w:sz w:val="22"/>
                <w:szCs w:val="22"/>
              </w:rPr>
              <w:t>机构的工作基础（</w:t>
            </w:r>
            <w:r>
              <w:rPr>
                <w:rFonts w:ascii="仿宋_GB2312" w:hAnsi="宋体" w:eastAsia="仿宋_GB2312" w:cs="宋体"/>
                <w:b/>
                <w:bCs/>
                <w:color w:val="auto"/>
                <w:kern w:val="0"/>
                <w:sz w:val="22"/>
                <w:szCs w:val="22"/>
              </w:rPr>
              <w:t>27</w:t>
            </w:r>
            <w:r>
              <w:rPr>
                <w:rFonts w:hint="eastAsia" w:ascii="仿宋_GB2312" w:hAnsi="宋体" w:eastAsia="仿宋_GB2312" w:cs="宋体"/>
                <w:b/>
                <w:bCs/>
                <w:color w:val="auto"/>
                <w:kern w:val="0"/>
                <w:sz w:val="22"/>
                <w:szCs w:val="22"/>
              </w:rPr>
              <w:t>分）</w:t>
            </w:r>
          </w:p>
        </w:tc>
        <w:tc>
          <w:tcPr>
            <w:tcW w:w="3297" w:type="pct"/>
            <w:gridSpan w:val="3"/>
            <w:vAlign w:val="center"/>
          </w:tcPr>
          <w:p w14:paraId="0B1B2957">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最近三年培训学员满意度。满意度</w:t>
            </w:r>
            <w:r>
              <w:rPr>
                <w:rFonts w:ascii="Arial" w:hAnsi="Arial" w:eastAsia="仿宋_GB2312" w:cs="Arial"/>
                <w:color w:val="auto"/>
                <w:kern w:val="0"/>
                <w:sz w:val="22"/>
                <w:szCs w:val="22"/>
              </w:rPr>
              <w:t>≥</w:t>
            </w:r>
            <w:r>
              <w:rPr>
                <w:rFonts w:ascii="仿宋_GB2312" w:hAnsi="宋体" w:eastAsia="仿宋_GB2312" w:cs="宋体"/>
                <w:color w:val="auto"/>
                <w:kern w:val="0"/>
                <w:sz w:val="22"/>
                <w:szCs w:val="22"/>
              </w:rPr>
              <w:t>95%</w:t>
            </w:r>
            <w:r>
              <w:rPr>
                <w:rFonts w:hint="eastAsia" w:ascii="仿宋_GB2312" w:hAnsi="宋体" w:eastAsia="仿宋_GB2312" w:cs="宋体"/>
                <w:color w:val="auto"/>
                <w:kern w:val="0"/>
                <w:sz w:val="22"/>
                <w:szCs w:val="22"/>
              </w:rPr>
              <w:t>，得</w:t>
            </w:r>
            <w:r>
              <w:rPr>
                <w:rFonts w:hint="eastAsia" w:ascii="仿宋_GB2312" w:hAnsi="宋体" w:eastAsia="仿宋_GB2312" w:cs="宋体"/>
                <w:color w:val="auto"/>
                <w:kern w:val="0"/>
                <w:sz w:val="22"/>
                <w:szCs w:val="22"/>
                <w:lang w:val="en-US" w:eastAsia="zh-CN"/>
              </w:rPr>
              <w:t>7</w:t>
            </w:r>
            <w:r>
              <w:rPr>
                <w:rFonts w:hint="eastAsia" w:ascii="仿宋_GB2312" w:hAnsi="宋体" w:eastAsia="仿宋_GB2312" w:cs="宋体"/>
                <w:color w:val="auto"/>
                <w:kern w:val="0"/>
                <w:sz w:val="22"/>
                <w:szCs w:val="22"/>
              </w:rPr>
              <w:t>分；</w:t>
            </w:r>
            <w:r>
              <w:rPr>
                <w:rFonts w:ascii="仿宋_GB2312" w:hAnsi="宋体" w:eastAsia="仿宋_GB2312" w:cs="宋体"/>
                <w:color w:val="auto"/>
                <w:kern w:val="0"/>
                <w:sz w:val="22"/>
                <w:szCs w:val="22"/>
              </w:rPr>
              <w:t>90%</w:t>
            </w:r>
            <w:r>
              <w:rPr>
                <w:rFonts w:ascii="Arial" w:hAnsi="Arial" w:eastAsia="仿宋_GB2312" w:cs="Arial"/>
                <w:color w:val="auto"/>
                <w:kern w:val="0"/>
                <w:sz w:val="22"/>
                <w:szCs w:val="22"/>
              </w:rPr>
              <w:t>≤</w:t>
            </w:r>
            <w:r>
              <w:rPr>
                <w:rFonts w:hint="eastAsia" w:ascii="仿宋_GB2312" w:hAnsi="宋体" w:eastAsia="仿宋_GB2312" w:cs="宋体"/>
                <w:color w:val="auto"/>
                <w:kern w:val="0"/>
                <w:sz w:val="22"/>
                <w:szCs w:val="22"/>
              </w:rPr>
              <w:t>满意度</w:t>
            </w:r>
            <w:r>
              <w:rPr>
                <w:rFonts w:ascii="微软雅黑" w:hAnsi="微软雅黑" w:eastAsia="微软雅黑" w:cs="宋体"/>
                <w:color w:val="auto"/>
                <w:kern w:val="0"/>
                <w:sz w:val="22"/>
                <w:szCs w:val="22"/>
              </w:rPr>
              <w:t>&lt;</w:t>
            </w:r>
            <w:r>
              <w:rPr>
                <w:rFonts w:ascii="仿宋_GB2312" w:hAnsi="宋体" w:eastAsia="仿宋_GB2312" w:cs="宋体"/>
                <w:color w:val="auto"/>
                <w:kern w:val="0"/>
                <w:sz w:val="22"/>
                <w:szCs w:val="22"/>
              </w:rPr>
              <w:t>95%</w:t>
            </w:r>
            <w:r>
              <w:rPr>
                <w:rFonts w:hint="eastAsia" w:ascii="仿宋_GB2312" w:hAnsi="宋体" w:eastAsia="仿宋_GB2312" w:cs="宋体"/>
                <w:color w:val="auto"/>
                <w:kern w:val="0"/>
                <w:sz w:val="22"/>
                <w:szCs w:val="22"/>
              </w:rPr>
              <w:t>，得</w:t>
            </w:r>
            <w:r>
              <w:rPr>
                <w:rFonts w:hint="eastAsia" w:ascii="仿宋_GB2312" w:hAnsi="宋体" w:eastAsia="仿宋_GB2312" w:cs="宋体"/>
                <w:color w:val="auto"/>
                <w:kern w:val="0"/>
                <w:sz w:val="22"/>
                <w:szCs w:val="22"/>
                <w:lang w:val="en-US" w:eastAsia="zh-CN"/>
              </w:rPr>
              <w:t>5</w:t>
            </w:r>
            <w:r>
              <w:rPr>
                <w:rFonts w:hint="eastAsia" w:ascii="仿宋_GB2312" w:hAnsi="宋体" w:eastAsia="仿宋_GB2312" w:cs="宋体"/>
                <w:color w:val="auto"/>
                <w:kern w:val="0"/>
                <w:sz w:val="22"/>
                <w:szCs w:val="22"/>
              </w:rPr>
              <w:t>分；</w:t>
            </w:r>
            <w:r>
              <w:rPr>
                <w:rFonts w:ascii="仿宋_GB2312" w:hAnsi="宋体" w:eastAsia="仿宋_GB2312" w:cs="宋体"/>
                <w:color w:val="auto"/>
                <w:kern w:val="0"/>
                <w:sz w:val="22"/>
                <w:szCs w:val="22"/>
              </w:rPr>
              <w:t>85%</w:t>
            </w:r>
            <w:r>
              <w:rPr>
                <w:rFonts w:ascii="Arial" w:hAnsi="Arial" w:eastAsia="仿宋_GB2312" w:cs="Arial"/>
                <w:color w:val="auto"/>
                <w:kern w:val="0"/>
                <w:sz w:val="22"/>
                <w:szCs w:val="22"/>
              </w:rPr>
              <w:t>≤</w:t>
            </w:r>
            <w:r>
              <w:rPr>
                <w:rFonts w:hint="eastAsia" w:ascii="仿宋_GB2312" w:hAnsi="宋体" w:eastAsia="仿宋_GB2312" w:cs="宋体"/>
                <w:color w:val="auto"/>
                <w:kern w:val="0"/>
                <w:sz w:val="22"/>
                <w:szCs w:val="22"/>
              </w:rPr>
              <w:t>满意度</w:t>
            </w:r>
            <w:r>
              <w:rPr>
                <w:rFonts w:ascii="微软雅黑" w:hAnsi="微软雅黑" w:eastAsia="微软雅黑" w:cs="宋体"/>
                <w:color w:val="auto"/>
                <w:kern w:val="0"/>
                <w:sz w:val="22"/>
                <w:szCs w:val="22"/>
              </w:rPr>
              <w:t>&lt;</w:t>
            </w:r>
            <w:r>
              <w:rPr>
                <w:rFonts w:ascii="仿宋_GB2312" w:hAnsi="宋体" w:eastAsia="仿宋_GB2312" w:cs="宋体"/>
                <w:color w:val="auto"/>
                <w:kern w:val="0"/>
                <w:sz w:val="22"/>
                <w:szCs w:val="22"/>
              </w:rPr>
              <w:t>90%</w:t>
            </w:r>
            <w:r>
              <w:rPr>
                <w:rFonts w:hint="eastAsia" w:ascii="仿宋_GB2312" w:hAnsi="宋体" w:eastAsia="仿宋_GB2312" w:cs="宋体"/>
                <w:color w:val="auto"/>
                <w:kern w:val="0"/>
                <w:sz w:val="22"/>
                <w:szCs w:val="22"/>
              </w:rPr>
              <w:t>，得</w:t>
            </w:r>
            <w:r>
              <w:rPr>
                <w:rFonts w:hint="eastAsia" w:ascii="仿宋_GB2312" w:hAnsi="宋体" w:eastAsia="仿宋_GB2312" w:cs="宋体"/>
                <w:color w:val="auto"/>
                <w:kern w:val="0"/>
                <w:sz w:val="22"/>
                <w:szCs w:val="22"/>
                <w:lang w:val="en-US" w:eastAsia="zh-CN"/>
              </w:rPr>
              <w:t>3</w:t>
            </w:r>
            <w:r>
              <w:rPr>
                <w:rFonts w:hint="eastAsia" w:ascii="仿宋_GB2312" w:hAnsi="宋体" w:eastAsia="仿宋_GB2312" w:cs="宋体"/>
                <w:color w:val="auto"/>
                <w:kern w:val="0"/>
                <w:sz w:val="22"/>
                <w:szCs w:val="22"/>
              </w:rPr>
              <w:t>分。满意度低于</w:t>
            </w:r>
            <w:r>
              <w:rPr>
                <w:rFonts w:ascii="仿宋_GB2312" w:hAnsi="宋体" w:eastAsia="仿宋_GB2312" w:cs="宋体"/>
                <w:color w:val="auto"/>
                <w:kern w:val="0"/>
                <w:sz w:val="22"/>
                <w:szCs w:val="22"/>
              </w:rPr>
              <w:t>85%</w:t>
            </w:r>
            <w:r>
              <w:rPr>
                <w:rFonts w:hint="eastAsia" w:ascii="仿宋_GB2312" w:hAnsi="宋体" w:eastAsia="仿宋_GB2312" w:cs="宋体"/>
                <w:color w:val="auto"/>
                <w:kern w:val="0"/>
                <w:sz w:val="22"/>
                <w:szCs w:val="22"/>
              </w:rPr>
              <w:t>不得分。</w:t>
            </w:r>
          </w:p>
        </w:tc>
        <w:tc>
          <w:tcPr>
            <w:tcW w:w="876" w:type="pct"/>
            <w:noWrap/>
            <w:vAlign w:val="center"/>
          </w:tcPr>
          <w:p w14:paraId="1B4B47E1">
            <w:pPr>
              <w:widowControl/>
              <w:suppressAutoHyphens/>
              <w:spacing w:line="240" w:lineRule="exact"/>
              <w:jc w:val="center"/>
              <w:rPr>
                <w:rFonts w:ascii="仿宋_GB2312" w:hAnsi="宋体" w:eastAsia="仿宋_GB2312" w:cs="宋体"/>
                <w:color w:val="auto"/>
                <w:kern w:val="0"/>
                <w:sz w:val="22"/>
                <w:szCs w:val="22"/>
              </w:rPr>
            </w:pPr>
          </w:p>
        </w:tc>
      </w:tr>
      <w:tr w14:paraId="183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 w:type="pct"/>
            <w:vMerge w:val="continue"/>
            <w:vAlign w:val="center"/>
          </w:tcPr>
          <w:p w14:paraId="3A0929C4">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15524619">
            <w:pPr>
              <w:widowControl/>
              <w:suppressAutoHyphens/>
              <w:spacing w:line="240" w:lineRule="exact"/>
              <w:jc w:val="left"/>
              <w:rPr>
                <w:rFonts w:ascii="仿宋_GB2312" w:hAnsi="宋体" w:eastAsia="仿宋_GB2312" w:cs="宋体"/>
                <w:b/>
                <w:bCs/>
                <w:color w:val="auto"/>
                <w:kern w:val="0"/>
                <w:sz w:val="22"/>
                <w:szCs w:val="22"/>
              </w:rPr>
            </w:pPr>
          </w:p>
        </w:tc>
        <w:tc>
          <w:tcPr>
            <w:tcW w:w="3297" w:type="pct"/>
            <w:gridSpan w:val="3"/>
            <w:vAlign w:val="center"/>
          </w:tcPr>
          <w:p w14:paraId="40031096">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有集中教学场所及配套设施设备（提供照片及清单）（</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noWrap/>
            <w:vAlign w:val="center"/>
          </w:tcPr>
          <w:p w14:paraId="038CA8C5">
            <w:pPr>
              <w:widowControl/>
              <w:suppressAutoHyphens/>
              <w:spacing w:line="240" w:lineRule="exact"/>
              <w:jc w:val="center"/>
              <w:rPr>
                <w:rFonts w:ascii="仿宋_GB2312" w:hAnsi="宋体" w:eastAsia="仿宋_GB2312" w:cs="宋体"/>
                <w:color w:val="auto"/>
                <w:kern w:val="0"/>
                <w:sz w:val="22"/>
                <w:szCs w:val="22"/>
              </w:rPr>
            </w:pPr>
          </w:p>
        </w:tc>
      </w:tr>
      <w:tr w14:paraId="04F0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 w:type="pct"/>
            <w:vMerge w:val="continue"/>
            <w:vAlign w:val="center"/>
          </w:tcPr>
          <w:p w14:paraId="18313F23">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42D78D8B">
            <w:pPr>
              <w:widowControl/>
              <w:suppressAutoHyphens/>
              <w:spacing w:line="240" w:lineRule="exact"/>
              <w:jc w:val="left"/>
              <w:rPr>
                <w:rFonts w:ascii="仿宋_GB2312" w:hAnsi="宋体" w:eastAsia="仿宋_GB2312" w:cs="宋体"/>
                <w:b/>
                <w:bCs/>
                <w:color w:val="auto"/>
                <w:kern w:val="0"/>
                <w:sz w:val="22"/>
                <w:szCs w:val="22"/>
              </w:rPr>
            </w:pPr>
          </w:p>
        </w:tc>
        <w:tc>
          <w:tcPr>
            <w:tcW w:w="3297" w:type="pct"/>
            <w:gridSpan w:val="3"/>
            <w:vAlign w:val="center"/>
          </w:tcPr>
          <w:p w14:paraId="308F730D">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有实习实训场所或合作实训基地（提供场所证明）（</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noWrap/>
            <w:vAlign w:val="center"/>
          </w:tcPr>
          <w:p w14:paraId="26DEBE77">
            <w:pPr>
              <w:widowControl/>
              <w:suppressAutoHyphens/>
              <w:spacing w:line="240" w:lineRule="exact"/>
              <w:jc w:val="center"/>
              <w:rPr>
                <w:rFonts w:ascii="仿宋_GB2312" w:hAnsi="宋体" w:eastAsia="仿宋_GB2312" w:cs="宋体"/>
                <w:color w:val="auto"/>
                <w:kern w:val="0"/>
                <w:sz w:val="22"/>
                <w:szCs w:val="22"/>
              </w:rPr>
            </w:pPr>
          </w:p>
        </w:tc>
      </w:tr>
      <w:tr w14:paraId="7B3C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 w:type="pct"/>
            <w:vMerge w:val="continue"/>
            <w:vAlign w:val="center"/>
          </w:tcPr>
          <w:p w14:paraId="1BFBD2D7">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6FCD1E32">
            <w:pPr>
              <w:widowControl/>
              <w:suppressAutoHyphens/>
              <w:spacing w:line="240" w:lineRule="exact"/>
              <w:jc w:val="left"/>
              <w:rPr>
                <w:rFonts w:ascii="仿宋_GB2312" w:hAnsi="宋体" w:eastAsia="仿宋_GB2312" w:cs="宋体"/>
                <w:b/>
                <w:bCs/>
                <w:color w:val="auto"/>
                <w:kern w:val="0"/>
                <w:sz w:val="22"/>
                <w:szCs w:val="22"/>
              </w:rPr>
            </w:pPr>
          </w:p>
        </w:tc>
        <w:tc>
          <w:tcPr>
            <w:tcW w:w="3297" w:type="pct"/>
            <w:gridSpan w:val="3"/>
            <w:vAlign w:val="center"/>
          </w:tcPr>
          <w:p w14:paraId="0A07B766">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有专职教学管理人员和专兼职教师队伍（提供人员名单）（</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noWrap/>
            <w:vAlign w:val="center"/>
          </w:tcPr>
          <w:p w14:paraId="542CB8CC">
            <w:pPr>
              <w:widowControl/>
              <w:suppressAutoHyphens/>
              <w:spacing w:line="240" w:lineRule="exact"/>
              <w:jc w:val="center"/>
              <w:rPr>
                <w:rFonts w:ascii="仿宋_GB2312" w:hAnsi="宋体" w:eastAsia="仿宋_GB2312" w:cs="宋体"/>
                <w:color w:val="auto"/>
                <w:kern w:val="0"/>
                <w:sz w:val="22"/>
                <w:szCs w:val="22"/>
              </w:rPr>
            </w:pPr>
          </w:p>
        </w:tc>
      </w:tr>
      <w:tr w14:paraId="53F2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 w:type="pct"/>
            <w:vMerge w:val="continue"/>
            <w:vAlign w:val="center"/>
          </w:tcPr>
          <w:p w14:paraId="61CFC8C0">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7998CF72">
            <w:pPr>
              <w:widowControl/>
              <w:suppressAutoHyphens/>
              <w:spacing w:line="240" w:lineRule="exact"/>
              <w:jc w:val="left"/>
              <w:rPr>
                <w:rFonts w:ascii="仿宋_GB2312" w:hAnsi="宋体" w:eastAsia="仿宋_GB2312" w:cs="宋体"/>
                <w:b/>
                <w:bCs/>
                <w:color w:val="auto"/>
                <w:kern w:val="0"/>
                <w:sz w:val="22"/>
                <w:szCs w:val="22"/>
              </w:rPr>
            </w:pPr>
          </w:p>
        </w:tc>
        <w:tc>
          <w:tcPr>
            <w:tcW w:w="3297" w:type="pct"/>
            <w:gridSpan w:val="3"/>
            <w:vAlign w:val="center"/>
          </w:tcPr>
          <w:p w14:paraId="69D3504A">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有培训目标所要求的其他软硬件条件（提供照片等佐证材料）（</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noWrap/>
            <w:vAlign w:val="center"/>
          </w:tcPr>
          <w:p w14:paraId="5E647A37">
            <w:pPr>
              <w:widowControl/>
              <w:suppressAutoHyphens/>
              <w:spacing w:line="240" w:lineRule="exact"/>
              <w:jc w:val="center"/>
              <w:rPr>
                <w:rFonts w:ascii="仿宋_GB2312" w:hAnsi="宋体" w:eastAsia="仿宋_GB2312" w:cs="宋体"/>
                <w:color w:val="auto"/>
                <w:kern w:val="0"/>
                <w:sz w:val="22"/>
                <w:szCs w:val="22"/>
              </w:rPr>
            </w:pPr>
          </w:p>
        </w:tc>
      </w:tr>
      <w:tr w14:paraId="1595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75" w:type="pct"/>
            <w:vMerge w:val="restart"/>
            <w:vAlign w:val="center"/>
          </w:tcPr>
          <w:p w14:paraId="4879A975">
            <w:pPr>
              <w:suppressAutoHyphens/>
              <w:spacing w:line="240" w:lineRule="exact"/>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3</w:t>
            </w:r>
          </w:p>
        </w:tc>
        <w:tc>
          <w:tcPr>
            <w:tcW w:w="552" w:type="pct"/>
            <w:vMerge w:val="restart"/>
            <w:vAlign w:val="center"/>
          </w:tcPr>
          <w:p w14:paraId="2B8F0220">
            <w:pPr>
              <w:suppressAutoHyphens/>
              <w:spacing w:line="240" w:lineRule="exact"/>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培</w:t>
            </w:r>
            <w:r>
              <w:rPr>
                <w:rFonts w:hint="eastAsia" w:ascii="仿宋_GB2312" w:hAnsi="宋体" w:eastAsia="仿宋_GB2312" w:cs="宋体"/>
                <w:b/>
                <w:bCs/>
                <w:color w:val="auto"/>
                <w:kern w:val="0"/>
                <w:sz w:val="22"/>
                <w:szCs w:val="22"/>
                <w:lang w:val="en-US" w:eastAsia="zh-CN"/>
              </w:rPr>
              <w:t>训</w:t>
            </w:r>
            <w:r>
              <w:rPr>
                <w:rFonts w:hint="eastAsia" w:ascii="仿宋_GB2312" w:hAnsi="宋体" w:eastAsia="仿宋_GB2312" w:cs="宋体"/>
                <w:b/>
                <w:bCs/>
                <w:color w:val="auto"/>
                <w:kern w:val="0"/>
                <w:sz w:val="22"/>
                <w:szCs w:val="22"/>
              </w:rPr>
              <w:t>机构项目实施条件（</w:t>
            </w:r>
            <w:r>
              <w:rPr>
                <w:rFonts w:ascii="仿宋_GB2312" w:hAnsi="宋体" w:eastAsia="仿宋_GB2312" w:cs="宋体"/>
                <w:b/>
                <w:bCs/>
                <w:color w:val="auto"/>
                <w:kern w:val="0"/>
                <w:sz w:val="22"/>
                <w:szCs w:val="22"/>
              </w:rPr>
              <w:t>38</w:t>
            </w:r>
            <w:r>
              <w:rPr>
                <w:rFonts w:hint="eastAsia" w:ascii="仿宋_GB2312" w:hAnsi="宋体" w:eastAsia="仿宋_GB2312" w:cs="宋体"/>
                <w:b/>
                <w:bCs/>
                <w:color w:val="auto"/>
                <w:kern w:val="0"/>
                <w:sz w:val="22"/>
                <w:szCs w:val="22"/>
              </w:rPr>
              <w:t>分）</w:t>
            </w:r>
          </w:p>
        </w:tc>
        <w:tc>
          <w:tcPr>
            <w:tcW w:w="624" w:type="pct"/>
            <w:vMerge w:val="restart"/>
            <w:vAlign w:val="center"/>
          </w:tcPr>
          <w:p w14:paraId="2E9637BC">
            <w:pPr>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根据湖南省农业农村厅《2024年湖南省高素质农民培育工作实施方案》的要求制定培训方案（</w:t>
            </w:r>
            <w:r>
              <w:rPr>
                <w:rFonts w:ascii="仿宋_GB2312" w:hAnsi="宋体" w:eastAsia="仿宋_GB2312" w:cs="宋体"/>
                <w:color w:val="auto"/>
                <w:kern w:val="0"/>
                <w:sz w:val="22"/>
                <w:szCs w:val="22"/>
              </w:rPr>
              <w:t>35</w:t>
            </w:r>
            <w:r>
              <w:rPr>
                <w:rFonts w:hint="eastAsia" w:ascii="仿宋_GB2312" w:hAnsi="宋体" w:eastAsia="仿宋_GB2312" w:cs="宋体"/>
                <w:color w:val="auto"/>
                <w:kern w:val="0"/>
                <w:sz w:val="22"/>
                <w:szCs w:val="22"/>
              </w:rPr>
              <w:t>分，不符合要求的项目不得分）</w:t>
            </w:r>
          </w:p>
        </w:tc>
        <w:tc>
          <w:tcPr>
            <w:tcW w:w="2673" w:type="pct"/>
            <w:gridSpan w:val="2"/>
            <w:vAlign w:val="center"/>
          </w:tcPr>
          <w:p w14:paraId="7DACA4E5">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培训课程和学时设置合理，培育时间不少于5</w:t>
            </w:r>
            <w:r>
              <w:rPr>
                <w:rFonts w:ascii="仿宋_GB2312" w:hAnsi="宋体" w:eastAsia="仿宋_GB2312" w:cs="宋体"/>
                <w:color w:val="auto"/>
                <w:kern w:val="0"/>
                <w:sz w:val="22"/>
                <w:szCs w:val="22"/>
              </w:rPr>
              <w:t>天（且不少于</w:t>
            </w:r>
            <w:r>
              <w:rPr>
                <w:rFonts w:hint="eastAsia" w:ascii="仿宋_GB2312" w:hAnsi="宋体" w:eastAsia="仿宋_GB2312" w:cs="宋体"/>
                <w:color w:val="auto"/>
                <w:kern w:val="0"/>
                <w:sz w:val="22"/>
                <w:szCs w:val="22"/>
              </w:rPr>
              <w:t>56</w:t>
            </w:r>
            <w:r>
              <w:rPr>
                <w:rFonts w:ascii="仿宋_GB2312" w:hAnsi="宋体" w:eastAsia="仿宋_GB2312" w:cs="宋体"/>
                <w:color w:val="auto"/>
                <w:kern w:val="0"/>
                <w:sz w:val="22"/>
                <w:szCs w:val="22"/>
              </w:rPr>
              <w:t>学时）；</w:t>
            </w:r>
            <w:r>
              <w:rPr>
                <w:rFonts w:hint="eastAsia" w:ascii="仿宋_GB2312" w:hAnsi="宋体" w:eastAsia="仿宋_GB2312" w:cs="宋体"/>
                <w:color w:val="auto"/>
                <w:kern w:val="0"/>
                <w:sz w:val="22"/>
                <w:szCs w:val="22"/>
              </w:rPr>
              <w:t>综合素养课学时数不低于总学时数的</w:t>
            </w:r>
            <w:r>
              <w:rPr>
                <w:rFonts w:ascii="仿宋_GB2312" w:hAnsi="宋体" w:eastAsia="仿宋_GB2312" w:cs="宋体"/>
                <w:color w:val="auto"/>
                <w:kern w:val="0"/>
                <w:sz w:val="22"/>
                <w:szCs w:val="22"/>
              </w:rPr>
              <w:t>8%</w:t>
            </w:r>
            <w:r>
              <w:rPr>
                <w:rFonts w:hint="eastAsia" w:ascii="仿宋_GB2312" w:hAnsi="宋体" w:eastAsia="仿宋_GB2312" w:cs="宋体"/>
                <w:color w:val="auto"/>
                <w:kern w:val="0"/>
                <w:sz w:val="22"/>
                <w:szCs w:val="22"/>
              </w:rPr>
              <w:t>、专业能力课学时数不低于总学时数的60</w:t>
            </w:r>
            <w:r>
              <w:rPr>
                <w:rFonts w:ascii="仿宋_GB2312" w:hAnsi="宋体" w:eastAsia="仿宋_GB2312" w:cs="宋体"/>
                <w:color w:val="auto"/>
                <w:kern w:val="0"/>
                <w:sz w:val="22"/>
                <w:szCs w:val="22"/>
              </w:rPr>
              <w:t>%</w:t>
            </w:r>
            <w:r>
              <w:rPr>
                <w:rFonts w:hint="eastAsia" w:ascii="仿宋_GB2312" w:hAnsi="宋体" w:eastAsia="仿宋_GB2312" w:cs="宋体"/>
                <w:color w:val="auto"/>
                <w:kern w:val="0"/>
                <w:sz w:val="22"/>
                <w:szCs w:val="22"/>
              </w:rPr>
              <w:t>、专业生产型和技能服务型培育中实习实训的学时数不低于总学时数的2/3（5分）</w:t>
            </w:r>
          </w:p>
        </w:tc>
        <w:tc>
          <w:tcPr>
            <w:tcW w:w="876" w:type="pct"/>
            <w:vAlign w:val="center"/>
          </w:tcPr>
          <w:p w14:paraId="52D0C8DB">
            <w:pPr>
              <w:widowControl/>
              <w:suppressAutoHyphens/>
              <w:spacing w:line="240" w:lineRule="exact"/>
              <w:jc w:val="center"/>
              <w:rPr>
                <w:rFonts w:ascii="仿宋_GB2312" w:hAnsi="宋体" w:eastAsia="仿宋_GB2312" w:cs="宋体"/>
                <w:color w:val="auto"/>
                <w:kern w:val="0"/>
                <w:sz w:val="22"/>
                <w:szCs w:val="22"/>
              </w:rPr>
            </w:pPr>
          </w:p>
        </w:tc>
      </w:tr>
      <w:tr w14:paraId="457C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 w:type="pct"/>
            <w:vMerge w:val="continue"/>
            <w:vAlign w:val="center"/>
          </w:tcPr>
          <w:p w14:paraId="476B5350">
            <w:pPr>
              <w:widowControl/>
              <w:suppressAutoHyphens/>
              <w:spacing w:line="240" w:lineRule="exact"/>
              <w:jc w:val="center"/>
              <w:rPr>
                <w:rFonts w:ascii="仿宋_GB2312" w:hAnsi="宋体" w:eastAsia="仿宋_GB2312" w:cs="宋体"/>
                <w:b/>
                <w:bCs/>
                <w:color w:val="auto"/>
                <w:kern w:val="0"/>
                <w:sz w:val="22"/>
                <w:szCs w:val="22"/>
              </w:rPr>
            </w:pPr>
          </w:p>
        </w:tc>
        <w:tc>
          <w:tcPr>
            <w:tcW w:w="552" w:type="pct"/>
            <w:vMerge w:val="continue"/>
            <w:vAlign w:val="center"/>
          </w:tcPr>
          <w:p w14:paraId="23458882">
            <w:pPr>
              <w:widowControl/>
              <w:suppressAutoHyphens/>
              <w:spacing w:line="240" w:lineRule="exact"/>
              <w:rPr>
                <w:rFonts w:ascii="仿宋_GB2312" w:hAnsi="宋体" w:eastAsia="仿宋_GB2312" w:cs="宋体"/>
                <w:b/>
                <w:bCs/>
                <w:color w:val="auto"/>
                <w:kern w:val="0"/>
                <w:sz w:val="22"/>
                <w:szCs w:val="22"/>
              </w:rPr>
            </w:pPr>
          </w:p>
        </w:tc>
        <w:tc>
          <w:tcPr>
            <w:tcW w:w="624" w:type="pct"/>
            <w:vMerge w:val="continue"/>
            <w:vAlign w:val="center"/>
          </w:tcPr>
          <w:p w14:paraId="50141E84">
            <w:pPr>
              <w:widowControl/>
              <w:suppressAutoHyphens/>
              <w:spacing w:line="240" w:lineRule="exact"/>
              <w:rPr>
                <w:rFonts w:ascii="仿宋_GB2312" w:hAnsi="宋体" w:eastAsia="仿宋_GB2312" w:cs="宋体"/>
                <w:color w:val="auto"/>
                <w:kern w:val="0"/>
                <w:sz w:val="22"/>
                <w:szCs w:val="22"/>
              </w:rPr>
            </w:pPr>
          </w:p>
        </w:tc>
        <w:tc>
          <w:tcPr>
            <w:tcW w:w="2673" w:type="pct"/>
            <w:gridSpan w:val="2"/>
            <w:vAlign w:val="center"/>
          </w:tcPr>
          <w:p w14:paraId="1792C3C6">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理论讲师具有相关专业授课背景的院校教师。（</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vAlign w:val="center"/>
          </w:tcPr>
          <w:p w14:paraId="3BDB8700">
            <w:pPr>
              <w:widowControl/>
              <w:suppressAutoHyphens/>
              <w:spacing w:line="240" w:lineRule="exact"/>
              <w:jc w:val="center"/>
              <w:rPr>
                <w:rFonts w:ascii="仿宋_GB2312" w:hAnsi="宋体" w:eastAsia="仿宋_GB2312" w:cs="宋体"/>
                <w:color w:val="auto"/>
                <w:kern w:val="0"/>
                <w:sz w:val="22"/>
                <w:szCs w:val="22"/>
              </w:rPr>
            </w:pPr>
          </w:p>
        </w:tc>
      </w:tr>
      <w:tr w14:paraId="3B1E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75" w:type="pct"/>
            <w:vMerge w:val="continue"/>
            <w:vAlign w:val="center"/>
          </w:tcPr>
          <w:p w14:paraId="42A59298">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408868F7">
            <w:pPr>
              <w:widowControl/>
              <w:suppressAutoHyphens/>
              <w:spacing w:line="240" w:lineRule="exact"/>
              <w:jc w:val="left"/>
              <w:rPr>
                <w:rFonts w:ascii="仿宋_GB2312" w:hAnsi="宋体" w:eastAsia="仿宋_GB2312" w:cs="宋体"/>
                <w:b/>
                <w:bCs/>
                <w:color w:val="auto"/>
                <w:kern w:val="0"/>
                <w:sz w:val="22"/>
                <w:szCs w:val="22"/>
              </w:rPr>
            </w:pPr>
          </w:p>
        </w:tc>
        <w:tc>
          <w:tcPr>
            <w:tcW w:w="624" w:type="pct"/>
            <w:vMerge w:val="continue"/>
            <w:vAlign w:val="center"/>
          </w:tcPr>
          <w:p w14:paraId="7891227A">
            <w:pPr>
              <w:widowControl/>
              <w:suppressAutoHyphens/>
              <w:spacing w:line="240" w:lineRule="exact"/>
              <w:jc w:val="left"/>
              <w:rPr>
                <w:rFonts w:ascii="仿宋_GB2312" w:hAnsi="宋体" w:eastAsia="仿宋_GB2312" w:cs="宋体"/>
                <w:color w:val="auto"/>
                <w:kern w:val="0"/>
                <w:sz w:val="22"/>
                <w:szCs w:val="22"/>
              </w:rPr>
            </w:pPr>
          </w:p>
        </w:tc>
        <w:tc>
          <w:tcPr>
            <w:tcW w:w="2673" w:type="pct"/>
            <w:gridSpan w:val="2"/>
            <w:vAlign w:val="center"/>
          </w:tcPr>
          <w:p w14:paraId="191EDBDD">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技术讲师具备相应技术理论和实践能力的院校教师、科研推广机构专家、各类农业主体专业技术人员或“湖南农村乡土专家”等（</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vAlign w:val="center"/>
          </w:tcPr>
          <w:p w14:paraId="0073DF8F">
            <w:pPr>
              <w:widowControl/>
              <w:suppressAutoHyphens/>
              <w:spacing w:line="240" w:lineRule="exact"/>
              <w:jc w:val="center"/>
              <w:rPr>
                <w:rFonts w:ascii="仿宋_GB2312" w:hAnsi="宋体" w:eastAsia="仿宋_GB2312" w:cs="宋体"/>
                <w:color w:val="auto"/>
                <w:kern w:val="0"/>
                <w:sz w:val="22"/>
                <w:szCs w:val="22"/>
              </w:rPr>
            </w:pPr>
          </w:p>
        </w:tc>
      </w:tr>
      <w:tr w14:paraId="60E9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75" w:type="pct"/>
            <w:vMerge w:val="continue"/>
            <w:vAlign w:val="center"/>
          </w:tcPr>
          <w:p w14:paraId="67BC0F28">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15D52254">
            <w:pPr>
              <w:widowControl/>
              <w:suppressAutoHyphens/>
              <w:spacing w:line="240" w:lineRule="exact"/>
              <w:jc w:val="left"/>
              <w:rPr>
                <w:rFonts w:ascii="仿宋_GB2312" w:hAnsi="宋体" w:eastAsia="仿宋_GB2312" w:cs="宋体"/>
                <w:b/>
                <w:bCs/>
                <w:color w:val="auto"/>
                <w:kern w:val="0"/>
                <w:sz w:val="22"/>
                <w:szCs w:val="22"/>
              </w:rPr>
            </w:pPr>
          </w:p>
        </w:tc>
        <w:tc>
          <w:tcPr>
            <w:tcW w:w="624" w:type="pct"/>
            <w:vMerge w:val="continue"/>
            <w:vAlign w:val="center"/>
          </w:tcPr>
          <w:p w14:paraId="54753916">
            <w:pPr>
              <w:widowControl/>
              <w:suppressAutoHyphens/>
              <w:spacing w:line="240" w:lineRule="exact"/>
              <w:jc w:val="left"/>
              <w:rPr>
                <w:rFonts w:ascii="仿宋_GB2312" w:hAnsi="宋体" w:eastAsia="仿宋_GB2312" w:cs="宋体"/>
                <w:color w:val="auto"/>
                <w:kern w:val="0"/>
                <w:sz w:val="22"/>
                <w:szCs w:val="22"/>
              </w:rPr>
            </w:pPr>
          </w:p>
        </w:tc>
        <w:tc>
          <w:tcPr>
            <w:tcW w:w="2673" w:type="pct"/>
            <w:gridSpan w:val="2"/>
            <w:vAlign w:val="center"/>
          </w:tcPr>
          <w:p w14:paraId="48237413">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政策讲师为熟悉“三农”情况、具备相应政策理论水平的院校教师，或相关部门工作人员（不含退休人员）（</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vAlign w:val="center"/>
          </w:tcPr>
          <w:p w14:paraId="104565FC">
            <w:pPr>
              <w:widowControl/>
              <w:suppressAutoHyphens/>
              <w:spacing w:line="240" w:lineRule="exact"/>
              <w:jc w:val="center"/>
              <w:rPr>
                <w:rFonts w:ascii="仿宋_GB2312" w:hAnsi="宋体" w:eastAsia="仿宋_GB2312" w:cs="宋体"/>
                <w:color w:val="auto"/>
                <w:kern w:val="0"/>
                <w:sz w:val="22"/>
                <w:szCs w:val="22"/>
              </w:rPr>
            </w:pPr>
          </w:p>
        </w:tc>
      </w:tr>
      <w:tr w14:paraId="789E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 w:type="pct"/>
            <w:vMerge w:val="continue"/>
            <w:vAlign w:val="center"/>
          </w:tcPr>
          <w:p w14:paraId="02346845">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4D156EA7">
            <w:pPr>
              <w:widowControl/>
              <w:suppressAutoHyphens/>
              <w:spacing w:line="240" w:lineRule="exact"/>
              <w:jc w:val="left"/>
              <w:rPr>
                <w:rFonts w:ascii="仿宋_GB2312" w:hAnsi="宋体" w:eastAsia="仿宋_GB2312" w:cs="宋体"/>
                <w:b/>
                <w:bCs/>
                <w:color w:val="auto"/>
                <w:kern w:val="0"/>
                <w:sz w:val="22"/>
                <w:szCs w:val="22"/>
              </w:rPr>
            </w:pPr>
          </w:p>
        </w:tc>
        <w:tc>
          <w:tcPr>
            <w:tcW w:w="624" w:type="pct"/>
            <w:vMerge w:val="continue"/>
            <w:vAlign w:val="center"/>
          </w:tcPr>
          <w:p w14:paraId="7F9ED45C">
            <w:pPr>
              <w:widowControl/>
              <w:suppressAutoHyphens/>
              <w:spacing w:line="240" w:lineRule="exact"/>
              <w:jc w:val="left"/>
              <w:rPr>
                <w:rFonts w:ascii="仿宋_GB2312" w:hAnsi="宋体" w:eastAsia="仿宋_GB2312" w:cs="宋体"/>
                <w:color w:val="auto"/>
                <w:kern w:val="0"/>
                <w:sz w:val="22"/>
                <w:szCs w:val="22"/>
              </w:rPr>
            </w:pPr>
          </w:p>
        </w:tc>
        <w:tc>
          <w:tcPr>
            <w:tcW w:w="2673" w:type="pct"/>
            <w:gridSpan w:val="2"/>
            <w:vAlign w:val="center"/>
          </w:tcPr>
          <w:p w14:paraId="0DF85245">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实践讲师具备相应职业技能证书或3年以上（含）实践经验（</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vAlign w:val="center"/>
          </w:tcPr>
          <w:p w14:paraId="413C5F72">
            <w:pPr>
              <w:widowControl/>
              <w:suppressAutoHyphens/>
              <w:spacing w:line="240" w:lineRule="exact"/>
              <w:jc w:val="center"/>
              <w:rPr>
                <w:rFonts w:ascii="仿宋_GB2312" w:hAnsi="宋体" w:eastAsia="仿宋_GB2312" w:cs="宋体"/>
                <w:color w:val="auto"/>
                <w:kern w:val="0"/>
                <w:sz w:val="22"/>
                <w:szCs w:val="22"/>
              </w:rPr>
            </w:pPr>
          </w:p>
        </w:tc>
      </w:tr>
      <w:tr w14:paraId="32EB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75" w:type="pct"/>
            <w:vMerge w:val="continue"/>
            <w:vAlign w:val="center"/>
          </w:tcPr>
          <w:p w14:paraId="6C02A26E">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67C302A0">
            <w:pPr>
              <w:widowControl/>
              <w:suppressAutoHyphens/>
              <w:spacing w:line="240" w:lineRule="exact"/>
              <w:jc w:val="left"/>
              <w:rPr>
                <w:rFonts w:ascii="仿宋_GB2312" w:hAnsi="宋体" w:eastAsia="仿宋_GB2312" w:cs="宋体"/>
                <w:b/>
                <w:bCs/>
                <w:color w:val="auto"/>
                <w:kern w:val="0"/>
                <w:sz w:val="22"/>
                <w:szCs w:val="22"/>
              </w:rPr>
            </w:pPr>
          </w:p>
        </w:tc>
        <w:tc>
          <w:tcPr>
            <w:tcW w:w="624" w:type="pct"/>
            <w:vMerge w:val="continue"/>
            <w:vAlign w:val="center"/>
          </w:tcPr>
          <w:p w14:paraId="70C2FDD7">
            <w:pPr>
              <w:widowControl/>
              <w:suppressAutoHyphens/>
              <w:spacing w:line="240" w:lineRule="exact"/>
              <w:jc w:val="left"/>
              <w:rPr>
                <w:rFonts w:ascii="仿宋_GB2312" w:hAnsi="宋体" w:eastAsia="仿宋_GB2312" w:cs="宋体"/>
                <w:color w:val="auto"/>
                <w:kern w:val="0"/>
                <w:sz w:val="22"/>
                <w:szCs w:val="22"/>
              </w:rPr>
            </w:pPr>
          </w:p>
        </w:tc>
        <w:tc>
          <w:tcPr>
            <w:tcW w:w="2673" w:type="pct"/>
            <w:gridSpan w:val="2"/>
            <w:vAlign w:val="center"/>
          </w:tcPr>
          <w:p w14:paraId="17A13540">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创业导师和电商网红讲师具有创业成功或指导创业成功经验相关人士（</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vAlign w:val="center"/>
          </w:tcPr>
          <w:p w14:paraId="060A1863">
            <w:pPr>
              <w:widowControl/>
              <w:suppressAutoHyphens/>
              <w:spacing w:line="240" w:lineRule="exact"/>
              <w:jc w:val="center"/>
              <w:rPr>
                <w:rFonts w:ascii="仿宋_GB2312" w:hAnsi="宋体" w:eastAsia="仿宋_GB2312" w:cs="宋体"/>
                <w:color w:val="auto"/>
                <w:kern w:val="0"/>
                <w:sz w:val="22"/>
                <w:szCs w:val="22"/>
              </w:rPr>
            </w:pPr>
          </w:p>
        </w:tc>
      </w:tr>
      <w:tr w14:paraId="2BC5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75" w:type="pct"/>
            <w:vMerge w:val="continue"/>
            <w:vAlign w:val="center"/>
          </w:tcPr>
          <w:p w14:paraId="5B41892C">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1AF72755">
            <w:pPr>
              <w:widowControl/>
              <w:suppressAutoHyphens/>
              <w:spacing w:line="240" w:lineRule="exact"/>
              <w:jc w:val="left"/>
              <w:rPr>
                <w:rFonts w:ascii="仿宋_GB2312" w:hAnsi="宋体" w:eastAsia="仿宋_GB2312" w:cs="宋体"/>
                <w:b/>
                <w:bCs/>
                <w:color w:val="auto"/>
                <w:kern w:val="0"/>
                <w:sz w:val="22"/>
                <w:szCs w:val="22"/>
              </w:rPr>
            </w:pPr>
          </w:p>
        </w:tc>
        <w:tc>
          <w:tcPr>
            <w:tcW w:w="624" w:type="pct"/>
            <w:vMerge w:val="continue"/>
            <w:vAlign w:val="center"/>
          </w:tcPr>
          <w:p w14:paraId="120DDF54">
            <w:pPr>
              <w:widowControl/>
              <w:suppressAutoHyphens/>
              <w:spacing w:line="240" w:lineRule="exact"/>
              <w:jc w:val="left"/>
              <w:rPr>
                <w:rFonts w:ascii="仿宋_GB2312" w:hAnsi="宋体" w:eastAsia="仿宋_GB2312" w:cs="宋体"/>
                <w:color w:val="auto"/>
                <w:kern w:val="0"/>
                <w:sz w:val="22"/>
                <w:szCs w:val="22"/>
              </w:rPr>
            </w:pPr>
          </w:p>
        </w:tc>
        <w:tc>
          <w:tcPr>
            <w:tcW w:w="2673" w:type="pct"/>
            <w:gridSpan w:val="2"/>
            <w:vAlign w:val="center"/>
          </w:tcPr>
          <w:p w14:paraId="272069AC">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培</w:t>
            </w:r>
            <w:r>
              <w:rPr>
                <w:rFonts w:hint="eastAsia" w:ascii="仿宋_GB2312" w:hAnsi="宋体" w:eastAsia="仿宋_GB2312" w:cs="宋体"/>
                <w:color w:val="auto"/>
                <w:kern w:val="0"/>
                <w:sz w:val="22"/>
                <w:szCs w:val="22"/>
                <w:lang w:eastAsia="zh-CN"/>
              </w:rPr>
              <w:t>育</w:t>
            </w:r>
            <w:r>
              <w:rPr>
                <w:rFonts w:hint="eastAsia" w:ascii="仿宋_GB2312" w:hAnsi="宋体" w:eastAsia="仿宋_GB2312" w:cs="宋体"/>
                <w:color w:val="auto"/>
                <w:kern w:val="0"/>
                <w:sz w:val="22"/>
                <w:szCs w:val="22"/>
              </w:rPr>
              <w:t>机构需购买正式出版的教材，防止盗版教材或自编教材乱报价等现象。发放3本或3本以上教材资料，并向项目主管单位提供1份授课老师精品课程视频资料和完整的培训资料电子档案。（</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vAlign w:val="center"/>
          </w:tcPr>
          <w:p w14:paraId="26F16036">
            <w:pPr>
              <w:widowControl/>
              <w:suppressAutoHyphens/>
              <w:spacing w:line="240" w:lineRule="exact"/>
              <w:jc w:val="center"/>
              <w:rPr>
                <w:rFonts w:ascii="仿宋_GB2312" w:hAnsi="宋体" w:eastAsia="仿宋_GB2312" w:cs="宋体"/>
                <w:color w:val="auto"/>
                <w:kern w:val="0"/>
                <w:sz w:val="22"/>
                <w:szCs w:val="22"/>
              </w:rPr>
            </w:pPr>
          </w:p>
        </w:tc>
      </w:tr>
      <w:tr w14:paraId="19B0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75" w:type="pct"/>
            <w:vMerge w:val="continue"/>
            <w:vAlign w:val="center"/>
          </w:tcPr>
          <w:p w14:paraId="4F4ACADC">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17A178A6">
            <w:pPr>
              <w:widowControl/>
              <w:suppressAutoHyphens/>
              <w:spacing w:line="240" w:lineRule="exact"/>
              <w:jc w:val="left"/>
              <w:rPr>
                <w:rFonts w:ascii="仿宋_GB2312" w:hAnsi="宋体" w:eastAsia="仿宋_GB2312" w:cs="宋体"/>
                <w:b/>
                <w:bCs/>
                <w:color w:val="auto"/>
                <w:kern w:val="0"/>
                <w:sz w:val="22"/>
                <w:szCs w:val="22"/>
              </w:rPr>
            </w:pPr>
          </w:p>
        </w:tc>
        <w:tc>
          <w:tcPr>
            <w:tcW w:w="624" w:type="pct"/>
            <w:vMerge w:val="continue"/>
            <w:vAlign w:val="center"/>
          </w:tcPr>
          <w:p w14:paraId="018E2A8B">
            <w:pPr>
              <w:widowControl/>
              <w:suppressAutoHyphens/>
              <w:spacing w:line="240" w:lineRule="exact"/>
              <w:jc w:val="left"/>
              <w:rPr>
                <w:rFonts w:ascii="仿宋_GB2312" w:hAnsi="宋体" w:eastAsia="仿宋_GB2312" w:cs="宋体"/>
                <w:color w:val="auto"/>
                <w:kern w:val="0"/>
                <w:sz w:val="22"/>
                <w:szCs w:val="22"/>
              </w:rPr>
            </w:pPr>
          </w:p>
        </w:tc>
        <w:tc>
          <w:tcPr>
            <w:tcW w:w="2673" w:type="pct"/>
            <w:gridSpan w:val="2"/>
            <w:vAlign w:val="center"/>
          </w:tcPr>
          <w:p w14:paraId="2113620C">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组织学员到2个以上涉农高校、国家（省、市）现代农业产业园、生态农业产业园、现代农业科技示范展示基地或省级认定的高素质农民培育示范基地（以上统称实训学习基地）进行实训、参观、交流和学习，聘请实训学习基地专业人员授课（5分）</w:t>
            </w:r>
          </w:p>
        </w:tc>
        <w:tc>
          <w:tcPr>
            <w:tcW w:w="876" w:type="pct"/>
            <w:vAlign w:val="center"/>
          </w:tcPr>
          <w:p w14:paraId="4F88D075">
            <w:pPr>
              <w:widowControl/>
              <w:suppressAutoHyphens/>
              <w:spacing w:line="240" w:lineRule="exact"/>
              <w:jc w:val="center"/>
              <w:rPr>
                <w:rFonts w:ascii="仿宋_GB2312" w:hAnsi="宋体" w:eastAsia="仿宋_GB2312" w:cs="宋体"/>
                <w:color w:val="auto"/>
                <w:kern w:val="0"/>
                <w:sz w:val="22"/>
                <w:szCs w:val="22"/>
              </w:rPr>
            </w:pPr>
          </w:p>
        </w:tc>
      </w:tr>
      <w:tr w14:paraId="2E47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75" w:type="pct"/>
            <w:vMerge w:val="continue"/>
            <w:vAlign w:val="center"/>
          </w:tcPr>
          <w:p w14:paraId="5976A6B7">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24D2A08E">
            <w:pPr>
              <w:widowControl/>
              <w:suppressAutoHyphens/>
              <w:spacing w:line="240" w:lineRule="exact"/>
              <w:jc w:val="left"/>
              <w:rPr>
                <w:rFonts w:ascii="仿宋_GB2312" w:hAnsi="宋体" w:eastAsia="仿宋_GB2312" w:cs="宋体"/>
                <w:b/>
                <w:bCs/>
                <w:color w:val="auto"/>
                <w:kern w:val="0"/>
                <w:sz w:val="22"/>
                <w:szCs w:val="22"/>
              </w:rPr>
            </w:pPr>
          </w:p>
        </w:tc>
        <w:tc>
          <w:tcPr>
            <w:tcW w:w="624" w:type="pct"/>
            <w:vMerge w:val="continue"/>
            <w:vAlign w:val="center"/>
          </w:tcPr>
          <w:p w14:paraId="323523EA">
            <w:pPr>
              <w:widowControl/>
              <w:suppressAutoHyphens/>
              <w:spacing w:line="240" w:lineRule="exact"/>
              <w:jc w:val="left"/>
              <w:rPr>
                <w:rFonts w:ascii="仿宋_GB2312" w:hAnsi="宋体" w:eastAsia="仿宋_GB2312" w:cs="宋体"/>
                <w:color w:val="auto"/>
                <w:kern w:val="0"/>
                <w:sz w:val="22"/>
                <w:szCs w:val="22"/>
              </w:rPr>
            </w:pPr>
          </w:p>
        </w:tc>
        <w:tc>
          <w:tcPr>
            <w:tcW w:w="2673" w:type="pct"/>
            <w:gridSpan w:val="2"/>
            <w:vAlign w:val="center"/>
          </w:tcPr>
          <w:p w14:paraId="14BCB531">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组织学员利用全国农业科教云平台、“云上智农”APP开展线上学习，并及时将学员基础信息、师资等全部录入中国农村远程教育网</w:t>
            </w:r>
            <w:r>
              <w:rPr>
                <w:color w:val="auto"/>
              </w:rPr>
              <w:fldChar w:fldCharType="begin"/>
            </w:r>
            <w:r>
              <w:rPr>
                <w:color w:val="auto"/>
              </w:rPr>
              <w:instrText xml:space="preserve"> HYPERLINK "http://www.ngx.net.cn/xxxt/）培训基地库中的省级新型职业农民培育" </w:instrText>
            </w:r>
            <w:r>
              <w:rPr>
                <w:color w:val="auto"/>
              </w:rPr>
              <w:fldChar w:fldCharType="separate"/>
            </w:r>
            <w:r>
              <w:rPr>
                <w:rFonts w:hint="eastAsia" w:ascii="仿宋_GB2312" w:hAnsi="宋体" w:eastAsia="仿宋_GB2312" w:cs="宋体"/>
                <w:color w:val="auto"/>
                <w:kern w:val="0"/>
                <w:sz w:val="22"/>
                <w:szCs w:val="22"/>
              </w:rPr>
              <w:t>农民教育培训</w:t>
            </w:r>
            <w:r>
              <w:rPr>
                <w:rFonts w:hint="eastAsia" w:ascii="仿宋_GB2312" w:hAnsi="宋体" w:eastAsia="仿宋_GB2312" w:cs="宋体"/>
                <w:color w:val="auto"/>
                <w:kern w:val="0"/>
                <w:sz w:val="22"/>
                <w:szCs w:val="22"/>
              </w:rPr>
              <w:fldChar w:fldCharType="end"/>
            </w:r>
            <w:r>
              <w:rPr>
                <w:rFonts w:hint="eastAsia" w:ascii="仿宋_GB2312" w:hAnsi="宋体" w:eastAsia="仿宋_GB2312" w:cs="宋体"/>
                <w:color w:val="auto"/>
                <w:kern w:val="0"/>
                <w:sz w:val="22"/>
                <w:szCs w:val="22"/>
              </w:rPr>
              <w:t>信息管理系统（</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vAlign w:val="center"/>
          </w:tcPr>
          <w:p w14:paraId="03E80F5D">
            <w:pPr>
              <w:widowControl/>
              <w:suppressAutoHyphens/>
              <w:spacing w:line="240" w:lineRule="exact"/>
              <w:jc w:val="center"/>
              <w:rPr>
                <w:rFonts w:ascii="仿宋_GB2312" w:hAnsi="宋体" w:eastAsia="仿宋_GB2312" w:cs="宋体"/>
                <w:color w:val="auto"/>
                <w:kern w:val="0"/>
                <w:sz w:val="22"/>
                <w:szCs w:val="22"/>
              </w:rPr>
            </w:pPr>
          </w:p>
        </w:tc>
      </w:tr>
      <w:tr w14:paraId="07B6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75" w:type="pct"/>
            <w:vMerge w:val="continue"/>
            <w:vAlign w:val="center"/>
          </w:tcPr>
          <w:p w14:paraId="2102AFC0">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3619085D">
            <w:pPr>
              <w:widowControl/>
              <w:suppressAutoHyphens/>
              <w:spacing w:line="240" w:lineRule="exact"/>
              <w:jc w:val="left"/>
              <w:rPr>
                <w:rFonts w:ascii="仿宋_GB2312" w:hAnsi="宋体" w:eastAsia="仿宋_GB2312" w:cs="宋体"/>
                <w:b/>
                <w:bCs/>
                <w:color w:val="auto"/>
                <w:kern w:val="0"/>
                <w:sz w:val="22"/>
                <w:szCs w:val="22"/>
              </w:rPr>
            </w:pPr>
          </w:p>
        </w:tc>
        <w:tc>
          <w:tcPr>
            <w:tcW w:w="624" w:type="pct"/>
            <w:vMerge w:val="continue"/>
            <w:vAlign w:val="center"/>
          </w:tcPr>
          <w:p w14:paraId="6BDD222E">
            <w:pPr>
              <w:widowControl/>
              <w:suppressAutoHyphens/>
              <w:spacing w:line="240" w:lineRule="exact"/>
              <w:rPr>
                <w:rFonts w:ascii="仿宋_GB2312" w:hAnsi="宋体" w:eastAsia="仿宋_GB2312" w:cs="宋体"/>
                <w:color w:val="auto"/>
                <w:kern w:val="0"/>
                <w:sz w:val="22"/>
                <w:szCs w:val="22"/>
              </w:rPr>
            </w:pPr>
          </w:p>
        </w:tc>
        <w:tc>
          <w:tcPr>
            <w:tcW w:w="2673" w:type="pct"/>
            <w:gridSpan w:val="2"/>
            <w:vAlign w:val="center"/>
          </w:tcPr>
          <w:p w14:paraId="54D11C30">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组织学员到省（市）电商产业园、省农村实用人才（数字化类）培训基地、农村电商基层示范站或县（区）电商基地参观学习，聘请企业高管授课（4分）</w:t>
            </w:r>
          </w:p>
        </w:tc>
        <w:tc>
          <w:tcPr>
            <w:tcW w:w="876" w:type="pct"/>
            <w:vAlign w:val="center"/>
          </w:tcPr>
          <w:p w14:paraId="3BD22A1C">
            <w:pPr>
              <w:widowControl/>
              <w:suppressAutoHyphens/>
              <w:spacing w:line="240" w:lineRule="exact"/>
              <w:jc w:val="center"/>
              <w:rPr>
                <w:rFonts w:ascii="仿宋_GB2312" w:hAnsi="宋体" w:eastAsia="仿宋_GB2312" w:cs="宋体"/>
                <w:color w:val="auto"/>
                <w:kern w:val="0"/>
                <w:sz w:val="22"/>
                <w:szCs w:val="22"/>
              </w:rPr>
            </w:pPr>
          </w:p>
        </w:tc>
      </w:tr>
      <w:tr w14:paraId="14B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75" w:type="pct"/>
            <w:vMerge w:val="continue"/>
            <w:vAlign w:val="center"/>
          </w:tcPr>
          <w:p w14:paraId="4B98C0EC">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44ECBB3B">
            <w:pPr>
              <w:widowControl/>
              <w:suppressAutoHyphens/>
              <w:spacing w:line="240" w:lineRule="exact"/>
              <w:jc w:val="left"/>
              <w:rPr>
                <w:rFonts w:ascii="仿宋_GB2312" w:hAnsi="宋体" w:eastAsia="仿宋_GB2312" w:cs="宋体"/>
                <w:b/>
                <w:bCs/>
                <w:color w:val="auto"/>
                <w:kern w:val="0"/>
                <w:sz w:val="22"/>
                <w:szCs w:val="22"/>
              </w:rPr>
            </w:pPr>
          </w:p>
        </w:tc>
        <w:tc>
          <w:tcPr>
            <w:tcW w:w="3297" w:type="pct"/>
            <w:gridSpan w:val="3"/>
            <w:vAlign w:val="center"/>
          </w:tcPr>
          <w:p w14:paraId="3D633F45">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申报单位承诺不得将项目分包、转包。如存在将培</w:t>
            </w:r>
            <w:r>
              <w:rPr>
                <w:rFonts w:hint="eastAsia" w:ascii="仿宋_GB2312" w:hAnsi="宋体" w:eastAsia="仿宋_GB2312" w:cs="宋体"/>
                <w:color w:val="auto"/>
                <w:kern w:val="0"/>
                <w:sz w:val="22"/>
                <w:szCs w:val="22"/>
                <w:lang w:eastAsia="zh-CN"/>
              </w:rPr>
              <w:t>育</w:t>
            </w:r>
            <w:r>
              <w:rPr>
                <w:rFonts w:hint="eastAsia" w:ascii="仿宋_GB2312" w:hAnsi="宋体" w:eastAsia="仿宋_GB2312" w:cs="宋体"/>
                <w:color w:val="auto"/>
                <w:kern w:val="0"/>
                <w:sz w:val="22"/>
                <w:szCs w:val="22"/>
              </w:rPr>
              <w:t>项目分包、转包，取消培</w:t>
            </w:r>
            <w:r>
              <w:rPr>
                <w:rFonts w:hint="eastAsia" w:ascii="仿宋_GB2312" w:hAnsi="宋体" w:eastAsia="仿宋_GB2312" w:cs="宋体"/>
                <w:color w:val="auto"/>
                <w:kern w:val="0"/>
                <w:sz w:val="22"/>
                <w:szCs w:val="22"/>
                <w:lang w:eastAsia="zh-CN"/>
              </w:rPr>
              <w:t>育</w:t>
            </w:r>
            <w:r>
              <w:rPr>
                <w:rFonts w:hint="eastAsia" w:ascii="仿宋_GB2312" w:hAnsi="宋体" w:eastAsia="仿宋_GB2312" w:cs="宋体"/>
                <w:color w:val="auto"/>
                <w:kern w:val="0"/>
                <w:sz w:val="22"/>
                <w:szCs w:val="22"/>
              </w:rPr>
              <w:t>任务并追缴项目资金（提供承诺函）（</w:t>
            </w:r>
            <w:r>
              <w:rPr>
                <w:rFonts w:ascii="仿宋_GB2312" w:hAnsi="宋体" w:eastAsia="仿宋_GB2312" w:cs="宋体"/>
                <w:color w:val="auto"/>
                <w:kern w:val="0"/>
                <w:sz w:val="22"/>
                <w:szCs w:val="22"/>
              </w:rPr>
              <w:t>3</w:t>
            </w:r>
            <w:r>
              <w:rPr>
                <w:rFonts w:hint="eastAsia" w:ascii="仿宋_GB2312" w:hAnsi="宋体" w:eastAsia="仿宋_GB2312" w:cs="宋体"/>
                <w:color w:val="auto"/>
                <w:kern w:val="0"/>
                <w:sz w:val="22"/>
                <w:szCs w:val="22"/>
              </w:rPr>
              <w:t>分）</w:t>
            </w:r>
          </w:p>
        </w:tc>
        <w:tc>
          <w:tcPr>
            <w:tcW w:w="876" w:type="pct"/>
            <w:vAlign w:val="center"/>
          </w:tcPr>
          <w:p w14:paraId="4E2A7373">
            <w:pPr>
              <w:widowControl/>
              <w:suppressAutoHyphens/>
              <w:spacing w:line="240" w:lineRule="exact"/>
              <w:jc w:val="center"/>
              <w:rPr>
                <w:rFonts w:ascii="仿宋_GB2312" w:hAnsi="宋体" w:eastAsia="仿宋_GB2312" w:cs="宋体"/>
                <w:color w:val="auto"/>
                <w:kern w:val="0"/>
                <w:sz w:val="22"/>
                <w:szCs w:val="22"/>
              </w:rPr>
            </w:pPr>
          </w:p>
        </w:tc>
      </w:tr>
      <w:tr w14:paraId="2771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75" w:type="pct"/>
            <w:vAlign w:val="center"/>
          </w:tcPr>
          <w:p w14:paraId="3AF2168C">
            <w:pPr>
              <w:widowControl/>
              <w:suppressAutoHyphens/>
              <w:spacing w:line="240" w:lineRule="exact"/>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4</w:t>
            </w:r>
          </w:p>
        </w:tc>
        <w:tc>
          <w:tcPr>
            <w:tcW w:w="552" w:type="pct"/>
            <w:vAlign w:val="center"/>
          </w:tcPr>
          <w:p w14:paraId="0F6327CC">
            <w:pPr>
              <w:widowControl/>
              <w:suppressAutoHyphens/>
              <w:spacing w:line="240" w:lineRule="exact"/>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培</w:t>
            </w:r>
            <w:r>
              <w:rPr>
                <w:rFonts w:hint="eastAsia" w:ascii="仿宋_GB2312" w:hAnsi="宋体" w:eastAsia="仿宋_GB2312" w:cs="宋体"/>
                <w:b/>
                <w:bCs/>
                <w:color w:val="auto"/>
                <w:kern w:val="0"/>
                <w:sz w:val="22"/>
                <w:szCs w:val="22"/>
                <w:lang w:val="en-US" w:eastAsia="zh-CN"/>
              </w:rPr>
              <w:t>训</w:t>
            </w:r>
            <w:r>
              <w:rPr>
                <w:rFonts w:hint="eastAsia" w:ascii="仿宋_GB2312" w:hAnsi="宋体" w:eastAsia="仿宋_GB2312" w:cs="宋体"/>
                <w:b/>
                <w:bCs/>
                <w:color w:val="auto"/>
                <w:kern w:val="0"/>
                <w:sz w:val="22"/>
                <w:szCs w:val="22"/>
              </w:rPr>
              <w:t>机构对项目实施可行性（</w:t>
            </w:r>
            <w:r>
              <w:rPr>
                <w:rFonts w:ascii="仿宋_GB2312" w:hAnsi="宋体" w:eastAsia="仿宋_GB2312" w:cs="宋体"/>
                <w:b/>
                <w:bCs/>
                <w:color w:val="auto"/>
                <w:kern w:val="0"/>
                <w:sz w:val="22"/>
                <w:szCs w:val="22"/>
              </w:rPr>
              <w:t>5</w:t>
            </w:r>
            <w:r>
              <w:rPr>
                <w:rFonts w:hint="eastAsia" w:ascii="仿宋_GB2312" w:hAnsi="宋体" w:eastAsia="仿宋_GB2312" w:cs="宋体"/>
                <w:b/>
                <w:bCs/>
                <w:color w:val="auto"/>
                <w:kern w:val="0"/>
                <w:sz w:val="22"/>
                <w:szCs w:val="22"/>
              </w:rPr>
              <w:t>分）</w:t>
            </w:r>
          </w:p>
        </w:tc>
        <w:tc>
          <w:tcPr>
            <w:tcW w:w="3297" w:type="pct"/>
            <w:gridSpan w:val="3"/>
            <w:vAlign w:val="center"/>
          </w:tcPr>
          <w:p w14:paraId="5DAE616C">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信息员的配备：配备有专职的信息员负责信息管理平台的使用和管理（</w:t>
            </w:r>
            <w:r>
              <w:rPr>
                <w:rFonts w:ascii="仿宋_GB2312" w:hAnsi="宋体" w:eastAsia="仿宋_GB2312" w:cs="宋体"/>
                <w:color w:val="auto"/>
                <w:kern w:val="0"/>
                <w:sz w:val="22"/>
                <w:szCs w:val="22"/>
              </w:rPr>
              <w:t>5</w:t>
            </w:r>
            <w:r>
              <w:rPr>
                <w:rFonts w:hint="eastAsia" w:ascii="仿宋_GB2312" w:hAnsi="宋体" w:eastAsia="仿宋_GB2312" w:cs="宋体"/>
                <w:color w:val="auto"/>
                <w:kern w:val="0"/>
                <w:sz w:val="22"/>
                <w:szCs w:val="22"/>
              </w:rPr>
              <w:t>分）</w:t>
            </w:r>
          </w:p>
        </w:tc>
        <w:tc>
          <w:tcPr>
            <w:tcW w:w="876" w:type="pct"/>
            <w:vAlign w:val="center"/>
          </w:tcPr>
          <w:p w14:paraId="4AEF8AFE">
            <w:pPr>
              <w:widowControl/>
              <w:suppressAutoHyphens/>
              <w:spacing w:line="240" w:lineRule="exact"/>
              <w:jc w:val="center"/>
              <w:rPr>
                <w:rFonts w:ascii="仿宋_GB2312" w:hAnsi="宋体" w:eastAsia="仿宋_GB2312" w:cs="宋体"/>
                <w:color w:val="auto"/>
                <w:kern w:val="0"/>
                <w:sz w:val="22"/>
                <w:szCs w:val="22"/>
              </w:rPr>
            </w:pPr>
          </w:p>
        </w:tc>
      </w:tr>
      <w:tr w14:paraId="27A0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75" w:type="pct"/>
            <w:vAlign w:val="center"/>
          </w:tcPr>
          <w:p w14:paraId="1E716411">
            <w:pPr>
              <w:widowControl/>
              <w:suppressAutoHyphens/>
              <w:spacing w:line="240" w:lineRule="exact"/>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5</w:t>
            </w:r>
          </w:p>
        </w:tc>
        <w:tc>
          <w:tcPr>
            <w:tcW w:w="552" w:type="pct"/>
            <w:vAlign w:val="center"/>
          </w:tcPr>
          <w:p w14:paraId="59DF61D8">
            <w:pPr>
              <w:widowControl/>
              <w:suppressAutoHyphens/>
              <w:spacing w:line="240" w:lineRule="exact"/>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资金预算和使用合理性（</w:t>
            </w:r>
            <w:r>
              <w:rPr>
                <w:rFonts w:ascii="仿宋_GB2312" w:hAnsi="宋体" w:eastAsia="仿宋_GB2312" w:cs="宋体"/>
                <w:b/>
                <w:bCs/>
                <w:color w:val="auto"/>
                <w:kern w:val="0"/>
                <w:sz w:val="22"/>
                <w:szCs w:val="22"/>
              </w:rPr>
              <w:t>10</w:t>
            </w:r>
            <w:r>
              <w:rPr>
                <w:rFonts w:hint="eastAsia" w:ascii="仿宋_GB2312" w:hAnsi="宋体" w:eastAsia="仿宋_GB2312" w:cs="宋体"/>
                <w:b/>
                <w:bCs/>
                <w:color w:val="auto"/>
                <w:kern w:val="0"/>
                <w:sz w:val="22"/>
                <w:szCs w:val="22"/>
              </w:rPr>
              <w:t>分）</w:t>
            </w:r>
          </w:p>
        </w:tc>
        <w:tc>
          <w:tcPr>
            <w:tcW w:w="3297" w:type="pct"/>
            <w:gridSpan w:val="3"/>
            <w:vAlign w:val="center"/>
          </w:tcPr>
          <w:p w14:paraId="6F42AFB5">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申报单位须有健全财务部门和财务管理制度；资金用途符合《湖南省2024年高素质农民培育工作实施方案》的资金规定范围，资金预算细化、合理；遵守培育项目及相关的资金管理规定。</w:t>
            </w:r>
          </w:p>
        </w:tc>
        <w:tc>
          <w:tcPr>
            <w:tcW w:w="876" w:type="pct"/>
            <w:vAlign w:val="center"/>
          </w:tcPr>
          <w:p w14:paraId="3FD2B099">
            <w:pPr>
              <w:widowControl/>
              <w:suppressAutoHyphens/>
              <w:spacing w:line="240" w:lineRule="exact"/>
              <w:jc w:val="center"/>
              <w:rPr>
                <w:rFonts w:ascii="仿宋_GB2312" w:hAnsi="宋体" w:eastAsia="仿宋_GB2312" w:cs="宋体"/>
                <w:color w:val="auto"/>
                <w:kern w:val="0"/>
                <w:sz w:val="22"/>
                <w:szCs w:val="22"/>
              </w:rPr>
            </w:pPr>
          </w:p>
        </w:tc>
      </w:tr>
      <w:tr w14:paraId="626E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275" w:type="pct"/>
            <w:vAlign w:val="center"/>
          </w:tcPr>
          <w:p w14:paraId="61673A9C">
            <w:pPr>
              <w:widowControl/>
              <w:suppressAutoHyphens/>
              <w:spacing w:line="240" w:lineRule="exact"/>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6</w:t>
            </w:r>
          </w:p>
        </w:tc>
        <w:tc>
          <w:tcPr>
            <w:tcW w:w="552" w:type="pct"/>
            <w:vAlign w:val="center"/>
          </w:tcPr>
          <w:p w14:paraId="65849D5C">
            <w:pPr>
              <w:widowControl/>
              <w:suppressAutoHyphens/>
              <w:spacing w:line="240" w:lineRule="exact"/>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示范带动作用与延伸服务（</w:t>
            </w:r>
            <w:r>
              <w:rPr>
                <w:rFonts w:ascii="仿宋_GB2312" w:hAnsi="宋体" w:eastAsia="仿宋_GB2312" w:cs="宋体"/>
                <w:b/>
                <w:bCs/>
                <w:color w:val="auto"/>
                <w:kern w:val="0"/>
                <w:sz w:val="22"/>
                <w:szCs w:val="22"/>
              </w:rPr>
              <w:t>5</w:t>
            </w:r>
            <w:r>
              <w:rPr>
                <w:rFonts w:hint="eastAsia" w:ascii="仿宋_GB2312" w:hAnsi="宋体" w:eastAsia="仿宋_GB2312" w:cs="宋体"/>
                <w:b/>
                <w:bCs/>
                <w:color w:val="auto"/>
                <w:kern w:val="0"/>
                <w:sz w:val="22"/>
                <w:szCs w:val="22"/>
              </w:rPr>
              <w:t>分）</w:t>
            </w:r>
          </w:p>
        </w:tc>
        <w:tc>
          <w:tcPr>
            <w:tcW w:w="3297" w:type="pct"/>
            <w:gridSpan w:val="3"/>
            <w:vAlign w:val="center"/>
          </w:tcPr>
          <w:p w14:paraId="322459DC">
            <w:pPr>
              <w:widowControl/>
              <w:suppressAutoHyphens/>
              <w:spacing w:line="240" w:lineRule="exac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能够加强政策和先进典型宣传，搭建交流平台，大力宣传成功案例和高素质农民典型等培育成果，营造关心支持培育新型职业农民的良好氛围，壮大新型职业农民队伍。未能提供培训班或学员成功案例的报道，不得分。提供</w:t>
            </w:r>
            <w:r>
              <w:rPr>
                <w:rFonts w:ascii="仿宋_GB2312" w:hAnsi="宋体" w:eastAsia="仿宋_GB2312" w:cs="宋体"/>
                <w:color w:val="auto"/>
                <w:kern w:val="0"/>
                <w:sz w:val="22"/>
                <w:szCs w:val="22"/>
              </w:rPr>
              <w:t>1</w:t>
            </w:r>
            <w:r>
              <w:rPr>
                <w:rFonts w:hint="eastAsia" w:ascii="仿宋_GB2312" w:hAnsi="宋体" w:eastAsia="仿宋_GB2312" w:cs="宋体"/>
                <w:color w:val="auto"/>
                <w:kern w:val="0"/>
                <w:sz w:val="22"/>
                <w:szCs w:val="22"/>
              </w:rPr>
              <w:t>篇案例的得</w:t>
            </w:r>
            <w:r>
              <w:rPr>
                <w:rFonts w:ascii="仿宋_GB2312" w:hAnsi="宋体" w:eastAsia="仿宋_GB2312" w:cs="宋体"/>
                <w:color w:val="auto"/>
                <w:kern w:val="0"/>
                <w:sz w:val="22"/>
                <w:szCs w:val="22"/>
              </w:rPr>
              <w:t>1</w:t>
            </w:r>
            <w:r>
              <w:rPr>
                <w:rFonts w:hint="eastAsia" w:ascii="仿宋_GB2312" w:hAnsi="宋体" w:eastAsia="仿宋_GB2312" w:cs="宋体"/>
                <w:color w:val="auto"/>
                <w:kern w:val="0"/>
                <w:sz w:val="22"/>
                <w:szCs w:val="22"/>
              </w:rPr>
              <w:t>分，最多得</w:t>
            </w:r>
            <w:r>
              <w:rPr>
                <w:rFonts w:ascii="仿宋_GB2312" w:hAnsi="宋体" w:eastAsia="仿宋_GB2312" w:cs="宋体"/>
                <w:color w:val="auto"/>
                <w:kern w:val="0"/>
                <w:sz w:val="22"/>
                <w:szCs w:val="22"/>
              </w:rPr>
              <w:t>5</w:t>
            </w:r>
            <w:r>
              <w:rPr>
                <w:rFonts w:hint="eastAsia" w:ascii="仿宋_GB2312" w:hAnsi="宋体" w:eastAsia="仿宋_GB2312" w:cs="宋体"/>
                <w:color w:val="auto"/>
                <w:kern w:val="0"/>
                <w:sz w:val="22"/>
                <w:szCs w:val="22"/>
              </w:rPr>
              <w:t>分。</w:t>
            </w:r>
          </w:p>
        </w:tc>
        <w:tc>
          <w:tcPr>
            <w:tcW w:w="876" w:type="pct"/>
            <w:vAlign w:val="center"/>
          </w:tcPr>
          <w:p w14:paraId="35B4C412">
            <w:pPr>
              <w:widowControl/>
              <w:suppressAutoHyphens/>
              <w:spacing w:line="240" w:lineRule="exact"/>
              <w:jc w:val="center"/>
              <w:rPr>
                <w:rFonts w:ascii="仿宋_GB2312" w:hAnsi="宋体" w:eastAsia="仿宋_GB2312" w:cs="宋体"/>
                <w:color w:val="auto"/>
                <w:kern w:val="0"/>
                <w:sz w:val="22"/>
                <w:szCs w:val="22"/>
              </w:rPr>
            </w:pPr>
          </w:p>
        </w:tc>
      </w:tr>
      <w:tr w14:paraId="38A0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75" w:type="pct"/>
            <w:vMerge w:val="restart"/>
            <w:vAlign w:val="center"/>
          </w:tcPr>
          <w:p w14:paraId="2E45488D">
            <w:pPr>
              <w:widowControl/>
              <w:suppressAutoHyphens/>
              <w:spacing w:line="240" w:lineRule="exact"/>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7</w:t>
            </w:r>
          </w:p>
        </w:tc>
        <w:tc>
          <w:tcPr>
            <w:tcW w:w="552" w:type="pct"/>
            <w:vMerge w:val="restart"/>
            <w:vAlign w:val="center"/>
          </w:tcPr>
          <w:p w14:paraId="6B775557">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加分项</w:t>
            </w:r>
          </w:p>
          <w:p w14:paraId="2FC01088">
            <w:pPr>
              <w:widowControl/>
              <w:suppressAutoHyphens/>
              <w:spacing w:line="240" w:lineRule="exact"/>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（10分）</w:t>
            </w:r>
          </w:p>
        </w:tc>
        <w:tc>
          <w:tcPr>
            <w:tcW w:w="3297" w:type="pct"/>
            <w:gridSpan w:val="3"/>
            <w:vAlign w:val="center"/>
          </w:tcPr>
          <w:p w14:paraId="197941FD">
            <w:pPr>
              <w:widowControl/>
              <w:suppressAutoHyphens/>
              <w:spacing w:line="240" w:lineRule="exact"/>
              <w:jc w:val="left"/>
              <w:rPr>
                <w:rFonts w:hint="default" w:ascii="仿宋_GB2312" w:hAnsi="宋体" w:eastAsia="仿宋_GB2312" w:cs="宋体"/>
                <w:color w:val="auto"/>
                <w:kern w:val="0"/>
                <w:sz w:val="22"/>
                <w:szCs w:val="22"/>
                <w:lang w:val="en-US" w:eastAsia="zh-CN"/>
              </w:rPr>
            </w:pPr>
            <w:r>
              <w:rPr>
                <w:rFonts w:hint="eastAsia" w:ascii="仿宋_GB2312" w:hAnsi="宋体" w:eastAsia="仿宋_GB2312" w:cs="宋体"/>
                <w:color w:val="auto"/>
                <w:kern w:val="0"/>
                <w:sz w:val="22"/>
                <w:szCs w:val="22"/>
              </w:rPr>
              <w:t>培训机构</w:t>
            </w:r>
            <w:r>
              <w:rPr>
                <w:rFonts w:hint="eastAsia" w:ascii="仿宋_GB2312" w:hAnsi="宋体" w:eastAsia="仿宋_GB2312" w:cs="宋体"/>
                <w:color w:val="auto"/>
                <w:kern w:val="0"/>
                <w:sz w:val="22"/>
                <w:szCs w:val="22"/>
                <w:lang w:val="en-US" w:eastAsia="zh-CN"/>
              </w:rPr>
              <w:t>承担过往年高素质农民培训任务并获得省级主管部门认可及表扬</w:t>
            </w:r>
            <w:r>
              <w:rPr>
                <w:rFonts w:hint="eastAsia" w:ascii="仿宋_GB2312" w:hAnsi="宋体" w:eastAsia="仿宋_GB2312" w:cs="宋体"/>
                <w:color w:val="auto"/>
                <w:kern w:val="0"/>
                <w:sz w:val="22"/>
                <w:szCs w:val="22"/>
              </w:rPr>
              <w:t>（5分）</w:t>
            </w:r>
          </w:p>
        </w:tc>
        <w:tc>
          <w:tcPr>
            <w:tcW w:w="876" w:type="pct"/>
            <w:vAlign w:val="center"/>
          </w:tcPr>
          <w:p w14:paraId="38EB064F">
            <w:pPr>
              <w:widowControl/>
              <w:suppressAutoHyphens/>
              <w:spacing w:line="240" w:lineRule="exact"/>
              <w:jc w:val="center"/>
              <w:rPr>
                <w:rFonts w:ascii="仿宋_GB2312" w:hAnsi="宋体" w:eastAsia="仿宋_GB2312" w:cs="宋体"/>
                <w:color w:val="auto"/>
                <w:kern w:val="0"/>
                <w:sz w:val="22"/>
                <w:szCs w:val="22"/>
              </w:rPr>
            </w:pPr>
          </w:p>
        </w:tc>
      </w:tr>
      <w:tr w14:paraId="537B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75" w:type="pct"/>
            <w:vMerge w:val="continue"/>
            <w:vAlign w:val="center"/>
          </w:tcPr>
          <w:p w14:paraId="4C836A79">
            <w:pPr>
              <w:widowControl/>
              <w:suppressAutoHyphens/>
              <w:spacing w:line="240" w:lineRule="exact"/>
              <w:jc w:val="left"/>
              <w:rPr>
                <w:rFonts w:ascii="仿宋_GB2312" w:hAnsi="宋体" w:eastAsia="仿宋_GB2312" w:cs="宋体"/>
                <w:b/>
                <w:bCs/>
                <w:color w:val="auto"/>
                <w:kern w:val="0"/>
                <w:sz w:val="22"/>
                <w:szCs w:val="22"/>
              </w:rPr>
            </w:pPr>
          </w:p>
        </w:tc>
        <w:tc>
          <w:tcPr>
            <w:tcW w:w="552" w:type="pct"/>
            <w:vMerge w:val="continue"/>
            <w:vAlign w:val="center"/>
          </w:tcPr>
          <w:p w14:paraId="44E2CF63">
            <w:pPr>
              <w:widowControl/>
              <w:suppressAutoHyphens/>
              <w:spacing w:line="240" w:lineRule="exact"/>
              <w:jc w:val="left"/>
              <w:rPr>
                <w:rFonts w:ascii="仿宋_GB2312" w:hAnsi="宋体" w:eastAsia="仿宋_GB2312" w:cs="宋体"/>
                <w:b/>
                <w:bCs/>
                <w:color w:val="auto"/>
                <w:kern w:val="0"/>
                <w:sz w:val="22"/>
                <w:szCs w:val="22"/>
              </w:rPr>
            </w:pPr>
          </w:p>
        </w:tc>
        <w:tc>
          <w:tcPr>
            <w:tcW w:w="3297" w:type="pct"/>
            <w:gridSpan w:val="3"/>
            <w:vAlign w:val="center"/>
          </w:tcPr>
          <w:p w14:paraId="0D7B73CC">
            <w:pPr>
              <w:widowControl/>
              <w:suppressAutoHyphens/>
              <w:spacing w:line="240" w:lineRule="exact"/>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培训方案内容体现</w:t>
            </w:r>
            <w:r>
              <w:rPr>
                <w:rFonts w:hint="eastAsia" w:ascii="仿宋_GB2312" w:hAnsi="宋体" w:eastAsia="仿宋_GB2312" w:cs="宋体"/>
                <w:color w:val="auto"/>
                <w:kern w:val="0"/>
                <w:sz w:val="22"/>
                <w:szCs w:val="22"/>
                <w:lang w:eastAsia="zh-CN"/>
              </w:rPr>
              <w:t>花垣</w:t>
            </w:r>
            <w:r>
              <w:rPr>
                <w:rFonts w:hint="eastAsia" w:ascii="仿宋_GB2312" w:hAnsi="宋体" w:eastAsia="仿宋_GB2312" w:cs="宋体"/>
                <w:color w:val="auto"/>
                <w:kern w:val="0"/>
                <w:sz w:val="22"/>
                <w:szCs w:val="22"/>
              </w:rPr>
              <w:t>县农业产业发展特点，根据学员产业分类分班开展培育并设置相应课程（</w:t>
            </w:r>
            <w:r>
              <w:rPr>
                <w:rFonts w:hint="eastAsia" w:ascii="仿宋_GB2312" w:hAnsi="宋体" w:eastAsia="仿宋_GB2312" w:cs="宋体"/>
                <w:color w:val="auto"/>
                <w:kern w:val="0"/>
                <w:sz w:val="22"/>
                <w:szCs w:val="22"/>
                <w:lang w:val="en-US" w:eastAsia="zh-CN"/>
              </w:rPr>
              <w:t>5</w:t>
            </w:r>
            <w:r>
              <w:rPr>
                <w:rFonts w:hint="eastAsia" w:ascii="仿宋_GB2312" w:hAnsi="宋体" w:eastAsia="仿宋_GB2312" w:cs="宋体"/>
                <w:color w:val="auto"/>
                <w:kern w:val="0"/>
                <w:sz w:val="22"/>
                <w:szCs w:val="22"/>
              </w:rPr>
              <w:t>分）</w:t>
            </w:r>
          </w:p>
        </w:tc>
        <w:tc>
          <w:tcPr>
            <w:tcW w:w="876" w:type="pct"/>
            <w:vAlign w:val="center"/>
          </w:tcPr>
          <w:p w14:paraId="10501FB2">
            <w:pPr>
              <w:widowControl/>
              <w:suppressAutoHyphens/>
              <w:spacing w:line="240" w:lineRule="exact"/>
              <w:jc w:val="center"/>
              <w:rPr>
                <w:rFonts w:ascii="仿宋_GB2312" w:hAnsi="宋体" w:eastAsia="仿宋_GB2312" w:cs="宋体"/>
                <w:color w:val="auto"/>
                <w:kern w:val="0"/>
                <w:sz w:val="22"/>
                <w:szCs w:val="22"/>
              </w:rPr>
            </w:pPr>
          </w:p>
        </w:tc>
      </w:tr>
      <w:tr w14:paraId="2EB5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000" w:type="pct"/>
            <w:gridSpan w:val="6"/>
            <w:vAlign w:val="center"/>
          </w:tcPr>
          <w:p w14:paraId="0C534628">
            <w:pPr>
              <w:widowControl/>
              <w:suppressAutoHyphens/>
              <w:spacing w:line="240" w:lineRule="exact"/>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注：</w:t>
            </w:r>
            <w:r>
              <w:rPr>
                <w:rFonts w:ascii="仿宋_GB2312" w:hAnsi="宋体" w:eastAsia="仿宋_GB2312" w:cs="宋体"/>
                <w:color w:val="auto"/>
                <w:kern w:val="0"/>
                <w:sz w:val="22"/>
                <w:szCs w:val="22"/>
              </w:rPr>
              <w:t>1</w:t>
            </w:r>
            <w:r>
              <w:rPr>
                <w:rFonts w:hint="eastAsia" w:ascii="仿宋_GB2312" w:hAnsi="宋体" w:eastAsia="仿宋_GB2312" w:cs="宋体"/>
                <w:color w:val="auto"/>
                <w:kern w:val="0"/>
                <w:sz w:val="22"/>
                <w:szCs w:val="22"/>
              </w:rPr>
              <w:t>、▲是一票否决项，满足任何一项即失去参加遴选资格。</w:t>
            </w:r>
            <w:r>
              <w:rPr>
                <w:rFonts w:ascii="仿宋_GB2312" w:hAnsi="宋体" w:eastAsia="仿宋_GB2312" w:cs="宋体"/>
                <w:color w:val="auto"/>
                <w:kern w:val="0"/>
                <w:sz w:val="22"/>
                <w:szCs w:val="22"/>
              </w:rPr>
              <w:t>2</w:t>
            </w:r>
            <w:r>
              <w:rPr>
                <w:rFonts w:hint="eastAsia" w:ascii="仿宋_GB2312" w:hAnsi="宋体" w:eastAsia="仿宋_GB2312" w:cs="宋体"/>
                <w:color w:val="auto"/>
                <w:kern w:val="0"/>
                <w:sz w:val="22"/>
                <w:szCs w:val="22"/>
              </w:rPr>
              <w:t>、评审结论标准：综合得分低于</w:t>
            </w:r>
            <w:r>
              <w:rPr>
                <w:rFonts w:ascii="仿宋_GB2312" w:hAnsi="宋体" w:eastAsia="仿宋_GB2312" w:cs="宋体"/>
                <w:color w:val="auto"/>
                <w:kern w:val="0"/>
                <w:sz w:val="22"/>
                <w:szCs w:val="22"/>
              </w:rPr>
              <w:t>60</w:t>
            </w:r>
            <w:r>
              <w:rPr>
                <w:rFonts w:hint="eastAsia" w:ascii="仿宋_GB2312" w:hAnsi="宋体" w:eastAsia="仿宋_GB2312" w:cs="宋体"/>
                <w:color w:val="auto"/>
                <w:kern w:val="0"/>
                <w:sz w:val="22"/>
                <w:szCs w:val="22"/>
              </w:rPr>
              <w:t>分“不可行”；</w:t>
            </w:r>
            <w:r>
              <w:rPr>
                <w:rFonts w:ascii="仿宋_GB2312" w:hAnsi="宋体" w:eastAsia="仿宋_GB2312" w:cs="宋体"/>
                <w:color w:val="auto"/>
                <w:kern w:val="0"/>
                <w:sz w:val="22"/>
                <w:szCs w:val="22"/>
              </w:rPr>
              <w:t>61-79</w:t>
            </w:r>
            <w:r>
              <w:rPr>
                <w:rFonts w:hint="eastAsia" w:ascii="仿宋_GB2312" w:hAnsi="宋体" w:eastAsia="仿宋_GB2312" w:cs="宋体"/>
                <w:color w:val="auto"/>
                <w:kern w:val="0"/>
                <w:sz w:val="22"/>
                <w:szCs w:val="22"/>
              </w:rPr>
              <w:t>分“基本可行“；</w:t>
            </w:r>
            <w:r>
              <w:rPr>
                <w:rFonts w:ascii="仿宋_GB2312" w:hAnsi="宋体" w:eastAsia="仿宋_GB2312" w:cs="宋体"/>
                <w:color w:val="auto"/>
                <w:kern w:val="0"/>
                <w:sz w:val="22"/>
                <w:szCs w:val="22"/>
              </w:rPr>
              <w:t>80</w:t>
            </w:r>
            <w:r>
              <w:rPr>
                <w:rFonts w:hint="eastAsia" w:ascii="仿宋_GB2312" w:hAnsi="宋体" w:eastAsia="仿宋_GB2312" w:cs="宋体"/>
                <w:color w:val="auto"/>
                <w:kern w:val="0"/>
                <w:sz w:val="22"/>
                <w:szCs w:val="22"/>
              </w:rPr>
              <w:t>分以上“可行”。</w:t>
            </w:r>
          </w:p>
        </w:tc>
      </w:tr>
      <w:tr w14:paraId="11F9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333" w:type="pct"/>
            <w:gridSpan w:val="4"/>
            <w:vAlign w:val="center"/>
          </w:tcPr>
          <w:p w14:paraId="2D17D266">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综合得分</w:t>
            </w:r>
          </w:p>
        </w:tc>
        <w:tc>
          <w:tcPr>
            <w:tcW w:w="2667" w:type="pct"/>
            <w:gridSpan w:val="2"/>
            <w:vAlign w:val="center"/>
          </w:tcPr>
          <w:p w14:paraId="6F6D2BC8">
            <w:pPr>
              <w:widowControl/>
              <w:suppressAutoHyphens/>
              <w:spacing w:line="240" w:lineRule="exact"/>
              <w:jc w:val="left"/>
              <w:rPr>
                <w:rFonts w:ascii="仿宋_GB2312" w:hAnsi="宋体" w:eastAsia="仿宋_GB2312" w:cs="宋体"/>
                <w:b/>
                <w:bCs/>
                <w:color w:val="auto"/>
                <w:kern w:val="0"/>
                <w:sz w:val="22"/>
                <w:szCs w:val="22"/>
              </w:rPr>
            </w:pPr>
          </w:p>
        </w:tc>
      </w:tr>
      <w:tr w14:paraId="0DF5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33" w:type="pct"/>
            <w:gridSpan w:val="4"/>
            <w:vAlign w:val="center"/>
          </w:tcPr>
          <w:p w14:paraId="7BDBA593">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评审结论</w:t>
            </w:r>
          </w:p>
        </w:tc>
        <w:tc>
          <w:tcPr>
            <w:tcW w:w="2667" w:type="pct"/>
            <w:gridSpan w:val="2"/>
            <w:vAlign w:val="center"/>
          </w:tcPr>
          <w:p w14:paraId="0F12C5F2">
            <w:pPr>
              <w:widowControl/>
              <w:suppressAutoHyphens/>
              <w:spacing w:line="240" w:lineRule="exact"/>
              <w:jc w:val="center"/>
              <w:rPr>
                <w:rFonts w:ascii="Wingdings 2" w:hAnsi="Wingdings 2" w:eastAsia="宋体" w:cs="宋体"/>
                <w:color w:val="auto"/>
                <w:kern w:val="0"/>
                <w:sz w:val="22"/>
                <w:szCs w:val="22"/>
              </w:rPr>
            </w:pPr>
            <w:r>
              <w:rPr>
                <w:rFonts w:ascii="Wingdings 2" w:hAnsi="Wingdings 2" w:eastAsia="宋体" w:cs="宋体"/>
                <w:color w:val="auto"/>
                <w:kern w:val="0"/>
                <w:sz w:val="22"/>
                <w:szCs w:val="22"/>
              </w:rPr>
              <w:sym w:font="Wingdings 2" w:char="00A3"/>
            </w:r>
            <w:r>
              <w:rPr>
                <w:rFonts w:hint="eastAsia" w:ascii="宋体" w:hAnsi="宋体" w:eastAsia="宋体" w:cs="宋体"/>
                <w:color w:val="auto"/>
                <w:kern w:val="0"/>
                <w:sz w:val="22"/>
                <w:szCs w:val="22"/>
              </w:rPr>
              <w:t xml:space="preserve">可行 </w:t>
            </w:r>
            <w:r>
              <w:rPr>
                <w:rFonts w:ascii="宋体" w:hAnsi="宋体" w:eastAsia="宋体" w:cs="宋体"/>
                <w:color w:val="auto"/>
                <w:kern w:val="0"/>
                <w:sz w:val="22"/>
                <w:szCs w:val="22"/>
              </w:rPr>
              <w:t xml:space="preserve">     </w:t>
            </w:r>
            <w:r>
              <w:rPr>
                <w:rFonts w:ascii="Wingdings 2" w:hAnsi="Wingdings 2" w:eastAsia="宋体" w:cs="宋体"/>
                <w:color w:val="auto"/>
                <w:kern w:val="0"/>
                <w:sz w:val="22"/>
                <w:szCs w:val="22"/>
              </w:rPr>
              <w:t></w:t>
            </w:r>
            <w:r>
              <w:rPr>
                <w:rFonts w:hint="eastAsia" w:ascii="宋体" w:hAnsi="宋体" w:eastAsia="宋体" w:cs="宋体"/>
                <w:color w:val="auto"/>
                <w:kern w:val="0"/>
                <w:sz w:val="22"/>
                <w:szCs w:val="22"/>
              </w:rPr>
              <w:t>基本可行</w:t>
            </w:r>
            <w:r>
              <w:rPr>
                <w:rFonts w:ascii="Wingdings 2" w:hAnsi="Wingdings 2" w:eastAsia="宋体" w:cs="宋体"/>
                <w:color w:val="auto"/>
                <w:kern w:val="0"/>
                <w:sz w:val="22"/>
                <w:szCs w:val="22"/>
              </w:rPr>
              <w:t></w:t>
            </w:r>
            <w:r>
              <w:rPr>
                <w:rFonts w:hint="eastAsia" w:ascii="宋体" w:hAnsi="宋体" w:eastAsia="宋体" w:cs="宋体"/>
                <w:color w:val="auto"/>
                <w:kern w:val="0"/>
                <w:sz w:val="22"/>
                <w:szCs w:val="22"/>
              </w:rPr>
              <w:t>不可行</w:t>
            </w:r>
          </w:p>
        </w:tc>
      </w:tr>
      <w:tr w14:paraId="26CF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33" w:type="pct"/>
            <w:gridSpan w:val="4"/>
            <w:vAlign w:val="center"/>
          </w:tcPr>
          <w:p w14:paraId="4FCB6347">
            <w:pPr>
              <w:widowControl/>
              <w:suppressAutoHyphens/>
              <w:spacing w:line="240" w:lineRule="exact"/>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专家签名</w:t>
            </w:r>
          </w:p>
        </w:tc>
        <w:tc>
          <w:tcPr>
            <w:tcW w:w="2667" w:type="pct"/>
            <w:gridSpan w:val="2"/>
            <w:vAlign w:val="center"/>
          </w:tcPr>
          <w:p w14:paraId="325716F8">
            <w:pPr>
              <w:widowControl/>
              <w:suppressAutoHyphens/>
              <w:spacing w:line="240" w:lineRule="exact"/>
              <w:ind w:firstLine="660" w:firstLineChars="300"/>
              <w:rPr>
                <w:rFonts w:ascii="宋体" w:hAnsi="Calibri" w:eastAsia="宋体" w:cs="宋体"/>
                <w:color w:val="auto"/>
                <w:kern w:val="0"/>
                <w:sz w:val="22"/>
                <w:szCs w:val="22"/>
              </w:rPr>
            </w:pPr>
            <w:r>
              <w:rPr>
                <w:rFonts w:hint="eastAsia" w:ascii="宋体" w:hAnsi="宋体" w:eastAsia="宋体" w:cs="宋体"/>
                <w:color w:val="auto"/>
                <w:kern w:val="0"/>
                <w:sz w:val="22"/>
                <w:szCs w:val="22"/>
              </w:rPr>
              <w:t>评审日期：</w:t>
            </w:r>
          </w:p>
        </w:tc>
      </w:tr>
      <w:bookmarkEnd w:id="0"/>
    </w:tbl>
    <w:p w14:paraId="6A278E03">
      <w:pPr>
        <w:tabs>
          <w:tab w:val="left" w:pos="831"/>
        </w:tabs>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WM1YWY3NDdmMzE5ZTJlOGQxZDVlOTA5YzZhMjMifQ=="/>
  </w:docVars>
  <w:rsids>
    <w:rsidRoot w:val="00000000"/>
    <w:rsid w:val="1DE671D6"/>
    <w:rsid w:val="37FB3286"/>
    <w:rsid w:val="3EF9FD98"/>
    <w:rsid w:val="5FE57F86"/>
    <w:rsid w:val="63D353D5"/>
    <w:rsid w:val="6FD7B755"/>
    <w:rsid w:val="DBBF3DB7"/>
    <w:rsid w:val="DF6E211B"/>
    <w:rsid w:val="E9F3CBC3"/>
    <w:rsid w:val="F5BE0A5F"/>
    <w:rsid w:val="FCDF1346"/>
    <w:rsid w:val="FD8D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link w:val="10"/>
    <w:qFormat/>
    <w:uiPriority w:val="0"/>
    <w:pPr>
      <w:outlineLvl w:val="2"/>
    </w:pPr>
    <w:rPr>
      <w:rFonts w:eastAsia="楷体_GB2312"/>
      <w:b/>
      <w:bCs/>
      <w:szCs w:val="32"/>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w:basedOn w:val="1"/>
    <w:next w:val="1"/>
    <w:qFormat/>
    <w:uiPriority w:val="0"/>
    <w:pPr>
      <w:spacing w:line="680" w:lineRule="exact"/>
      <w:jc w:val="center"/>
    </w:pPr>
    <w:rPr>
      <w:rFonts w:eastAsia="方正大标宋简体"/>
      <w:sz w:val="52"/>
    </w:rPr>
  </w:style>
  <w:style w:type="paragraph" w:styleId="4">
    <w:name w:val="Body Text Indent"/>
    <w:basedOn w:val="1"/>
    <w:qFormat/>
    <w:uiPriority w:val="0"/>
    <w:pPr>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4"/>
    <w:qFormat/>
    <w:uiPriority w:val="0"/>
    <w:pPr>
      <w:ind w:firstLine="420" w:firstLineChars="200"/>
    </w:pPr>
  </w:style>
  <w:style w:type="character" w:customStyle="1" w:styleId="10">
    <w:name w:val="标题 3 Char"/>
    <w:basedOn w:val="9"/>
    <w:link w:val="2"/>
    <w:qFormat/>
    <w:uiPriority w:val="0"/>
    <w:rPr>
      <w:rFonts w:eastAsia="楷体_GB2312"/>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1641</Words>
  <Characters>1712</Characters>
  <Paragraphs>162</Paragraphs>
  <TotalTime>8</TotalTime>
  <ScaleCrop>false</ScaleCrop>
  <LinksUpToDate>false</LinksUpToDate>
  <CharactersWithSpaces>1725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2023-09-02T01:07:00Z</dcterms:created>
  <dc:creator>彭铁柱</dc:creator>
  <cp:lastModifiedBy> rong</cp:lastModifiedBy>
  <cp:lastPrinted>2024-08-28T17:59:00Z</cp:lastPrinted>
  <dcterms:modified xsi:type="dcterms:W3CDTF">2024-10-23T03:21:37Z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A20DD54BE4AE425C824E3A1CB5CE7578_13</vt:lpwstr>
  </property>
</Properties>
</file>