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after="30" w:afterAutospacing="0"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部门整体支出绩效自评报告</w:t>
      </w:r>
    </w:p>
    <w:p>
      <w:pPr>
        <w:keepNext w:val="0"/>
        <w:keepLines w:val="0"/>
        <w:pageBreakBefore w:val="0"/>
        <w:kinsoku/>
        <w:wordWrap/>
        <w:overflowPunct/>
        <w:topLinePunct w:val="0"/>
        <w:autoSpaceDE/>
        <w:autoSpaceDN/>
        <w:bidi w:val="0"/>
        <w:adjustRightInd/>
        <w:spacing w:after="30" w:afterAutospacing="0" w:line="600" w:lineRule="exact"/>
        <w:jc w:val="center"/>
        <w:rPr>
          <w:rFonts w:hint="eastAsia" w:ascii="方正小标宋简体" w:hAnsi="方正小标宋简体" w:eastAsia="方正小标宋简体" w:cs="方正小标宋简体"/>
          <w:sz w:val="44"/>
          <w:szCs w:val="44"/>
          <w:lang w:val="en" w:eastAsia="zh-CN"/>
        </w:rPr>
      </w:pPr>
    </w:p>
    <w:p>
      <w:pPr>
        <w:pStyle w:val="4"/>
        <w:keepNext w:val="0"/>
        <w:keepLines w:val="0"/>
        <w:pageBreakBefore w:val="0"/>
        <w:numPr>
          <w:ilvl w:val="0"/>
          <w:numId w:val="0"/>
        </w:numPr>
        <w:kinsoku/>
        <w:wordWrap/>
        <w:overflowPunct/>
        <w:topLinePunct w:val="0"/>
        <w:autoSpaceDE/>
        <w:autoSpaceDN/>
        <w:bidi w:val="0"/>
        <w:adjustRightInd/>
        <w:spacing w:after="30" w:afterAutospacing="0" w:line="600" w:lineRule="exact"/>
        <w:ind w:firstLine="643" w:firstLineChars="200"/>
        <w:rPr>
          <w:rFonts w:hint="eastAsia" w:ascii="仿宋_GB2312" w:hAnsi="仿宋_GB2312" w:eastAsia="仿宋_GB2312" w:cs="仿宋_GB2312"/>
          <w:b/>
          <w:bCs/>
          <w:sz w:val="32"/>
          <w:szCs w:val="32"/>
          <w:lang w:val="en"/>
        </w:rPr>
      </w:pPr>
      <w:r>
        <w:rPr>
          <w:rFonts w:hint="eastAsia" w:ascii="仿宋_GB2312" w:hAnsi="仿宋_GB2312" w:eastAsia="仿宋_GB2312" w:cs="仿宋_GB2312"/>
          <w:b/>
          <w:bCs/>
          <w:sz w:val="32"/>
          <w:szCs w:val="32"/>
          <w:lang w:val="en" w:eastAsia="zh-CN"/>
        </w:rPr>
        <w:t>一、</w:t>
      </w:r>
      <w:r>
        <w:rPr>
          <w:rFonts w:hint="eastAsia" w:ascii="仿宋_GB2312" w:hAnsi="仿宋_GB2312" w:eastAsia="仿宋_GB2312" w:cs="仿宋_GB2312"/>
          <w:b/>
          <w:bCs/>
          <w:sz w:val="32"/>
          <w:szCs w:val="32"/>
          <w:lang w:val="en"/>
        </w:rPr>
        <w:t>部门</w:t>
      </w:r>
      <w:r>
        <w:rPr>
          <w:rFonts w:hint="eastAsia" w:ascii="仿宋_GB2312" w:hAnsi="仿宋_GB2312" w:eastAsia="仿宋_GB2312" w:cs="仿宋_GB2312"/>
          <w:b/>
          <w:bCs/>
          <w:sz w:val="32"/>
          <w:szCs w:val="32"/>
          <w:lang w:val="en" w:eastAsia="zh-CN"/>
        </w:rPr>
        <w:t>基本情况</w:t>
      </w:r>
    </w:p>
    <w:p>
      <w:pPr>
        <w:keepNext w:val="0"/>
        <w:keepLines w:val="0"/>
        <w:pageBreakBefore w:val="0"/>
        <w:kinsoku/>
        <w:wordWrap/>
        <w:overflowPunct/>
        <w:topLinePunct w:val="0"/>
        <w:autoSpaceDE/>
        <w:autoSpaceDN/>
        <w:bidi w:val="0"/>
        <w:adjustRightInd/>
        <w:snapToGrid w:val="0"/>
        <w:spacing w:after="30" w:afterAutospacing="0" w:line="600" w:lineRule="exact"/>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职能职责</w:t>
      </w:r>
    </w:p>
    <w:p>
      <w:pPr>
        <w:keepNext w:val="0"/>
        <w:keepLines w:val="0"/>
        <w:pageBreakBefore w:val="0"/>
        <w:kinsoku/>
        <w:wordWrap/>
        <w:overflowPunct/>
        <w:topLinePunct w:val="0"/>
        <w:autoSpaceDE/>
        <w:autoSpaceDN/>
        <w:bidi w:val="0"/>
        <w:adjustRightInd/>
        <w:snapToGrid w:val="0"/>
        <w:spacing w:after="30" w:afterAutospacing="0"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花垣县信访局履行以下主要职责：</w:t>
      </w:r>
    </w:p>
    <w:p>
      <w:pPr>
        <w:keepNext w:val="0"/>
        <w:keepLines w:val="0"/>
        <w:pageBreakBefore w:val="0"/>
        <w:kinsoku/>
        <w:wordWrap/>
        <w:overflowPunct/>
        <w:topLinePunct w:val="0"/>
        <w:autoSpaceDE/>
        <w:autoSpaceDN/>
        <w:bidi w:val="0"/>
        <w:adjustRightInd/>
        <w:spacing w:after="30" w:afterAutospacing="0" w:line="60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（1）贯彻落实党的群众路线，推动与群众利益相关政策的实施，推动相关部门尽职尽责处理好群众反映的合理合法诉求。</w:t>
      </w:r>
    </w:p>
    <w:p>
      <w:pPr>
        <w:keepNext w:val="0"/>
        <w:keepLines w:val="0"/>
        <w:pageBreakBefore w:val="0"/>
        <w:kinsoku/>
        <w:wordWrap/>
        <w:overflowPunct/>
        <w:topLinePunct w:val="0"/>
        <w:autoSpaceDE/>
        <w:autoSpaceDN/>
        <w:bidi w:val="0"/>
        <w:adjustRightInd/>
        <w:spacing w:after="30" w:afterAutospacing="0" w:line="60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（2）受理人民群众给县委、县人民政府及其主要领导的来信，接待群众来访，为来信来访群众提供有关法律、法规和政策咨询服务。</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3）承办县委、县人民政府和上级机关批转及交办的重要信访事项，督查领导批示件的落实情况；向乡镇和县直部门交办信访案件，督促检查重要信访事项的处理和落实；通报全县重大突出的信访问题；参与有关部门需共同处理的信访事项。</w:t>
      </w:r>
    </w:p>
    <w:p>
      <w:pPr>
        <w:keepNext w:val="0"/>
        <w:keepLines w:val="0"/>
        <w:pageBreakBefore w:val="0"/>
        <w:kinsoku/>
        <w:wordWrap/>
        <w:overflowPunct/>
        <w:topLinePunct w:val="0"/>
        <w:autoSpaceDE/>
        <w:autoSpaceDN/>
        <w:bidi w:val="0"/>
        <w:adjustRightInd/>
        <w:spacing w:after="30" w:afterAutospacing="0" w:line="60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（4）协调处理跨乡镇、跨部门的重要信访问题；协调处理群众到县到州赴省进京上访和突发信访事件；处理各种信访矛盾与纠纷，维护全县社会稳定。</w:t>
      </w:r>
    </w:p>
    <w:p>
      <w:pPr>
        <w:keepNext w:val="0"/>
        <w:keepLines w:val="0"/>
        <w:pageBreakBefore w:val="0"/>
        <w:kinsoku/>
        <w:wordWrap/>
        <w:overflowPunct/>
        <w:topLinePunct w:val="0"/>
        <w:autoSpaceDE/>
        <w:autoSpaceDN/>
        <w:bidi w:val="0"/>
        <w:adjustRightInd/>
        <w:snapToGrid w:val="0"/>
        <w:spacing w:after="30" w:afterAutospacing="0"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（5）调查了解社情民意，分析提供信访信息，为县委、县人民政府提供科学决策服务，发挥参谋助手作用。</w:t>
      </w:r>
    </w:p>
    <w:p>
      <w:pPr>
        <w:keepNext w:val="0"/>
        <w:keepLines w:val="0"/>
        <w:pageBreakBefore w:val="0"/>
        <w:kinsoku/>
        <w:wordWrap/>
        <w:overflowPunct/>
        <w:topLinePunct w:val="0"/>
        <w:autoSpaceDE/>
        <w:autoSpaceDN/>
        <w:bidi w:val="0"/>
        <w:adjustRightInd/>
        <w:spacing w:after="30" w:afterAutospacing="0" w:line="60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（6）布置、检查、协调和指导全县信访工作；研究、草拟全县有关信访工作的规章制度草案；总结推广各乡镇、县直各部门信访工作经验，提出改进和加强信访工作的意见和建议。</w:t>
      </w:r>
    </w:p>
    <w:p>
      <w:pPr>
        <w:keepNext w:val="0"/>
        <w:keepLines w:val="0"/>
        <w:pageBreakBefore w:val="0"/>
        <w:kinsoku/>
        <w:wordWrap/>
        <w:overflowPunct/>
        <w:topLinePunct w:val="0"/>
        <w:autoSpaceDE/>
        <w:autoSpaceDN/>
        <w:bidi w:val="0"/>
        <w:adjustRightInd/>
        <w:spacing w:after="30" w:afterAutospacing="0" w:line="60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（7）了解掌握全县信访工作机构和队伍建设情况，组织信访干部培训；办理县委、县人民政府及上级业务主管部门交办的其他事项。</w:t>
      </w:r>
    </w:p>
    <w:p>
      <w:pPr>
        <w:keepNext w:val="0"/>
        <w:keepLines w:val="0"/>
        <w:pageBreakBefore w:val="0"/>
        <w:kinsoku/>
        <w:wordWrap/>
        <w:overflowPunct/>
        <w:topLinePunct w:val="0"/>
        <w:autoSpaceDE/>
        <w:autoSpaceDN/>
        <w:bidi w:val="0"/>
        <w:adjustRightInd/>
        <w:spacing w:after="30" w:afterAutospacing="0" w:line="600" w:lineRule="exact"/>
        <w:ind w:firstLine="643" w:firstLineChars="200"/>
        <w:jc w:val="left"/>
        <w:textAlignment w:val="auto"/>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2、机构设置</w:t>
      </w:r>
    </w:p>
    <w:p>
      <w:pPr>
        <w:keepNext w:val="0"/>
        <w:keepLines w:val="0"/>
        <w:pageBreakBefore w:val="0"/>
        <w:kinsoku/>
        <w:wordWrap/>
        <w:overflowPunct/>
        <w:topLinePunct w:val="0"/>
        <w:autoSpaceDE/>
        <w:autoSpaceDN/>
        <w:bidi w:val="0"/>
        <w:adjustRightInd/>
        <w:snapToGrid w:val="0"/>
        <w:spacing w:after="30" w:afterAutospacing="0"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花垣县信访局由1个行政单位，1个二级机构及6个内设科室组成。行政单位具体为：花垣县信访局；二级机构具体为：花垣县信访接待办理中心，花垣县信访接待办理中心为我局管理的股级非独立核算的全额拨款事业单位；内设科室具体为：办公室、网信股、办信股、督查室、信访接待室、财务室。</w:t>
      </w:r>
    </w:p>
    <w:p>
      <w:pPr>
        <w:keepNext w:val="0"/>
        <w:keepLines w:val="0"/>
        <w:pageBreakBefore w:val="0"/>
        <w:numPr>
          <w:ilvl w:val="0"/>
          <w:numId w:val="1"/>
        </w:numPr>
        <w:kinsoku/>
        <w:wordWrap/>
        <w:overflowPunct/>
        <w:topLinePunct w:val="0"/>
        <w:autoSpaceDE/>
        <w:autoSpaceDN/>
        <w:bidi w:val="0"/>
        <w:adjustRightInd/>
        <w:spacing w:after="30" w:afterAutospacing="0"/>
        <w:ind w:firstLine="643" w:firstLineChars="200"/>
        <w:jc w:val="left"/>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人员情况</w:t>
      </w:r>
    </w:p>
    <w:p>
      <w:pPr>
        <w:keepNext w:val="0"/>
        <w:keepLines w:val="0"/>
        <w:pageBreakBefore w:val="0"/>
        <w:kinsoku/>
        <w:wordWrap/>
        <w:overflowPunct/>
        <w:topLinePunct w:val="0"/>
        <w:autoSpaceDE/>
        <w:autoSpaceDN/>
        <w:bidi w:val="0"/>
        <w:adjustRightInd/>
        <w:snapToGrid w:val="0"/>
        <w:spacing w:after="30" w:afterAutospacing="0"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2020年我单位人员编制数为29人，比上年减少9个编制人数，主要原因是县编办调减9个编；2020年末实有人数28人（行政编制4人，实有5人，工勤编制2人，实有2人，事业编制 23人，实有21人；离退休人员5人，其中：离休 0人，退休5人），比上年实有人数增加3人，主要原因是本年度我单位新进非参公事业单位人员5人，调出2人，年末实有在职人数比上年增加3人。</w:t>
      </w:r>
    </w:p>
    <w:p>
      <w:pPr>
        <w:pStyle w:val="7"/>
        <w:keepNext w:val="0"/>
        <w:keepLines w:val="0"/>
        <w:pageBreakBefore w:val="0"/>
        <w:kinsoku/>
        <w:wordWrap/>
        <w:overflowPunct/>
        <w:topLinePunct w:val="0"/>
        <w:autoSpaceDE/>
        <w:autoSpaceDN/>
        <w:bidi w:val="0"/>
        <w:adjustRightInd/>
        <w:spacing w:after="30" w:afterAutospacing="0" w:line="360" w:lineRule="auto"/>
        <w:ind w:firstLine="581" w:firstLineChars="181"/>
        <w:textAlignment w:val="auto"/>
        <w:rPr>
          <w:rFonts w:ascii="仿宋_GB2312" w:hAnsi="仿宋" w:eastAsia="仿宋_GB2312"/>
          <w:b/>
          <w:bCs/>
          <w:sz w:val="32"/>
          <w:szCs w:val="32"/>
        </w:rPr>
      </w:pPr>
      <w:r>
        <w:rPr>
          <w:rFonts w:ascii="仿宋_GB2312" w:hAnsi="仿宋" w:eastAsia="仿宋_GB2312"/>
          <w:b/>
          <w:bCs/>
          <w:sz w:val="32"/>
          <w:szCs w:val="32"/>
        </w:rPr>
        <w:t>（二）部门（单位）部门支出规模、使用方向和主要内容、涉及范围</w:t>
      </w:r>
    </w:p>
    <w:p>
      <w:pPr>
        <w:keepNext w:val="0"/>
        <w:keepLines w:val="0"/>
        <w:pageBreakBefore w:val="0"/>
        <w:kinsoku/>
        <w:wordWrap/>
        <w:overflowPunct/>
        <w:topLinePunct w:val="0"/>
        <w:autoSpaceDE/>
        <w:autoSpaceDN/>
        <w:bidi w:val="0"/>
        <w:adjustRightInd/>
        <w:snapToGrid w:val="0"/>
        <w:spacing w:after="30" w:afterAutospacing="0"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1、年度资金收支决算情况</w:t>
      </w:r>
    </w:p>
    <w:p>
      <w:pPr>
        <w:keepNext w:val="0"/>
        <w:keepLines w:val="0"/>
        <w:pageBreakBefore w:val="0"/>
        <w:kinsoku/>
        <w:wordWrap/>
        <w:overflowPunct/>
        <w:topLinePunct w:val="0"/>
        <w:autoSpaceDE/>
        <w:autoSpaceDN/>
        <w:bidi w:val="0"/>
        <w:adjustRightInd/>
        <w:snapToGrid w:val="0"/>
        <w:spacing w:after="30" w:afterAutospacing="0"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2020年我单位收入决算总计567.06万元，其中：一般公共预算财政拨款收入563.81万元，占本年收入99.42%；其他收入3.25万元，占本年收入0.58%。</w:t>
      </w:r>
    </w:p>
    <w:p>
      <w:pPr>
        <w:keepNext w:val="0"/>
        <w:keepLines w:val="0"/>
        <w:pageBreakBefore w:val="0"/>
        <w:kinsoku/>
        <w:wordWrap/>
        <w:overflowPunct/>
        <w:topLinePunct w:val="0"/>
        <w:autoSpaceDE/>
        <w:autoSpaceDN/>
        <w:bidi w:val="0"/>
        <w:adjustRightInd/>
        <w:snapToGrid w:val="0"/>
        <w:spacing w:after="30" w:afterAutospacing="0"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2020年我单位支出决算总计546.25万元。其中：基本支出347.61万元，占总支出的63.64%；项目支出198.64万元，占总支出的36.36%。</w:t>
      </w:r>
    </w:p>
    <w:p>
      <w:pPr>
        <w:keepNext w:val="0"/>
        <w:keepLines w:val="0"/>
        <w:pageBreakBefore w:val="0"/>
        <w:kinsoku/>
        <w:wordWrap/>
        <w:overflowPunct/>
        <w:topLinePunct w:val="0"/>
        <w:autoSpaceDE/>
        <w:autoSpaceDN/>
        <w:bidi w:val="0"/>
        <w:adjustRightInd/>
        <w:snapToGrid w:val="0"/>
        <w:spacing w:after="30" w:afterAutospacing="0"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2、“三公经费”支出使用和管理情况</w:t>
      </w:r>
    </w:p>
    <w:p>
      <w:pPr>
        <w:keepNext w:val="0"/>
        <w:keepLines w:val="0"/>
        <w:pageBreakBefore w:val="0"/>
        <w:kinsoku/>
        <w:wordWrap/>
        <w:overflowPunct/>
        <w:topLinePunct w:val="0"/>
        <w:autoSpaceDE/>
        <w:autoSpaceDN/>
        <w:bidi w:val="0"/>
        <w:adjustRightInd/>
        <w:snapToGrid w:val="0"/>
        <w:spacing w:after="30" w:afterAutospacing="0"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2020年我单位按照州、县财政机关财务管理办法的规定，严格执行中央八项规定，省委九项规定、约法三章和州委七条规定精神，厉行节约，从严控制“三公”经费支出，取得了良好效果。2020年度“三公经费”预算数为3.93万元，“三公经费”决算数为0.39万元，其中：公务接待费0.39万元，主要用于上级及周边县市考察调研、执行任务等信访工作接待；2020年我单位无因公出国（境）费、车辆运行维护费以及车辆购置费。</w:t>
      </w:r>
    </w:p>
    <w:p>
      <w:pPr>
        <w:keepNext w:val="0"/>
        <w:keepLines w:val="0"/>
        <w:pageBreakBefore w:val="0"/>
        <w:kinsoku/>
        <w:wordWrap/>
        <w:overflowPunct/>
        <w:topLinePunct w:val="0"/>
        <w:autoSpaceDE/>
        <w:autoSpaceDN/>
        <w:bidi w:val="0"/>
        <w:adjustRightInd/>
        <w:snapToGrid w:val="0"/>
        <w:spacing w:after="30" w:afterAutospacing="0"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3、部门资产配置情况</w:t>
      </w:r>
    </w:p>
    <w:p>
      <w:pPr>
        <w:keepNext w:val="0"/>
        <w:keepLines w:val="0"/>
        <w:pageBreakBefore w:val="0"/>
        <w:kinsoku/>
        <w:wordWrap/>
        <w:overflowPunct/>
        <w:topLinePunct w:val="0"/>
        <w:autoSpaceDE/>
        <w:autoSpaceDN/>
        <w:bidi w:val="0"/>
        <w:adjustRightInd/>
        <w:snapToGrid w:val="0"/>
        <w:spacing w:after="30" w:afterAutospacing="0"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截至2020年12月31日，我单位资产总额（账面净值）为169.84万元，较上年增长8.35%。负债总额0万元 ,较上年增长0.00%。净资产169.84万元 ,较上年增长8.35%。</w:t>
      </w:r>
    </w:p>
    <w:p>
      <w:pPr>
        <w:keepNext w:val="0"/>
        <w:keepLines w:val="0"/>
        <w:pageBreakBefore w:val="0"/>
        <w:kinsoku/>
        <w:wordWrap/>
        <w:overflowPunct/>
        <w:topLinePunct w:val="0"/>
        <w:autoSpaceDE/>
        <w:autoSpaceDN/>
        <w:bidi w:val="0"/>
        <w:adjustRightInd/>
        <w:snapToGrid w:val="0"/>
        <w:spacing w:after="30" w:afterAutospacing="0"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2020 年度，我单位配置固定资产4.74万元（账面原值）。从资产类别分析，配置通用设备4.14万元，占87.35% ；配置家具、用具、装具及动植物0.6万元，占12.65 % 。从配置方式分析，新购3.63万元，占76.49 %；调拨1.12万元，占23.51%。</w:t>
      </w:r>
    </w:p>
    <w:p>
      <w:pPr>
        <w:keepNext w:val="0"/>
        <w:keepLines w:val="0"/>
        <w:pageBreakBefore w:val="0"/>
        <w:kinsoku/>
        <w:wordWrap/>
        <w:overflowPunct/>
        <w:topLinePunct w:val="0"/>
        <w:autoSpaceDE/>
        <w:autoSpaceDN/>
        <w:bidi w:val="0"/>
        <w:adjustRightInd/>
        <w:snapToGrid w:val="0"/>
        <w:spacing w:after="30" w:afterAutospacing="0"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4、部门政府采购情况</w:t>
      </w:r>
    </w:p>
    <w:p>
      <w:pPr>
        <w:keepNext w:val="0"/>
        <w:keepLines w:val="0"/>
        <w:pageBreakBefore w:val="0"/>
        <w:kinsoku/>
        <w:wordWrap/>
        <w:overflowPunct/>
        <w:topLinePunct w:val="0"/>
        <w:autoSpaceDE/>
        <w:autoSpaceDN/>
        <w:bidi w:val="0"/>
        <w:adjustRightInd/>
        <w:snapToGrid w:val="0"/>
        <w:spacing w:after="30" w:afterAutospacing="0"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本单位2020年度政府采购支出总额3.63万元，均为政府采购货物支出，具体为</w:t>
      </w:r>
      <w:r>
        <w:rPr>
          <w:rFonts w:hint="eastAsia" w:ascii="仿宋_GB2312" w:hAnsi="仿宋_GB2312" w:eastAsia="仿宋_GB2312" w:cs="仿宋_GB2312"/>
          <w:b w:val="0"/>
          <w:bCs w:val="0"/>
          <w:color w:val="auto"/>
          <w:sz w:val="32"/>
          <w:szCs w:val="32"/>
          <w:lang w:val="en" w:eastAsia="zh-CN"/>
        </w:rPr>
        <w:t>采购办公设备、打印机、饮水机、单位食堂器具等固定资产</w:t>
      </w:r>
      <w:r>
        <w:rPr>
          <w:rFonts w:hint="eastAsia" w:ascii="仿宋_GB2312" w:hAnsi="仿宋_GB2312" w:eastAsia="仿宋_GB2312" w:cs="仿宋_GB2312"/>
          <w:b w:val="0"/>
          <w:bCs w:val="0"/>
          <w:color w:val="auto"/>
          <w:sz w:val="32"/>
          <w:szCs w:val="32"/>
          <w:lang w:val="en-US" w:eastAsia="zh-CN"/>
        </w:rPr>
        <w:t>3.63万元。</w:t>
      </w:r>
    </w:p>
    <w:p>
      <w:pPr>
        <w:keepNext w:val="0"/>
        <w:keepLines w:val="0"/>
        <w:pageBreakBefore w:val="0"/>
        <w:kinsoku/>
        <w:wordWrap/>
        <w:overflowPunct/>
        <w:topLinePunct w:val="0"/>
        <w:autoSpaceDE/>
        <w:autoSpaceDN/>
        <w:bidi w:val="0"/>
        <w:adjustRightInd/>
        <w:snapToGrid w:val="0"/>
        <w:spacing w:after="30" w:afterAutospacing="0"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5、公用经费执行情况</w:t>
      </w:r>
    </w:p>
    <w:p>
      <w:pPr>
        <w:keepNext w:val="0"/>
        <w:keepLines w:val="0"/>
        <w:pageBreakBefore w:val="0"/>
        <w:kinsoku/>
        <w:wordWrap/>
        <w:overflowPunct/>
        <w:topLinePunct w:val="0"/>
        <w:autoSpaceDE/>
        <w:autoSpaceDN/>
        <w:bidi w:val="0"/>
        <w:adjustRightInd/>
        <w:snapToGrid w:val="0"/>
        <w:spacing w:after="30" w:afterAutospacing="0" w:line="60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 w:eastAsia="zh-CN"/>
        </w:rPr>
        <w:t>2020年我单位的公用经费当年一般公共预算拨款</w:t>
      </w:r>
      <w:r>
        <w:rPr>
          <w:rFonts w:hint="eastAsia" w:ascii="仿宋_GB2312" w:hAnsi="仿宋_GB2312" w:eastAsia="仿宋_GB2312" w:cs="仿宋_GB2312"/>
          <w:b w:val="0"/>
          <w:bCs w:val="0"/>
          <w:color w:val="auto"/>
          <w:sz w:val="32"/>
          <w:szCs w:val="32"/>
          <w:lang w:val="en-US" w:eastAsia="zh-CN"/>
        </w:rPr>
        <w:t>41.87</w:t>
      </w:r>
      <w:r>
        <w:rPr>
          <w:rFonts w:hint="eastAsia" w:ascii="仿宋_GB2312" w:hAnsi="仿宋_GB2312" w:eastAsia="仿宋_GB2312" w:cs="仿宋_GB2312"/>
          <w:b w:val="0"/>
          <w:bCs w:val="0"/>
          <w:color w:val="auto"/>
          <w:sz w:val="32"/>
          <w:szCs w:val="32"/>
          <w:lang w:val="en" w:eastAsia="zh-CN"/>
        </w:rPr>
        <w:t>万元，决算数</w:t>
      </w:r>
      <w:r>
        <w:rPr>
          <w:rFonts w:hint="eastAsia" w:ascii="仿宋_GB2312" w:hAnsi="仿宋_GB2312" w:eastAsia="仿宋_GB2312" w:cs="仿宋_GB2312"/>
          <w:b w:val="0"/>
          <w:bCs w:val="0"/>
          <w:color w:val="auto"/>
          <w:sz w:val="32"/>
          <w:szCs w:val="32"/>
          <w:lang w:val="en-US" w:eastAsia="zh-CN"/>
        </w:rPr>
        <w:t>37.39万元比上年决算数增加12.15万元，主要是因为我单位新进新进非参公事业单位人员5人，相关机关运行费增加。</w:t>
      </w:r>
    </w:p>
    <w:p>
      <w:pPr>
        <w:keepNext w:val="0"/>
        <w:keepLines w:val="0"/>
        <w:pageBreakBefore w:val="0"/>
        <w:kinsoku/>
        <w:wordWrap/>
        <w:overflowPunct/>
        <w:topLinePunct w:val="0"/>
        <w:autoSpaceDE/>
        <w:autoSpaceDN/>
        <w:bidi w:val="0"/>
        <w:adjustRightInd/>
        <w:snapToGrid w:val="0"/>
        <w:spacing w:after="30" w:afterAutospacing="0"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6、绩效目标申报情况</w:t>
      </w:r>
    </w:p>
    <w:p>
      <w:pPr>
        <w:keepNext w:val="0"/>
        <w:keepLines w:val="0"/>
        <w:pageBreakBefore w:val="0"/>
        <w:kinsoku/>
        <w:wordWrap/>
        <w:overflowPunct/>
        <w:topLinePunct w:val="0"/>
        <w:autoSpaceDE/>
        <w:autoSpaceDN/>
        <w:bidi w:val="0"/>
        <w:adjustRightInd/>
        <w:snapToGrid w:val="0"/>
        <w:spacing w:after="30" w:afterAutospacing="0" w:line="60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根据预算绩效管理要求，2020年我单位积极开展整体支出绩效目标申报。在收支预算内，确保完成以下整体目标：认真履行保稳定、促发展、建和谐的根本职能，积极畅通信访渠道，依法规范信访秩序，切实解决群众诉求，妥善处理信访突出问题和群体性事件，全面加强信访工作各项建设。</w:t>
      </w:r>
    </w:p>
    <w:p>
      <w:pPr>
        <w:keepNext w:val="0"/>
        <w:keepLines w:val="0"/>
        <w:pageBreakBefore w:val="0"/>
        <w:kinsoku/>
        <w:wordWrap/>
        <w:overflowPunct/>
        <w:topLinePunct w:val="0"/>
        <w:autoSpaceDE/>
        <w:autoSpaceDN/>
        <w:bidi w:val="0"/>
        <w:adjustRightInd/>
        <w:snapToGrid w:val="0"/>
        <w:spacing w:after="30" w:afterAutospacing="0"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二、一般公共预算支出情况</w:t>
      </w:r>
    </w:p>
    <w:p>
      <w:pPr>
        <w:keepNext w:val="0"/>
        <w:keepLines w:val="0"/>
        <w:pageBreakBefore w:val="0"/>
        <w:kinsoku/>
        <w:wordWrap/>
        <w:overflowPunct/>
        <w:topLinePunct w:val="0"/>
        <w:autoSpaceDE/>
        <w:autoSpaceDN/>
        <w:bidi w:val="0"/>
        <w:adjustRightInd/>
        <w:snapToGrid w:val="0"/>
        <w:spacing w:after="30" w:afterAutospacing="0"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（一）基本支出情况</w:t>
      </w:r>
    </w:p>
    <w:p>
      <w:pPr>
        <w:keepNext w:val="0"/>
        <w:keepLines w:val="0"/>
        <w:pageBreakBefore w:val="0"/>
        <w:kinsoku/>
        <w:wordWrap/>
        <w:overflowPunct/>
        <w:topLinePunct w:val="0"/>
        <w:autoSpaceDE/>
        <w:autoSpaceDN/>
        <w:bidi w:val="0"/>
        <w:adjustRightInd/>
        <w:snapToGrid w:val="0"/>
        <w:spacing w:after="30" w:afterAutospacing="0"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2020年我单位基本支出347.61万元，其中工资福利支出249.53万元；商品和服务支出37.39万元；对个人和家庭的补助60.69万元。 </w:t>
      </w:r>
    </w:p>
    <w:p>
      <w:pPr>
        <w:keepNext w:val="0"/>
        <w:keepLines w:val="0"/>
        <w:pageBreakBefore w:val="0"/>
        <w:kinsoku/>
        <w:wordWrap/>
        <w:overflowPunct/>
        <w:topLinePunct w:val="0"/>
        <w:autoSpaceDE/>
        <w:autoSpaceDN/>
        <w:bidi w:val="0"/>
        <w:adjustRightInd/>
        <w:snapToGrid w:val="0"/>
        <w:spacing w:after="30" w:afterAutospacing="0"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（二）项目支出情况</w:t>
      </w:r>
    </w:p>
    <w:p>
      <w:pPr>
        <w:keepNext w:val="0"/>
        <w:keepLines w:val="0"/>
        <w:pageBreakBefore w:val="0"/>
        <w:kinsoku/>
        <w:wordWrap/>
        <w:overflowPunct/>
        <w:topLinePunct w:val="0"/>
        <w:autoSpaceDE/>
        <w:autoSpaceDN/>
        <w:bidi w:val="0"/>
        <w:adjustRightInd/>
        <w:snapToGrid w:val="0"/>
        <w:spacing w:after="30" w:afterAutospacing="0"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1、年度专项资金收支情况</w:t>
      </w:r>
    </w:p>
    <w:p>
      <w:pPr>
        <w:keepNext w:val="0"/>
        <w:keepLines w:val="0"/>
        <w:pageBreakBefore w:val="0"/>
        <w:kinsoku/>
        <w:wordWrap/>
        <w:overflowPunct/>
        <w:topLinePunct w:val="0"/>
        <w:autoSpaceDE/>
        <w:autoSpaceDN/>
        <w:bidi w:val="0"/>
        <w:adjustRightInd/>
        <w:snapToGrid w:val="0"/>
        <w:spacing w:after="30" w:afterAutospacing="0" w:line="60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2020年我单位项目收入217.38万元，上年结转结余96万元。项目支出198.64万元，年末结转结余114.75万元。</w:t>
      </w:r>
    </w:p>
    <w:p>
      <w:pPr>
        <w:keepNext w:val="0"/>
        <w:keepLines w:val="0"/>
        <w:pageBreakBefore w:val="0"/>
        <w:kinsoku/>
        <w:wordWrap/>
        <w:overflowPunct/>
        <w:topLinePunct w:val="0"/>
        <w:autoSpaceDE/>
        <w:autoSpaceDN/>
        <w:bidi w:val="0"/>
        <w:adjustRightInd/>
        <w:snapToGrid w:val="0"/>
        <w:spacing w:after="30" w:afterAutospacing="0"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2、项目资金使用情况</w:t>
      </w:r>
    </w:p>
    <w:p>
      <w:pPr>
        <w:keepNext w:val="0"/>
        <w:keepLines w:val="0"/>
        <w:pageBreakBefore w:val="0"/>
        <w:kinsoku/>
        <w:wordWrap/>
        <w:overflowPunct/>
        <w:topLinePunct w:val="0"/>
        <w:autoSpaceDE/>
        <w:autoSpaceDN/>
        <w:bidi w:val="0"/>
        <w:adjustRightInd/>
        <w:snapToGrid w:val="0"/>
        <w:spacing w:after="30" w:afterAutospacing="0"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2020年项目支出198.64万元，主要为：</w:t>
      </w:r>
    </w:p>
    <w:p>
      <w:pPr>
        <w:keepNext w:val="0"/>
        <w:keepLines w:val="0"/>
        <w:pageBreakBefore w:val="0"/>
        <w:kinsoku/>
        <w:wordWrap/>
        <w:overflowPunct/>
        <w:topLinePunct w:val="0"/>
        <w:autoSpaceDE/>
        <w:autoSpaceDN/>
        <w:bidi w:val="0"/>
        <w:adjustRightInd/>
        <w:snapToGrid w:val="0"/>
        <w:spacing w:after="30" w:afterAutospacing="0"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商品和服务支出182.8万元，具体为：办公费22.9万元、印刷费3.86万元、水费0.45万元、电费1.9万元、邮电费1.19万元、物业管理费2.55万元、差旅费55.72万元、维修（护）费0.24万元、租赁费28.6万元、培训费0.27万元、公务接待费0.32万元、劳务费2.21万元、委托业务费0.36万元、工会经费3.71万元、福利费4.48万元、其他交通费3.4万元、其他商品和服务支出50.61万元</w:t>
      </w:r>
    </w:p>
    <w:p>
      <w:pPr>
        <w:keepNext w:val="0"/>
        <w:keepLines w:val="0"/>
        <w:pageBreakBefore w:val="0"/>
        <w:kinsoku/>
        <w:wordWrap/>
        <w:overflowPunct/>
        <w:topLinePunct w:val="0"/>
        <w:autoSpaceDE/>
        <w:autoSpaceDN/>
        <w:bidi w:val="0"/>
        <w:adjustRightInd/>
        <w:snapToGrid w:val="0"/>
        <w:spacing w:after="30" w:afterAutospacing="0" w:line="60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对个人和家庭的补助12.21万元，具体为：奖励金12.21万元。</w:t>
      </w:r>
    </w:p>
    <w:p>
      <w:pPr>
        <w:keepNext w:val="0"/>
        <w:keepLines w:val="0"/>
        <w:pageBreakBefore w:val="0"/>
        <w:kinsoku/>
        <w:wordWrap/>
        <w:overflowPunct/>
        <w:topLinePunct w:val="0"/>
        <w:autoSpaceDE/>
        <w:autoSpaceDN/>
        <w:bidi w:val="0"/>
        <w:adjustRightInd/>
        <w:snapToGrid w:val="0"/>
        <w:spacing w:after="30" w:afterAutospacing="0" w:line="60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资本性支出3.63万元，具体为：办公设备购置3.63万元。</w:t>
      </w:r>
    </w:p>
    <w:p>
      <w:pPr>
        <w:keepNext w:val="0"/>
        <w:keepLines w:val="0"/>
        <w:pageBreakBefore w:val="0"/>
        <w:kinsoku/>
        <w:wordWrap/>
        <w:overflowPunct/>
        <w:topLinePunct w:val="0"/>
        <w:autoSpaceDE/>
        <w:autoSpaceDN/>
        <w:bidi w:val="0"/>
        <w:adjustRightInd/>
        <w:snapToGrid w:val="0"/>
        <w:spacing w:after="30" w:afterAutospacing="0"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3、项目管理情况</w:t>
      </w:r>
    </w:p>
    <w:p>
      <w:pPr>
        <w:keepNext w:val="0"/>
        <w:keepLines w:val="0"/>
        <w:pageBreakBefore w:val="0"/>
        <w:kinsoku/>
        <w:wordWrap/>
        <w:overflowPunct/>
        <w:topLinePunct w:val="0"/>
        <w:autoSpaceDE/>
        <w:autoSpaceDN/>
        <w:bidi w:val="0"/>
        <w:adjustRightInd/>
        <w:snapToGrid w:val="0"/>
        <w:spacing w:after="30" w:afterAutospacing="0"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2020年信访维稳项目支出预算450万元，实际到位资金217.38万元，上年结转96万元，本年项目支出198.64万元项目负责人信访维稳专项主要用于：1、各特护期期间值班维稳工作；2、接访劝返人民群众到各级反映问题；3、处理各类突发、群体性事件；4、疑难信访问题救助等方面。</w:t>
      </w:r>
    </w:p>
    <w:p>
      <w:pPr>
        <w:keepNext w:val="0"/>
        <w:keepLines w:val="0"/>
        <w:pageBreakBefore w:val="0"/>
        <w:kinsoku/>
        <w:wordWrap/>
        <w:overflowPunct/>
        <w:topLinePunct w:val="0"/>
        <w:autoSpaceDE/>
        <w:autoSpaceDN/>
        <w:bidi w:val="0"/>
        <w:adjustRightInd/>
        <w:snapToGrid w:val="0"/>
        <w:spacing w:after="30" w:afterAutospacing="0"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为加强财政项目资金管理，增强责任意识，切实提高资金使用效益，经局班子研究调整花垣县信访局《财务管理制度》，并严格遵照执行。</w:t>
      </w:r>
    </w:p>
    <w:p>
      <w:pPr>
        <w:keepNext w:val="0"/>
        <w:keepLines w:val="0"/>
        <w:pageBreakBefore w:val="0"/>
        <w:kinsoku/>
        <w:wordWrap/>
        <w:overflowPunct/>
        <w:topLinePunct w:val="0"/>
        <w:autoSpaceDE/>
        <w:autoSpaceDN/>
        <w:bidi w:val="0"/>
        <w:adjustRightInd/>
        <w:snapToGrid w:val="0"/>
        <w:spacing w:after="30" w:afterAutospacing="0"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三、政府性基金预算支出情况</w:t>
      </w:r>
    </w:p>
    <w:p>
      <w:pPr>
        <w:keepNext w:val="0"/>
        <w:keepLines w:val="0"/>
        <w:pageBreakBefore w:val="0"/>
        <w:kinsoku/>
        <w:wordWrap/>
        <w:overflowPunct/>
        <w:topLinePunct w:val="0"/>
        <w:autoSpaceDE/>
        <w:autoSpaceDN/>
        <w:bidi w:val="0"/>
        <w:adjustRightInd/>
        <w:snapToGrid w:val="0"/>
        <w:spacing w:after="30" w:afterAutospacing="0"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val="0"/>
        <w:spacing w:after="30" w:afterAutospacing="0"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四、国有资本经营预算支出情况</w:t>
      </w:r>
    </w:p>
    <w:p>
      <w:pPr>
        <w:keepNext w:val="0"/>
        <w:keepLines w:val="0"/>
        <w:pageBreakBefore w:val="0"/>
        <w:kinsoku/>
        <w:wordWrap/>
        <w:overflowPunct/>
        <w:topLinePunct w:val="0"/>
        <w:autoSpaceDE/>
        <w:autoSpaceDN/>
        <w:bidi w:val="0"/>
        <w:adjustRightInd/>
        <w:snapToGrid w:val="0"/>
        <w:spacing w:after="30" w:afterAutospacing="0"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val="0"/>
        <w:spacing w:after="30" w:afterAutospacing="0" w:line="60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五、社会保险基金预算支出情况</w:t>
      </w:r>
    </w:p>
    <w:p>
      <w:pPr>
        <w:keepNext w:val="0"/>
        <w:keepLines w:val="0"/>
        <w:pageBreakBefore w:val="0"/>
        <w:kinsoku/>
        <w:wordWrap/>
        <w:overflowPunct/>
        <w:topLinePunct w:val="0"/>
        <w:autoSpaceDE/>
        <w:autoSpaceDN/>
        <w:bidi w:val="0"/>
        <w:adjustRightInd/>
        <w:snapToGrid w:val="0"/>
        <w:spacing w:after="30" w:afterAutospacing="0"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val="0"/>
        <w:spacing w:after="30" w:afterAutospacing="0" w:line="60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六、部门整体支出绩效情况</w:t>
      </w:r>
    </w:p>
    <w:p>
      <w:pPr>
        <w:keepNext w:val="0"/>
        <w:keepLines w:val="0"/>
        <w:pageBreakBefore w:val="0"/>
        <w:kinsoku/>
        <w:wordWrap/>
        <w:overflowPunct/>
        <w:topLinePunct w:val="0"/>
        <w:autoSpaceDE/>
        <w:autoSpaceDN/>
        <w:bidi w:val="0"/>
        <w:adjustRightInd/>
        <w:snapToGrid w:val="0"/>
        <w:spacing w:after="30" w:afterAutospacing="0"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2020年我单位收入决算总计567.06万元，支出决算总计546.25万元。</w:t>
      </w:r>
    </w:p>
    <w:p>
      <w:pPr>
        <w:keepNext w:val="0"/>
        <w:keepLines w:val="0"/>
        <w:pageBreakBefore w:val="0"/>
        <w:kinsoku/>
        <w:wordWrap/>
        <w:overflowPunct/>
        <w:topLinePunct w:val="0"/>
        <w:autoSpaceDE/>
        <w:autoSpaceDN/>
        <w:bidi w:val="0"/>
        <w:adjustRightInd/>
        <w:snapToGrid w:val="0"/>
        <w:spacing w:after="30" w:afterAutospacing="0"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今年来，我局紧紧围绕县委、县政府中心工作，认真履行保稳定、促发展、建和谐的根本职能，积极畅通信访渠道，依法规范信访秩序，切实解决群众诉求，妥善处理信访突出问题和群体性事件，全面加强信访工作各项建设。通过强化制度执行，抓好突出信访问题化解；强化责任落实，抓好上级交办信访件办理；强化“四重”攻坚，抓好信访重点问题处理；强化业务培训，抓好群众来信网信件办理；强化法制宣传，抓好正面引导规范信访秩序；强化党建引领，抓好学习提高和廉政建设等工作方法，全县信访总量趋于下降可控态势。</w:t>
      </w:r>
    </w:p>
    <w:p>
      <w:pPr>
        <w:keepNext w:val="0"/>
        <w:keepLines w:val="0"/>
        <w:pageBreakBefore w:val="0"/>
        <w:kinsoku/>
        <w:wordWrap/>
        <w:overflowPunct/>
        <w:topLinePunct w:val="0"/>
        <w:autoSpaceDE/>
        <w:autoSpaceDN/>
        <w:bidi w:val="0"/>
        <w:adjustRightInd/>
        <w:snapToGrid w:val="0"/>
        <w:spacing w:after="30" w:afterAutospacing="0"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2020年，我县信访总量达965人（件）次，同比下降39.5%。其中办理（网信、来信）各类信件196件，同比下降47.2%；群众到县及县以上上访769人次，同比下降37.1%，其中到县访555人次，同比下降42.72%；到州访27人次，同比增长92.8%；赴省访62人次，同比下降61%；进京访125人次，同比增长54.3%，进京非访5人次，同比下降28.6%。</w:t>
      </w:r>
      <w:r>
        <w:rPr>
          <w:rFonts w:hint="eastAsia" w:ascii="仿宋_GB2312" w:hAnsi="宋体" w:eastAsia="仿宋_GB2312" w:cs="Times New Roman"/>
          <w:sz w:val="32"/>
          <w:szCs w:val="32"/>
        </w:rPr>
        <w:t>我局通过湖南省信访信息系统办理网上信访案件群众满意率</w:t>
      </w:r>
      <w:r>
        <w:rPr>
          <w:rFonts w:hint="eastAsia" w:ascii="仿宋_GB2312" w:hAnsi="宋体" w:eastAsia="仿宋_GB2312" w:cs="Times New Roman"/>
          <w:sz w:val="32"/>
          <w:szCs w:val="32"/>
          <w:lang w:val="en-US" w:eastAsia="zh-CN"/>
        </w:rPr>
        <w:t>95.1</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eastAsia="zh-CN"/>
        </w:rPr>
        <w:t>，切实做到了社会认可，群众满意。</w:t>
      </w:r>
    </w:p>
    <w:p>
      <w:pPr>
        <w:keepNext w:val="0"/>
        <w:keepLines w:val="0"/>
        <w:pageBreakBefore w:val="0"/>
        <w:kinsoku/>
        <w:wordWrap/>
        <w:overflowPunct/>
        <w:topLinePunct w:val="0"/>
        <w:autoSpaceDE/>
        <w:autoSpaceDN/>
        <w:bidi w:val="0"/>
        <w:adjustRightInd/>
        <w:snapToGrid w:val="0"/>
        <w:spacing w:after="30" w:afterAutospacing="0"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2020年没有出现因信访问题处置不当造成的重大恶性事件和群体性事件。重要会议、重大活动特护期间没有发生赴省进京非访现象。在各项经济活动中，从未发生重大经济损失及出现任何经济犯罪现象。</w:t>
      </w:r>
    </w:p>
    <w:p>
      <w:pPr>
        <w:keepNext w:val="0"/>
        <w:keepLines w:val="0"/>
        <w:pageBreakBefore w:val="0"/>
        <w:kinsoku/>
        <w:wordWrap/>
        <w:overflowPunct/>
        <w:topLinePunct w:val="0"/>
        <w:autoSpaceDE/>
        <w:autoSpaceDN/>
        <w:bidi w:val="0"/>
        <w:adjustRightInd/>
        <w:snapToGrid w:val="0"/>
        <w:spacing w:after="30" w:afterAutospacing="0"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七、存在的问题及原因分析</w:t>
      </w:r>
    </w:p>
    <w:p>
      <w:pPr>
        <w:keepNext w:val="0"/>
        <w:keepLines w:val="0"/>
        <w:pageBreakBefore w:val="0"/>
        <w:kinsoku/>
        <w:wordWrap/>
        <w:overflowPunct/>
        <w:topLinePunct w:val="0"/>
        <w:autoSpaceDE/>
        <w:autoSpaceDN/>
        <w:bidi w:val="0"/>
        <w:adjustRightInd/>
        <w:snapToGrid w:val="0"/>
        <w:spacing w:after="30" w:afterAutospacing="0"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（一）财务制度执行力有待加强，资金使用计划有待细化。</w:t>
      </w:r>
    </w:p>
    <w:p>
      <w:pPr>
        <w:keepNext w:val="0"/>
        <w:keepLines w:val="0"/>
        <w:pageBreakBefore w:val="0"/>
        <w:kinsoku/>
        <w:wordWrap/>
        <w:overflowPunct/>
        <w:topLinePunct w:val="0"/>
        <w:autoSpaceDE/>
        <w:autoSpaceDN/>
        <w:bidi w:val="0"/>
        <w:adjustRightInd/>
        <w:snapToGrid w:val="0"/>
        <w:spacing w:after="30" w:afterAutospacing="0"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（二）项目经费未预算到我单位，导致部门决算报表中年初预算数与决算数差异很大，不具有可比性。</w:t>
      </w:r>
    </w:p>
    <w:p>
      <w:pPr>
        <w:keepNext w:val="0"/>
        <w:keepLines w:val="0"/>
        <w:pageBreakBefore w:val="0"/>
        <w:kinsoku/>
        <w:wordWrap/>
        <w:overflowPunct/>
        <w:topLinePunct w:val="0"/>
        <w:autoSpaceDE/>
        <w:autoSpaceDN/>
        <w:bidi w:val="0"/>
        <w:adjustRightInd/>
        <w:snapToGrid w:val="0"/>
        <w:spacing w:after="30" w:afterAutospacing="0"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（三）安排的办公经费不足，难以确保日常工作正常开展。</w:t>
      </w:r>
    </w:p>
    <w:p>
      <w:pPr>
        <w:keepNext w:val="0"/>
        <w:keepLines w:val="0"/>
        <w:pageBreakBefore w:val="0"/>
        <w:kinsoku/>
        <w:wordWrap/>
        <w:overflowPunct/>
        <w:topLinePunct w:val="0"/>
        <w:autoSpaceDE/>
        <w:autoSpaceDN/>
        <w:bidi w:val="0"/>
        <w:adjustRightInd/>
        <w:snapToGrid w:val="0"/>
        <w:spacing w:after="30" w:afterAutospacing="0"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八、下一步改进措施</w:t>
      </w:r>
    </w:p>
    <w:p>
      <w:pPr>
        <w:keepNext w:val="0"/>
        <w:keepLines w:val="0"/>
        <w:pageBreakBefore w:val="0"/>
        <w:kinsoku/>
        <w:wordWrap/>
        <w:overflowPunct/>
        <w:topLinePunct w:val="0"/>
        <w:autoSpaceDE/>
        <w:autoSpaceDN/>
        <w:bidi w:val="0"/>
        <w:adjustRightInd/>
        <w:snapToGrid w:val="0"/>
        <w:spacing w:after="30" w:afterAutospacing="0"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加强政策学习，提高思想认识。组织单位人员认真学习《预算法》等相关法规、制度，提高单位领导对全面预算管理的重视程度，增强财务人员的预算意识，坚持先有预算、后有支出，没有预算不得支出的支出理念。</w:t>
      </w:r>
    </w:p>
    <w:p>
      <w:pPr>
        <w:keepNext w:val="0"/>
        <w:keepLines w:val="0"/>
        <w:pageBreakBefore w:val="0"/>
        <w:kinsoku/>
        <w:wordWrap/>
        <w:overflowPunct/>
        <w:topLinePunct w:val="0"/>
        <w:autoSpaceDE/>
        <w:autoSpaceDN/>
        <w:bidi w:val="0"/>
        <w:adjustRightInd/>
        <w:snapToGrid w:val="0"/>
        <w:spacing w:after="30" w:afterAutospacing="0"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（二）加强财务管理，严格财务审核。在费用报账支付时，按照预算规定的费用项目和用途进行资金使用审核、列报支付、财务核算，杜绝超支现象的发生。</w:t>
      </w:r>
    </w:p>
    <w:p>
      <w:pPr>
        <w:keepNext w:val="0"/>
        <w:keepLines w:val="0"/>
        <w:pageBreakBefore w:val="0"/>
        <w:kinsoku/>
        <w:wordWrap/>
        <w:overflowPunct/>
        <w:topLinePunct w:val="0"/>
        <w:autoSpaceDE/>
        <w:autoSpaceDN/>
        <w:bidi w:val="0"/>
        <w:adjustRightInd/>
        <w:snapToGrid w:val="0"/>
        <w:spacing w:after="30" w:afterAutospacing="0"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（三）细化预算编制工作，加强项目开展进度的跟踪。</w:t>
      </w:r>
    </w:p>
    <w:p>
      <w:pPr>
        <w:keepNext w:val="0"/>
        <w:keepLines w:val="0"/>
        <w:pageBreakBefore w:val="0"/>
        <w:kinsoku/>
        <w:wordWrap/>
        <w:overflowPunct/>
        <w:topLinePunct w:val="0"/>
        <w:autoSpaceDE/>
        <w:autoSpaceDN/>
        <w:bidi w:val="0"/>
        <w:adjustRightInd/>
        <w:snapToGrid w:val="0"/>
        <w:spacing w:after="30" w:afterAutospacing="0"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val="0"/>
        <w:spacing w:after="30" w:afterAutospacing="0"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val="0"/>
        <w:spacing w:after="30" w:afterAutospacing="0"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val="0"/>
        <w:spacing w:after="30" w:afterAutospacing="0"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val="0"/>
        <w:spacing w:after="30" w:afterAutospacing="0" w:line="600" w:lineRule="exact"/>
        <w:ind w:firstLine="640" w:firstLineChars="200"/>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花垣县信访局</w:t>
      </w:r>
    </w:p>
    <w:p>
      <w:pPr>
        <w:keepNext w:val="0"/>
        <w:keepLines w:val="0"/>
        <w:pageBreakBefore w:val="0"/>
        <w:kinsoku/>
        <w:wordWrap/>
        <w:overflowPunct/>
        <w:topLinePunct w:val="0"/>
        <w:autoSpaceDE/>
        <w:autoSpaceDN/>
        <w:bidi w:val="0"/>
        <w:adjustRightInd/>
        <w:snapToGrid w:val="0"/>
        <w:spacing w:after="30" w:afterAutospacing="0" w:line="600" w:lineRule="exact"/>
        <w:ind w:firstLine="640" w:firstLineChars="200"/>
        <w:jc w:val="righ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2021年6月29日</w:t>
      </w:r>
    </w:p>
    <w:p>
      <w:pPr>
        <w:keepNext w:val="0"/>
        <w:keepLines w:val="0"/>
        <w:pageBreakBefore w:val="0"/>
        <w:kinsoku/>
        <w:wordWrap/>
        <w:overflowPunct/>
        <w:topLinePunct w:val="0"/>
        <w:autoSpaceDE/>
        <w:autoSpaceDN/>
        <w:bidi w:val="0"/>
        <w:adjustRightInd/>
        <w:snapToGrid w:val="0"/>
        <w:spacing w:after="30" w:afterAutospacing="0" w:line="600" w:lineRule="exact"/>
        <w:ind w:firstLine="640" w:firstLineChars="200"/>
        <w:jc w:val="right"/>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val="0"/>
        <w:spacing w:after="30" w:afterAutospacing="0" w:line="600" w:lineRule="exact"/>
        <w:ind w:firstLine="640" w:firstLineChars="200"/>
        <w:jc w:val="right"/>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val="0"/>
        <w:spacing w:after="30" w:afterAutospacing="0" w:line="600" w:lineRule="exact"/>
        <w:ind w:firstLine="640" w:firstLineChars="200"/>
        <w:jc w:val="right"/>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val="0"/>
        <w:spacing w:after="30" w:afterAutospacing="0" w:line="600" w:lineRule="exact"/>
        <w:ind w:firstLine="640" w:firstLineChars="200"/>
        <w:jc w:val="right"/>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val="0"/>
        <w:spacing w:after="30" w:afterAutospacing="0" w:line="600" w:lineRule="exact"/>
        <w:ind w:firstLine="640" w:firstLineChars="200"/>
        <w:jc w:val="right"/>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val="0"/>
        <w:spacing w:after="30" w:afterAutospacing="0" w:line="600" w:lineRule="exact"/>
        <w:ind w:firstLine="640" w:firstLineChars="200"/>
        <w:jc w:val="right"/>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val="0"/>
        <w:spacing w:after="30" w:afterAutospacing="0" w:line="600" w:lineRule="exact"/>
        <w:ind w:firstLine="640" w:firstLineChars="200"/>
        <w:jc w:val="right"/>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val="0"/>
        <w:spacing w:after="30" w:afterAutospacing="0" w:line="600" w:lineRule="exact"/>
        <w:jc w:val="both"/>
        <w:textAlignment w:val="auto"/>
        <w:rPr>
          <w:rFonts w:hint="eastAsia" w:ascii="仿宋_GB2312" w:hAnsi="仿宋_GB2312" w:eastAsia="仿宋_GB2312" w:cs="仿宋_GB2312"/>
          <w:b w:val="0"/>
          <w:bCs w:val="0"/>
          <w:color w:val="auto"/>
          <w:sz w:val="32"/>
          <w:szCs w:val="32"/>
          <w:lang w:val="en-US" w:eastAsia="zh-CN"/>
        </w:rPr>
      </w:pPr>
    </w:p>
    <w:p>
      <w:pPr>
        <w:rPr>
          <w:rFonts w:hint="eastAsia"/>
          <w:sz w:val="28"/>
          <w:szCs w:val="28"/>
        </w:rPr>
      </w:pPr>
      <w:r>
        <w:rPr>
          <w:rFonts w:hint="eastAsia"/>
          <w:sz w:val="28"/>
          <w:szCs w:val="28"/>
        </w:rPr>
        <w:t>附件2：</w:t>
      </w:r>
      <w:bookmarkStart w:id="0" w:name="_GoBack"/>
      <w:bookmarkEnd w:id="0"/>
    </w:p>
    <w:p>
      <w:pPr>
        <w:rPr>
          <w:rFonts w:hint="eastAsia"/>
        </w:rPr>
      </w:pPr>
    </w:p>
    <w:tbl>
      <w:tblPr>
        <w:tblStyle w:val="5"/>
        <w:tblW w:w="0" w:type="auto"/>
        <w:tblInd w:w="93" w:type="dxa"/>
        <w:tblLayout w:type="fixed"/>
        <w:tblCellMar>
          <w:top w:w="0" w:type="dxa"/>
          <w:left w:w="108" w:type="dxa"/>
          <w:bottom w:w="0" w:type="dxa"/>
          <w:right w:w="108" w:type="dxa"/>
        </w:tblCellMar>
      </w:tblPr>
      <w:tblGrid>
        <w:gridCol w:w="2500"/>
        <w:gridCol w:w="2280"/>
        <w:gridCol w:w="2380"/>
        <w:gridCol w:w="2080"/>
      </w:tblGrid>
      <w:tr>
        <w:tblPrEx>
          <w:tblCellMar>
            <w:top w:w="0" w:type="dxa"/>
            <w:left w:w="108" w:type="dxa"/>
            <w:bottom w:w="0" w:type="dxa"/>
            <w:right w:w="108" w:type="dxa"/>
          </w:tblCellMar>
        </w:tblPrEx>
        <w:trPr>
          <w:trHeight w:val="540" w:hRule="atLeast"/>
        </w:trPr>
        <w:tc>
          <w:tcPr>
            <w:tcW w:w="9240" w:type="dxa"/>
            <w:gridSpan w:val="4"/>
            <w:tcBorders>
              <w:top w:val="nil"/>
              <w:left w:val="nil"/>
              <w:bottom w:val="nil"/>
              <w:right w:val="nil"/>
            </w:tcBorders>
            <w:noWrap w:val="0"/>
            <w:vAlign w:val="center"/>
          </w:tcPr>
          <w:p>
            <w:pPr>
              <w:widowControl/>
              <w:jc w:val="center"/>
              <w:rPr>
                <w:rFonts w:ascii="黑体" w:hAnsi="黑体" w:eastAsia="黑体" w:cs="宋体"/>
                <w:bCs/>
                <w:kern w:val="0"/>
                <w:sz w:val="36"/>
                <w:szCs w:val="36"/>
              </w:rPr>
            </w:pPr>
            <w:r>
              <w:rPr>
                <w:rFonts w:hint="eastAsia" w:ascii="黑体" w:hAnsi="黑体" w:eastAsia="黑体" w:cs="宋体"/>
                <w:bCs/>
                <w:kern w:val="0"/>
                <w:sz w:val="36"/>
                <w:szCs w:val="36"/>
              </w:rPr>
              <w:t>部门整体支出绩效评价基础数据表</w:t>
            </w:r>
          </w:p>
        </w:tc>
      </w:tr>
      <w:tr>
        <w:tblPrEx>
          <w:tblCellMar>
            <w:top w:w="0" w:type="dxa"/>
            <w:left w:w="108" w:type="dxa"/>
            <w:bottom w:w="0" w:type="dxa"/>
            <w:right w:w="108" w:type="dxa"/>
          </w:tblCellMar>
        </w:tblPrEx>
        <w:trPr>
          <w:trHeight w:val="375" w:hRule="atLeast"/>
        </w:trPr>
        <w:tc>
          <w:tcPr>
            <w:tcW w:w="2500" w:type="dxa"/>
            <w:tcBorders>
              <w:top w:val="nil"/>
              <w:left w:val="nil"/>
              <w:bottom w:val="single" w:color="auto" w:sz="4" w:space="0"/>
              <w:right w:val="nil"/>
            </w:tcBorders>
            <w:noWrap w:val="0"/>
            <w:vAlign w:val="center"/>
          </w:tcPr>
          <w:p>
            <w:pPr>
              <w:widowControl/>
              <w:jc w:val="left"/>
              <w:rPr>
                <w:rFonts w:ascii="仿宋" w:hAnsi="仿宋" w:eastAsia="仿宋" w:cs="宋体"/>
                <w:b/>
                <w:bCs/>
                <w:kern w:val="0"/>
                <w:sz w:val="28"/>
                <w:szCs w:val="28"/>
              </w:rPr>
            </w:pPr>
            <w:r>
              <w:rPr>
                <w:rFonts w:hint="eastAsia" w:ascii="仿宋" w:hAnsi="仿宋" w:eastAsia="仿宋" w:cs="宋体"/>
                <w:b/>
                <w:bCs/>
                <w:kern w:val="0"/>
                <w:sz w:val="28"/>
                <w:szCs w:val="28"/>
              </w:rPr>
              <w:t>填报单位：</w:t>
            </w:r>
          </w:p>
        </w:tc>
        <w:tc>
          <w:tcPr>
            <w:tcW w:w="2280" w:type="dxa"/>
            <w:tcBorders>
              <w:top w:val="nil"/>
              <w:left w:val="nil"/>
              <w:bottom w:val="single" w:color="auto" w:sz="4" w:space="0"/>
              <w:right w:val="nil"/>
            </w:tcBorders>
            <w:noWrap w:val="0"/>
            <w:vAlign w:val="center"/>
          </w:tcPr>
          <w:p>
            <w:pPr>
              <w:widowControl/>
              <w:jc w:val="center"/>
              <w:rPr>
                <w:rFonts w:ascii="仿宋" w:hAnsi="仿宋" w:eastAsia="仿宋" w:cs="宋体"/>
                <w:b/>
                <w:bCs/>
                <w:kern w:val="0"/>
                <w:sz w:val="28"/>
                <w:szCs w:val="28"/>
              </w:rPr>
            </w:pPr>
            <w:r>
              <w:rPr>
                <w:rFonts w:hint="eastAsia" w:ascii="仿宋" w:hAnsi="仿宋" w:eastAsia="仿宋" w:cs="宋体"/>
                <w:b/>
                <w:bCs/>
                <w:kern w:val="0"/>
                <w:sz w:val="28"/>
                <w:szCs w:val="28"/>
              </w:rPr>
              <w:t>　</w:t>
            </w:r>
          </w:p>
        </w:tc>
        <w:tc>
          <w:tcPr>
            <w:tcW w:w="2380" w:type="dxa"/>
            <w:tcBorders>
              <w:top w:val="nil"/>
              <w:left w:val="nil"/>
              <w:bottom w:val="single" w:color="auto" w:sz="4" w:space="0"/>
              <w:right w:val="nil"/>
            </w:tcBorders>
            <w:noWrap w:val="0"/>
            <w:vAlign w:val="center"/>
          </w:tcPr>
          <w:p>
            <w:pPr>
              <w:widowControl/>
              <w:jc w:val="center"/>
              <w:rPr>
                <w:rFonts w:ascii="仿宋" w:hAnsi="仿宋" w:eastAsia="仿宋" w:cs="宋体"/>
                <w:b/>
                <w:bCs/>
                <w:kern w:val="0"/>
                <w:sz w:val="28"/>
                <w:szCs w:val="28"/>
              </w:rPr>
            </w:pPr>
            <w:r>
              <w:rPr>
                <w:rFonts w:hint="eastAsia" w:ascii="仿宋" w:hAnsi="仿宋" w:eastAsia="仿宋" w:cs="宋体"/>
                <w:b/>
                <w:bCs/>
                <w:kern w:val="0"/>
                <w:sz w:val="28"/>
                <w:szCs w:val="28"/>
              </w:rPr>
              <w:t>　</w:t>
            </w:r>
          </w:p>
        </w:tc>
        <w:tc>
          <w:tcPr>
            <w:tcW w:w="2080" w:type="dxa"/>
            <w:tcBorders>
              <w:top w:val="nil"/>
              <w:left w:val="nil"/>
              <w:bottom w:val="single" w:color="auto" w:sz="4" w:space="0"/>
              <w:right w:val="nil"/>
            </w:tcBorders>
            <w:noWrap w:val="0"/>
            <w:vAlign w:val="center"/>
          </w:tcPr>
          <w:p>
            <w:pPr>
              <w:widowControl/>
              <w:jc w:val="center"/>
              <w:rPr>
                <w:rFonts w:ascii="仿宋" w:hAnsi="仿宋" w:eastAsia="仿宋" w:cs="宋体"/>
                <w:b/>
                <w:bCs/>
                <w:kern w:val="0"/>
                <w:sz w:val="28"/>
                <w:szCs w:val="28"/>
              </w:rPr>
            </w:pPr>
            <w:r>
              <w:rPr>
                <w:rFonts w:hint="eastAsia" w:ascii="仿宋" w:hAnsi="仿宋" w:eastAsia="仿宋" w:cs="宋体"/>
                <w:b/>
                <w:bCs/>
                <w:kern w:val="0"/>
                <w:sz w:val="28"/>
                <w:szCs w:val="28"/>
              </w:rPr>
              <w:t>　</w:t>
            </w:r>
          </w:p>
        </w:tc>
      </w:tr>
      <w:tr>
        <w:tblPrEx>
          <w:tblCellMar>
            <w:top w:w="0" w:type="dxa"/>
            <w:left w:w="108" w:type="dxa"/>
            <w:bottom w:w="0" w:type="dxa"/>
            <w:right w:w="108" w:type="dxa"/>
          </w:tblCellMar>
        </w:tblPrEx>
        <w:trPr>
          <w:trHeight w:val="914" w:hRule="atLeast"/>
        </w:trPr>
        <w:tc>
          <w:tcPr>
            <w:tcW w:w="250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财政供养人员情况</w:t>
            </w:r>
          </w:p>
        </w:tc>
        <w:tc>
          <w:tcPr>
            <w:tcW w:w="228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编制数</w:t>
            </w:r>
          </w:p>
        </w:tc>
        <w:tc>
          <w:tcPr>
            <w:tcW w:w="238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20</w:t>
            </w:r>
            <w:r>
              <w:rPr>
                <w:rFonts w:ascii="宋体" w:hAnsi="宋体" w:cs="宋体"/>
                <w:b/>
                <w:bCs/>
                <w:kern w:val="0"/>
                <w:szCs w:val="21"/>
              </w:rPr>
              <w:t>20</w:t>
            </w:r>
            <w:r>
              <w:rPr>
                <w:rFonts w:hint="eastAsia" w:ascii="宋体" w:hAnsi="宋体" w:cs="宋体"/>
                <w:b/>
                <w:bCs/>
                <w:kern w:val="0"/>
                <w:szCs w:val="21"/>
              </w:rPr>
              <w:t>年实际在职人数</w:t>
            </w:r>
          </w:p>
        </w:tc>
        <w:tc>
          <w:tcPr>
            <w:tcW w:w="208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控制率</w:t>
            </w:r>
          </w:p>
        </w:tc>
      </w:tr>
      <w:tr>
        <w:tblPrEx>
          <w:tblCellMar>
            <w:top w:w="0" w:type="dxa"/>
            <w:left w:w="108" w:type="dxa"/>
            <w:bottom w:w="0" w:type="dxa"/>
            <w:right w:w="108" w:type="dxa"/>
          </w:tblCellMar>
        </w:tblPrEx>
        <w:trPr>
          <w:trHeight w:val="499" w:hRule="atLeast"/>
        </w:trPr>
        <w:tc>
          <w:tcPr>
            <w:tcW w:w="25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Cs w:val="21"/>
              </w:rPr>
            </w:pPr>
          </w:p>
        </w:tc>
        <w:tc>
          <w:tcPr>
            <w:tcW w:w="228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lang w:val="en-US" w:eastAsia="zh-CN"/>
              </w:rPr>
              <w:t>29</w:t>
            </w:r>
            <w:r>
              <w:rPr>
                <w:rFonts w:hint="eastAsia" w:ascii="宋体" w:hAnsi="宋体" w:cs="宋体"/>
                <w:b/>
                <w:bCs/>
                <w:kern w:val="0"/>
                <w:szCs w:val="21"/>
              </w:rPr>
              <w:t>　</w:t>
            </w:r>
          </w:p>
        </w:tc>
        <w:tc>
          <w:tcPr>
            <w:tcW w:w="2380"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b/>
                <w:bCs/>
                <w:kern w:val="0"/>
                <w:szCs w:val="21"/>
                <w:lang w:val="en-US" w:eastAsia="zh-CN"/>
              </w:rPr>
            </w:pPr>
            <w:r>
              <w:rPr>
                <w:rFonts w:hint="eastAsia" w:ascii="宋体" w:hAnsi="宋体" w:cs="宋体"/>
                <w:b/>
                <w:bCs/>
                <w:kern w:val="0"/>
                <w:szCs w:val="21"/>
              </w:rPr>
              <w:t>　</w:t>
            </w:r>
            <w:r>
              <w:rPr>
                <w:rFonts w:hint="eastAsia" w:ascii="宋体" w:hAnsi="宋体" w:cs="宋体"/>
                <w:b/>
                <w:bCs/>
                <w:kern w:val="0"/>
                <w:szCs w:val="21"/>
                <w:lang w:val="en-US" w:eastAsia="zh-CN"/>
              </w:rPr>
              <w:t>28</w:t>
            </w:r>
          </w:p>
        </w:tc>
        <w:tc>
          <w:tcPr>
            <w:tcW w:w="2080"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b/>
                <w:bCs/>
                <w:kern w:val="0"/>
                <w:szCs w:val="21"/>
                <w:lang w:val="en-US" w:eastAsia="zh-CN"/>
              </w:rPr>
            </w:pPr>
            <w:r>
              <w:rPr>
                <w:rFonts w:hint="eastAsia" w:ascii="宋体" w:hAnsi="宋体" w:cs="宋体"/>
                <w:b/>
                <w:bCs/>
                <w:kern w:val="0"/>
                <w:szCs w:val="21"/>
              </w:rPr>
              <w:t>　</w:t>
            </w:r>
            <w:r>
              <w:rPr>
                <w:rFonts w:hint="eastAsia" w:ascii="宋体" w:hAnsi="宋体" w:cs="宋体"/>
                <w:b/>
                <w:bCs/>
                <w:kern w:val="0"/>
                <w:szCs w:val="21"/>
                <w:lang w:val="en-US" w:eastAsia="zh-CN"/>
              </w:rPr>
              <w:t>96.55%</w:t>
            </w:r>
          </w:p>
        </w:tc>
      </w:tr>
      <w:tr>
        <w:tblPrEx>
          <w:tblCellMar>
            <w:top w:w="0" w:type="dxa"/>
            <w:left w:w="108" w:type="dxa"/>
            <w:bottom w:w="0" w:type="dxa"/>
            <w:right w:w="108" w:type="dxa"/>
          </w:tblCellMar>
        </w:tblPrEx>
        <w:trPr>
          <w:trHeight w:val="499" w:hRule="atLeast"/>
        </w:trPr>
        <w:tc>
          <w:tcPr>
            <w:tcW w:w="25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经费控制情况</w:t>
            </w:r>
          </w:p>
        </w:tc>
        <w:tc>
          <w:tcPr>
            <w:tcW w:w="228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201</w:t>
            </w:r>
            <w:r>
              <w:rPr>
                <w:rFonts w:ascii="宋体" w:hAnsi="宋体" w:cs="宋体"/>
                <w:b/>
                <w:bCs/>
                <w:kern w:val="0"/>
                <w:szCs w:val="21"/>
              </w:rPr>
              <w:t>9</w:t>
            </w:r>
            <w:r>
              <w:rPr>
                <w:rFonts w:hint="eastAsia" w:ascii="宋体" w:hAnsi="宋体" w:cs="宋体"/>
                <w:b/>
                <w:bCs/>
                <w:kern w:val="0"/>
                <w:szCs w:val="21"/>
              </w:rPr>
              <w:t>年决算数</w:t>
            </w:r>
          </w:p>
        </w:tc>
        <w:tc>
          <w:tcPr>
            <w:tcW w:w="238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20</w:t>
            </w:r>
            <w:r>
              <w:rPr>
                <w:rFonts w:ascii="宋体" w:hAnsi="宋体" w:cs="宋体"/>
                <w:b/>
                <w:bCs/>
                <w:kern w:val="0"/>
                <w:szCs w:val="21"/>
              </w:rPr>
              <w:t>20</w:t>
            </w:r>
            <w:r>
              <w:rPr>
                <w:rFonts w:hint="eastAsia" w:ascii="宋体" w:hAnsi="宋体" w:cs="宋体"/>
                <w:b/>
                <w:bCs/>
                <w:kern w:val="0"/>
                <w:szCs w:val="21"/>
              </w:rPr>
              <w:t>年预算数</w:t>
            </w:r>
          </w:p>
        </w:tc>
        <w:tc>
          <w:tcPr>
            <w:tcW w:w="208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20</w:t>
            </w:r>
            <w:r>
              <w:rPr>
                <w:rFonts w:ascii="宋体" w:hAnsi="宋体" w:cs="宋体"/>
                <w:b/>
                <w:bCs/>
                <w:kern w:val="0"/>
                <w:szCs w:val="21"/>
              </w:rPr>
              <w:t>20</w:t>
            </w:r>
            <w:r>
              <w:rPr>
                <w:rFonts w:hint="eastAsia" w:ascii="宋体" w:hAnsi="宋体" w:cs="宋体"/>
                <w:b/>
                <w:bCs/>
                <w:kern w:val="0"/>
                <w:szCs w:val="21"/>
              </w:rPr>
              <w:t>年决算数</w:t>
            </w:r>
          </w:p>
        </w:tc>
      </w:tr>
      <w:tr>
        <w:tblPrEx>
          <w:tblCellMar>
            <w:top w:w="0" w:type="dxa"/>
            <w:left w:w="108" w:type="dxa"/>
            <w:bottom w:w="0" w:type="dxa"/>
            <w:right w:w="108" w:type="dxa"/>
          </w:tblCellMar>
        </w:tblPrEx>
        <w:trPr>
          <w:trHeight w:val="499" w:hRule="atLeast"/>
        </w:trPr>
        <w:tc>
          <w:tcPr>
            <w:tcW w:w="25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三公经费</w:t>
            </w:r>
          </w:p>
        </w:tc>
        <w:tc>
          <w:tcPr>
            <w:tcW w:w="228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lang w:val="en-US" w:eastAsia="zh-CN"/>
              </w:rPr>
              <w:t>0.33</w:t>
            </w:r>
          </w:p>
        </w:tc>
        <w:tc>
          <w:tcPr>
            <w:tcW w:w="238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eastAsiaTheme="minorEastAsia"/>
                <w:b/>
                <w:bCs/>
                <w:kern w:val="0"/>
                <w:szCs w:val="21"/>
                <w:lang w:eastAsia="zh-CN"/>
              </w:rPr>
            </w:pPr>
            <w:r>
              <w:rPr>
                <w:rFonts w:hint="eastAsia" w:ascii="宋体" w:hAnsi="宋体" w:cs="宋体"/>
                <w:b/>
                <w:bCs/>
                <w:kern w:val="0"/>
                <w:szCs w:val="21"/>
                <w:lang w:val="en-US" w:eastAsia="zh-CN"/>
              </w:rPr>
              <w:t>3.93</w:t>
            </w:r>
          </w:p>
        </w:tc>
        <w:tc>
          <w:tcPr>
            <w:tcW w:w="2080"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b/>
                <w:bCs/>
                <w:kern w:val="0"/>
                <w:szCs w:val="21"/>
                <w:lang w:val="en-US" w:eastAsia="zh-CN"/>
              </w:rPr>
            </w:pPr>
            <w:r>
              <w:rPr>
                <w:rFonts w:hint="eastAsia" w:ascii="宋体" w:hAnsi="宋体" w:cs="宋体"/>
                <w:b/>
                <w:bCs/>
                <w:kern w:val="0"/>
                <w:szCs w:val="21"/>
              </w:rPr>
              <w:t>　</w:t>
            </w:r>
            <w:r>
              <w:rPr>
                <w:rFonts w:hint="eastAsia" w:ascii="宋体" w:hAnsi="宋体" w:cs="宋体"/>
                <w:b/>
                <w:bCs/>
                <w:kern w:val="0"/>
                <w:szCs w:val="21"/>
                <w:lang w:val="en-US" w:eastAsia="zh-CN"/>
              </w:rPr>
              <w:t>0.39</w:t>
            </w:r>
          </w:p>
        </w:tc>
      </w:tr>
      <w:tr>
        <w:tblPrEx>
          <w:tblCellMar>
            <w:top w:w="0" w:type="dxa"/>
            <w:left w:w="108" w:type="dxa"/>
            <w:bottom w:w="0" w:type="dxa"/>
            <w:right w:w="108" w:type="dxa"/>
          </w:tblCellMar>
        </w:tblPrEx>
        <w:trPr>
          <w:trHeight w:val="1035" w:hRule="atLeast"/>
        </w:trPr>
        <w:tc>
          <w:tcPr>
            <w:tcW w:w="25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1、公务用车购置和维护经费</w:t>
            </w:r>
          </w:p>
        </w:tc>
        <w:tc>
          <w:tcPr>
            <w:tcW w:w="228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eastAsiaTheme="minorEastAsia"/>
                <w:b/>
                <w:bCs/>
                <w:kern w:val="0"/>
                <w:szCs w:val="21"/>
                <w:lang w:val="en-US" w:eastAsia="zh-CN"/>
              </w:rPr>
            </w:pPr>
            <w:r>
              <w:rPr>
                <w:rFonts w:hint="eastAsia" w:ascii="宋体" w:hAnsi="宋体" w:cs="宋体"/>
                <w:b/>
                <w:bCs/>
                <w:kern w:val="0"/>
                <w:szCs w:val="21"/>
              </w:rPr>
              <w:t>　</w:t>
            </w:r>
            <w:r>
              <w:rPr>
                <w:rFonts w:hint="eastAsia" w:ascii="宋体" w:hAnsi="宋体" w:cs="宋体"/>
                <w:b/>
                <w:bCs/>
                <w:kern w:val="0"/>
                <w:szCs w:val="21"/>
                <w:lang w:val="en-US" w:eastAsia="zh-CN"/>
              </w:rPr>
              <w:t>0</w:t>
            </w:r>
          </w:p>
        </w:tc>
        <w:tc>
          <w:tcPr>
            <w:tcW w:w="238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lang w:val="en-US" w:eastAsia="zh-CN"/>
              </w:rPr>
              <w:t>0</w:t>
            </w:r>
            <w:r>
              <w:rPr>
                <w:rFonts w:hint="eastAsia" w:ascii="宋体" w:hAnsi="宋体" w:cs="宋体"/>
                <w:b/>
                <w:bCs/>
                <w:kern w:val="0"/>
                <w:szCs w:val="21"/>
              </w:rPr>
              <w:t>　</w:t>
            </w:r>
          </w:p>
        </w:tc>
        <w:tc>
          <w:tcPr>
            <w:tcW w:w="208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lang w:val="en-US" w:eastAsia="zh-CN"/>
              </w:rPr>
              <w:t>0</w:t>
            </w:r>
            <w:r>
              <w:rPr>
                <w:rFonts w:hint="eastAsia" w:ascii="宋体" w:hAnsi="宋体" w:cs="宋体"/>
                <w:b/>
                <w:bCs/>
                <w:kern w:val="0"/>
                <w:szCs w:val="21"/>
              </w:rPr>
              <w:t>　</w:t>
            </w:r>
          </w:p>
        </w:tc>
      </w:tr>
      <w:tr>
        <w:tblPrEx>
          <w:tblCellMar>
            <w:top w:w="0" w:type="dxa"/>
            <w:left w:w="108" w:type="dxa"/>
            <w:bottom w:w="0" w:type="dxa"/>
            <w:right w:w="108" w:type="dxa"/>
          </w:tblCellMar>
        </w:tblPrEx>
        <w:trPr>
          <w:trHeight w:val="499" w:hRule="atLeast"/>
        </w:trPr>
        <w:tc>
          <w:tcPr>
            <w:tcW w:w="25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其中：公车购置</w:t>
            </w:r>
          </w:p>
        </w:tc>
        <w:tc>
          <w:tcPr>
            <w:tcW w:w="228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238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208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499" w:hRule="atLeast"/>
        </w:trPr>
        <w:tc>
          <w:tcPr>
            <w:tcW w:w="25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公车运行维护</w:t>
            </w:r>
          </w:p>
        </w:tc>
        <w:tc>
          <w:tcPr>
            <w:tcW w:w="228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238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208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499" w:hRule="atLeast"/>
        </w:trPr>
        <w:tc>
          <w:tcPr>
            <w:tcW w:w="250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Cs w:val="21"/>
              </w:rPr>
            </w:pPr>
            <w:r>
              <w:rPr>
                <w:rFonts w:hint="eastAsia" w:ascii="宋体" w:hAnsi="宋体" w:cs="宋体"/>
                <w:b/>
                <w:bCs/>
                <w:kern w:val="0"/>
                <w:szCs w:val="21"/>
              </w:rPr>
              <w:t xml:space="preserve">  2、出国经费</w:t>
            </w:r>
          </w:p>
        </w:tc>
        <w:tc>
          <w:tcPr>
            <w:tcW w:w="228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lang w:val="en-US" w:eastAsia="zh-CN"/>
              </w:rPr>
              <w:t>0</w:t>
            </w:r>
          </w:p>
        </w:tc>
        <w:tc>
          <w:tcPr>
            <w:tcW w:w="238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eastAsiaTheme="minorEastAsia"/>
                <w:b/>
                <w:bCs/>
                <w:kern w:val="0"/>
                <w:szCs w:val="21"/>
                <w:lang w:val="en-US" w:eastAsia="zh-CN"/>
              </w:rPr>
            </w:pPr>
            <w:r>
              <w:rPr>
                <w:rFonts w:hint="eastAsia" w:ascii="宋体" w:hAnsi="宋体" w:cs="宋体"/>
                <w:b/>
                <w:bCs/>
                <w:kern w:val="0"/>
                <w:szCs w:val="21"/>
                <w:lang w:val="en-US" w:eastAsia="zh-CN"/>
              </w:rPr>
              <w:t>0</w:t>
            </w:r>
          </w:p>
        </w:tc>
        <w:tc>
          <w:tcPr>
            <w:tcW w:w="208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eastAsiaTheme="minorEastAsia"/>
                <w:b/>
                <w:bCs/>
                <w:kern w:val="0"/>
                <w:szCs w:val="21"/>
                <w:lang w:val="en-US" w:eastAsia="zh-CN"/>
              </w:rPr>
            </w:pPr>
            <w:r>
              <w:rPr>
                <w:rFonts w:hint="eastAsia" w:ascii="宋体" w:hAnsi="宋体" w:cs="宋体"/>
                <w:b/>
                <w:bCs/>
                <w:kern w:val="0"/>
                <w:szCs w:val="21"/>
              </w:rPr>
              <w:t>　</w:t>
            </w:r>
            <w:r>
              <w:rPr>
                <w:rFonts w:hint="eastAsia" w:ascii="宋体" w:hAnsi="宋体" w:cs="宋体"/>
                <w:b/>
                <w:bCs/>
                <w:kern w:val="0"/>
                <w:szCs w:val="21"/>
                <w:lang w:val="en-US" w:eastAsia="zh-CN"/>
              </w:rPr>
              <w:t>0</w:t>
            </w:r>
          </w:p>
        </w:tc>
      </w:tr>
      <w:tr>
        <w:tblPrEx>
          <w:tblCellMar>
            <w:top w:w="0" w:type="dxa"/>
            <w:left w:w="108" w:type="dxa"/>
            <w:bottom w:w="0" w:type="dxa"/>
            <w:right w:w="108" w:type="dxa"/>
          </w:tblCellMar>
        </w:tblPrEx>
        <w:trPr>
          <w:trHeight w:val="499" w:hRule="atLeast"/>
        </w:trPr>
        <w:tc>
          <w:tcPr>
            <w:tcW w:w="250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Cs w:val="21"/>
              </w:rPr>
            </w:pPr>
            <w:r>
              <w:rPr>
                <w:rFonts w:hint="eastAsia" w:ascii="宋体" w:hAnsi="宋体" w:cs="宋体"/>
                <w:b/>
                <w:bCs/>
                <w:kern w:val="0"/>
                <w:szCs w:val="21"/>
              </w:rPr>
              <w:t xml:space="preserve">  3、公务接待</w:t>
            </w:r>
          </w:p>
        </w:tc>
        <w:tc>
          <w:tcPr>
            <w:tcW w:w="228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lang w:val="en-US" w:eastAsia="zh-CN"/>
              </w:rPr>
              <w:t>0.33</w:t>
            </w:r>
          </w:p>
        </w:tc>
        <w:tc>
          <w:tcPr>
            <w:tcW w:w="238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lang w:val="en-US" w:eastAsia="zh-CN"/>
              </w:rPr>
              <w:t>3.93</w:t>
            </w:r>
          </w:p>
        </w:tc>
        <w:tc>
          <w:tcPr>
            <w:tcW w:w="208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lang w:val="en-US" w:eastAsia="zh-CN"/>
              </w:rPr>
              <w:t>0.39</w:t>
            </w:r>
          </w:p>
        </w:tc>
      </w:tr>
      <w:tr>
        <w:tblPrEx>
          <w:tblCellMar>
            <w:top w:w="0" w:type="dxa"/>
            <w:left w:w="108" w:type="dxa"/>
            <w:bottom w:w="0" w:type="dxa"/>
            <w:right w:w="108" w:type="dxa"/>
          </w:tblCellMar>
        </w:tblPrEx>
        <w:trPr>
          <w:trHeight w:val="499" w:hRule="atLeast"/>
        </w:trPr>
        <w:tc>
          <w:tcPr>
            <w:tcW w:w="250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Cs w:val="21"/>
              </w:rPr>
            </w:pPr>
            <w:r>
              <w:rPr>
                <w:rFonts w:hint="eastAsia" w:ascii="宋体" w:hAnsi="宋体" w:cs="宋体"/>
                <w:b/>
                <w:bCs/>
                <w:kern w:val="0"/>
                <w:szCs w:val="21"/>
              </w:rPr>
              <w:t xml:space="preserve"> 项目支出：</w:t>
            </w:r>
          </w:p>
        </w:tc>
        <w:tc>
          <w:tcPr>
            <w:tcW w:w="228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238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208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499" w:hRule="atLeast"/>
        </w:trPr>
        <w:tc>
          <w:tcPr>
            <w:tcW w:w="25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1、业务工作专项</w:t>
            </w:r>
          </w:p>
        </w:tc>
        <w:tc>
          <w:tcPr>
            <w:tcW w:w="228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lang w:val="en-US" w:eastAsia="zh-CN"/>
              </w:rPr>
              <w:t>406.06</w:t>
            </w:r>
            <w:r>
              <w:rPr>
                <w:rFonts w:hint="eastAsia" w:ascii="宋体" w:hAnsi="宋体" w:cs="宋体"/>
                <w:b/>
                <w:bCs/>
                <w:kern w:val="0"/>
                <w:szCs w:val="21"/>
              </w:rPr>
              <w:t>　</w:t>
            </w:r>
          </w:p>
        </w:tc>
        <w:tc>
          <w:tcPr>
            <w:tcW w:w="238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lang w:val="en-US" w:eastAsia="zh-CN"/>
              </w:rPr>
              <w:t>450</w:t>
            </w:r>
            <w:r>
              <w:rPr>
                <w:rFonts w:hint="eastAsia" w:ascii="宋体" w:hAnsi="宋体" w:cs="宋体"/>
                <w:b/>
                <w:bCs/>
                <w:kern w:val="0"/>
                <w:szCs w:val="21"/>
              </w:rPr>
              <w:t>　</w:t>
            </w:r>
          </w:p>
        </w:tc>
        <w:tc>
          <w:tcPr>
            <w:tcW w:w="208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lang w:val="en-US" w:eastAsia="zh-CN"/>
              </w:rPr>
              <w:t>198.64</w:t>
            </w:r>
            <w:r>
              <w:rPr>
                <w:rFonts w:hint="eastAsia" w:ascii="宋体" w:hAnsi="宋体" w:cs="宋体"/>
                <w:b/>
                <w:bCs/>
                <w:kern w:val="0"/>
                <w:szCs w:val="21"/>
              </w:rPr>
              <w:t>　</w:t>
            </w:r>
          </w:p>
        </w:tc>
      </w:tr>
      <w:tr>
        <w:tblPrEx>
          <w:tblCellMar>
            <w:top w:w="0" w:type="dxa"/>
            <w:left w:w="108" w:type="dxa"/>
            <w:bottom w:w="0" w:type="dxa"/>
            <w:right w:w="108" w:type="dxa"/>
          </w:tblCellMar>
        </w:tblPrEx>
        <w:trPr>
          <w:trHeight w:val="499" w:hRule="atLeast"/>
        </w:trPr>
        <w:tc>
          <w:tcPr>
            <w:tcW w:w="25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2、运行维护专项</w:t>
            </w:r>
          </w:p>
        </w:tc>
        <w:tc>
          <w:tcPr>
            <w:tcW w:w="228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238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208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499" w:hRule="atLeast"/>
        </w:trPr>
        <w:tc>
          <w:tcPr>
            <w:tcW w:w="25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w:t>
            </w:r>
          </w:p>
        </w:tc>
        <w:tc>
          <w:tcPr>
            <w:tcW w:w="228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238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208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499" w:hRule="atLeast"/>
        </w:trPr>
        <w:tc>
          <w:tcPr>
            <w:tcW w:w="250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Cs w:val="21"/>
              </w:rPr>
            </w:pPr>
            <w:r>
              <w:rPr>
                <w:rFonts w:hint="eastAsia" w:ascii="宋体" w:hAnsi="宋体" w:cs="宋体"/>
                <w:b/>
                <w:bCs/>
                <w:kern w:val="0"/>
                <w:szCs w:val="21"/>
              </w:rPr>
              <w:t xml:space="preserve"> 公用经费</w:t>
            </w:r>
          </w:p>
        </w:tc>
        <w:tc>
          <w:tcPr>
            <w:tcW w:w="2280"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b/>
                <w:bCs/>
                <w:kern w:val="0"/>
                <w:szCs w:val="21"/>
                <w:lang w:val="en-US" w:eastAsia="zh-CN"/>
              </w:rPr>
            </w:pPr>
            <w:r>
              <w:rPr>
                <w:rFonts w:hint="eastAsia" w:ascii="宋体" w:hAnsi="宋体" w:cs="宋体"/>
                <w:b/>
                <w:bCs/>
                <w:kern w:val="0"/>
                <w:szCs w:val="21"/>
              </w:rPr>
              <w:t>　</w:t>
            </w:r>
            <w:r>
              <w:rPr>
                <w:rFonts w:hint="eastAsia" w:ascii="宋体" w:hAnsi="宋体" w:cs="宋体"/>
                <w:b/>
                <w:bCs/>
                <w:kern w:val="0"/>
                <w:szCs w:val="21"/>
                <w:lang w:val="en-US" w:eastAsia="zh-CN"/>
              </w:rPr>
              <w:t>25.24</w:t>
            </w:r>
          </w:p>
        </w:tc>
        <w:tc>
          <w:tcPr>
            <w:tcW w:w="2380"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b/>
                <w:bCs/>
                <w:kern w:val="0"/>
                <w:szCs w:val="21"/>
                <w:lang w:val="en-US" w:eastAsia="zh-CN"/>
              </w:rPr>
            </w:pPr>
            <w:r>
              <w:rPr>
                <w:rFonts w:hint="eastAsia" w:ascii="宋体" w:hAnsi="宋体" w:cs="宋体"/>
                <w:b/>
                <w:bCs/>
                <w:kern w:val="0"/>
                <w:szCs w:val="21"/>
              </w:rPr>
              <w:t>　</w:t>
            </w:r>
            <w:r>
              <w:rPr>
                <w:rFonts w:hint="eastAsia" w:ascii="宋体" w:hAnsi="宋体" w:cs="宋体"/>
                <w:b/>
                <w:bCs/>
                <w:kern w:val="0"/>
                <w:szCs w:val="21"/>
                <w:lang w:val="en-US" w:eastAsia="zh-CN"/>
              </w:rPr>
              <w:t>41.78</w:t>
            </w:r>
          </w:p>
        </w:tc>
        <w:tc>
          <w:tcPr>
            <w:tcW w:w="208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lang w:val="en-US" w:eastAsia="zh-CN"/>
              </w:rPr>
              <w:t>37.39</w:t>
            </w:r>
          </w:p>
        </w:tc>
      </w:tr>
      <w:tr>
        <w:tblPrEx>
          <w:tblCellMar>
            <w:top w:w="0" w:type="dxa"/>
            <w:left w:w="108" w:type="dxa"/>
            <w:bottom w:w="0" w:type="dxa"/>
            <w:right w:w="108" w:type="dxa"/>
          </w:tblCellMar>
        </w:tblPrEx>
        <w:trPr>
          <w:trHeight w:val="499" w:hRule="atLeast"/>
        </w:trPr>
        <w:tc>
          <w:tcPr>
            <w:tcW w:w="25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其中：办公经费</w:t>
            </w:r>
          </w:p>
        </w:tc>
        <w:tc>
          <w:tcPr>
            <w:tcW w:w="2280"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b/>
                <w:bCs/>
                <w:kern w:val="0"/>
                <w:szCs w:val="21"/>
                <w:lang w:val="en-US" w:eastAsia="zh-CN"/>
              </w:rPr>
            </w:pPr>
            <w:r>
              <w:rPr>
                <w:rFonts w:hint="eastAsia" w:ascii="宋体" w:hAnsi="宋体" w:cs="宋体"/>
                <w:b/>
                <w:bCs/>
                <w:kern w:val="0"/>
                <w:szCs w:val="21"/>
              </w:rPr>
              <w:t>　</w:t>
            </w:r>
            <w:r>
              <w:rPr>
                <w:rFonts w:hint="eastAsia" w:ascii="宋体" w:hAnsi="宋体" w:cs="宋体"/>
                <w:b/>
                <w:bCs/>
                <w:kern w:val="0"/>
                <w:szCs w:val="21"/>
                <w:lang w:val="en-US" w:eastAsia="zh-CN"/>
              </w:rPr>
              <w:t>18.8</w:t>
            </w:r>
          </w:p>
        </w:tc>
        <w:tc>
          <w:tcPr>
            <w:tcW w:w="2380"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b/>
                <w:bCs/>
                <w:kern w:val="0"/>
                <w:szCs w:val="21"/>
                <w:lang w:val="en-US" w:eastAsia="zh-CN"/>
              </w:rPr>
            </w:pPr>
            <w:r>
              <w:rPr>
                <w:rFonts w:hint="eastAsia" w:ascii="宋体" w:hAnsi="宋体" w:cs="宋体"/>
                <w:b/>
                <w:bCs/>
                <w:kern w:val="0"/>
                <w:szCs w:val="21"/>
              </w:rPr>
              <w:t>　</w:t>
            </w:r>
            <w:r>
              <w:rPr>
                <w:rFonts w:hint="eastAsia" w:ascii="宋体" w:hAnsi="宋体" w:cs="宋体"/>
                <w:b/>
                <w:bCs/>
                <w:kern w:val="0"/>
                <w:szCs w:val="21"/>
                <w:lang w:val="en-US" w:eastAsia="zh-CN"/>
              </w:rPr>
              <w:t>9.68</w:t>
            </w:r>
          </w:p>
        </w:tc>
        <w:tc>
          <w:tcPr>
            <w:tcW w:w="2080"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b/>
                <w:bCs/>
                <w:kern w:val="0"/>
                <w:szCs w:val="21"/>
                <w:lang w:val="en-US" w:eastAsia="zh-CN"/>
              </w:rPr>
            </w:pPr>
            <w:r>
              <w:rPr>
                <w:rFonts w:hint="eastAsia" w:ascii="宋体" w:hAnsi="宋体" w:cs="宋体"/>
                <w:b/>
                <w:bCs/>
                <w:kern w:val="0"/>
                <w:szCs w:val="21"/>
              </w:rPr>
              <w:t>　</w:t>
            </w:r>
            <w:r>
              <w:rPr>
                <w:rFonts w:hint="eastAsia" w:ascii="宋体" w:hAnsi="宋体" w:cs="宋体"/>
                <w:b/>
                <w:bCs/>
                <w:kern w:val="0"/>
                <w:szCs w:val="21"/>
                <w:lang w:val="en-US" w:eastAsia="zh-CN"/>
              </w:rPr>
              <w:t>17.52</w:t>
            </w:r>
          </w:p>
        </w:tc>
      </w:tr>
      <w:tr>
        <w:tblPrEx>
          <w:tblCellMar>
            <w:top w:w="0" w:type="dxa"/>
            <w:left w:w="108" w:type="dxa"/>
            <w:bottom w:w="0" w:type="dxa"/>
            <w:right w:w="108" w:type="dxa"/>
          </w:tblCellMar>
        </w:tblPrEx>
        <w:trPr>
          <w:trHeight w:val="840" w:hRule="atLeast"/>
        </w:trPr>
        <w:tc>
          <w:tcPr>
            <w:tcW w:w="25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水费、电费、差旅费</w:t>
            </w:r>
          </w:p>
        </w:tc>
        <w:tc>
          <w:tcPr>
            <w:tcW w:w="228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lang w:val="en-US" w:eastAsia="zh-CN"/>
              </w:rPr>
              <w:t>6.69</w:t>
            </w:r>
          </w:p>
        </w:tc>
        <w:tc>
          <w:tcPr>
            <w:tcW w:w="238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lang w:val="en-US" w:eastAsia="zh-CN"/>
              </w:rPr>
              <w:t>9.4</w:t>
            </w:r>
            <w:r>
              <w:rPr>
                <w:rFonts w:hint="eastAsia" w:ascii="宋体" w:hAnsi="宋体" w:cs="宋体"/>
                <w:b/>
                <w:bCs/>
                <w:kern w:val="0"/>
                <w:szCs w:val="21"/>
              </w:rPr>
              <w:t>　</w:t>
            </w:r>
          </w:p>
        </w:tc>
        <w:tc>
          <w:tcPr>
            <w:tcW w:w="208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lang w:val="en-US" w:eastAsia="zh-CN"/>
              </w:rPr>
              <w:t>3.81</w:t>
            </w:r>
            <w:r>
              <w:rPr>
                <w:rFonts w:hint="eastAsia" w:ascii="宋体" w:hAnsi="宋体" w:cs="宋体"/>
                <w:b/>
                <w:bCs/>
                <w:kern w:val="0"/>
                <w:szCs w:val="21"/>
              </w:rPr>
              <w:t>　</w:t>
            </w:r>
          </w:p>
        </w:tc>
      </w:tr>
      <w:tr>
        <w:tblPrEx>
          <w:tblCellMar>
            <w:top w:w="0" w:type="dxa"/>
            <w:left w:w="108" w:type="dxa"/>
            <w:bottom w:w="0" w:type="dxa"/>
            <w:right w:w="108" w:type="dxa"/>
          </w:tblCellMar>
        </w:tblPrEx>
        <w:trPr>
          <w:trHeight w:val="499" w:hRule="atLeast"/>
        </w:trPr>
        <w:tc>
          <w:tcPr>
            <w:tcW w:w="25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会议费、培训费</w:t>
            </w:r>
          </w:p>
        </w:tc>
        <w:tc>
          <w:tcPr>
            <w:tcW w:w="228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lang w:val="en-US" w:eastAsia="zh-CN"/>
              </w:rPr>
              <w:t>0</w:t>
            </w:r>
            <w:r>
              <w:rPr>
                <w:rFonts w:hint="eastAsia" w:ascii="宋体" w:hAnsi="宋体" w:cs="宋体"/>
                <w:b/>
                <w:bCs/>
                <w:kern w:val="0"/>
                <w:szCs w:val="21"/>
              </w:rPr>
              <w:t>　</w:t>
            </w:r>
          </w:p>
        </w:tc>
        <w:tc>
          <w:tcPr>
            <w:tcW w:w="238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lang w:val="en-US" w:eastAsia="zh-CN"/>
              </w:rPr>
              <w:t>0.64</w:t>
            </w:r>
          </w:p>
        </w:tc>
        <w:tc>
          <w:tcPr>
            <w:tcW w:w="208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lang w:val="en-US" w:eastAsia="zh-CN"/>
              </w:rPr>
              <w:t>0</w:t>
            </w:r>
            <w:r>
              <w:rPr>
                <w:rFonts w:hint="eastAsia" w:ascii="宋体" w:hAnsi="宋体" w:cs="宋体"/>
                <w:b/>
                <w:bCs/>
                <w:kern w:val="0"/>
                <w:szCs w:val="21"/>
              </w:rPr>
              <w:t>　</w:t>
            </w:r>
          </w:p>
        </w:tc>
      </w:tr>
      <w:tr>
        <w:tblPrEx>
          <w:tblCellMar>
            <w:top w:w="0" w:type="dxa"/>
            <w:left w:w="108" w:type="dxa"/>
            <w:bottom w:w="0" w:type="dxa"/>
            <w:right w:w="108" w:type="dxa"/>
          </w:tblCellMar>
        </w:tblPrEx>
        <w:trPr>
          <w:trHeight w:val="499" w:hRule="atLeast"/>
        </w:trPr>
        <w:tc>
          <w:tcPr>
            <w:tcW w:w="250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Cs w:val="21"/>
              </w:rPr>
            </w:pPr>
            <w:r>
              <w:rPr>
                <w:rFonts w:hint="eastAsia" w:ascii="宋体" w:hAnsi="宋体" w:cs="宋体"/>
                <w:b/>
                <w:bCs/>
                <w:kern w:val="0"/>
                <w:szCs w:val="21"/>
              </w:rPr>
              <w:t xml:space="preserve"> 政府采购金额</w:t>
            </w:r>
          </w:p>
        </w:tc>
        <w:tc>
          <w:tcPr>
            <w:tcW w:w="2280"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b/>
                <w:bCs/>
                <w:kern w:val="0"/>
                <w:szCs w:val="21"/>
                <w:lang w:val="en-US" w:eastAsia="zh-CN"/>
              </w:rPr>
            </w:pPr>
            <w:r>
              <w:rPr>
                <w:rFonts w:hint="eastAsia" w:ascii="宋体" w:hAnsi="宋体" w:cs="宋体"/>
                <w:b/>
                <w:bCs/>
                <w:kern w:val="0"/>
                <w:szCs w:val="21"/>
              </w:rPr>
              <w:t>　</w:t>
            </w:r>
            <w:r>
              <w:rPr>
                <w:rFonts w:hint="eastAsia" w:ascii="宋体" w:hAnsi="宋体" w:cs="宋体"/>
                <w:b/>
                <w:bCs/>
                <w:kern w:val="0"/>
                <w:szCs w:val="21"/>
                <w:lang w:val="en-US" w:eastAsia="zh-CN"/>
              </w:rPr>
              <w:t>0.7</w:t>
            </w:r>
          </w:p>
        </w:tc>
        <w:tc>
          <w:tcPr>
            <w:tcW w:w="2380"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b/>
                <w:bCs/>
                <w:kern w:val="0"/>
                <w:szCs w:val="21"/>
                <w:lang w:val="en-US" w:eastAsia="zh-CN"/>
              </w:rPr>
            </w:pPr>
            <w:r>
              <w:rPr>
                <w:rFonts w:hint="eastAsia" w:ascii="宋体" w:hAnsi="宋体" w:cs="宋体"/>
                <w:b/>
                <w:bCs/>
                <w:kern w:val="0"/>
                <w:szCs w:val="21"/>
              </w:rPr>
              <w:t>　</w:t>
            </w:r>
            <w:r>
              <w:rPr>
                <w:rFonts w:hint="eastAsia" w:ascii="宋体" w:hAnsi="宋体" w:cs="宋体"/>
                <w:b/>
                <w:bCs/>
                <w:kern w:val="0"/>
                <w:szCs w:val="21"/>
                <w:lang w:val="en-US" w:eastAsia="zh-CN"/>
              </w:rPr>
              <w:t>3.63</w:t>
            </w:r>
          </w:p>
        </w:tc>
        <w:tc>
          <w:tcPr>
            <w:tcW w:w="2080"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b/>
                <w:bCs/>
                <w:kern w:val="0"/>
                <w:szCs w:val="21"/>
                <w:lang w:val="en-US" w:eastAsia="zh-CN"/>
              </w:rPr>
            </w:pPr>
            <w:r>
              <w:rPr>
                <w:rFonts w:hint="eastAsia" w:ascii="宋体" w:hAnsi="宋体" w:cs="宋体"/>
                <w:b/>
                <w:bCs/>
                <w:kern w:val="0"/>
                <w:szCs w:val="21"/>
              </w:rPr>
              <w:t>　</w:t>
            </w:r>
            <w:r>
              <w:rPr>
                <w:rFonts w:hint="eastAsia" w:ascii="宋体" w:hAnsi="宋体" w:cs="宋体"/>
                <w:b/>
                <w:bCs/>
                <w:kern w:val="0"/>
                <w:szCs w:val="21"/>
                <w:lang w:val="en-US" w:eastAsia="zh-CN"/>
              </w:rPr>
              <w:t>3.63</w:t>
            </w:r>
          </w:p>
        </w:tc>
      </w:tr>
      <w:tr>
        <w:tblPrEx>
          <w:tblCellMar>
            <w:top w:w="0" w:type="dxa"/>
            <w:left w:w="108" w:type="dxa"/>
            <w:bottom w:w="0" w:type="dxa"/>
            <w:right w:w="108" w:type="dxa"/>
          </w:tblCellMar>
        </w:tblPrEx>
        <w:trPr>
          <w:trHeight w:val="913" w:hRule="atLeast"/>
        </w:trPr>
        <w:tc>
          <w:tcPr>
            <w:tcW w:w="25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部门整体支出预算调整</w:t>
            </w:r>
          </w:p>
        </w:tc>
        <w:tc>
          <w:tcPr>
            <w:tcW w:w="2280"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b/>
                <w:bCs/>
                <w:kern w:val="0"/>
                <w:szCs w:val="21"/>
                <w:lang w:val="en-US" w:eastAsia="zh-CN"/>
              </w:rPr>
            </w:pPr>
            <w:r>
              <w:rPr>
                <w:rFonts w:hint="eastAsia" w:ascii="宋体" w:hAnsi="宋体" w:cs="宋体"/>
                <w:b/>
                <w:bCs/>
                <w:kern w:val="0"/>
                <w:szCs w:val="21"/>
              </w:rPr>
              <w:t>　</w:t>
            </w:r>
            <w:r>
              <w:rPr>
                <w:rFonts w:hint="eastAsia" w:ascii="宋体" w:hAnsi="宋体" w:cs="宋体"/>
                <w:b/>
                <w:bCs/>
                <w:kern w:val="0"/>
                <w:szCs w:val="21"/>
                <w:lang w:val="en-US" w:eastAsia="zh-CN"/>
              </w:rPr>
              <w:t>740.6</w:t>
            </w:r>
          </w:p>
        </w:tc>
        <w:tc>
          <w:tcPr>
            <w:tcW w:w="2380"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b/>
                <w:bCs/>
                <w:kern w:val="0"/>
                <w:szCs w:val="21"/>
                <w:lang w:val="en-US" w:eastAsia="zh-CN"/>
              </w:rPr>
            </w:pPr>
            <w:r>
              <w:rPr>
                <w:rFonts w:hint="eastAsia" w:ascii="宋体" w:hAnsi="宋体" w:cs="宋体"/>
                <w:b/>
                <w:bCs/>
                <w:kern w:val="0"/>
                <w:szCs w:val="21"/>
              </w:rPr>
              <w:t>　</w:t>
            </w:r>
            <w:r>
              <w:rPr>
                <w:rFonts w:hint="eastAsia" w:ascii="宋体" w:hAnsi="宋体" w:cs="宋体"/>
                <w:b/>
                <w:bCs/>
                <w:kern w:val="0"/>
                <w:szCs w:val="21"/>
                <w:lang w:val="en-US" w:eastAsia="zh-CN"/>
              </w:rPr>
              <w:t>726.66</w:t>
            </w:r>
          </w:p>
        </w:tc>
        <w:tc>
          <w:tcPr>
            <w:tcW w:w="208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lang w:val="en-US" w:eastAsia="zh-CN"/>
              </w:rPr>
              <w:t>567.57</w:t>
            </w:r>
            <w:r>
              <w:rPr>
                <w:rFonts w:hint="eastAsia" w:ascii="宋体" w:hAnsi="宋体" w:cs="宋体"/>
                <w:b/>
                <w:bCs/>
                <w:kern w:val="0"/>
                <w:szCs w:val="21"/>
              </w:rPr>
              <w:t>　</w:t>
            </w:r>
          </w:p>
        </w:tc>
      </w:tr>
    </w:tbl>
    <w:p>
      <w:pPr>
        <w:rPr>
          <w:rFonts w:hint="eastAsia"/>
          <w:sz w:val="32"/>
          <w:szCs w:val="32"/>
        </w:rPr>
      </w:pPr>
    </w:p>
    <w:tbl>
      <w:tblPr>
        <w:tblStyle w:val="5"/>
        <w:tblW w:w="10431" w:type="dxa"/>
        <w:tblInd w:w="-972" w:type="dxa"/>
        <w:tblLayout w:type="fixed"/>
        <w:tblCellMar>
          <w:top w:w="0" w:type="dxa"/>
          <w:left w:w="108" w:type="dxa"/>
          <w:bottom w:w="0" w:type="dxa"/>
          <w:right w:w="108" w:type="dxa"/>
        </w:tblCellMar>
      </w:tblPr>
      <w:tblGrid>
        <w:gridCol w:w="663"/>
        <w:gridCol w:w="701"/>
        <w:gridCol w:w="508"/>
        <w:gridCol w:w="768"/>
        <w:gridCol w:w="939"/>
        <w:gridCol w:w="762"/>
        <w:gridCol w:w="2381"/>
        <w:gridCol w:w="3124"/>
        <w:gridCol w:w="585"/>
      </w:tblGrid>
      <w:tr>
        <w:tblPrEx>
          <w:tblCellMar>
            <w:top w:w="0" w:type="dxa"/>
            <w:left w:w="108" w:type="dxa"/>
            <w:bottom w:w="0" w:type="dxa"/>
            <w:right w:w="108" w:type="dxa"/>
          </w:tblCellMar>
        </w:tblPrEx>
        <w:trPr>
          <w:trHeight w:val="499" w:hRule="atLeast"/>
        </w:trPr>
        <w:tc>
          <w:tcPr>
            <w:tcW w:w="10431" w:type="dxa"/>
            <w:gridSpan w:val="9"/>
            <w:tcBorders>
              <w:top w:val="nil"/>
              <w:left w:val="nil"/>
              <w:bottom w:val="single" w:color="auto" w:sz="4" w:space="0"/>
              <w:right w:val="nil"/>
            </w:tcBorders>
            <w:noWrap w:val="0"/>
            <w:vAlign w:val="center"/>
          </w:tcPr>
          <w:p>
            <w:pPr>
              <w:widowControl/>
              <w:jc w:val="center"/>
              <w:rPr>
                <w:rFonts w:ascii="黑体" w:hAnsi="黑体" w:eastAsia="黑体" w:cs="宋体"/>
                <w:bCs/>
                <w:kern w:val="0"/>
                <w:sz w:val="36"/>
                <w:szCs w:val="36"/>
              </w:rPr>
            </w:pPr>
            <w:r>
              <w:rPr>
                <w:rFonts w:hint="eastAsia" w:ascii="黑体" w:hAnsi="黑体" w:eastAsia="黑体" w:cs="宋体"/>
                <w:bCs/>
                <w:kern w:val="0"/>
                <w:sz w:val="36"/>
                <w:szCs w:val="36"/>
              </w:rPr>
              <w:t>部门整体支出绩效评价指标表</w:t>
            </w:r>
          </w:p>
        </w:tc>
      </w:tr>
      <w:tr>
        <w:tblPrEx>
          <w:tblCellMar>
            <w:top w:w="0" w:type="dxa"/>
            <w:left w:w="108" w:type="dxa"/>
            <w:bottom w:w="0" w:type="dxa"/>
            <w:right w:w="108" w:type="dxa"/>
          </w:tblCellMar>
        </w:tblPrEx>
        <w:trPr>
          <w:trHeight w:val="1444" w:hRule="atLeast"/>
        </w:trPr>
        <w:tc>
          <w:tcPr>
            <w:tcW w:w="6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一级指标</w:t>
            </w:r>
          </w:p>
        </w:tc>
        <w:tc>
          <w:tcPr>
            <w:tcW w:w="7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得分</w:t>
            </w:r>
          </w:p>
        </w:tc>
        <w:tc>
          <w:tcPr>
            <w:tcW w:w="50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7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得分</w:t>
            </w:r>
          </w:p>
        </w:tc>
        <w:tc>
          <w:tcPr>
            <w:tcW w:w="9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76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得分</w:t>
            </w:r>
          </w:p>
        </w:tc>
        <w:tc>
          <w:tcPr>
            <w:tcW w:w="23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评价标准</w:t>
            </w:r>
          </w:p>
        </w:tc>
        <w:tc>
          <w:tcPr>
            <w:tcW w:w="312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指标说明</w:t>
            </w:r>
          </w:p>
        </w:tc>
        <w:tc>
          <w:tcPr>
            <w:tcW w:w="58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得分</w:t>
            </w:r>
          </w:p>
        </w:tc>
      </w:tr>
      <w:tr>
        <w:tblPrEx>
          <w:tblCellMar>
            <w:top w:w="0" w:type="dxa"/>
            <w:left w:w="108" w:type="dxa"/>
            <w:bottom w:w="0" w:type="dxa"/>
            <w:right w:w="108" w:type="dxa"/>
          </w:tblCellMar>
        </w:tblPrEx>
        <w:trPr>
          <w:trHeight w:val="1616" w:hRule="atLeast"/>
        </w:trPr>
        <w:tc>
          <w:tcPr>
            <w:tcW w:w="66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投入</w:t>
            </w:r>
          </w:p>
        </w:tc>
        <w:tc>
          <w:tcPr>
            <w:tcW w:w="70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50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预算配置</w:t>
            </w:r>
          </w:p>
        </w:tc>
        <w:tc>
          <w:tcPr>
            <w:tcW w:w="76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9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在职人员控制率</w:t>
            </w:r>
          </w:p>
        </w:tc>
        <w:tc>
          <w:tcPr>
            <w:tcW w:w="76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23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以100%为标准。在职人员控制率≦100%，计8分；每超过一个百分点扣0.5分，扣完为止。</w:t>
            </w:r>
          </w:p>
        </w:tc>
        <w:tc>
          <w:tcPr>
            <w:tcW w:w="312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在职人员控制率=（在职人员数/编制数）×100%，在职人员数：部门（单位）实际在职人数，以财政局确定的部门决算编制口径为准。编制数：机构编制部门核定批复的部门（单位）的人员编制数。</w:t>
            </w:r>
          </w:p>
        </w:tc>
        <w:tc>
          <w:tcPr>
            <w:tcW w:w="58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lang w:val="en-US" w:eastAsia="zh-CN"/>
              </w:rPr>
              <w:t>8</w:t>
            </w:r>
            <w:r>
              <w:rPr>
                <w:rFonts w:hint="eastAsia" w:ascii="仿宋" w:hAnsi="仿宋" w:eastAsia="仿宋" w:cs="宋体"/>
                <w:b/>
                <w:bCs/>
                <w:kern w:val="0"/>
                <w:sz w:val="24"/>
              </w:rPr>
              <w:t>　</w:t>
            </w:r>
          </w:p>
        </w:tc>
      </w:tr>
      <w:tr>
        <w:tblPrEx>
          <w:tblCellMar>
            <w:top w:w="0" w:type="dxa"/>
            <w:left w:w="108" w:type="dxa"/>
            <w:bottom w:w="0" w:type="dxa"/>
            <w:right w:w="108" w:type="dxa"/>
          </w:tblCellMar>
        </w:tblPrEx>
        <w:trPr>
          <w:trHeight w:val="1339" w:hRule="atLeast"/>
        </w:trPr>
        <w:tc>
          <w:tcPr>
            <w:tcW w:w="66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50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"三公经费"变动率</w:t>
            </w:r>
          </w:p>
        </w:tc>
        <w:tc>
          <w:tcPr>
            <w:tcW w:w="76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23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“三公经费”变动率≦0,计8分；“三公经费”＞0，每超过一个百分点扣0.8分，扣完为止。</w:t>
            </w:r>
          </w:p>
        </w:tc>
        <w:tc>
          <w:tcPr>
            <w:tcW w:w="312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“三公经费”变动率=[（本年度“三公经费”预算数-上年度“三公经费”预算数）/上年度“三公经费”预算数]×100%</w:t>
            </w:r>
          </w:p>
        </w:tc>
        <w:tc>
          <w:tcPr>
            <w:tcW w:w="58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lang w:val="en-US" w:eastAsia="zh-CN"/>
              </w:rPr>
              <w:t>8</w:t>
            </w:r>
            <w:r>
              <w:rPr>
                <w:rFonts w:hint="eastAsia" w:ascii="仿宋" w:hAnsi="仿宋" w:eastAsia="仿宋" w:cs="宋体"/>
                <w:b/>
                <w:bCs/>
                <w:kern w:val="0"/>
                <w:sz w:val="24"/>
              </w:rPr>
              <w:t>　</w:t>
            </w:r>
          </w:p>
        </w:tc>
      </w:tr>
      <w:tr>
        <w:tblPrEx>
          <w:tblCellMar>
            <w:top w:w="0" w:type="dxa"/>
            <w:left w:w="108" w:type="dxa"/>
            <w:bottom w:w="0" w:type="dxa"/>
            <w:right w:w="108" w:type="dxa"/>
          </w:tblCellMar>
        </w:tblPrEx>
        <w:trPr>
          <w:trHeight w:val="1049" w:hRule="atLeast"/>
        </w:trPr>
        <w:tc>
          <w:tcPr>
            <w:tcW w:w="66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过程</w:t>
            </w:r>
          </w:p>
        </w:tc>
        <w:tc>
          <w:tcPr>
            <w:tcW w:w="70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58</w:t>
            </w:r>
          </w:p>
        </w:tc>
        <w:tc>
          <w:tcPr>
            <w:tcW w:w="50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预算执行</w:t>
            </w:r>
          </w:p>
        </w:tc>
        <w:tc>
          <w:tcPr>
            <w:tcW w:w="76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9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预算完成率</w:t>
            </w:r>
          </w:p>
        </w:tc>
        <w:tc>
          <w:tcPr>
            <w:tcW w:w="76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23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100%计满分，每低于5%口2分，扣完为止。</w:t>
            </w:r>
          </w:p>
        </w:tc>
        <w:tc>
          <w:tcPr>
            <w:tcW w:w="312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预算完成率=（上年结转+年初预算+本年追加预算-年末结余/上年结转+年初预算+本年追加预算）×100%</w:t>
            </w:r>
          </w:p>
        </w:tc>
        <w:tc>
          <w:tcPr>
            <w:tcW w:w="58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lang w:val="en-US" w:eastAsia="zh-CN"/>
              </w:rPr>
              <w:t>6</w:t>
            </w:r>
            <w:r>
              <w:rPr>
                <w:rFonts w:hint="eastAsia" w:ascii="仿宋" w:hAnsi="仿宋" w:eastAsia="仿宋" w:cs="宋体"/>
                <w:b/>
                <w:bCs/>
                <w:kern w:val="0"/>
                <w:sz w:val="24"/>
              </w:rPr>
              <w:t>　</w:t>
            </w:r>
          </w:p>
        </w:tc>
      </w:tr>
      <w:tr>
        <w:tblPrEx>
          <w:tblCellMar>
            <w:top w:w="0" w:type="dxa"/>
            <w:left w:w="108" w:type="dxa"/>
            <w:bottom w:w="0" w:type="dxa"/>
            <w:right w:w="108" w:type="dxa"/>
          </w:tblCellMar>
        </w:tblPrEx>
        <w:trPr>
          <w:trHeight w:val="655" w:hRule="atLeast"/>
        </w:trPr>
        <w:tc>
          <w:tcPr>
            <w:tcW w:w="66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50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预算控制率</w:t>
            </w:r>
          </w:p>
        </w:tc>
        <w:tc>
          <w:tcPr>
            <w:tcW w:w="76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23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预算控制率=0，计8分；0-10%（含），计6分；10-20%（含），计4分；20-30%（含），计2分；大于30%不得分</w:t>
            </w:r>
          </w:p>
        </w:tc>
        <w:tc>
          <w:tcPr>
            <w:tcW w:w="312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预算控制率=（本年追加预算/年初预算）×100%。</w:t>
            </w:r>
          </w:p>
        </w:tc>
        <w:tc>
          <w:tcPr>
            <w:tcW w:w="58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lang w:val="en-US" w:eastAsia="zh-CN"/>
              </w:rPr>
              <w:t>2</w:t>
            </w:r>
            <w:r>
              <w:rPr>
                <w:rFonts w:hint="eastAsia" w:ascii="仿宋" w:hAnsi="仿宋" w:eastAsia="仿宋" w:cs="宋体"/>
                <w:b/>
                <w:bCs/>
                <w:kern w:val="0"/>
                <w:sz w:val="24"/>
              </w:rPr>
              <w:t>　</w:t>
            </w:r>
          </w:p>
        </w:tc>
      </w:tr>
      <w:tr>
        <w:tblPrEx>
          <w:tblCellMar>
            <w:top w:w="0" w:type="dxa"/>
            <w:left w:w="108" w:type="dxa"/>
            <w:bottom w:w="0" w:type="dxa"/>
            <w:right w:w="108" w:type="dxa"/>
          </w:tblCellMar>
        </w:tblPrEx>
        <w:trPr>
          <w:trHeight w:val="1319" w:hRule="atLeast"/>
        </w:trPr>
        <w:tc>
          <w:tcPr>
            <w:tcW w:w="66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50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预算管理</w:t>
            </w:r>
          </w:p>
        </w:tc>
        <w:tc>
          <w:tcPr>
            <w:tcW w:w="76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9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公用经费控制率</w:t>
            </w:r>
          </w:p>
        </w:tc>
        <w:tc>
          <w:tcPr>
            <w:tcW w:w="76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238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100%以下（含）计满分，每超出1%扣1分，扣完为止。</w:t>
            </w:r>
          </w:p>
        </w:tc>
        <w:tc>
          <w:tcPr>
            <w:tcW w:w="312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公用经费控制率=（实际支出公用经费总额/预算安排公用经费总额）×100%。公用经费支出是指部门基本支出中的一般商品和服务支出。</w:t>
            </w:r>
          </w:p>
        </w:tc>
        <w:tc>
          <w:tcPr>
            <w:tcW w:w="58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lang w:val="en-US" w:eastAsia="zh-CN"/>
              </w:rPr>
              <w:t>8</w:t>
            </w:r>
            <w:r>
              <w:rPr>
                <w:rFonts w:hint="eastAsia" w:ascii="仿宋" w:hAnsi="仿宋" w:eastAsia="仿宋" w:cs="宋体"/>
                <w:b/>
                <w:bCs/>
                <w:kern w:val="0"/>
                <w:sz w:val="24"/>
              </w:rPr>
              <w:t>　</w:t>
            </w:r>
          </w:p>
        </w:tc>
      </w:tr>
      <w:tr>
        <w:tblPrEx>
          <w:tblCellMar>
            <w:top w:w="0" w:type="dxa"/>
            <w:left w:w="108" w:type="dxa"/>
            <w:bottom w:w="0" w:type="dxa"/>
            <w:right w:w="108" w:type="dxa"/>
          </w:tblCellMar>
        </w:tblPrEx>
        <w:trPr>
          <w:trHeight w:val="984" w:hRule="atLeast"/>
        </w:trPr>
        <w:tc>
          <w:tcPr>
            <w:tcW w:w="66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50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"三公经费"控制率</w:t>
            </w:r>
          </w:p>
        </w:tc>
        <w:tc>
          <w:tcPr>
            <w:tcW w:w="76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238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100%以下（含）计满分，每超出1%扣1分，扣完为止。</w:t>
            </w:r>
          </w:p>
        </w:tc>
        <w:tc>
          <w:tcPr>
            <w:tcW w:w="312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“三公经费”控制率=（“三公经费”实际支出数/“三公经费”预算安排数）×100%</w:t>
            </w:r>
          </w:p>
        </w:tc>
        <w:tc>
          <w:tcPr>
            <w:tcW w:w="58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lang w:val="en-US" w:eastAsia="zh-CN"/>
              </w:rPr>
              <w:t>8</w:t>
            </w:r>
            <w:r>
              <w:rPr>
                <w:rFonts w:hint="eastAsia" w:ascii="仿宋" w:hAnsi="仿宋" w:eastAsia="仿宋" w:cs="宋体"/>
                <w:b/>
                <w:bCs/>
                <w:kern w:val="0"/>
                <w:sz w:val="24"/>
              </w:rPr>
              <w:t>　</w:t>
            </w:r>
          </w:p>
        </w:tc>
      </w:tr>
      <w:tr>
        <w:tblPrEx>
          <w:tblCellMar>
            <w:top w:w="0" w:type="dxa"/>
            <w:left w:w="108" w:type="dxa"/>
            <w:bottom w:w="0" w:type="dxa"/>
            <w:right w:w="108" w:type="dxa"/>
          </w:tblCellMar>
        </w:tblPrEx>
        <w:trPr>
          <w:trHeight w:val="838" w:hRule="atLeast"/>
        </w:trPr>
        <w:tc>
          <w:tcPr>
            <w:tcW w:w="66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50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政府采购执行</w:t>
            </w:r>
          </w:p>
        </w:tc>
        <w:tc>
          <w:tcPr>
            <w:tcW w:w="76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238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100%计满分，每超出（降低）5%扣2分，扣完为止。</w:t>
            </w:r>
          </w:p>
        </w:tc>
        <w:tc>
          <w:tcPr>
            <w:tcW w:w="312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政府采购执行率=（实际政府采购金额/政府采购预算数）×100%</w:t>
            </w:r>
          </w:p>
        </w:tc>
        <w:tc>
          <w:tcPr>
            <w:tcW w:w="58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lang w:val="en-US" w:eastAsia="zh-CN"/>
              </w:rPr>
              <w:t>6</w:t>
            </w:r>
            <w:r>
              <w:rPr>
                <w:rFonts w:hint="eastAsia" w:ascii="仿宋" w:hAnsi="仿宋" w:eastAsia="仿宋" w:cs="宋体"/>
                <w:b/>
                <w:bCs/>
                <w:kern w:val="0"/>
                <w:sz w:val="24"/>
              </w:rPr>
              <w:t>　</w:t>
            </w:r>
          </w:p>
        </w:tc>
      </w:tr>
      <w:tr>
        <w:tblPrEx>
          <w:tblCellMar>
            <w:top w:w="0" w:type="dxa"/>
            <w:left w:w="108" w:type="dxa"/>
            <w:bottom w:w="0" w:type="dxa"/>
            <w:right w:w="108" w:type="dxa"/>
          </w:tblCellMar>
        </w:tblPrEx>
        <w:trPr>
          <w:trHeight w:val="3048" w:hRule="atLeast"/>
        </w:trPr>
        <w:tc>
          <w:tcPr>
            <w:tcW w:w="66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50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管理制度健全性</w:t>
            </w:r>
          </w:p>
        </w:tc>
        <w:tc>
          <w:tcPr>
            <w:tcW w:w="76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23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①有内部财务管理制度、会计核算制度等管理制度，2分；</w:t>
            </w:r>
            <w:r>
              <w:rPr>
                <w:rFonts w:hint="eastAsia" w:ascii="宋体" w:hAnsi="宋体" w:cs="宋体"/>
                <w:kern w:val="0"/>
                <w:sz w:val="18"/>
                <w:szCs w:val="18"/>
              </w:rPr>
              <w:br w:type="textWrapping"/>
            </w:r>
            <w:r>
              <w:rPr>
                <w:rFonts w:hint="eastAsia" w:ascii="宋体" w:hAnsi="宋体" w:cs="宋体"/>
                <w:kern w:val="0"/>
                <w:sz w:val="18"/>
                <w:szCs w:val="18"/>
              </w:rPr>
              <w:t>②有本部门厉行节约制度,2分；</w:t>
            </w:r>
            <w:r>
              <w:rPr>
                <w:rFonts w:hint="eastAsia" w:ascii="宋体" w:hAnsi="宋体" w:cs="宋体"/>
                <w:kern w:val="0"/>
                <w:sz w:val="18"/>
                <w:szCs w:val="18"/>
              </w:rPr>
              <w:br w:type="textWrapping"/>
            </w:r>
            <w:r>
              <w:rPr>
                <w:rFonts w:hint="eastAsia" w:ascii="宋体" w:hAnsi="宋体" w:cs="宋体"/>
                <w:kern w:val="0"/>
                <w:sz w:val="18"/>
                <w:szCs w:val="18"/>
              </w:rPr>
              <w:t>③相关管理制度合法、合规、完整，2分；④相关管理制度得到有效执行，2分。</w:t>
            </w:r>
          </w:p>
        </w:tc>
        <w:tc>
          <w:tcPr>
            <w:tcW w:w="312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8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lang w:val="en-US" w:eastAsia="zh-CN"/>
              </w:rPr>
              <w:t>8</w:t>
            </w:r>
            <w:r>
              <w:rPr>
                <w:rFonts w:hint="eastAsia" w:ascii="仿宋" w:hAnsi="仿宋" w:eastAsia="仿宋" w:cs="宋体"/>
                <w:b/>
                <w:bCs/>
                <w:kern w:val="0"/>
                <w:sz w:val="24"/>
              </w:rPr>
              <w:t>　</w:t>
            </w:r>
          </w:p>
        </w:tc>
      </w:tr>
      <w:tr>
        <w:tblPrEx>
          <w:tblCellMar>
            <w:top w:w="0" w:type="dxa"/>
            <w:left w:w="108" w:type="dxa"/>
            <w:bottom w:w="0" w:type="dxa"/>
            <w:right w:w="108" w:type="dxa"/>
          </w:tblCellMar>
        </w:tblPrEx>
        <w:trPr>
          <w:trHeight w:val="156"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一级指标</w:t>
            </w:r>
          </w:p>
        </w:tc>
        <w:tc>
          <w:tcPr>
            <w:tcW w:w="701" w:type="dxa"/>
            <w:tcBorders>
              <w:top w:val="single" w:color="auto" w:sz="4" w:space="0"/>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得分</w:t>
            </w:r>
          </w:p>
        </w:tc>
        <w:tc>
          <w:tcPr>
            <w:tcW w:w="508"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二级指标</w:t>
            </w:r>
          </w:p>
        </w:tc>
        <w:tc>
          <w:tcPr>
            <w:tcW w:w="768" w:type="dxa"/>
            <w:tcBorders>
              <w:top w:val="single" w:color="auto" w:sz="4" w:space="0"/>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得分</w:t>
            </w:r>
          </w:p>
        </w:tc>
        <w:tc>
          <w:tcPr>
            <w:tcW w:w="939"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三级指标</w:t>
            </w:r>
          </w:p>
        </w:tc>
        <w:tc>
          <w:tcPr>
            <w:tcW w:w="76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238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评价标准</w:t>
            </w:r>
          </w:p>
        </w:tc>
        <w:tc>
          <w:tcPr>
            <w:tcW w:w="312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指标说明</w:t>
            </w:r>
          </w:p>
        </w:tc>
        <w:tc>
          <w:tcPr>
            <w:tcW w:w="5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得分</w:t>
            </w:r>
          </w:p>
        </w:tc>
      </w:tr>
      <w:tr>
        <w:tblPrEx>
          <w:tblCellMar>
            <w:top w:w="0" w:type="dxa"/>
            <w:left w:w="108" w:type="dxa"/>
            <w:bottom w:w="0" w:type="dxa"/>
            <w:right w:w="108" w:type="dxa"/>
          </w:tblCellMar>
        </w:tblPrEx>
        <w:trPr>
          <w:trHeight w:val="156" w:hRule="atLeast"/>
        </w:trPr>
        <w:tc>
          <w:tcPr>
            <w:tcW w:w="663"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p>
        </w:tc>
        <w:tc>
          <w:tcPr>
            <w:tcW w:w="50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768"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p>
        </w:tc>
        <w:tc>
          <w:tcPr>
            <w:tcW w:w="93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18"/>
                <w:szCs w:val="18"/>
              </w:rPr>
            </w:pPr>
          </w:p>
        </w:tc>
        <w:tc>
          <w:tcPr>
            <w:tcW w:w="76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p>
        </w:tc>
        <w:tc>
          <w:tcPr>
            <w:tcW w:w="238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p>
        </w:tc>
        <w:tc>
          <w:tcPr>
            <w:tcW w:w="312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p>
        </w:tc>
        <w:tc>
          <w:tcPr>
            <w:tcW w:w="58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sz w:val="24"/>
              </w:rPr>
            </w:pPr>
          </w:p>
        </w:tc>
      </w:tr>
      <w:tr>
        <w:tblPrEx>
          <w:tblCellMar>
            <w:top w:w="0" w:type="dxa"/>
            <w:left w:w="108" w:type="dxa"/>
            <w:bottom w:w="0" w:type="dxa"/>
            <w:right w:w="108" w:type="dxa"/>
          </w:tblCellMar>
        </w:tblPrEx>
        <w:trPr>
          <w:trHeight w:val="2701" w:hRule="atLeast"/>
        </w:trPr>
        <w:tc>
          <w:tcPr>
            <w:tcW w:w="663"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p>
        </w:tc>
        <w:tc>
          <w:tcPr>
            <w:tcW w:w="50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768"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p>
        </w:tc>
        <w:tc>
          <w:tcPr>
            <w:tcW w:w="93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资金使用合规性</w:t>
            </w:r>
          </w:p>
        </w:tc>
        <w:tc>
          <w:tcPr>
            <w:tcW w:w="76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23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hint="eastAsia" w:ascii="宋体" w:hAnsi="宋体" w:cs="宋体"/>
                <w:kern w:val="0"/>
                <w:sz w:val="18"/>
                <w:szCs w:val="18"/>
              </w:rPr>
              <w:br w:type="textWrapping"/>
            </w:r>
            <w:r>
              <w:rPr>
                <w:rFonts w:hint="eastAsia" w:ascii="宋体" w:hAnsi="宋体" w:cs="宋体"/>
                <w:kern w:val="0"/>
                <w:sz w:val="18"/>
                <w:szCs w:val="18"/>
              </w:rPr>
              <w:t>以上情况每出现一例不符合要求的扣1分，扣完为止。</w:t>
            </w:r>
          </w:p>
        </w:tc>
        <w:tc>
          <w:tcPr>
            <w:tcW w:w="312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85"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lang w:val="en-US" w:eastAsia="zh-CN"/>
              </w:rPr>
              <w:t>5</w:t>
            </w:r>
            <w:r>
              <w:rPr>
                <w:rFonts w:hint="eastAsia" w:ascii="宋体" w:hAnsi="宋体" w:cs="宋体"/>
                <w:b/>
                <w:bCs/>
                <w:kern w:val="0"/>
                <w:sz w:val="24"/>
              </w:rPr>
              <w:t>　</w:t>
            </w:r>
          </w:p>
        </w:tc>
      </w:tr>
      <w:tr>
        <w:tblPrEx>
          <w:tblCellMar>
            <w:top w:w="0" w:type="dxa"/>
            <w:left w:w="108" w:type="dxa"/>
            <w:bottom w:w="0" w:type="dxa"/>
            <w:right w:w="108" w:type="dxa"/>
          </w:tblCellMar>
        </w:tblPrEx>
        <w:trPr>
          <w:trHeight w:val="2100" w:hRule="atLeast"/>
        </w:trPr>
        <w:tc>
          <w:tcPr>
            <w:tcW w:w="663"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p>
        </w:tc>
        <w:tc>
          <w:tcPr>
            <w:tcW w:w="50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768"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p>
        </w:tc>
        <w:tc>
          <w:tcPr>
            <w:tcW w:w="93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预决算信息公开性</w:t>
            </w:r>
          </w:p>
        </w:tc>
        <w:tc>
          <w:tcPr>
            <w:tcW w:w="76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23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①按规定内容公开预算信息，1分；②按规定时限公开预算信息，1分；③基础数据信息和会计信息资料真实，1分；④基础数据信息和会计信息资料完整，1分；⑤基础数据信息和汇集信息资料准确，1分。</w:t>
            </w:r>
          </w:p>
        </w:tc>
        <w:tc>
          <w:tcPr>
            <w:tcW w:w="312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预算信息是指与部门预算、执行、监督、绩效等管理相关的信息</w:t>
            </w:r>
          </w:p>
        </w:tc>
        <w:tc>
          <w:tcPr>
            <w:tcW w:w="585"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lang w:val="en-US" w:eastAsia="zh-CN"/>
              </w:rPr>
              <w:t>5</w:t>
            </w:r>
            <w:r>
              <w:rPr>
                <w:rFonts w:hint="eastAsia" w:ascii="宋体" w:hAnsi="宋体" w:cs="宋体"/>
                <w:b/>
                <w:bCs/>
                <w:kern w:val="0"/>
                <w:sz w:val="24"/>
              </w:rPr>
              <w:t>　</w:t>
            </w:r>
          </w:p>
        </w:tc>
      </w:tr>
      <w:tr>
        <w:tblPrEx>
          <w:tblCellMar>
            <w:top w:w="0" w:type="dxa"/>
            <w:left w:w="108" w:type="dxa"/>
            <w:bottom w:w="0" w:type="dxa"/>
            <w:right w:w="108" w:type="dxa"/>
          </w:tblCellMar>
        </w:tblPrEx>
        <w:trPr>
          <w:trHeight w:val="1265" w:hRule="atLeast"/>
        </w:trPr>
        <w:tc>
          <w:tcPr>
            <w:tcW w:w="6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产出及 效益</w:t>
            </w:r>
          </w:p>
        </w:tc>
        <w:tc>
          <w:tcPr>
            <w:tcW w:w="7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50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职责履行</w:t>
            </w:r>
          </w:p>
        </w:tc>
        <w:tc>
          <w:tcPr>
            <w:tcW w:w="768"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8</w:t>
            </w:r>
          </w:p>
        </w:tc>
        <w:tc>
          <w:tcPr>
            <w:tcW w:w="93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各项工作实际完成情况</w:t>
            </w:r>
          </w:p>
        </w:tc>
        <w:tc>
          <w:tcPr>
            <w:tcW w:w="76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23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根据20</w:t>
            </w:r>
            <w:r>
              <w:rPr>
                <w:rFonts w:ascii="宋体" w:hAnsi="宋体" w:cs="宋体"/>
                <w:kern w:val="0"/>
                <w:sz w:val="18"/>
                <w:szCs w:val="18"/>
              </w:rPr>
              <w:t>20</w:t>
            </w:r>
            <w:r>
              <w:rPr>
                <w:rFonts w:hint="eastAsia" w:ascii="宋体" w:hAnsi="宋体" w:cs="宋体"/>
                <w:kern w:val="0"/>
                <w:sz w:val="18"/>
                <w:szCs w:val="18"/>
              </w:rPr>
              <w:t>年各项工作任务（含为民办实事和重点工程）完成情况进行细化自行评定</w:t>
            </w:r>
          </w:p>
        </w:tc>
        <w:tc>
          <w:tcPr>
            <w:tcW w:w="312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85"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lang w:val="en-US" w:eastAsia="zh-CN"/>
              </w:rPr>
              <w:t>8</w:t>
            </w:r>
            <w:r>
              <w:rPr>
                <w:rFonts w:hint="eastAsia" w:ascii="宋体" w:hAnsi="宋体" w:cs="宋体"/>
                <w:b/>
                <w:bCs/>
                <w:kern w:val="0"/>
                <w:sz w:val="24"/>
              </w:rPr>
              <w:t>　</w:t>
            </w:r>
          </w:p>
        </w:tc>
      </w:tr>
      <w:tr>
        <w:tblPrEx>
          <w:tblCellMar>
            <w:top w:w="0" w:type="dxa"/>
            <w:left w:w="108" w:type="dxa"/>
            <w:bottom w:w="0" w:type="dxa"/>
            <w:right w:w="108" w:type="dxa"/>
          </w:tblCellMar>
        </w:tblPrEx>
        <w:trPr>
          <w:trHeight w:val="311" w:hRule="atLeast"/>
        </w:trPr>
        <w:tc>
          <w:tcPr>
            <w:tcW w:w="66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0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50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履职效益</w:t>
            </w:r>
          </w:p>
        </w:tc>
        <w:tc>
          <w:tcPr>
            <w:tcW w:w="76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9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经济效益</w:t>
            </w:r>
          </w:p>
        </w:tc>
        <w:tc>
          <w:tcPr>
            <w:tcW w:w="76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550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此两项指标为设置部门整体支出绩效评价指标时必须考虑的共性要素，可根据部门实际情况有选择的进行设置，并将其细化为相应的个性化指标。</w:t>
            </w:r>
          </w:p>
        </w:tc>
        <w:tc>
          <w:tcPr>
            <w:tcW w:w="585"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lang w:val="en-US" w:eastAsia="zh-CN"/>
              </w:rPr>
              <w:t>3</w:t>
            </w:r>
            <w:r>
              <w:rPr>
                <w:rFonts w:hint="eastAsia" w:ascii="宋体" w:hAnsi="宋体" w:cs="宋体"/>
                <w:b/>
                <w:bCs/>
                <w:kern w:val="0"/>
                <w:sz w:val="24"/>
              </w:rPr>
              <w:t>　</w:t>
            </w:r>
          </w:p>
        </w:tc>
      </w:tr>
      <w:tr>
        <w:tblPrEx>
          <w:tblCellMar>
            <w:top w:w="0" w:type="dxa"/>
            <w:left w:w="108" w:type="dxa"/>
            <w:bottom w:w="0" w:type="dxa"/>
            <w:right w:w="108" w:type="dxa"/>
          </w:tblCellMar>
        </w:tblPrEx>
        <w:trPr>
          <w:trHeight w:val="522" w:hRule="atLeast"/>
        </w:trPr>
        <w:tc>
          <w:tcPr>
            <w:tcW w:w="66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0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50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社会效益</w:t>
            </w:r>
          </w:p>
        </w:tc>
        <w:tc>
          <w:tcPr>
            <w:tcW w:w="76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55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585"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lang w:val="en-US" w:eastAsia="zh-CN"/>
              </w:rPr>
              <w:t>3</w:t>
            </w:r>
            <w:r>
              <w:rPr>
                <w:rFonts w:hint="eastAsia" w:ascii="宋体" w:hAnsi="宋体" w:cs="宋体"/>
                <w:b/>
                <w:bCs/>
                <w:kern w:val="0"/>
                <w:sz w:val="24"/>
              </w:rPr>
              <w:t>　</w:t>
            </w:r>
          </w:p>
        </w:tc>
      </w:tr>
      <w:tr>
        <w:tblPrEx>
          <w:tblCellMar>
            <w:top w:w="0" w:type="dxa"/>
            <w:left w:w="108" w:type="dxa"/>
            <w:bottom w:w="0" w:type="dxa"/>
            <w:right w:w="108" w:type="dxa"/>
          </w:tblCellMar>
        </w:tblPrEx>
        <w:trPr>
          <w:trHeight w:val="1550" w:hRule="atLeast"/>
        </w:trPr>
        <w:tc>
          <w:tcPr>
            <w:tcW w:w="66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0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50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9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行政效能</w:t>
            </w:r>
          </w:p>
        </w:tc>
        <w:tc>
          <w:tcPr>
            <w:tcW w:w="76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23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促进部门改进文风会风，加强经费及资产管理，推动网上办事，提高行政效率，降低行政成本效果较好的计6分；一般3分；无效果或者效果不明显0分。</w:t>
            </w:r>
          </w:p>
        </w:tc>
        <w:tc>
          <w:tcPr>
            <w:tcW w:w="312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根据部门自评材料评定</w:t>
            </w:r>
          </w:p>
        </w:tc>
        <w:tc>
          <w:tcPr>
            <w:tcW w:w="585"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lang w:val="en-US" w:eastAsia="zh-CN"/>
              </w:rPr>
              <w:t>6</w:t>
            </w:r>
            <w:r>
              <w:rPr>
                <w:rFonts w:hint="eastAsia" w:ascii="宋体" w:hAnsi="宋体" w:cs="宋体"/>
                <w:b/>
                <w:bCs/>
                <w:kern w:val="0"/>
                <w:sz w:val="24"/>
              </w:rPr>
              <w:t>　</w:t>
            </w:r>
          </w:p>
        </w:tc>
      </w:tr>
      <w:tr>
        <w:tblPrEx>
          <w:tblCellMar>
            <w:top w:w="0" w:type="dxa"/>
            <w:left w:w="108" w:type="dxa"/>
            <w:bottom w:w="0" w:type="dxa"/>
            <w:right w:w="108" w:type="dxa"/>
          </w:tblCellMar>
        </w:tblPrEx>
        <w:trPr>
          <w:trHeight w:val="1263" w:hRule="atLeast"/>
        </w:trPr>
        <w:tc>
          <w:tcPr>
            <w:tcW w:w="66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0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50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9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社会公众或服务对象满意度</w:t>
            </w:r>
          </w:p>
        </w:tc>
        <w:tc>
          <w:tcPr>
            <w:tcW w:w="76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23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90%（含）以上计6分；</w:t>
            </w:r>
            <w:r>
              <w:rPr>
                <w:rFonts w:hint="eastAsia" w:ascii="宋体" w:hAnsi="宋体" w:cs="宋体"/>
                <w:kern w:val="0"/>
                <w:sz w:val="18"/>
                <w:szCs w:val="18"/>
              </w:rPr>
              <w:br w:type="textWrapping"/>
            </w:r>
            <w:r>
              <w:rPr>
                <w:rFonts w:hint="eastAsia" w:ascii="宋体" w:hAnsi="宋体" w:cs="宋体"/>
                <w:kern w:val="0"/>
                <w:sz w:val="18"/>
                <w:szCs w:val="18"/>
              </w:rPr>
              <w:t>80%（含）-90%，计4分；</w:t>
            </w:r>
            <w:r>
              <w:rPr>
                <w:rFonts w:hint="eastAsia" w:ascii="宋体" w:hAnsi="宋体" w:cs="宋体"/>
                <w:kern w:val="0"/>
                <w:sz w:val="18"/>
                <w:szCs w:val="18"/>
              </w:rPr>
              <w:br w:type="textWrapping"/>
            </w:r>
            <w:r>
              <w:rPr>
                <w:rFonts w:hint="eastAsia" w:ascii="宋体" w:hAnsi="宋体" w:cs="宋体"/>
                <w:kern w:val="0"/>
                <w:sz w:val="18"/>
                <w:szCs w:val="18"/>
              </w:rPr>
              <w:t>70%（含）-80%，计2分；</w:t>
            </w:r>
            <w:r>
              <w:rPr>
                <w:rFonts w:hint="eastAsia" w:ascii="宋体" w:hAnsi="宋体" w:cs="宋体"/>
                <w:kern w:val="0"/>
                <w:sz w:val="18"/>
                <w:szCs w:val="18"/>
              </w:rPr>
              <w:br w:type="textWrapping"/>
            </w:r>
            <w:r>
              <w:rPr>
                <w:rFonts w:hint="eastAsia" w:ascii="宋体" w:hAnsi="宋体" w:cs="宋体"/>
                <w:kern w:val="0"/>
                <w:sz w:val="18"/>
                <w:szCs w:val="18"/>
              </w:rPr>
              <w:t>低于70%计0分。</w:t>
            </w:r>
          </w:p>
        </w:tc>
        <w:tc>
          <w:tcPr>
            <w:tcW w:w="312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社会公众或服务对象是指部门（单位）履行职责而影响到的部门、群体或个人，一般采取社会调查的方式。</w:t>
            </w:r>
          </w:p>
        </w:tc>
        <w:tc>
          <w:tcPr>
            <w:tcW w:w="585"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lang w:val="en-US" w:eastAsia="zh-CN"/>
              </w:rPr>
              <w:t>6</w:t>
            </w:r>
            <w:r>
              <w:rPr>
                <w:rFonts w:hint="eastAsia" w:ascii="宋体" w:hAnsi="宋体" w:cs="宋体"/>
                <w:b/>
                <w:bCs/>
                <w:kern w:val="0"/>
                <w:sz w:val="24"/>
              </w:rPr>
              <w:t>　</w:t>
            </w:r>
          </w:p>
        </w:tc>
      </w:tr>
      <w:tr>
        <w:tblPrEx>
          <w:tblCellMar>
            <w:top w:w="0" w:type="dxa"/>
            <w:left w:w="108" w:type="dxa"/>
            <w:bottom w:w="0" w:type="dxa"/>
            <w:right w:w="108" w:type="dxa"/>
          </w:tblCellMar>
        </w:tblPrEx>
        <w:trPr>
          <w:trHeight w:val="596" w:hRule="atLeast"/>
        </w:trPr>
        <w:tc>
          <w:tcPr>
            <w:tcW w:w="663"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总分</w:t>
            </w:r>
          </w:p>
        </w:tc>
        <w:tc>
          <w:tcPr>
            <w:tcW w:w="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100</w:t>
            </w:r>
          </w:p>
        </w:tc>
        <w:tc>
          <w:tcPr>
            <w:tcW w:w="50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68"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100</w:t>
            </w:r>
          </w:p>
        </w:tc>
        <w:tc>
          <w:tcPr>
            <w:tcW w:w="93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6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23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12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85"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lang w:val="en-US" w:eastAsia="zh-CN"/>
              </w:rPr>
              <w:t>90</w:t>
            </w:r>
            <w:r>
              <w:rPr>
                <w:rFonts w:hint="eastAsia" w:ascii="宋体" w:hAnsi="宋体" w:cs="宋体"/>
                <w:b/>
                <w:bCs/>
                <w:kern w:val="0"/>
                <w:sz w:val="24"/>
              </w:rPr>
              <w:t>　</w:t>
            </w:r>
          </w:p>
        </w:tc>
      </w:tr>
    </w:tbl>
    <w:p>
      <w:pPr>
        <w:widowControl/>
        <w:spacing w:line="578" w:lineRule="atLeast"/>
        <w:rPr>
          <w:rFonts w:hint="eastAsia" w:ascii="方正小标宋简体" w:hAnsi="宋体" w:eastAsia="方正小标宋简体" w:cs="Arial"/>
          <w:bCs/>
          <w:color w:val="000000"/>
          <w:kern w:val="0"/>
          <w:szCs w:val="21"/>
        </w:rPr>
      </w:pPr>
    </w:p>
    <w:p>
      <w:pPr>
        <w:keepNext w:val="0"/>
        <w:keepLines w:val="0"/>
        <w:pageBreakBefore w:val="0"/>
        <w:kinsoku/>
        <w:wordWrap/>
        <w:overflowPunct/>
        <w:topLinePunct w:val="0"/>
        <w:autoSpaceDE/>
        <w:autoSpaceDN/>
        <w:bidi w:val="0"/>
        <w:adjustRightInd/>
        <w:snapToGrid w:val="0"/>
        <w:spacing w:after="30" w:afterAutospacing="0" w:line="600" w:lineRule="exact"/>
        <w:jc w:val="both"/>
        <w:textAlignment w:val="auto"/>
        <w:rPr>
          <w:rFonts w:hint="default" w:ascii="仿宋_GB2312" w:hAnsi="仿宋_GB2312" w:eastAsia="仿宋_GB2312" w:cs="仿宋_GB2312"/>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val="0"/>
        <w:spacing w:after="30" w:afterAutospacing="0" w:line="60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A8743"/>
    <w:multiLevelType w:val="singleLevel"/>
    <w:tmpl w:val="A63A8743"/>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EC6FA0"/>
    <w:rsid w:val="04852E93"/>
    <w:rsid w:val="0632421F"/>
    <w:rsid w:val="0B5B72F7"/>
    <w:rsid w:val="17EC6FA0"/>
    <w:rsid w:val="210C7E73"/>
    <w:rsid w:val="39371757"/>
    <w:rsid w:val="5F9E5064"/>
    <w:rsid w:val="62832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5"/>
    <w:basedOn w:val="1"/>
    <w:next w:val="1"/>
    <w:unhideWhenUsed/>
    <w:qFormat/>
    <w:uiPriority w:val="99"/>
    <w:pPr>
      <w:widowControl/>
      <w:ind w:left="1680"/>
    </w:pPr>
    <w:rPr>
      <w:rFonts w:hint="eastAsia"/>
      <w:szCs w:val="20"/>
    </w:rPr>
  </w:style>
  <w:style w:type="paragraph" w:styleId="3">
    <w:name w:val="footer"/>
    <w:basedOn w:val="1"/>
    <w:qFormat/>
    <w:uiPriority w:val="99"/>
    <w:pPr>
      <w:tabs>
        <w:tab w:val="center" w:pos="4153"/>
        <w:tab w:val="right" w:pos="8306"/>
      </w:tabs>
      <w:snapToGrid w:val="0"/>
      <w:jc w:val="left"/>
    </w:pPr>
    <w:rPr>
      <w:sz w:val="18"/>
    </w:rPr>
  </w:style>
  <w:style w:type="paragraph" w:styleId="4">
    <w:name w:val="Normal (Web)"/>
    <w:basedOn w:val="1"/>
    <w:unhideWhenUsed/>
    <w:qFormat/>
    <w:uiPriority w:val="99"/>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7">
    <w:name w:val="列出段落1"/>
    <w:basedOn w:val="1"/>
    <w:unhideWhenUsed/>
    <w:qFormat/>
    <w:uiPriority w:val="99"/>
    <w:pPr>
      <w:widowControl/>
      <w:ind w:firstLine="420" w:firstLineChars="200"/>
    </w:pPr>
    <w:rPr>
      <w:rFonts w:hint="eastAsia" w:ascii="Calibri" w:hAnsi="Calibri"/>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2021-06-21T07:10:00Z</dcterms:created>
  <dc:creator>简单点</dc:creator>
  <cp:lastModifiedBy>简单点</cp:lastModifiedBy>
  <cp:lastPrinted>2021-07-28T00:44:57Z</cp:lastPrinted>
  <dcterms:modified xsi:type="dcterms:W3CDTF">2021-07-28T01:23:54Z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3685FF4D2A594E6EABCD932ECDC766DA</vt:lpwstr>
  </property>
</Properties>
</file>