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0" w:beforeAutospacing="0" w:after="2" w:afterAutospacing="0"/>
        <w:jc w:val="center"/>
      </w:pPr>
      <w:r>
        <w:rPr>
          <w:rFonts w:ascii="宋体" w:hAnsi="宋体" w:eastAsia="宋体" w:cs="宋体"/>
          <w:color w:val="000000"/>
          <w:sz w:val="44"/>
          <w:szCs w:val="44"/>
        </w:rPr>
        <w:t>2021年度花垣县</w:t>
      </w:r>
      <w:r>
        <w:rPr>
          <w:rFonts w:hint="eastAsia" w:ascii="宋体" w:hAnsi="宋体" w:eastAsia="宋体" w:cs="宋体"/>
          <w:color w:val="000000"/>
          <w:sz w:val="44"/>
          <w:szCs w:val="44"/>
          <w:lang w:eastAsia="zh-CN"/>
        </w:rPr>
        <w:t>城市管理和综合执法局</w:t>
      </w:r>
      <w:r>
        <w:rPr>
          <w:rFonts w:ascii="宋体" w:hAnsi="宋体" w:eastAsia="宋体" w:cs="宋体"/>
          <w:color w:val="000000"/>
          <w:sz w:val="44"/>
          <w:szCs w:val="44"/>
        </w:rPr>
        <w:t>本级部门决算</w:t>
      </w:r>
      <w:r>
        <w:rPr>
          <w:color w:val="000000"/>
        </w:rPr>
        <w:t xml:space="preserve"> </w:t>
      </w:r>
    </w:p>
    <w:p>
      <w:pPr>
        <w:spacing w:before="0" w:beforeAutospacing="0" w:after="2" w:afterAutospacing="0"/>
        <w:jc w:val="center"/>
        <w:rPr>
          <w:sz w:val="21"/>
          <w:szCs w:val="21"/>
        </w:rPr>
      </w:pPr>
      <w:r>
        <w:rPr>
          <w:color w:val="000000"/>
          <w:sz w:val="32"/>
          <w:szCs w:val="32"/>
        </w:rPr>
        <w:t> </w:t>
      </w:r>
      <w:r>
        <w:rPr>
          <w:color w:val="000000"/>
          <w:sz w:val="21"/>
          <w:szCs w:val="21"/>
        </w:rPr>
        <w:t xml:space="preserve"> </w:t>
      </w:r>
    </w:p>
    <w:p>
      <w:pPr>
        <w:spacing w:before="0" w:beforeAutospacing="0" w:after="2" w:afterAutospacing="0"/>
        <w:jc w:val="center"/>
        <w:rPr>
          <w:rFonts w:hint="eastAsia" w:ascii="宋体" w:hAnsi="宋体" w:eastAsia="宋体" w:cs="宋体"/>
          <w:sz w:val="21"/>
          <w:szCs w:val="21"/>
        </w:rPr>
      </w:pPr>
      <w:r>
        <w:rPr>
          <w:rFonts w:hint="eastAsia" w:ascii="宋体" w:hAnsi="宋体" w:eastAsia="宋体" w:cs="宋体"/>
          <w:color w:val="000000"/>
          <w:sz w:val="32"/>
          <w:szCs w:val="32"/>
        </w:rPr>
        <w:t>目 录</w:t>
      </w:r>
      <w:r>
        <w:rPr>
          <w:rFonts w:hint="eastAsia" w:ascii="宋体" w:hAnsi="宋体" w:eastAsia="宋体" w:cs="宋体"/>
          <w:color w:val="000000"/>
          <w:sz w:val="21"/>
          <w:szCs w:val="21"/>
        </w:rPr>
        <w:t xml:space="preserve"> </w:t>
      </w:r>
    </w:p>
    <w:p>
      <w:pPr>
        <w:spacing w:before="0" w:beforeAutospacing="0" w:after="2" w:afterAutospacing="0"/>
        <w:jc w:val="center"/>
        <w:rPr>
          <w:sz w:val="21"/>
          <w:szCs w:val="21"/>
        </w:rPr>
      </w:pP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第一部分 花垣县</w:t>
      </w:r>
      <w:r>
        <w:rPr>
          <w:rFonts w:hint="eastAsia" w:ascii="宋体" w:hAnsi="宋体" w:eastAsia="宋体" w:cs="宋体"/>
          <w:b/>
          <w:bCs/>
          <w:color w:val="000000"/>
          <w:sz w:val="32"/>
          <w:szCs w:val="32"/>
          <w:lang w:eastAsia="zh-CN"/>
        </w:rPr>
        <w:t>城市管理和综合执法局</w:t>
      </w:r>
      <w:r>
        <w:rPr>
          <w:rFonts w:hint="eastAsia" w:ascii="宋体" w:hAnsi="宋体" w:eastAsia="宋体" w:cs="宋体"/>
          <w:b/>
          <w:bCs/>
          <w:color w:val="000000"/>
          <w:sz w:val="32"/>
          <w:szCs w:val="32"/>
        </w:rPr>
        <w:t>本级概况</w:t>
      </w:r>
      <w:r>
        <w:rPr>
          <w:color w:val="000000"/>
          <w:sz w:val="27"/>
          <w:szCs w:val="27"/>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一、部门职责</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二、机构设置</w:t>
      </w:r>
      <w:r>
        <w:rPr>
          <w:color w:val="000000"/>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第二部分 2021年度部门决算表</w:t>
      </w:r>
      <w:r>
        <w:rPr>
          <w:color w:val="000000"/>
          <w:sz w:val="27"/>
          <w:szCs w:val="27"/>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一、收入支出决算总表</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二、收入决算表</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三、支出决算表</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四、财政拨款收入支出决算总表</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五、一般公共预算财政拨款支出决算表</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六、一般公共预算财政拨款基本支出决算明细表</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七、一般公共预算财政拨款“三公”经费支出决算表</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八、政府性基金预算财政拨款收入支出决算表</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九、国有资本经营预算财政拨款支出决算表</w:t>
      </w:r>
      <w:r>
        <w:rPr>
          <w:color w:val="000000"/>
        </w:rPr>
        <w:t xml:space="preserve"> </w:t>
      </w:r>
    </w:p>
    <w:p>
      <w:pPr>
        <w:pStyle w:val="13"/>
        <w:spacing w:before="0" w:beforeAutospacing="0" w:after="2" w:afterAutospacing="0"/>
        <w:ind w:left="0" w:firstLine="700"/>
      </w:pPr>
      <w:r>
        <w:rPr>
          <w:rFonts w:hint="eastAsia" w:ascii="宋体" w:hAnsi="宋体" w:eastAsia="宋体" w:cs="宋体"/>
          <w:b/>
          <w:bCs/>
          <w:color w:val="000000"/>
          <w:sz w:val="32"/>
          <w:szCs w:val="32"/>
        </w:rPr>
        <w:t>第三部分 2021年度部门决算情况说明</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一、收入支出决算总体情况说明</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二、收入决算情况说明</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三、支出决算情况说明</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四、财政拨款收入支出决算总体情况说明</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五、一般公共预算财政拨款支出决算情况说明</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六、一般公共预算财政拨款基本支出决算情况说明</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七、一般公共预算财政拨款“三公”经费支出决算情况说明</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八、政府性基金预算收入支出决算情况</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九、机关运行经费支出说明</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十、一般性支出情况</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十一、政府采购支出说明</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十二、国有资产占用情况说明</w:t>
      </w:r>
      <w:r>
        <w:rPr>
          <w:color w:val="000000"/>
        </w:rPr>
        <w:t xml:space="preserve"> </w:t>
      </w:r>
    </w:p>
    <w:p>
      <w:pPr>
        <w:pStyle w:val="13"/>
        <w:spacing w:before="0" w:beforeAutospacing="0" w:after="2" w:afterAutospacing="0"/>
        <w:ind w:left="0" w:firstLine="700"/>
      </w:pPr>
      <w:r>
        <w:rPr>
          <w:rFonts w:hint="eastAsia" w:ascii="宋体" w:hAnsi="宋体" w:eastAsia="宋体" w:cs="宋体"/>
          <w:color w:val="000000"/>
          <w:sz w:val="28"/>
          <w:szCs w:val="28"/>
        </w:rPr>
        <w:t>十三、2021年度预算绩效情况的说明</w:t>
      </w:r>
      <w:r>
        <w:rPr>
          <w:color w:val="000000"/>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第四部分 名词解释</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第五部分 附件</w:t>
      </w:r>
      <w:r>
        <w:rPr>
          <w:color w:val="000000"/>
          <w:sz w:val="27"/>
          <w:szCs w:val="27"/>
        </w:rPr>
        <w:t xml:space="preserve"> </w:t>
      </w:r>
    </w:p>
    <w:p/>
    <w:p/>
    <w:p/>
    <w:p/>
    <w:p/>
    <w:p>
      <w:pPr>
        <w:spacing w:before="0" w:beforeAutospacing="0" w:after="2" w:afterAutospacing="0" w:line="600" w:lineRule="atLeast"/>
        <w:ind w:left="0" w:right="0"/>
        <w:jc w:val="center"/>
        <w:rPr>
          <w:sz w:val="21"/>
          <w:szCs w:val="21"/>
        </w:rPr>
      </w:pPr>
      <w:r>
        <w:rPr>
          <w:rFonts w:hint="eastAsia" w:ascii="宋体" w:hAnsi="宋体" w:eastAsia="宋体" w:cs="宋体"/>
          <w:b/>
          <w:bCs/>
          <w:color w:val="000000"/>
          <w:sz w:val="36"/>
          <w:szCs w:val="36"/>
        </w:rPr>
        <w:t>第一部分 花垣县</w:t>
      </w:r>
      <w:r>
        <w:rPr>
          <w:rFonts w:hint="eastAsia" w:ascii="宋体" w:hAnsi="宋体" w:eastAsia="宋体" w:cs="宋体"/>
          <w:b/>
          <w:bCs/>
          <w:color w:val="000000"/>
          <w:sz w:val="36"/>
          <w:szCs w:val="36"/>
          <w:lang w:eastAsia="zh-CN"/>
        </w:rPr>
        <w:t>城市管理和综合执法局</w:t>
      </w:r>
      <w:r>
        <w:rPr>
          <w:rFonts w:hint="eastAsia" w:ascii="宋体" w:hAnsi="宋体" w:eastAsia="宋体" w:cs="宋体"/>
          <w:b/>
          <w:bCs/>
          <w:color w:val="000000"/>
          <w:sz w:val="36"/>
          <w:szCs w:val="36"/>
        </w:rPr>
        <w:t>本级概况</w:t>
      </w:r>
      <w:r>
        <w:rPr>
          <w:b/>
          <w:bCs/>
          <w:color w:val="000000"/>
          <w:sz w:val="21"/>
          <w:szCs w:val="21"/>
        </w:rPr>
        <w:t xml:space="preserve"> </w:t>
      </w:r>
    </w:p>
    <w:p>
      <w:pPr>
        <w:pStyle w:val="9"/>
        <w:keepNext w:val="0"/>
        <w:keepLines w:val="0"/>
        <w:widowControl/>
        <w:suppressLineNumbers w:val="0"/>
        <w:spacing w:before="0" w:beforeAutospacing="0" w:after="2" w:afterAutospacing="0"/>
      </w:pPr>
    </w:p>
    <w:p>
      <w:pPr>
        <w:pStyle w:val="9"/>
        <w:keepNext w:val="0"/>
        <w:keepLines w:val="0"/>
        <w:widowControl/>
        <w:suppressLineNumbers w:val="0"/>
        <w:spacing w:before="0" w:beforeAutospacing="0" w:after="2" w:afterAutospacing="0"/>
        <w:ind w:left="0" w:right="0" w:firstLine="0"/>
      </w:pPr>
      <w:r>
        <w:rPr>
          <w:rFonts w:hint="eastAsia" w:ascii="黑体" w:hAnsi="宋体" w:eastAsia="黑体" w:cs="黑体"/>
          <w:color w:val="000000"/>
          <w:sz w:val="32"/>
          <w:szCs w:val="32"/>
        </w:rPr>
        <w:t> </w:t>
      </w:r>
      <w:r>
        <w:rPr>
          <w:color w:val="000000"/>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一、部门职责</w:t>
      </w:r>
      <w:r>
        <w:rPr>
          <w:color w:val="000000"/>
          <w:sz w:val="27"/>
          <w:szCs w:val="27"/>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（一）宣传贯彻城市管理和综合执法有关法律、法规和规章，研究拟定有关市容环境卫生方面的地方规范性文件，负责县城城市管理及有综合执法的督促、检查、指导和综合协调工作。</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（二）负责县城共建设性、经营性临时占道及工程渣土的管理；督促相关部门做好拆迁现场和施工现场的文明施工管理；检查、督促县域区内“门前四包”工作。</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三）负责县城区市政公用设施管理工作。履行城市广场、道路、桥梁、无障碍设施、路灯等照明景观设施，供水、雨水、污水管网及其附属设施，瓶装燃气、地下综合管廊等市政公用设施建设完成后的日常养护、使用和安全管理职能。</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四）负责县城区市容环卫方面管理工作。履行城市街道各类箱柜、宣传廊、橱窗等“城市家具”，立面空间景观、户外广告设置、摊点摊贩、门头牌匾及门面外立面装修等公共空间秩序管理职能；履行县城区内道路清扫保洁，垃圾处理设施，公厕、垃圾中转站等县城区容貌、环境卫生管理和环卫基础设施运营维护管理职能。</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（五）负责县城区内园林绿化方面管理工作。履行县城区公园绿地、风景林地、防护绿地、行道树及干道绿化带、古树名木和大树等管理职能。</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（六）行使城市市容和环境卫生管理方面法律、法规、规章规定的行政处罚权。强制拆除不符合城市容貌标准、环境卫生标准的建筑物或者设施。</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（七）行使城市园林绿化管理方面法律、法规、规章规定的行政处罚权。</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（八）行使市政管理方面法律、法规、规章规定的行政处罚权。</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九）行使环境保护方面法律、法规、规章规定的行政处罚权：对社会生活造成噪音污染的；对未采取密闭措施或者其他防护措施，运输、装卸或者贮存能够散发有毒有害气体或者粉尘物质的；对在人口集中地区和其他依法需要特殊保护的区域内，焚烧产生有毒有害烟尘、恶臭气体物质行为的；对在人口集中城区、城区内交通干线附近以及县人民政府划定的区域内露天焚烧秸杆、落叶等产生烟尘污染物质行为的；对饮食服务业违反规定排放油烟、在城区内露天烧烤食品污染环境等行为的；对向县城区水体排放、倾倒工业废渣、垃圾和其他废弃物行为的；对建设施工造成大气污染行为的。</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十）行使工商行政管理方面法律、法规、规章规定的对在县城区道路、公园、广场等公共场所无照商贩和违反规定随意摆摊设点的行政处罚权。对涉嫌无照经营行为查处时，可以查封、产（商）品。行使对违反户外广告设置规定和发布影响市容广告行为的行政处罚权。</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十一）行使公安交通管理方面法律、法规、规章规定的对侵占城市道路和公共立场行为的行政处罚权，对在县城区人行道及次干道路上违章停放车辆的，可以锁定机动车车轮或者将车辆拖至不妨碍交通或指定的地点。</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（十二）行使城市规划管理方面法律、法规、规章规定的对未取得建设用地规划许可证、未取得建设工程规划许可证或者违反建设工程规划许可证规定进行建设的行政处罚权。</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（十三）行使河道管理方面法律、法规、规章规定的涉及城区河道管理秩序的行政处罚权。</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（十四）发行省、州、县人民政府依法调整的其他行政处罚权，完成县委、县人民政府交界的其他事项。</w:t>
      </w:r>
      <w:r>
        <w:rPr>
          <w:color w:val="000000"/>
          <w:sz w:val="32"/>
          <w:szCs w:val="32"/>
        </w:rPr>
        <w:t xml:space="preserve"> </w:t>
      </w:r>
    </w:p>
    <w:p>
      <w:pPr>
        <w:pStyle w:val="13"/>
        <w:spacing w:before="0" w:beforeAutospacing="0" w:after="2" w:afterAutospacing="0"/>
        <w:ind w:left="0" w:firstLine="641"/>
        <w:rPr>
          <w:sz w:val="27"/>
          <w:szCs w:val="27"/>
        </w:rPr>
      </w:pPr>
      <w:r>
        <w:rPr>
          <w:rFonts w:ascii="宋体" w:hAnsi="宋体" w:eastAsia="宋体" w:cs="宋体"/>
          <w:color w:val="000000"/>
          <w:sz w:val="32"/>
          <w:szCs w:val="32"/>
        </w:rPr>
        <w:t>（十五）与其他有关部门的职责分工。</w:t>
      </w:r>
      <w:r>
        <w:rPr>
          <w:color w:val="000000"/>
          <w:sz w:val="32"/>
          <w:szCs w:val="32"/>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二、机构设置及决算单位构成</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（一）内设机构设置</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    花垣县</w:t>
      </w:r>
      <w:r>
        <w:rPr>
          <w:rFonts w:hint="eastAsia" w:ascii="宋体" w:hAnsi="宋体" w:eastAsia="宋体" w:cs="宋体"/>
          <w:color w:val="000000"/>
          <w:sz w:val="32"/>
          <w:szCs w:val="32"/>
          <w:lang w:eastAsia="zh-CN"/>
        </w:rPr>
        <w:t>城市管理和综合执法局</w:t>
      </w:r>
      <w:r>
        <w:rPr>
          <w:rFonts w:hint="eastAsia" w:ascii="宋体" w:hAnsi="宋体" w:eastAsia="宋体" w:cs="宋体"/>
          <w:color w:val="000000"/>
          <w:sz w:val="32"/>
          <w:szCs w:val="32"/>
        </w:rPr>
        <w:t>本级内设机构包括：</w:t>
      </w:r>
      <w:r>
        <w:rPr>
          <w:rFonts w:ascii="宋体" w:hAnsi="宋体" w:eastAsia="宋体" w:cs="宋体"/>
          <w:color w:val="000000"/>
          <w:sz w:val="32"/>
          <w:szCs w:val="32"/>
        </w:rPr>
        <w:t>本部门共有编制人数122人，实有人数105人。内设股室7个，分别为办公室、政工股、财务装备股、法规股、市容管理股、执法监督股、市政管理股。</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（二）决算单位构成</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    </w:t>
      </w:r>
      <w:r>
        <w:rPr>
          <w:rFonts w:ascii="宋体" w:hAnsi="宋体" w:eastAsia="宋体" w:cs="宋体"/>
          <w:color w:val="000000"/>
          <w:sz w:val="32"/>
          <w:szCs w:val="32"/>
        </w:rPr>
        <w:t>花垣县</w:t>
      </w:r>
      <w:r>
        <w:rPr>
          <w:rFonts w:hint="eastAsia" w:ascii="宋体" w:hAnsi="宋体" w:eastAsia="宋体" w:cs="宋体"/>
          <w:color w:val="000000"/>
          <w:sz w:val="32"/>
          <w:szCs w:val="32"/>
          <w:lang w:eastAsia="zh-CN"/>
        </w:rPr>
        <w:t>城市管理和综合执法局</w:t>
      </w:r>
      <w:r>
        <w:rPr>
          <w:rFonts w:ascii="宋体" w:hAnsi="宋体" w:eastAsia="宋体" w:cs="宋体"/>
          <w:color w:val="000000"/>
          <w:sz w:val="32"/>
          <w:szCs w:val="32"/>
        </w:rPr>
        <w:t>本级2021年部门决算汇总公开单位构成包括：花垣县</w:t>
      </w:r>
      <w:r>
        <w:rPr>
          <w:rFonts w:hint="eastAsia" w:ascii="宋体" w:hAnsi="宋体" w:eastAsia="宋体" w:cs="宋体"/>
          <w:color w:val="000000"/>
          <w:sz w:val="32"/>
          <w:szCs w:val="32"/>
          <w:lang w:eastAsia="zh-CN"/>
        </w:rPr>
        <w:t>城市管理和综合执法局</w:t>
      </w:r>
      <w:r>
        <w:rPr>
          <w:rFonts w:ascii="宋体" w:hAnsi="宋体" w:eastAsia="宋体" w:cs="宋体"/>
          <w:color w:val="000000"/>
          <w:sz w:val="32"/>
          <w:szCs w:val="32"/>
        </w:rPr>
        <w:t>本级本级。</w:t>
      </w:r>
      <w:r>
        <w:rPr>
          <w:color w:val="000000"/>
          <w:sz w:val="27"/>
          <w:szCs w:val="27"/>
        </w:rPr>
        <w:t xml:space="preserve"> </w:t>
      </w:r>
    </w:p>
    <w:p>
      <w:pPr>
        <w:rPr>
          <w:color w:val="000000"/>
        </w:rPr>
        <w:sectPr>
          <w:pgSz w:w="11906" w:h="16838" w:orient="landscape"/>
          <w:pgMar w:top="1440" w:right="1080" w:bottom="1440" w:left="1080" w:header="851" w:footer="992" w:gutter="0"/>
          <w:paperSrc/>
          <w:cols w:space="0" w:num="1"/>
          <w:docGrid w:type="lines" w:linePitch="160" w:charSpace="0"/>
        </w:sectPr>
      </w:pPr>
    </w:p>
    <w:p>
      <w:pPr>
        <w:spacing w:before="0" w:beforeAutospacing="0" w:after="2" w:afterAutospacing="0"/>
        <w:ind w:left="0" w:firstLine="721"/>
        <w:jc w:val="center"/>
        <w:rPr>
          <w:sz w:val="21"/>
          <w:szCs w:val="21"/>
        </w:rPr>
      </w:pPr>
    </w:p>
    <w:p>
      <w:pPr>
        <w:spacing w:before="0" w:beforeAutospacing="0" w:after="2" w:afterAutospacing="0"/>
        <w:ind w:left="0" w:firstLine="721"/>
        <w:jc w:val="center"/>
        <w:rPr>
          <w:sz w:val="21"/>
          <w:szCs w:val="21"/>
        </w:rPr>
      </w:pPr>
      <w:r>
        <w:rPr>
          <w:rFonts w:hint="eastAsia" w:ascii="宋体" w:hAnsi="宋体" w:eastAsia="宋体" w:cs="宋体"/>
          <w:b/>
          <w:bCs/>
          <w:color w:val="000000"/>
          <w:sz w:val="36"/>
          <w:szCs w:val="36"/>
        </w:rPr>
        <w:t>第二部分 2021年度部门决算表</w:t>
      </w:r>
      <w:r>
        <w:rPr>
          <w:color w:val="000000"/>
          <w:sz w:val="21"/>
          <w:szCs w:val="21"/>
        </w:rPr>
        <w:t xml:space="preserve"> </w:t>
      </w:r>
    </w:p>
    <w:p>
      <w:pPr>
        <w:pStyle w:val="9"/>
        <w:keepNext w:val="0"/>
        <w:keepLines w:val="0"/>
        <w:widowControl/>
        <w:suppressLineNumbers w:val="0"/>
        <w:spacing w:before="0" w:beforeAutospacing="0" w:after="2" w:afterAutospacing="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2"/>
        <w:gridCol w:w="648"/>
        <w:gridCol w:w="2569"/>
        <w:gridCol w:w="4802"/>
        <w:gridCol w:w="648"/>
        <w:gridCol w:w="2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6"/>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收入支出决算总表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shd w:val="clear"/>
            <w:vAlign w:val="center"/>
          </w:tcPr>
          <w:p>
            <w:pPr>
              <w:pStyle w:val="9"/>
              <w:keepNext w:val="0"/>
              <w:keepLines w:val="0"/>
              <w:widowControl/>
              <w:suppressLineNumbers w:val="0"/>
            </w:pPr>
          </w:p>
        </w:tc>
        <w:tc>
          <w:tcPr>
            <w:tcW w:w="202" w:type="pct"/>
            <w:shd w:val="clear"/>
            <w:vAlign w:val="center"/>
          </w:tcPr>
          <w:p>
            <w:pPr>
              <w:pStyle w:val="9"/>
              <w:keepNext w:val="0"/>
              <w:keepLines w:val="0"/>
              <w:widowControl/>
              <w:suppressLineNumbers w:val="0"/>
            </w:pPr>
          </w:p>
        </w:tc>
        <w:tc>
          <w:tcPr>
            <w:tcW w:w="799" w:type="pct"/>
            <w:shd w:val="clear"/>
            <w:vAlign w:val="center"/>
          </w:tcPr>
          <w:p>
            <w:pPr>
              <w:pStyle w:val="9"/>
              <w:keepNext w:val="0"/>
              <w:keepLines w:val="0"/>
              <w:widowControl/>
              <w:suppressLineNumbers w:val="0"/>
            </w:pPr>
          </w:p>
        </w:tc>
        <w:tc>
          <w:tcPr>
            <w:tcW w:w="1497" w:type="pct"/>
            <w:shd w:val="clear"/>
            <w:vAlign w:val="center"/>
          </w:tcPr>
          <w:p>
            <w:pPr>
              <w:pStyle w:val="9"/>
              <w:keepNext w:val="0"/>
              <w:keepLines w:val="0"/>
              <w:widowControl/>
              <w:suppressLineNumbers w:val="0"/>
            </w:pPr>
          </w:p>
        </w:tc>
        <w:tc>
          <w:tcPr>
            <w:tcW w:w="1002"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公开01表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997" w:type="pct"/>
            <w:gridSpan w:val="4"/>
            <w:shd w:val="clear"/>
            <w:vAlign w:val="center"/>
          </w:tcPr>
          <w:p>
            <w:pPr>
              <w:pStyle w:val="9"/>
              <w:keepNext w:val="0"/>
              <w:keepLines w:val="0"/>
              <w:widowControl/>
              <w:suppressLineNumbers w:val="0"/>
              <w:jc w:val="left"/>
            </w:pPr>
            <w:r>
              <w:rPr>
                <w:rFonts w:ascii="宋体" w:hAnsi="宋体" w:eastAsia="宋体" w:cs="宋体"/>
                <w:b w:val="0"/>
                <w:bCs w:val="0"/>
                <w:sz w:val="22"/>
                <w:szCs w:val="22"/>
              </w:rPr>
              <w:t>部门：花垣县</w:t>
            </w:r>
            <w:r>
              <w:rPr>
                <w:rFonts w:hint="eastAsia" w:ascii="宋体" w:hAnsi="宋体" w:eastAsia="宋体" w:cs="宋体"/>
                <w:b w:val="0"/>
                <w:bCs w:val="0"/>
                <w:sz w:val="22"/>
                <w:szCs w:val="22"/>
                <w:lang w:eastAsia="zh-CN"/>
              </w:rPr>
              <w:t>城市管理和综合执法局</w:t>
            </w:r>
            <w:r>
              <w:rPr>
                <w:rFonts w:ascii="宋体" w:hAnsi="宋体" w:eastAsia="宋体" w:cs="宋体"/>
                <w:b w:val="0"/>
                <w:bCs w:val="0"/>
                <w:sz w:val="22"/>
                <w:szCs w:val="22"/>
              </w:rPr>
              <w:t xml:space="preserve"> </w:t>
            </w:r>
          </w:p>
        </w:tc>
        <w:tc>
          <w:tcPr>
            <w:tcW w:w="1002"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50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收入 </w:t>
            </w:r>
          </w:p>
        </w:tc>
        <w:tc>
          <w:tcPr>
            <w:tcW w:w="250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金额 </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金额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一、一般公共预算财政拨款收入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2,259.39 </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一、一般公共服务支出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32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二、政府性基金预算财政拨款收入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二、外交支出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33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三、国有资本经营预算财政拨款收入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三、国防支出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34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四、上级补助收入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四、公共安全支出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35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五、事业收入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五、教育支出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36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六、经营收入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六、科学技术支出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37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七、附属单位上缴收入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七、文化旅游体育与传媒支出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38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八、其他收入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34.93 </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八、社会保障和就业支出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39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139.55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九、卫生健康支出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40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52.32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十、节能环保支出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41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十一、城乡社区支出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42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2,014.45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12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十二、农林水支出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43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13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十三、交通运输支出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44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85.43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14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十四、资源勘探工业信息等支出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45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15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十五、商业服务业等支出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46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16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十六、金融支出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47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17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十七、援助其他地区支出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48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18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十八、自然资源海洋气象等支出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49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19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十九、住房保障支出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50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77.74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20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二十、粮油物资储备支出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51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21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二十一、国有资本经营预算支出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52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22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二十二、灾害防治及应急管理支出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53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23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二十三、其他支出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54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0"/>
                <w:szCs w:val="20"/>
              </w:rPr>
              <w:t xml:space="preserve">24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二十四、债务还本支出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55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0"/>
                <w:szCs w:val="20"/>
              </w:rPr>
              <w:t xml:space="preserve">25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二十五、债务付息支出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56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0"/>
                <w:szCs w:val="20"/>
              </w:rPr>
              <w:t xml:space="preserve">26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二十六、抗疫特别国债安排的支出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57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本年收入合计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27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2,294.32 </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本年支出合计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58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2,379.47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使用非财政拨款结余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28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结余分配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59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年初结转和结余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29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85.14 </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年末结转和结余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60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30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61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31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2,379.47 </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62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2,379.47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6"/>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注：本表反映部门本年度的总收支和年末结转结余情况。本表金额转换为万元时，因四舍五入可能存在尾数误差。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62"/>
        <w:gridCol w:w="362"/>
        <w:gridCol w:w="362"/>
        <w:gridCol w:w="3192"/>
        <w:gridCol w:w="2175"/>
        <w:gridCol w:w="1594"/>
        <w:gridCol w:w="1594"/>
        <w:gridCol w:w="1594"/>
        <w:gridCol w:w="1607"/>
        <w:gridCol w:w="1594"/>
        <w:gridCol w:w="1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11"/>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收入决算表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13" w:type="pct"/>
            <w:shd w:val="clear"/>
            <w:vAlign w:val="center"/>
          </w:tcPr>
          <w:p>
            <w:pPr>
              <w:pStyle w:val="9"/>
              <w:keepNext w:val="0"/>
              <w:keepLines w:val="0"/>
              <w:widowControl/>
              <w:suppressLineNumbers w:val="0"/>
            </w:pPr>
          </w:p>
        </w:tc>
        <w:tc>
          <w:tcPr>
            <w:tcW w:w="113" w:type="pct"/>
            <w:shd w:val="clear"/>
            <w:vAlign w:val="center"/>
          </w:tcPr>
          <w:p>
            <w:pPr>
              <w:pStyle w:val="9"/>
              <w:keepNext w:val="0"/>
              <w:keepLines w:val="0"/>
              <w:widowControl/>
              <w:suppressLineNumbers w:val="0"/>
            </w:pPr>
          </w:p>
        </w:tc>
        <w:tc>
          <w:tcPr>
            <w:tcW w:w="113" w:type="pct"/>
            <w:shd w:val="clear"/>
            <w:vAlign w:val="center"/>
          </w:tcPr>
          <w:p>
            <w:pPr>
              <w:pStyle w:val="9"/>
              <w:keepNext w:val="0"/>
              <w:keepLines w:val="0"/>
              <w:widowControl/>
              <w:suppressLineNumbers w:val="0"/>
            </w:pPr>
          </w:p>
        </w:tc>
        <w:tc>
          <w:tcPr>
            <w:tcW w:w="995" w:type="pct"/>
            <w:shd w:val="clear"/>
            <w:vAlign w:val="center"/>
          </w:tcPr>
          <w:p>
            <w:pPr>
              <w:pStyle w:val="9"/>
              <w:keepNext w:val="0"/>
              <w:keepLines w:val="0"/>
              <w:widowControl/>
              <w:suppressLineNumbers w:val="0"/>
            </w:pPr>
          </w:p>
        </w:tc>
        <w:tc>
          <w:tcPr>
            <w:tcW w:w="678" w:type="pct"/>
            <w:shd w:val="clear"/>
            <w:vAlign w:val="center"/>
          </w:tcPr>
          <w:p>
            <w:pPr>
              <w:pStyle w:val="9"/>
              <w:keepNext w:val="0"/>
              <w:keepLines w:val="0"/>
              <w:widowControl/>
              <w:suppressLineNumbers w:val="0"/>
            </w:pPr>
          </w:p>
        </w:tc>
        <w:tc>
          <w:tcPr>
            <w:tcW w:w="497" w:type="pct"/>
            <w:shd w:val="clear"/>
            <w:vAlign w:val="center"/>
          </w:tcPr>
          <w:p>
            <w:pPr>
              <w:pStyle w:val="9"/>
              <w:keepNext w:val="0"/>
              <w:keepLines w:val="0"/>
              <w:widowControl/>
              <w:suppressLineNumbers w:val="0"/>
            </w:pPr>
          </w:p>
        </w:tc>
        <w:tc>
          <w:tcPr>
            <w:tcW w:w="497" w:type="pct"/>
            <w:shd w:val="clear"/>
            <w:vAlign w:val="center"/>
          </w:tcPr>
          <w:p>
            <w:pPr>
              <w:pStyle w:val="9"/>
              <w:keepNext w:val="0"/>
              <w:keepLines w:val="0"/>
              <w:widowControl/>
              <w:suppressLineNumbers w:val="0"/>
            </w:pPr>
          </w:p>
        </w:tc>
        <w:tc>
          <w:tcPr>
            <w:tcW w:w="497" w:type="pct"/>
            <w:shd w:val="clear"/>
            <w:vAlign w:val="center"/>
          </w:tcPr>
          <w:p>
            <w:pPr>
              <w:pStyle w:val="9"/>
              <w:keepNext w:val="0"/>
              <w:keepLines w:val="0"/>
              <w:widowControl/>
              <w:suppressLineNumbers w:val="0"/>
            </w:pPr>
          </w:p>
        </w:tc>
        <w:tc>
          <w:tcPr>
            <w:tcW w:w="497" w:type="pct"/>
            <w:shd w:val="clear"/>
            <w:vAlign w:val="center"/>
          </w:tcPr>
          <w:p>
            <w:pPr>
              <w:pStyle w:val="9"/>
              <w:keepNext w:val="0"/>
              <w:keepLines w:val="0"/>
              <w:widowControl/>
              <w:suppressLineNumbers w:val="0"/>
            </w:pPr>
          </w:p>
        </w:tc>
        <w:tc>
          <w:tcPr>
            <w:tcW w:w="995"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公开02表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004" w:type="pct"/>
            <w:gridSpan w:val="9"/>
            <w:shd w:val="clear"/>
            <w:vAlign w:val="center"/>
          </w:tcPr>
          <w:p>
            <w:pPr>
              <w:pStyle w:val="9"/>
              <w:keepNext w:val="0"/>
              <w:keepLines w:val="0"/>
              <w:widowControl/>
              <w:suppressLineNumbers w:val="0"/>
              <w:jc w:val="left"/>
            </w:pPr>
            <w:r>
              <w:rPr>
                <w:rFonts w:ascii="宋体" w:hAnsi="宋体" w:eastAsia="宋体" w:cs="宋体"/>
                <w:b w:val="0"/>
                <w:bCs w:val="0"/>
                <w:sz w:val="22"/>
                <w:szCs w:val="22"/>
              </w:rPr>
              <w:t>部门：花垣县</w:t>
            </w:r>
            <w:r>
              <w:rPr>
                <w:rFonts w:hint="eastAsia" w:ascii="宋体" w:hAnsi="宋体" w:eastAsia="宋体" w:cs="宋体"/>
                <w:b w:val="0"/>
                <w:bCs w:val="0"/>
                <w:sz w:val="22"/>
                <w:szCs w:val="22"/>
                <w:lang w:eastAsia="zh-CN"/>
              </w:rPr>
              <w:t>城市管理和综合执法局</w:t>
            </w:r>
            <w:r>
              <w:rPr>
                <w:rFonts w:ascii="宋体" w:hAnsi="宋体" w:eastAsia="宋体" w:cs="宋体"/>
                <w:b w:val="0"/>
                <w:bCs w:val="0"/>
                <w:sz w:val="22"/>
                <w:szCs w:val="22"/>
              </w:rPr>
              <w:t xml:space="preserve"> </w:t>
            </w:r>
          </w:p>
        </w:tc>
        <w:tc>
          <w:tcPr>
            <w:tcW w:w="995"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本年收入合计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财政拨款收入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上级补助收入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事业收入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经营收入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附属单位上缴收入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其他收入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2,294.32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2,259.39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34.93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126.85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114.32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12.53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106.69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106.69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106.69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106.69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20807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就业补助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12.53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12.53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2080705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公益性岗位补贴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12.53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12.53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7.63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7.63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2089999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7.63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7.63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52.32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52.32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52.32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52.32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52.32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52.32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211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节能环保支出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21199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其他节能环保支出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2119999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其他节能环保支出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1,942.01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1,919.61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城乡社区管理事务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1,892.01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1,869.61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2120104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城管执法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1,877.31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1,859.61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17.70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2120199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其他城乡社区管理事务支出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14.70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21205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城乡社区环境卫生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2120501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城乡社区环境卫生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214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交通运输支出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85.43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85.43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21401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公路水路运输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85.43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85.43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2140101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85.43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85.43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77.74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77.74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77.74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77.74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77.74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77.74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1"/>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注：本表反映部门本年度取得的各项收入情况。本表金额转换为万元时，因四舍五入可能存在尾数误差。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00"/>
        <w:gridCol w:w="401"/>
        <w:gridCol w:w="404"/>
        <w:gridCol w:w="3548"/>
        <w:gridCol w:w="2415"/>
        <w:gridCol w:w="1771"/>
        <w:gridCol w:w="1771"/>
        <w:gridCol w:w="1780"/>
        <w:gridCol w:w="1771"/>
        <w:gridCol w:w="1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10"/>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25" w:type="pct"/>
            <w:shd w:val="clear"/>
            <w:vAlign w:val="center"/>
          </w:tcPr>
          <w:p>
            <w:pPr>
              <w:pStyle w:val="9"/>
              <w:keepNext w:val="0"/>
              <w:keepLines w:val="0"/>
              <w:widowControl/>
              <w:suppressLineNumbers w:val="0"/>
            </w:pPr>
          </w:p>
        </w:tc>
        <w:tc>
          <w:tcPr>
            <w:tcW w:w="125" w:type="pct"/>
            <w:shd w:val="clear"/>
            <w:vAlign w:val="center"/>
          </w:tcPr>
          <w:p>
            <w:pPr>
              <w:pStyle w:val="9"/>
              <w:keepNext w:val="0"/>
              <w:keepLines w:val="0"/>
              <w:widowControl/>
              <w:suppressLineNumbers w:val="0"/>
            </w:pPr>
          </w:p>
        </w:tc>
        <w:tc>
          <w:tcPr>
            <w:tcW w:w="125" w:type="pct"/>
            <w:shd w:val="clear"/>
            <w:vAlign w:val="center"/>
          </w:tcPr>
          <w:p>
            <w:pPr>
              <w:pStyle w:val="9"/>
              <w:keepNext w:val="0"/>
              <w:keepLines w:val="0"/>
              <w:widowControl/>
              <w:suppressLineNumbers w:val="0"/>
            </w:pPr>
          </w:p>
        </w:tc>
        <w:tc>
          <w:tcPr>
            <w:tcW w:w="1105" w:type="pct"/>
            <w:shd w:val="clear"/>
            <w:vAlign w:val="center"/>
          </w:tcPr>
          <w:p>
            <w:pPr>
              <w:pStyle w:val="9"/>
              <w:keepNext w:val="0"/>
              <w:keepLines w:val="0"/>
              <w:widowControl/>
              <w:suppressLineNumbers w:val="0"/>
            </w:pPr>
          </w:p>
        </w:tc>
        <w:tc>
          <w:tcPr>
            <w:tcW w:w="753" w:type="pct"/>
            <w:shd w:val="clear"/>
            <w:vAlign w:val="center"/>
          </w:tcPr>
          <w:p>
            <w:pPr>
              <w:pStyle w:val="9"/>
              <w:keepNext w:val="0"/>
              <w:keepLines w:val="0"/>
              <w:widowControl/>
              <w:suppressLineNumbers w:val="0"/>
            </w:pPr>
          </w:p>
        </w:tc>
        <w:tc>
          <w:tcPr>
            <w:tcW w:w="552" w:type="pct"/>
            <w:shd w:val="clear"/>
            <w:vAlign w:val="center"/>
          </w:tcPr>
          <w:p>
            <w:pPr>
              <w:pStyle w:val="9"/>
              <w:keepNext w:val="0"/>
              <w:keepLines w:val="0"/>
              <w:widowControl/>
              <w:suppressLineNumbers w:val="0"/>
            </w:pPr>
          </w:p>
        </w:tc>
        <w:tc>
          <w:tcPr>
            <w:tcW w:w="552" w:type="pct"/>
            <w:shd w:val="clear"/>
            <w:vAlign w:val="center"/>
          </w:tcPr>
          <w:p>
            <w:pPr>
              <w:pStyle w:val="9"/>
              <w:keepNext w:val="0"/>
              <w:keepLines w:val="0"/>
              <w:widowControl/>
              <w:suppressLineNumbers w:val="0"/>
            </w:pPr>
          </w:p>
        </w:tc>
        <w:tc>
          <w:tcPr>
            <w:tcW w:w="552" w:type="pct"/>
            <w:shd w:val="clear"/>
            <w:vAlign w:val="center"/>
          </w:tcPr>
          <w:p>
            <w:pPr>
              <w:pStyle w:val="9"/>
              <w:keepNext w:val="0"/>
              <w:keepLines w:val="0"/>
              <w:widowControl/>
              <w:suppressLineNumbers w:val="0"/>
            </w:pPr>
          </w:p>
        </w:tc>
        <w:tc>
          <w:tcPr>
            <w:tcW w:w="1105"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公开03表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894" w:type="pct"/>
            <w:gridSpan w:val="8"/>
            <w:shd w:val="clear"/>
            <w:vAlign w:val="center"/>
          </w:tcPr>
          <w:p>
            <w:pPr>
              <w:pStyle w:val="9"/>
              <w:keepNext w:val="0"/>
              <w:keepLines w:val="0"/>
              <w:widowControl/>
              <w:suppressLineNumbers w:val="0"/>
              <w:jc w:val="left"/>
            </w:pPr>
            <w:r>
              <w:rPr>
                <w:rFonts w:ascii="宋体" w:hAnsi="宋体" w:eastAsia="宋体" w:cs="宋体"/>
                <w:b w:val="0"/>
                <w:bCs w:val="0"/>
                <w:sz w:val="22"/>
                <w:szCs w:val="22"/>
              </w:rPr>
              <w:t>部门：花垣县</w:t>
            </w:r>
            <w:r>
              <w:rPr>
                <w:rFonts w:hint="eastAsia" w:ascii="宋体" w:hAnsi="宋体" w:eastAsia="宋体" w:cs="宋体"/>
                <w:b w:val="0"/>
                <w:bCs w:val="0"/>
                <w:sz w:val="22"/>
                <w:szCs w:val="22"/>
                <w:lang w:eastAsia="zh-CN"/>
              </w:rPr>
              <w:t>城市管理和综合执法局</w:t>
            </w:r>
            <w:r>
              <w:rPr>
                <w:rFonts w:ascii="宋体" w:hAnsi="宋体" w:eastAsia="宋体" w:cs="宋体"/>
                <w:b w:val="0"/>
                <w:bCs w:val="0"/>
                <w:sz w:val="22"/>
                <w:szCs w:val="22"/>
              </w:rPr>
              <w:t xml:space="preserve"> </w:t>
            </w:r>
          </w:p>
        </w:tc>
        <w:tc>
          <w:tcPr>
            <w:tcW w:w="1105"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上缴上级支出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经营支出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对附属单位补助支出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2,379.47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2,048.99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330.48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139.55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139.55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106.69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106.69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106.69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106.69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20807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就业补助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25.23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25.23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2080705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公益性岗位补贴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25.23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25.23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7.63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7.63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7.63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7.63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52.32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52.32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52.32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52.32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52.32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52.32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节能环保支出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21199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其他节能环保支出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2119999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其他节能环保支出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2,014.45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1,693.95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320.50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城乡社区管理事务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1,949.45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1,678.95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270.50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2120104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城管执法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1,933.23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1,672.73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260.50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其他城乡社区管理事务支出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16.22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6.22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21205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城乡社区环境卫生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2120501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城乡社区环境卫生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21208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国有土地使用权出让收入安排的支出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2120899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其他国有土地使用权出让收入安排的支出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214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交通运输支出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85.43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85.43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21401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公路水路运输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85.43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85.43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2140101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85.43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85.43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77.74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77.74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77.74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77.74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77.74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77.74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0"/>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注：本表反映部门本年度各项支出情况。本表金额转换为万元时，因四舍五入可能存在尾数误差。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04"/>
        <w:gridCol w:w="529"/>
        <w:gridCol w:w="1559"/>
        <w:gridCol w:w="3692"/>
        <w:gridCol w:w="529"/>
        <w:gridCol w:w="2130"/>
        <w:gridCol w:w="1466"/>
        <w:gridCol w:w="1463"/>
        <w:gridCol w:w="1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9"/>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财政拨款收入支出决算总表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shd w:val="clear"/>
            <w:vAlign w:val="center"/>
          </w:tcPr>
          <w:p>
            <w:pPr>
              <w:pStyle w:val="9"/>
              <w:keepNext w:val="0"/>
              <w:keepLines w:val="0"/>
              <w:widowControl/>
              <w:suppressLineNumbers w:val="0"/>
            </w:pPr>
          </w:p>
        </w:tc>
        <w:tc>
          <w:tcPr>
            <w:tcW w:w="165" w:type="pct"/>
            <w:shd w:val="clear"/>
            <w:vAlign w:val="center"/>
          </w:tcPr>
          <w:p>
            <w:pPr>
              <w:pStyle w:val="9"/>
              <w:keepNext w:val="0"/>
              <w:keepLines w:val="0"/>
              <w:widowControl/>
              <w:suppressLineNumbers w:val="0"/>
            </w:pPr>
          </w:p>
        </w:tc>
        <w:tc>
          <w:tcPr>
            <w:tcW w:w="486" w:type="pct"/>
            <w:shd w:val="clear"/>
            <w:vAlign w:val="center"/>
          </w:tcPr>
          <w:p>
            <w:pPr>
              <w:pStyle w:val="9"/>
              <w:keepNext w:val="0"/>
              <w:keepLines w:val="0"/>
              <w:widowControl/>
              <w:suppressLineNumbers w:val="0"/>
            </w:pPr>
          </w:p>
        </w:tc>
        <w:tc>
          <w:tcPr>
            <w:tcW w:w="1151" w:type="pct"/>
            <w:shd w:val="clear"/>
            <w:vAlign w:val="center"/>
          </w:tcPr>
          <w:p>
            <w:pPr>
              <w:pStyle w:val="9"/>
              <w:keepNext w:val="0"/>
              <w:keepLines w:val="0"/>
              <w:widowControl/>
              <w:suppressLineNumbers w:val="0"/>
            </w:pPr>
          </w:p>
        </w:tc>
        <w:tc>
          <w:tcPr>
            <w:tcW w:w="165" w:type="pct"/>
            <w:shd w:val="clear"/>
            <w:vAlign w:val="center"/>
          </w:tcPr>
          <w:p>
            <w:pPr>
              <w:pStyle w:val="9"/>
              <w:keepNext w:val="0"/>
              <w:keepLines w:val="0"/>
              <w:widowControl/>
              <w:suppressLineNumbers w:val="0"/>
            </w:pPr>
          </w:p>
        </w:tc>
        <w:tc>
          <w:tcPr>
            <w:tcW w:w="664" w:type="pct"/>
            <w:shd w:val="clear"/>
            <w:vAlign w:val="center"/>
          </w:tcPr>
          <w:p>
            <w:pPr>
              <w:pStyle w:val="9"/>
              <w:keepNext w:val="0"/>
              <w:keepLines w:val="0"/>
              <w:widowControl/>
              <w:suppressLineNumbers w:val="0"/>
            </w:pPr>
          </w:p>
        </w:tc>
        <w:tc>
          <w:tcPr>
            <w:tcW w:w="456" w:type="pct"/>
            <w:shd w:val="clear"/>
            <w:vAlign w:val="center"/>
          </w:tcPr>
          <w:p>
            <w:pPr>
              <w:pStyle w:val="9"/>
              <w:keepNext w:val="0"/>
              <w:keepLines w:val="0"/>
              <w:widowControl/>
              <w:suppressLineNumbers w:val="0"/>
            </w:pPr>
          </w:p>
        </w:tc>
        <w:tc>
          <w:tcPr>
            <w:tcW w:w="912"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公开04表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087" w:type="pct"/>
            <w:gridSpan w:val="7"/>
            <w:shd w:val="clear"/>
            <w:vAlign w:val="center"/>
          </w:tcPr>
          <w:p>
            <w:pPr>
              <w:pStyle w:val="9"/>
              <w:keepNext w:val="0"/>
              <w:keepLines w:val="0"/>
              <w:widowControl/>
              <w:suppressLineNumbers w:val="0"/>
              <w:jc w:val="left"/>
            </w:pPr>
            <w:r>
              <w:rPr>
                <w:rFonts w:ascii="宋体" w:hAnsi="宋体" w:eastAsia="宋体" w:cs="宋体"/>
                <w:b w:val="0"/>
                <w:bCs w:val="0"/>
                <w:sz w:val="22"/>
                <w:szCs w:val="22"/>
              </w:rPr>
              <w:t>部门：花垣县</w:t>
            </w:r>
            <w:r>
              <w:rPr>
                <w:rFonts w:hint="eastAsia" w:ascii="宋体" w:hAnsi="宋体" w:eastAsia="宋体" w:cs="宋体"/>
                <w:b w:val="0"/>
                <w:bCs w:val="0"/>
                <w:sz w:val="22"/>
                <w:szCs w:val="22"/>
                <w:lang w:eastAsia="zh-CN"/>
              </w:rPr>
              <w:t>城市管理和综合执法局</w:t>
            </w:r>
            <w:r>
              <w:rPr>
                <w:rFonts w:ascii="宋体" w:hAnsi="宋体" w:eastAsia="宋体" w:cs="宋体"/>
                <w:b w:val="0"/>
                <w:bCs w:val="0"/>
                <w:sz w:val="22"/>
                <w:szCs w:val="22"/>
              </w:rPr>
              <w:t xml:space="preserve"> </w:t>
            </w:r>
          </w:p>
        </w:tc>
        <w:tc>
          <w:tcPr>
            <w:tcW w:w="912"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65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收 入 </w:t>
            </w:r>
          </w:p>
        </w:tc>
        <w:tc>
          <w:tcPr>
            <w:tcW w:w="3349" w:type="pct"/>
            <w:gridSpan w:val="6"/>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支 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金额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一般公共预算财政拨款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政府性基金预算财政拨款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国有资本经营预算财政拨款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一、一般公共预算财政拨款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2,259.39 </w:t>
            </w: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一、一般公共服务支出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33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二、政府性基金预算财政拨款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二、外交支出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34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三、国有资本经营财政拨款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三、国防支出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35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四、公共安全支出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36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五、教育支出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37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六、科学技术支出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38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七、文化旅游体育与传媒支出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39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八、社会保障和就业支出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40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114.32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114.32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九、卫生健康支出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41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52.32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52.32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十、节能环保支出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42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十一、城乡社区支出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43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1,989.43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1,974.43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12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十二、农林水支出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44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13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十三、交通运输支出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45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85.43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85.43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14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十四、资源勘探工业信息等支出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46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15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十五、商业服务业等支出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47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16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十六、金融支出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48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17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十七、援助其他地区支出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49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18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十八、自然资源海洋气象等支出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50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19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十九、住房保障支出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51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77.74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77.74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20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二十、粮油物资储备支出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52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21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二十一、国有资本经营预算支出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53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22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二十二、灾害防治及应急管理支出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54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23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二十三、其他支出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55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24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二十四、债务还本支出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56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25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二十五、债务付息支出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57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26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二十六、抗疫特别国债安排的支出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58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本年收入合计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27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2,259.39 </w:t>
            </w: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本年支出合计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59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2,329.21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2,314.21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15.00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年初财政拨款结转和结余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28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69.81 </w:t>
            </w: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年末财政拨款结转和结余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60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一般公共预算财政拨款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29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54.81 </w:t>
            </w: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61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政府性基金预算财政拨款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30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15.00 </w:t>
            </w: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62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国有资本经营预算财政拨款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31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63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32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2,329.21 </w:t>
            </w: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64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2,329.21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2,314.21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15.00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注：本表反映部门本年度一般公共预算财政拨款、政府性基金预算财政拨款和国有资本经营预算财政拨款的总收支和年末结转结余情况。本表金额转换为万元时，因四舍五入可能存在尾数误差。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2"/>
        <w:gridCol w:w="452"/>
        <w:gridCol w:w="455"/>
        <w:gridCol w:w="5398"/>
        <w:gridCol w:w="3092"/>
        <w:gridCol w:w="3093"/>
        <w:gridCol w:w="3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7"/>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一般公共预算财政拨款支出决算表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1" w:type="pct"/>
            <w:shd w:val="clear"/>
            <w:vAlign w:val="center"/>
          </w:tcPr>
          <w:p>
            <w:pPr>
              <w:pStyle w:val="9"/>
              <w:keepNext w:val="0"/>
              <w:keepLines w:val="0"/>
              <w:widowControl/>
              <w:suppressLineNumbers w:val="0"/>
            </w:pPr>
          </w:p>
        </w:tc>
        <w:tc>
          <w:tcPr>
            <w:tcW w:w="141" w:type="pct"/>
            <w:shd w:val="clear"/>
            <w:vAlign w:val="center"/>
          </w:tcPr>
          <w:p>
            <w:pPr>
              <w:pStyle w:val="9"/>
              <w:keepNext w:val="0"/>
              <w:keepLines w:val="0"/>
              <w:widowControl/>
              <w:suppressLineNumbers w:val="0"/>
            </w:pPr>
          </w:p>
        </w:tc>
        <w:tc>
          <w:tcPr>
            <w:tcW w:w="141" w:type="pct"/>
            <w:shd w:val="clear"/>
            <w:vAlign w:val="center"/>
          </w:tcPr>
          <w:p>
            <w:pPr>
              <w:pStyle w:val="9"/>
              <w:keepNext w:val="0"/>
              <w:keepLines w:val="0"/>
              <w:widowControl/>
              <w:suppressLineNumbers w:val="0"/>
            </w:pPr>
          </w:p>
        </w:tc>
        <w:tc>
          <w:tcPr>
            <w:tcW w:w="1683" w:type="pct"/>
            <w:shd w:val="clear"/>
            <w:vAlign w:val="center"/>
          </w:tcPr>
          <w:p>
            <w:pPr>
              <w:pStyle w:val="9"/>
              <w:keepNext w:val="0"/>
              <w:keepLines w:val="0"/>
              <w:widowControl/>
              <w:suppressLineNumbers w:val="0"/>
            </w:pPr>
          </w:p>
        </w:tc>
        <w:tc>
          <w:tcPr>
            <w:tcW w:w="964" w:type="pct"/>
            <w:shd w:val="clear"/>
            <w:vAlign w:val="center"/>
          </w:tcPr>
          <w:p>
            <w:pPr>
              <w:pStyle w:val="9"/>
              <w:keepNext w:val="0"/>
              <w:keepLines w:val="0"/>
              <w:widowControl/>
              <w:suppressLineNumbers w:val="0"/>
            </w:pPr>
          </w:p>
        </w:tc>
        <w:tc>
          <w:tcPr>
            <w:tcW w:w="1928"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公开05表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071" w:type="pct"/>
            <w:gridSpan w:val="5"/>
            <w:shd w:val="clear"/>
            <w:vAlign w:val="center"/>
          </w:tcPr>
          <w:p>
            <w:pPr>
              <w:pStyle w:val="9"/>
              <w:keepNext w:val="0"/>
              <w:keepLines w:val="0"/>
              <w:widowControl/>
              <w:suppressLineNumbers w:val="0"/>
              <w:jc w:val="left"/>
            </w:pPr>
            <w:r>
              <w:rPr>
                <w:rFonts w:ascii="宋体" w:hAnsi="宋体" w:eastAsia="宋体" w:cs="宋体"/>
                <w:b w:val="0"/>
                <w:bCs w:val="0"/>
                <w:sz w:val="22"/>
                <w:szCs w:val="22"/>
              </w:rPr>
              <w:t>部门：花垣县</w:t>
            </w:r>
            <w:r>
              <w:rPr>
                <w:rFonts w:hint="eastAsia" w:ascii="宋体" w:hAnsi="宋体" w:eastAsia="宋体" w:cs="宋体"/>
                <w:b w:val="0"/>
                <w:bCs w:val="0"/>
                <w:sz w:val="22"/>
                <w:szCs w:val="22"/>
                <w:lang w:eastAsia="zh-CN"/>
              </w:rPr>
              <w:t>城市管理和综合执法局</w:t>
            </w:r>
            <w:r>
              <w:rPr>
                <w:rFonts w:ascii="宋体" w:hAnsi="宋体" w:eastAsia="宋体" w:cs="宋体"/>
                <w:b w:val="0"/>
                <w:bCs w:val="0"/>
                <w:sz w:val="22"/>
                <w:szCs w:val="22"/>
              </w:rPr>
              <w:t xml:space="preserve"> </w:t>
            </w:r>
          </w:p>
        </w:tc>
        <w:tc>
          <w:tcPr>
            <w:tcW w:w="1928"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89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2,314.21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1,983.73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330.48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114.32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114.32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106.69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106.69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106.69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106.69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7.63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7.63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2089999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其他社会保障和就业支出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7.63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7.63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52.32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52.32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52.32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52.32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52.32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52.32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211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节能环保支出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21199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其他节能环保支出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2119999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其他节能环保支出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1,974.43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1,653.93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320.50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城乡社区管理事务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1,924.43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1,653.93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270.50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2120104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城管执法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1,914.43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1,653.93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2120199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其他城乡社区管理事务支出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10.00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21205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城乡社区环境卫生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2120501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城乡社区环境卫生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214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交通运输支出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85.43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85.43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21401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公路水路运输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85.43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85.43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2140101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85.43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85.43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77.74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77.74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77.74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77.74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77.74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77.74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注：本表反映部门本年度一般公共预算财政拨款支出情况。本表金额转换为万元时，因四舍五入可能存在尾数误差。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18"/>
        <w:gridCol w:w="3380"/>
        <w:gridCol w:w="1726"/>
        <w:gridCol w:w="719"/>
        <w:gridCol w:w="2659"/>
        <w:gridCol w:w="1726"/>
        <w:gridCol w:w="722"/>
        <w:gridCol w:w="2659"/>
        <w:gridCol w:w="1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9"/>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一般公共预算财政拨款基本支出决算明细表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shd w:val="clear"/>
            <w:vAlign w:val="center"/>
          </w:tcPr>
          <w:p>
            <w:pPr>
              <w:pStyle w:val="9"/>
              <w:keepNext w:val="0"/>
              <w:keepLines w:val="0"/>
              <w:widowControl/>
              <w:suppressLineNumbers w:val="0"/>
            </w:pPr>
          </w:p>
        </w:tc>
        <w:tc>
          <w:tcPr>
            <w:tcW w:w="1053" w:type="pct"/>
            <w:shd w:val="clear"/>
            <w:vAlign w:val="center"/>
          </w:tcPr>
          <w:p>
            <w:pPr>
              <w:pStyle w:val="9"/>
              <w:keepNext w:val="0"/>
              <w:keepLines w:val="0"/>
              <w:widowControl/>
              <w:suppressLineNumbers w:val="0"/>
            </w:pPr>
          </w:p>
        </w:tc>
        <w:tc>
          <w:tcPr>
            <w:tcW w:w="538" w:type="pct"/>
            <w:shd w:val="clear"/>
            <w:vAlign w:val="center"/>
          </w:tcPr>
          <w:p>
            <w:pPr>
              <w:pStyle w:val="9"/>
              <w:keepNext w:val="0"/>
              <w:keepLines w:val="0"/>
              <w:widowControl/>
              <w:suppressLineNumbers w:val="0"/>
            </w:pPr>
          </w:p>
        </w:tc>
        <w:tc>
          <w:tcPr>
            <w:tcW w:w="224" w:type="pct"/>
            <w:shd w:val="clear"/>
            <w:vAlign w:val="center"/>
          </w:tcPr>
          <w:p>
            <w:pPr>
              <w:pStyle w:val="9"/>
              <w:keepNext w:val="0"/>
              <w:keepLines w:val="0"/>
              <w:widowControl/>
              <w:suppressLineNumbers w:val="0"/>
            </w:pPr>
          </w:p>
        </w:tc>
        <w:tc>
          <w:tcPr>
            <w:tcW w:w="829" w:type="pct"/>
            <w:shd w:val="clear"/>
            <w:vAlign w:val="center"/>
          </w:tcPr>
          <w:p>
            <w:pPr>
              <w:pStyle w:val="9"/>
              <w:keepNext w:val="0"/>
              <w:keepLines w:val="0"/>
              <w:widowControl/>
              <w:suppressLineNumbers w:val="0"/>
            </w:pPr>
          </w:p>
        </w:tc>
        <w:tc>
          <w:tcPr>
            <w:tcW w:w="538" w:type="pct"/>
            <w:shd w:val="clear"/>
            <w:vAlign w:val="center"/>
          </w:tcPr>
          <w:p>
            <w:pPr>
              <w:pStyle w:val="9"/>
              <w:keepNext w:val="0"/>
              <w:keepLines w:val="0"/>
              <w:widowControl/>
              <w:suppressLineNumbers w:val="0"/>
            </w:pPr>
          </w:p>
        </w:tc>
        <w:tc>
          <w:tcPr>
            <w:tcW w:w="224" w:type="pct"/>
            <w:shd w:val="clear"/>
            <w:vAlign w:val="center"/>
          </w:tcPr>
          <w:p>
            <w:pPr>
              <w:pStyle w:val="9"/>
              <w:keepNext w:val="0"/>
              <w:keepLines w:val="0"/>
              <w:widowControl/>
              <w:suppressLineNumbers w:val="0"/>
            </w:pPr>
          </w:p>
        </w:tc>
        <w:tc>
          <w:tcPr>
            <w:tcW w:w="1367" w:type="pct"/>
            <w:gridSpan w:val="2"/>
            <w:shd w:val="clear"/>
            <w:vAlign w:val="center"/>
          </w:tcPr>
          <w:p>
            <w:pPr>
              <w:pStyle w:val="9"/>
              <w:keepNext w:val="0"/>
              <w:keepLines w:val="0"/>
              <w:widowControl/>
              <w:suppressLineNumbers w:val="0"/>
              <w:jc w:val="right"/>
            </w:pPr>
            <w:r>
              <w:rPr>
                <w:rFonts w:ascii="宋体" w:hAnsi="宋体" w:eastAsia="宋体" w:cs="宋体"/>
                <w:b w:val="0"/>
                <w:bCs w:val="0"/>
                <w:sz w:val="18"/>
                <w:szCs w:val="18"/>
              </w:rPr>
              <w:t xml:space="preserve">公开06表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632" w:type="pct"/>
            <w:gridSpan w:val="7"/>
            <w:shd w:val="clear"/>
            <w:vAlign w:val="center"/>
          </w:tcPr>
          <w:p>
            <w:pPr>
              <w:pStyle w:val="9"/>
              <w:keepNext w:val="0"/>
              <w:keepLines w:val="0"/>
              <w:widowControl/>
              <w:suppressLineNumbers w:val="0"/>
              <w:jc w:val="left"/>
            </w:pPr>
            <w:r>
              <w:rPr>
                <w:rFonts w:ascii="宋体" w:hAnsi="宋体" w:eastAsia="宋体" w:cs="宋体"/>
                <w:b w:val="0"/>
                <w:bCs w:val="0"/>
                <w:sz w:val="22"/>
                <w:szCs w:val="22"/>
              </w:rPr>
              <w:t>部门：花垣县</w:t>
            </w:r>
            <w:r>
              <w:rPr>
                <w:rFonts w:hint="eastAsia" w:ascii="宋体" w:hAnsi="宋体" w:eastAsia="宋体" w:cs="宋体"/>
                <w:b w:val="0"/>
                <w:bCs w:val="0"/>
                <w:sz w:val="22"/>
                <w:szCs w:val="22"/>
                <w:lang w:eastAsia="zh-CN"/>
              </w:rPr>
              <w:t>城市管理和综合执法局</w:t>
            </w:r>
            <w:r>
              <w:rPr>
                <w:rFonts w:ascii="宋体" w:hAnsi="宋体" w:eastAsia="宋体" w:cs="宋体"/>
                <w:b w:val="0"/>
                <w:bCs w:val="0"/>
                <w:sz w:val="22"/>
                <w:szCs w:val="22"/>
              </w:rPr>
              <w:t xml:space="preserve"> </w:t>
            </w:r>
          </w:p>
        </w:tc>
        <w:tc>
          <w:tcPr>
            <w:tcW w:w="1367" w:type="pct"/>
            <w:gridSpan w:val="2"/>
            <w:shd w:val="clear"/>
            <w:vAlign w:val="center"/>
          </w:tcPr>
          <w:p>
            <w:pPr>
              <w:pStyle w:val="9"/>
              <w:keepNext w:val="0"/>
              <w:keepLines w:val="0"/>
              <w:widowControl/>
              <w:suppressLineNumbers w:val="0"/>
              <w:jc w:val="right"/>
            </w:pPr>
            <w:r>
              <w:rPr>
                <w:rFonts w:ascii="宋体" w:hAnsi="宋体" w:eastAsia="宋体" w:cs="宋体"/>
                <w:b w:val="0"/>
                <w:bCs w:val="0"/>
                <w:sz w:val="18"/>
                <w:szCs w:val="18"/>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81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人员经费 </w:t>
            </w:r>
          </w:p>
        </w:tc>
        <w:tc>
          <w:tcPr>
            <w:tcW w:w="3183" w:type="pct"/>
            <w:gridSpan w:val="6"/>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公用经费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301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工资福利支出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1,198.37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302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商品和服务支出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551.76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307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债务利息及费用支出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30101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基本工资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352.14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30201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办公费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63.41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30701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国内债务付息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30102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津贴补贴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305.33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30202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印刷费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64.89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30702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国外债务付息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30103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奖金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1.27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30203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咨询费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13.00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310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资本性支出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56.00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30106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伙食补助费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25.14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30204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手续费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31001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房屋建筑物购建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30107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绩效工资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30205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水费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0.90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31002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办公设备购置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30108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106.69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30206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电费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53.20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31003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专用设备购置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30109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职业年金缴费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30207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邮电费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31005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基础设施建设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30110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职工基本医疗保险缴费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52.32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30208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取暖费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31006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大型修缮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30111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公务员医疗补助缴费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物业管理费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31007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信息网络及软件购置更新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30112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其他社会保障缴费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11.44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30211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差旅费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37.44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31008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物资储备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30113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77.74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30212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因公出国（境）费用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土地补偿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30114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医疗费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30213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维修（护）费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17.04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31010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安置补助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30199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其他工资福利支出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266.29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30214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租赁费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31011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地上附着物和青苗补偿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303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对个人和家庭的补助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177.60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30215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会议费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31012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拆迁补偿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30301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离休费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30216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培训费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2.02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31013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公务用车购置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30302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退休费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30217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公务接待费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0.11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其他交通工具购置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30303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退职（役）费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30218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专用材料费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31021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文物和陈列品购置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30304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抚恤金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30224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被装购置费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31022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无形资产购置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30305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生活补助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6.48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30225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专用燃料费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31099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其他资本性支出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30306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救济费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30226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劳务费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60.91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399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其他支出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30307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医疗费补助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30227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委托业务费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39906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赠与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30308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助学金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30228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工会经费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15.85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39907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国家赔偿费用支出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30309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奖励金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170.85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福利费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29.96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39908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对民间非营利组织和群众性自治组织补贴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30310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个人农业生产补贴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30231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公务用车运行维护费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36.89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39999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30311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代缴社会保险费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30239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其他交通费用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77.94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30399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其他对个人和家庭的补助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0.27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30240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税金及附加费用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30299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其他商品和服务支出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78.22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78" w:type="pct"/>
            <w:gridSpan w:val="2"/>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人员经费合计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1,375.97 </w:t>
            </w:r>
          </w:p>
        </w:tc>
        <w:tc>
          <w:tcPr>
            <w:tcW w:w="2645" w:type="pct"/>
            <w:gridSpan w:val="5"/>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公用经费合计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607.76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注：本表反映部门本年度一般公共预算财政拨款基本支出明细情况。本表金额转换为万元时，因四舍五入可能存在尾数误差。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34"/>
        <w:gridCol w:w="1334"/>
        <w:gridCol w:w="1334"/>
        <w:gridCol w:w="1334"/>
        <w:gridCol w:w="1341"/>
        <w:gridCol w:w="1347"/>
        <w:gridCol w:w="1334"/>
        <w:gridCol w:w="1334"/>
        <w:gridCol w:w="1334"/>
        <w:gridCol w:w="1342"/>
        <w:gridCol w:w="133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12"/>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一般公共预算财政拨款“三公”经费支出决算表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833"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公开07表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166" w:type="pct"/>
            <w:gridSpan w:val="10"/>
            <w:shd w:val="clear"/>
            <w:vAlign w:val="center"/>
          </w:tcPr>
          <w:p>
            <w:pPr>
              <w:pStyle w:val="9"/>
              <w:keepNext w:val="0"/>
              <w:keepLines w:val="0"/>
              <w:widowControl/>
              <w:suppressLineNumbers w:val="0"/>
              <w:jc w:val="left"/>
            </w:pPr>
            <w:r>
              <w:rPr>
                <w:rFonts w:ascii="宋体" w:hAnsi="宋体" w:eastAsia="宋体" w:cs="宋体"/>
                <w:b w:val="0"/>
                <w:bCs w:val="0"/>
                <w:sz w:val="22"/>
                <w:szCs w:val="22"/>
              </w:rPr>
              <w:t>部门：花垣县</w:t>
            </w:r>
            <w:r>
              <w:rPr>
                <w:rFonts w:hint="eastAsia" w:ascii="宋体" w:hAnsi="宋体" w:eastAsia="宋体" w:cs="宋体"/>
                <w:b w:val="0"/>
                <w:bCs w:val="0"/>
                <w:sz w:val="22"/>
                <w:szCs w:val="22"/>
                <w:lang w:eastAsia="zh-CN"/>
              </w:rPr>
              <w:t>城市管理和综合执法局</w:t>
            </w:r>
            <w:r>
              <w:rPr>
                <w:rFonts w:ascii="宋体" w:hAnsi="宋体" w:eastAsia="宋体" w:cs="宋体"/>
                <w:b w:val="0"/>
                <w:bCs w:val="0"/>
                <w:sz w:val="22"/>
                <w:szCs w:val="22"/>
              </w:rPr>
              <w:t xml:space="preserve"> </w:t>
            </w:r>
          </w:p>
        </w:tc>
        <w:tc>
          <w:tcPr>
            <w:tcW w:w="833"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500" w:type="pct"/>
            <w:gridSpan w:val="6"/>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预算数 </w:t>
            </w:r>
          </w:p>
        </w:tc>
        <w:tc>
          <w:tcPr>
            <w:tcW w:w="2500" w:type="pct"/>
            <w:gridSpan w:val="6"/>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因公出国（境）费 </w:t>
            </w:r>
          </w:p>
        </w:tc>
        <w:tc>
          <w:tcPr>
            <w:tcW w:w="125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公务用车购置及运行费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公务接待费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因公出国（境）费 </w:t>
            </w:r>
          </w:p>
        </w:tc>
        <w:tc>
          <w:tcPr>
            <w:tcW w:w="125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公务用车购置及运行费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公务接待费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公务用车购置费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公务用车运行费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公务用车购置费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公务用车运行费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96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94.00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38.00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2.00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93.00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92.89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56.00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36.89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2"/>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33"/>
        <w:gridCol w:w="334"/>
        <w:gridCol w:w="334"/>
        <w:gridCol w:w="3458"/>
        <w:gridCol w:w="1180"/>
        <w:gridCol w:w="1969"/>
        <w:gridCol w:w="1075"/>
        <w:gridCol w:w="1527"/>
        <w:gridCol w:w="1517"/>
        <w:gridCol w:w="4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10"/>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政府性基金预算财政拨款收入支出决算表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04" w:type="pct"/>
            <w:shd w:val="clear"/>
            <w:vAlign w:val="center"/>
          </w:tcPr>
          <w:p>
            <w:pPr>
              <w:pStyle w:val="9"/>
              <w:keepNext w:val="0"/>
              <w:keepLines w:val="0"/>
              <w:widowControl/>
              <w:suppressLineNumbers w:val="0"/>
            </w:pPr>
          </w:p>
        </w:tc>
        <w:tc>
          <w:tcPr>
            <w:tcW w:w="104" w:type="pct"/>
            <w:shd w:val="clear"/>
            <w:vAlign w:val="center"/>
          </w:tcPr>
          <w:p>
            <w:pPr>
              <w:pStyle w:val="9"/>
              <w:keepNext w:val="0"/>
              <w:keepLines w:val="0"/>
              <w:widowControl/>
              <w:suppressLineNumbers w:val="0"/>
            </w:pPr>
          </w:p>
        </w:tc>
        <w:tc>
          <w:tcPr>
            <w:tcW w:w="104" w:type="pct"/>
            <w:shd w:val="clear"/>
            <w:vAlign w:val="center"/>
          </w:tcPr>
          <w:p>
            <w:pPr>
              <w:pStyle w:val="9"/>
              <w:keepNext w:val="0"/>
              <w:keepLines w:val="0"/>
              <w:widowControl/>
              <w:suppressLineNumbers w:val="0"/>
            </w:pPr>
          </w:p>
        </w:tc>
        <w:tc>
          <w:tcPr>
            <w:tcW w:w="1078" w:type="pct"/>
            <w:shd w:val="clear"/>
            <w:vAlign w:val="center"/>
          </w:tcPr>
          <w:p>
            <w:pPr>
              <w:pStyle w:val="9"/>
              <w:keepNext w:val="0"/>
              <w:keepLines w:val="0"/>
              <w:widowControl/>
              <w:suppressLineNumbers w:val="0"/>
            </w:pPr>
          </w:p>
        </w:tc>
        <w:tc>
          <w:tcPr>
            <w:tcW w:w="368" w:type="pct"/>
            <w:shd w:val="clear"/>
            <w:vAlign w:val="center"/>
          </w:tcPr>
          <w:p>
            <w:pPr>
              <w:pStyle w:val="9"/>
              <w:keepNext w:val="0"/>
              <w:keepLines w:val="0"/>
              <w:widowControl/>
              <w:suppressLineNumbers w:val="0"/>
            </w:pPr>
          </w:p>
        </w:tc>
        <w:tc>
          <w:tcPr>
            <w:tcW w:w="614" w:type="pct"/>
            <w:shd w:val="clear"/>
            <w:vAlign w:val="center"/>
          </w:tcPr>
          <w:p>
            <w:pPr>
              <w:pStyle w:val="9"/>
              <w:keepNext w:val="0"/>
              <w:keepLines w:val="0"/>
              <w:widowControl/>
              <w:suppressLineNumbers w:val="0"/>
            </w:pPr>
          </w:p>
        </w:tc>
        <w:tc>
          <w:tcPr>
            <w:tcW w:w="335" w:type="pct"/>
            <w:shd w:val="clear"/>
            <w:vAlign w:val="center"/>
          </w:tcPr>
          <w:p>
            <w:pPr>
              <w:pStyle w:val="9"/>
              <w:keepNext w:val="0"/>
              <w:keepLines w:val="0"/>
              <w:widowControl/>
              <w:suppressLineNumbers w:val="0"/>
            </w:pPr>
          </w:p>
        </w:tc>
        <w:tc>
          <w:tcPr>
            <w:tcW w:w="473" w:type="pct"/>
            <w:shd w:val="clear"/>
            <w:vAlign w:val="center"/>
          </w:tcPr>
          <w:p>
            <w:pPr>
              <w:pStyle w:val="9"/>
              <w:keepNext w:val="0"/>
              <w:keepLines w:val="0"/>
              <w:widowControl/>
              <w:suppressLineNumbers w:val="0"/>
            </w:pPr>
          </w:p>
        </w:tc>
        <w:tc>
          <w:tcPr>
            <w:tcW w:w="1816"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公开08表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183" w:type="pct"/>
            <w:gridSpan w:val="8"/>
            <w:shd w:val="clear"/>
            <w:vAlign w:val="center"/>
          </w:tcPr>
          <w:p>
            <w:pPr>
              <w:pStyle w:val="9"/>
              <w:keepNext w:val="0"/>
              <w:keepLines w:val="0"/>
              <w:widowControl/>
              <w:suppressLineNumbers w:val="0"/>
              <w:jc w:val="left"/>
            </w:pPr>
            <w:r>
              <w:rPr>
                <w:rFonts w:ascii="宋体" w:hAnsi="宋体" w:eastAsia="宋体" w:cs="宋体"/>
                <w:b w:val="0"/>
                <w:bCs w:val="0"/>
                <w:sz w:val="22"/>
                <w:szCs w:val="22"/>
              </w:rPr>
              <w:t>部门：花垣县</w:t>
            </w:r>
            <w:r>
              <w:rPr>
                <w:rFonts w:hint="eastAsia" w:ascii="宋体" w:hAnsi="宋体" w:eastAsia="宋体" w:cs="宋体"/>
                <w:b w:val="0"/>
                <w:bCs w:val="0"/>
                <w:sz w:val="22"/>
                <w:szCs w:val="22"/>
                <w:lang w:eastAsia="zh-CN"/>
              </w:rPr>
              <w:t>城市管理和综合执法局</w:t>
            </w:r>
            <w:r>
              <w:rPr>
                <w:rFonts w:ascii="宋体" w:hAnsi="宋体" w:eastAsia="宋体" w:cs="宋体"/>
                <w:b w:val="0"/>
                <w:bCs w:val="0"/>
                <w:sz w:val="22"/>
                <w:szCs w:val="22"/>
              </w:rPr>
              <w:t xml:space="preserve"> </w:t>
            </w:r>
          </w:p>
        </w:tc>
        <w:tc>
          <w:tcPr>
            <w:tcW w:w="1816"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年初结转和结余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本年收入 </w:t>
            </w:r>
          </w:p>
        </w:tc>
        <w:tc>
          <w:tcPr>
            <w:tcW w:w="1281"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年末结转和结余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12" w:type="pct"/>
            <w:gridSpan w:val="3"/>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12"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12"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36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61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33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13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36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15.00 </w:t>
            </w:r>
          </w:p>
        </w:tc>
        <w:tc>
          <w:tcPr>
            <w:tcW w:w="61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15.00 </w:t>
            </w: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15.00 </w:t>
            </w: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 </w:t>
            </w:r>
          </w:p>
        </w:tc>
        <w:tc>
          <w:tcPr>
            <w:tcW w:w="10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城乡社区支出 </w:t>
            </w:r>
          </w:p>
        </w:tc>
        <w:tc>
          <w:tcPr>
            <w:tcW w:w="36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15.00 </w:t>
            </w:r>
          </w:p>
        </w:tc>
        <w:tc>
          <w:tcPr>
            <w:tcW w:w="61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15.00 </w:t>
            </w: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15.00 </w:t>
            </w: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21208 </w:t>
            </w:r>
          </w:p>
        </w:tc>
        <w:tc>
          <w:tcPr>
            <w:tcW w:w="10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国有土地使用权出让收入安排的支出 </w:t>
            </w:r>
          </w:p>
        </w:tc>
        <w:tc>
          <w:tcPr>
            <w:tcW w:w="36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15.00 </w:t>
            </w:r>
          </w:p>
        </w:tc>
        <w:tc>
          <w:tcPr>
            <w:tcW w:w="61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15.00 </w:t>
            </w: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15.00 </w:t>
            </w: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2120899 </w:t>
            </w:r>
          </w:p>
        </w:tc>
        <w:tc>
          <w:tcPr>
            <w:tcW w:w="10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其他国有土地使用权出让收入安排的支出 </w:t>
            </w:r>
          </w:p>
        </w:tc>
        <w:tc>
          <w:tcPr>
            <w:tcW w:w="36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15.00 </w:t>
            </w:r>
          </w:p>
        </w:tc>
        <w:tc>
          <w:tcPr>
            <w:tcW w:w="61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15.00 </w:t>
            </w: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15.00 </w:t>
            </w: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0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36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0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36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0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36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0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36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0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36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61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33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3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10"/>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注：本表反映部门本年度政府性基金预算财政拨款收入、支出及结转和结余情况。本表金额转换为万元时，因四舍五入可能存在尾数误差。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29"/>
        <w:gridCol w:w="529"/>
        <w:gridCol w:w="532"/>
        <w:gridCol w:w="6329"/>
        <w:gridCol w:w="2707"/>
        <w:gridCol w:w="2704"/>
        <w:gridCol w:w="2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7"/>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国有资本经营预算财政拨款支出决算表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65" w:type="pct"/>
            <w:shd w:val="clear"/>
            <w:vAlign w:val="center"/>
          </w:tcPr>
          <w:p>
            <w:pPr>
              <w:pStyle w:val="9"/>
              <w:keepNext w:val="0"/>
              <w:keepLines w:val="0"/>
              <w:widowControl/>
              <w:suppressLineNumbers w:val="0"/>
            </w:pPr>
          </w:p>
        </w:tc>
        <w:tc>
          <w:tcPr>
            <w:tcW w:w="165" w:type="pct"/>
            <w:shd w:val="clear"/>
            <w:vAlign w:val="center"/>
          </w:tcPr>
          <w:p>
            <w:pPr>
              <w:pStyle w:val="9"/>
              <w:keepNext w:val="0"/>
              <w:keepLines w:val="0"/>
              <w:widowControl/>
              <w:suppressLineNumbers w:val="0"/>
            </w:pPr>
          </w:p>
        </w:tc>
        <w:tc>
          <w:tcPr>
            <w:tcW w:w="165" w:type="pct"/>
            <w:shd w:val="clear"/>
            <w:vAlign w:val="center"/>
          </w:tcPr>
          <w:p>
            <w:pPr>
              <w:pStyle w:val="9"/>
              <w:keepNext w:val="0"/>
              <w:keepLines w:val="0"/>
              <w:widowControl/>
              <w:suppressLineNumbers w:val="0"/>
            </w:pPr>
          </w:p>
        </w:tc>
        <w:tc>
          <w:tcPr>
            <w:tcW w:w="1972" w:type="pct"/>
            <w:shd w:val="clear"/>
            <w:vAlign w:val="center"/>
          </w:tcPr>
          <w:p>
            <w:pPr>
              <w:pStyle w:val="9"/>
              <w:keepNext w:val="0"/>
              <w:keepLines w:val="0"/>
              <w:widowControl/>
              <w:suppressLineNumbers w:val="0"/>
            </w:pPr>
          </w:p>
        </w:tc>
        <w:tc>
          <w:tcPr>
            <w:tcW w:w="843" w:type="pct"/>
            <w:shd w:val="clear"/>
            <w:vAlign w:val="center"/>
          </w:tcPr>
          <w:p>
            <w:pPr>
              <w:pStyle w:val="9"/>
              <w:keepNext w:val="0"/>
              <w:keepLines w:val="0"/>
              <w:widowControl/>
              <w:suppressLineNumbers w:val="0"/>
            </w:pPr>
          </w:p>
        </w:tc>
        <w:tc>
          <w:tcPr>
            <w:tcW w:w="1686"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公开09表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13" w:type="pct"/>
            <w:gridSpan w:val="5"/>
            <w:shd w:val="clear"/>
            <w:vAlign w:val="center"/>
          </w:tcPr>
          <w:p>
            <w:pPr>
              <w:pStyle w:val="9"/>
              <w:keepNext w:val="0"/>
              <w:keepLines w:val="0"/>
              <w:widowControl/>
              <w:suppressLineNumbers w:val="0"/>
              <w:jc w:val="left"/>
            </w:pPr>
            <w:r>
              <w:rPr>
                <w:rFonts w:ascii="宋体" w:hAnsi="宋体" w:eastAsia="宋体" w:cs="宋体"/>
                <w:b w:val="0"/>
                <w:bCs w:val="0"/>
                <w:sz w:val="22"/>
                <w:szCs w:val="22"/>
              </w:rPr>
              <w:t>部门：花垣县</w:t>
            </w:r>
            <w:r>
              <w:rPr>
                <w:rFonts w:hint="eastAsia" w:ascii="宋体" w:hAnsi="宋体" w:eastAsia="宋体" w:cs="宋体"/>
                <w:b w:val="0"/>
                <w:bCs w:val="0"/>
                <w:sz w:val="22"/>
                <w:szCs w:val="22"/>
                <w:lang w:eastAsia="zh-CN"/>
              </w:rPr>
              <w:t>城市管理和综合执法局</w:t>
            </w:r>
            <w:r>
              <w:rPr>
                <w:rFonts w:ascii="宋体" w:hAnsi="宋体" w:eastAsia="宋体" w:cs="宋体"/>
                <w:b w:val="0"/>
                <w:bCs w:val="0"/>
                <w:sz w:val="22"/>
                <w:szCs w:val="22"/>
              </w:rPr>
              <w:t xml:space="preserve"> </w:t>
            </w:r>
          </w:p>
        </w:tc>
        <w:tc>
          <w:tcPr>
            <w:tcW w:w="1686"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53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6" w:type="pct"/>
            <w:gridSpan w:val="3"/>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6"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6"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97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7"/>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注：本表反映部门本年度国有资本经营预算财政拨款支出情况。本表金额转换为万元时，因四舍五入可能存在尾数误差。 </w:t>
            </w:r>
          </w:p>
        </w:tc>
      </w:tr>
    </w:tbl>
    <w:p>
      <w:pPr>
        <w:pStyle w:val="9"/>
        <w:keepNext w:val="0"/>
        <w:keepLines w:val="0"/>
        <w:widowControl/>
        <w:suppressLineNumbers w:val="0"/>
      </w:pPr>
    </w:p>
    <w:p>
      <w:pPr>
        <w:rPr>
          <w:color w:val="000000"/>
        </w:rPr>
        <w:sectPr>
          <w:pgSz w:w="16838" w:h="11906"/>
          <w:pgMar w:top="1080" w:right="400" w:bottom="1080" w:left="400" w:header="851" w:footer="992" w:gutter="0"/>
          <w:paperSrc/>
          <w:cols w:space="0" w:num="1"/>
          <w:docGrid w:type="linesAndChars" w:linePitch="160" w:charSpace="0"/>
        </w:sectPr>
      </w:pPr>
    </w:p>
    <w:p>
      <w:pPr>
        <w:spacing w:before="0" w:beforeAutospacing="0" w:after="2" w:afterAutospacing="0"/>
        <w:jc w:val="center"/>
        <w:rPr>
          <w:sz w:val="21"/>
          <w:szCs w:val="21"/>
        </w:rPr>
      </w:pPr>
      <w:r>
        <w:rPr>
          <w:rFonts w:hint="eastAsia" w:ascii="宋体" w:hAnsi="宋体" w:eastAsia="宋体" w:cs="宋体"/>
          <w:b/>
          <w:bCs/>
          <w:color w:val="000000"/>
          <w:sz w:val="36"/>
          <w:szCs w:val="36"/>
        </w:rPr>
        <w:t>第三部分 2021年度部门决算情况说明</w:t>
      </w:r>
      <w:r>
        <w:rPr>
          <w:color w:val="000000"/>
          <w:sz w:val="21"/>
          <w:szCs w:val="21"/>
        </w:rPr>
        <w:t xml:space="preserve"> </w:t>
      </w:r>
    </w:p>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一、收入支出决算总体情况说明</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2021年度收、支总计2,379.47万元。与上一年度相比，收、支总计各增加668.89万元，增长39.1%。主要是因为本年度增加了城市燃气服务管理、环境卫生管理与市政路灯管理相应工作经费。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二、收入决算情况说明</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2021年度收入合计2,294.32万元，其中：财政拨款收入2,259.39万元，占98.48%；上级补助收入0万元，占0%；事业收入0万元，占0%；经营收入0万元，占0%；附属单位上缴收入0万元，占0%；其他收入34.93万元，占1.52%。</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三、支出决算情况说明</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2021年度支出合计2,379.47万元，其中：基本支出2,048.99万元，占86.11%；项目支出330.48万元，占13.89%；上缴上级支出0万元，占0%；经营支出0万元，占0%；对附属单位补助支出0万元，占0%。</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四、财政拨款收入支出决算总体情况说明</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2021年度财政拨款收、支总计2,329.21万元，其中：一般公共预算财政拨款2,314.21万元，政府性基金财政拨款15万元。与上一年度相比，财政拨款收、支总计各增加709.1万元，增长43.77%。主要是因为本年度增加了城市燃气服务管理、环境卫生管理与市政路灯管理相应工作经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五、一般公共预算财政拨款支出决算情况说明</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（一）财政拨款支出决算总体情况</w:t>
      </w:r>
      <w:r>
        <w:rPr>
          <w:color w:val="000000"/>
          <w:sz w:val="27"/>
          <w:szCs w:val="27"/>
        </w:rPr>
        <w:t xml:space="preserve"> </w:t>
      </w:r>
    </w:p>
    <w:p>
      <w:pPr>
        <w:pStyle w:val="13"/>
        <w:spacing w:before="0" w:beforeAutospacing="0" w:after="2" w:afterAutospacing="0"/>
        <w:ind w:left="0" w:firstLine="855"/>
        <w:rPr>
          <w:sz w:val="27"/>
          <w:szCs w:val="27"/>
        </w:rPr>
      </w:pPr>
      <w:r>
        <w:rPr>
          <w:rFonts w:ascii="宋体" w:hAnsi="宋体" w:eastAsia="宋体" w:cs="宋体"/>
          <w:color w:val="000000"/>
          <w:sz w:val="32"/>
          <w:szCs w:val="32"/>
        </w:rPr>
        <w:t>2021年度财政拨款支出2,314.21万元，其中：基本支出</w:t>
      </w:r>
      <w:r>
        <w:rPr>
          <w:rFonts w:hint="eastAsia" w:ascii="宋体" w:hAnsi="宋体" w:eastAsia="宋体" w:cs="宋体"/>
          <w:color w:val="000000"/>
          <w:sz w:val="32"/>
          <w:szCs w:val="32"/>
        </w:rPr>
        <w:t>1,983.73</w:t>
      </w:r>
      <w:r>
        <w:rPr>
          <w:rFonts w:ascii="宋体" w:hAnsi="宋体" w:eastAsia="宋体" w:cs="宋体"/>
          <w:color w:val="000000"/>
          <w:sz w:val="32"/>
          <w:szCs w:val="32"/>
        </w:rPr>
        <w:t>万元，项目支出</w:t>
      </w:r>
      <w:r>
        <w:rPr>
          <w:rFonts w:hint="eastAsia" w:ascii="宋体" w:hAnsi="宋体" w:eastAsia="宋体" w:cs="宋体"/>
          <w:color w:val="000000"/>
          <w:sz w:val="32"/>
          <w:szCs w:val="32"/>
        </w:rPr>
        <w:t>330.48</w:t>
      </w:r>
      <w:r>
        <w:rPr>
          <w:rFonts w:ascii="宋体" w:hAnsi="宋体" w:eastAsia="宋体" w:cs="宋体"/>
          <w:color w:val="000000"/>
          <w:sz w:val="32"/>
          <w:szCs w:val="32"/>
        </w:rPr>
        <w:t>万元。占本年支出合计的97.26%。与上一年度相比，财政拨款支出增加768.91万元，增长49.76%。主要是因为本年度增加了城市燃气服务管理、环境卫生管理与市政路灯管理相应工作经费。</w:t>
      </w:r>
      <w:r>
        <w:rPr>
          <w:rFonts w:hint="eastAsia" w:ascii="宋体" w:hAnsi="宋体" w:eastAsia="宋体" w:cs="宋体"/>
          <w:color w:val="000000"/>
          <w:sz w:val="32"/>
          <w:szCs w:val="32"/>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（二）财政拨款支出决算结构情况</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2021年度财政拨款支出2,314.21万元，主要用于以下方面：社会保障和就业支出114.32万元，占4.94%；卫生健康支出52.32万元，占2.26%；节能环保支出9.98万元，占0.43%；城乡社区支出1,974.43万元，占85.32%；交通运输支出85.43万元，占3.69%；住房保障支出77.74万元，占3.36%。</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b/>
          <w:bCs/>
          <w:color w:val="000000"/>
          <w:sz w:val="32"/>
          <w:szCs w:val="32"/>
        </w:rPr>
        <w:t>（三）财政拨款支出决算具体情况</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2021年度财政拨款支出年初预算数为1,393.51万元，支出决算数为2,314.21万元，完成年初预算的166.07%，其中：</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1、社会保障和就业支出（类）行政事业单位养老支出（款）机关事业单位基本养老保险缴费支出（项）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年初预算为102.06万元，支出决算为106.69万元，完成年初预算的104.54%。决算数大于年初预算数的主要原因是：本年度人员有变动。</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2、社会保障和就业支出（类）其他社会保障和就业支出（款）其他社会保障和就业支出（项）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年初预算为7.92万元，支出决算为7.63万元，完成年初预算的96.34%。决算数小于年初预算数的主要原因是：本年度人员有变动。</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3、卫生健康支出（类）行政事业单位医疗（款）行政单位医疗（项）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年初预算为52.06万元，支出决算为52.32万元，完成年初预算的100.5%。决算数大于年初预算数的主要原因是：本年度人员有变动。</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4、节能环保支出（类）其他节能环保支出（款）其他节能环保支出（项）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年初预算为0万元，支出决算为9.98万元，决算数大于年初预算数的主要原因是：本年度新增了环境卫生治理相关支出。</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5、城乡社区支出（类）城乡社区管理事务（款）城管执法（项）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年初预算为1,103.15万元，支出决算为1,914.43万元，完成年初预算的173.54%。决算数大于年初预算数的主要原因是：本年度增加了城市燃气服务管理、环境卫生管理与市政路灯管理相应工作经费。</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6、城乡社区支出（类）城乡社区管理事务（款）其他城乡社区管理事务支出（项）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年初预算为0万元，支出决算为10万元，决算数大于年初预算数的主要原因是：本年度开展了城区环境综合整治工作。</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7、城乡社区支出（类）城乡社区环境卫生（款）城乡社区环境卫生（项）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年初预算为0万元，支出决算为50万元，决算数大于年初预算数的主要原因是：本年度开展了城区环境综合整治工作。</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8、交通运输支出（类）公路水路运输（款）行政运行（项）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年初预算为0万元，支出决算为85.43万元，决算数大于年初预算数的主要原因是：补发2020年度五个文明绩效。</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9、住房保障支出（类）住房改革支出（款）住房公积金（项）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年初预算为77.29万元，支出决算为77.74万元，完成年初预算的100.58%。决算数大于年初预算数的主要原因是：本年度人员有变动。</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六、一般公共预算财政拨款基本支出决算情况说明</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2021年度财政拨款基本支出1,983.73万元，其中：人员经费1,375.97万元，占基本支出的69.36%，主要包括：基本工资、津贴补贴、奖金、伙食补助费、机关事业单位基本养老保险缴费、职工基本医疗保险缴费、其他社会保障缴费、住房公积金、其他工资福利支出、生活补助、奖励金、其他对个人和家庭的补助。公用经费607.76万元，占基本支出的30.64%，主要包括：公务用车购置、办公费、印刷费、咨询费、水费、电费、差旅费、维修（护）费、培训费、公务接待费、劳务费、工会经费、福利费、公务用车运行维护费、其他交通费用、其他商品和服务支出。</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七、一般公共预算财政拨款三公经费支出决算情况说明</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（一）“三公”经费财政拨款支出决算总体情况说明</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2021年度“三公”经费财政拨款支出预算为96万元，支出决算为93万元，完成预算的96.88%，其中：</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因公出国（境）费支出预算为0万元，支出决算为0万元，决算数与预算数一致，我单位严格按预算执行决算，因公出国（境）费支出与上年持平。</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公务接待费支出预算为2万元，支出决算为0.11万元，完成预算的5.5%，决算数小于预算数的主要原因是由于疫情原因公务接待减少 ，与上年相比减少1.89万元，下降94.5%，下降的主要原因是由于疫情原因公务接待减少。</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公务用车购置费支出预算为56万元，支出决算为56万元，完成预算的100%，决算数与预算数一致，我单位严格按预算执行决算，与上年相比增加14.8万元，增长35.92%，增长的主要原因是本年度由于执法用车老化，新购置4台执行用车。</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公务用车运行维护费支出预算为38万元，支出决算为36.89万元，完成预算的97.08%，决算数小于预算数的主要原因是本年度执法用车进行了更新 ，与上年相比减少2.03万元，下降5.22%，下降的主要原因是本年度执法用车进行了更新。</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（二）“三公”经费财政拨款支出决算具体情况说明</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2021年度“三公”经费财政拨款支出决算中，公务接待费支出决算0.11万元，占0.12%，因公出国（境）费支出决算0万元，占0%，公务用车购置费及运行维护费支出决算92.89万元，占99.88%。其中：</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1、因公出国（境）费支出决算为0万元，全年安排因公出国（境）团组0个，累计0人次，我单位2021年度无因公出国（境）费支出。</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2、公务接待费支出决算为0.11万元，全年共接待来访团组1个、来宾9人次，主要是全州城管执法领域重点工作及“住改房”专项整治工作调研发生的接待支出。</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3、公务用车购置费及运行维护费支出决算为92.89万元，其中：公务用车购置费56万元，主要是更新公务用车4辆。公务用车运行维护费36.89万元，主要是用于车辆维修与运行支出，截至2021年12月31日，我单位开支财政拨款的公务用车保有量为15辆。</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八、政府性基金预算收入支出决算情况</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 xml:space="preserve">2021年度政府性基金预算财政拨款收入0万元；年初结转和结余15万元；支出15万元，其中基本支出15万元，项目支出0万元；年末结转和结余0万元。具体情况如下： </w:t>
      </w:r>
    </w:p>
    <w:p>
      <w:pPr>
        <w:pStyle w:val="13"/>
        <w:spacing w:before="0" w:beforeAutospacing="0" w:after="2" w:afterAutospacing="0"/>
        <w:ind w:left="0" w:firstLine="641"/>
        <w:rPr>
          <w:sz w:val="27"/>
          <w:szCs w:val="27"/>
        </w:rPr>
      </w:pPr>
      <w:r>
        <w:rPr>
          <w:rStyle w:val="12"/>
          <w:rFonts w:hint="eastAsia" w:ascii="宋体" w:hAnsi="宋体" w:eastAsia="宋体" w:cs="宋体"/>
          <w:color w:val="000000"/>
          <w:sz w:val="32"/>
          <w:szCs w:val="32"/>
        </w:rPr>
        <w:t>1、城乡社区支出（类）国有土地使用权出让收入安排的支出（款）其他国有土地使用权出让收入安排的支出（项）</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年初预算为0万元，支出决算为15万元，决算数大于年初预算数的主要原因是：15万元为上年结余资金。</w:t>
      </w:r>
      <w:r>
        <w:rPr>
          <w:color w:val="000000"/>
          <w:sz w:val="27"/>
          <w:szCs w:val="27"/>
        </w:rPr>
        <w:t xml:space="preserve"> </w:t>
      </w:r>
    </w:p>
    <w:p>
      <w:pPr>
        <w:pStyle w:val="13"/>
        <w:spacing w:before="0" w:beforeAutospacing="0" w:after="2" w:afterAutospacing="0"/>
        <w:ind w:left="0" w:firstLine="641"/>
        <w:rPr>
          <w:sz w:val="27"/>
          <w:szCs w:val="27"/>
        </w:rPr>
      </w:pPr>
      <w:r>
        <w:rPr>
          <w:rFonts w:hint="eastAsia" w:ascii="宋体" w:hAnsi="宋体" w:eastAsia="宋体" w:cs="宋体"/>
          <w:b/>
          <w:bCs/>
          <w:color w:val="000000"/>
          <w:sz w:val="32"/>
          <w:szCs w:val="32"/>
        </w:rPr>
        <w:t>九、关于机关运行经费支出说明</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花垣县</w:t>
      </w:r>
      <w:r>
        <w:rPr>
          <w:rFonts w:hint="eastAsia" w:ascii="宋体" w:hAnsi="宋体" w:eastAsia="宋体" w:cs="宋体"/>
          <w:color w:val="000000"/>
          <w:sz w:val="32"/>
          <w:szCs w:val="32"/>
          <w:lang w:eastAsia="zh-CN"/>
        </w:rPr>
        <w:t>城市管理和综合执法局</w:t>
      </w:r>
      <w:r>
        <w:rPr>
          <w:rFonts w:hint="eastAsia" w:ascii="宋体" w:hAnsi="宋体" w:eastAsia="宋体" w:cs="宋体"/>
          <w:color w:val="000000"/>
          <w:sz w:val="32"/>
          <w:szCs w:val="32"/>
        </w:rPr>
        <w:t>本级2021年度机关运行经费支出607.76万元，比上一年决算数增加330.65万元，增长119.32%。主要原因是：本年度增加了城市燃气服务管理、环境卫生管理与市政路灯管理相应工作经费。</w:t>
      </w:r>
    </w:p>
    <w:p>
      <w:pPr>
        <w:pStyle w:val="13"/>
        <w:spacing w:before="0" w:beforeAutospacing="0" w:after="2" w:afterAutospacing="0"/>
        <w:ind w:left="0" w:firstLine="640"/>
        <w:rPr>
          <w:sz w:val="27"/>
          <w:szCs w:val="27"/>
        </w:rPr>
      </w:pPr>
      <w:r>
        <w:rPr>
          <w:rFonts w:hint="eastAsia" w:ascii="宋体" w:hAnsi="宋体" w:eastAsia="宋体" w:cs="宋体"/>
          <w:b/>
          <w:bCs/>
          <w:color w:val="000000"/>
          <w:sz w:val="32"/>
          <w:szCs w:val="32"/>
        </w:rPr>
        <w:t>十、一般性支出情况</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2021年度花垣县</w:t>
      </w:r>
      <w:r>
        <w:rPr>
          <w:rFonts w:hint="eastAsia" w:ascii="宋体" w:hAnsi="宋体" w:eastAsia="宋体" w:cs="宋体"/>
          <w:color w:val="000000"/>
          <w:sz w:val="32"/>
          <w:szCs w:val="32"/>
          <w:lang w:eastAsia="zh-CN"/>
        </w:rPr>
        <w:t>城市管理和综合执法局</w:t>
      </w:r>
      <w:r>
        <w:rPr>
          <w:rFonts w:hint="eastAsia" w:ascii="宋体" w:hAnsi="宋体" w:eastAsia="宋体" w:cs="宋体"/>
          <w:color w:val="000000"/>
          <w:sz w:val="32"/>
          <w:szCs w:val="32"/>
        </w:rPr>
        <w:t>本级开支会议费0万元，我单位2021年度无会议费支出；开支培训费2.02万元，用于事业工作人员培训；举办0场节庆、晚会、论坛、赛事活动，开支0万元，无活动支出。</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b/>
          <w:bCs/>
          <w:color w:val="000000"/>
          <w:sz w:val="32"/>
          <w:szCs w:val="32"/>
        </w:rPr>
        <w:t>十一、关于政府采购支出说明</w:t>
      </w:r>
      <w:r>
        <w:rPr>
          <w:color w:val="000000"/>
          <w:sz w:val="27"/>
          <w:szCs w:val="27"/>
        </w:rPr>
        <w:t xml:space="preserve"> </w:t>
      </w:r>
    </w:p>
    <w:p>
      <w:pPr>
        <w:pStyle w:val="13"/>
        <w:spacing w:before="0" w:beforeAutospacing="0" w:after="2" w:afterAutospacing="0"/>
        <w:ind w:left="0" w:firstLine="640"/>
        <w:jc w:val="both"/>
        <w:rPr>
          <w:sz w:val="27"/>
          <w:szCs w:val="27"/>
        </w:rPr>
      </w:pPr>
      <w:r>
        <w:rPr>
          <w:rFonts w:hint="eastAsia" w:ascii="宋体" w:hAnsi="宋体" w:eastAsia="宋体" w:cs="宋体"/>
          <w:color w:val="000000"/>
          <w:sz w:val="32"/>
          <w:szCs w:val="32"/>
        </w:rPr>
        <w:t>花垣县</w:t>
      </w:r>
      <w:r>
        <w:rPr>
          <w:rFonts w:hint="eastAsia" w:ascii="宋体" w:hAnsi="宋体" w:eastAsia="宋体" w:cs="宋体"/>
          <w:color w:val="000000"/>
          <w:sz w:val="32"/>
          <w:szCs w:val="32"/>
          <w:lang w:eastAsia="zh-CN"/>
        </w:rPr>
        <w:t>城市管理和综合执法局</w:t>
      </w:r>
      <w:r>
        <w:rPr>
          <w:rFonts w:hint="eastAsia" w:ascii="宋体" w:hAnsi="宋体" w:eastAsia="宋体" w:cs="宋体"/>
          <w:color w:val="000000"/>
          <w:sz w:val="32"/>
          <w:szCs w:val="32"/>
        </w:rPr>
        <w:t xml:space="preserve">本级2021年度政府采购支出总额174.4万元，其中：政府采购货物支出43.72万元、政府采购工程支出130.68万元、政府采购服务支出0万元。授予中小企业合同金额0万元，占政府采购支出总额的0%，其中：授予小微企业合同金额0万元，占政府采购支出总额的0%。货物采购授予中小企业合同金额占货物支出金额的100%，工程采购授予中小企业合同金额占工程支出金额的100%，服务采购授予中小企业合同金额占服务支出金额的0%。 </w:t>
      </w:r>
    </w:p>
    <w:p>
      <w:pPr>
        <w:pStyle w:val="13"/>
        <w:spacing w:before="0" w:beforeAutospacing="0" w:after="2" w:afterAutospacing="0"/>
        <w:ind w:left="0" w:firstLine="640"/>
        <w:rPr>
          <w:sz w:val="27"/>
          <w:szCs w:val="27"/>
        </w:rPr>
      </w:pPr>
      <w:r>
        <w:rPr>
          <w:rFonts w:hint="eastAsia" w:ascii="宋体" w:hAnsi="宋体" w:eastAsia="宋体" w:cs="宋体"/>
          <w:b/>
          <w:bCs/>
          <w:color w:val="000000"/>
          <w:sz w:val="32"/>
          <w:szCs w:val="32"/>
        </w:rPr>
        <w:t>十二、关于国有资产占用情况说明</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color w:val="000000"/>
          <w:sz w:val="32"/>
          <w:szCs w:val="32"/>
        </w:rPr>
        <w:t>截至2021年12月31日，花垣县</w:t>
      </w:r>
      <w:r>
        <w:rPr>
          <w:rFonts w:hint="eastAsia" w:ascii="宋体" w:hAnsi="宋体" w:eastAsia="宋体" w:cs="宋体"/>
          <w:color w:val="000000"/>
          <w:sz w:val="32"/>
          <w:szCs w:val="32"/>
          <w:lang w:eastAsia="zh-CN"/>
        </w:rPr>
        <w:t>城市管理和综合执法局</w:t>
      </w:r>
      <w:r>
        <w:rPr>
          <w:rFonts w:hint="eastAsia" w:ascii="宋体" w:hAnsi="宋体" w:eastAsia="宋体" w:cs="宋体"/>
          <w:color w:val="000000"/>
          <w:sz w:val="32"/>
          <w:szCs w:val="32"/>
        </w:rPr>
        <w:t>本级共有车辆15辆（台），其中：机要通信用车0辆、应急保障用车0辆、执法执勤用车0辆、特种专业技术用车0辆、其他用车15辆，其他用车主要是城管执法；单价50万元（含）以上通用设备0台（套），单价100万元（含）以上专用设备0台（套）。</w:t>
      </w:r>
      <w:r>
        <w:rPr>
          <w:color w:val="000000"/>
          <w:sz w:val="27"/>
          <w:szCs w:val="27"/>
        </w:rPr>
        <w:t xml:space="preserve"> </w:t>
      </w:r>
    </w:p>
    <w:p>
      <w:pPr>
        <w:pStyle w:val="13"/>
        <w:spacing w:before="0" w:beforeAutospacing="0" w:after="2" w:afterAutospacing="0"/>
        <w:ind w:left="0" w:firstLine="640"/>
        <w:rPr>
          <w:sz w:val="27"/>
          <w:szCs w:val="27"/>
        </w:rPr>
      </w:pPr>
      <w:r>
        <w:rPr>
          <w:rFonts w:hint="eastAsia" w:ascii="宋体" w:hAnsi="宋体" w:eastAsia="宋体" w:cs="宋体"/>
          <w:b/>
          <w:bCs/>
          <w:color w:val="000000"/>
          <w:sz w:val="32"/>
          <w:szCs w:val="32"/>
        </w:rPr>
        <w:t>十三、关于2021年度预算绩效情况说明</w:t>
      </w:r>
      <w:r>
        <w:rPr>
          <w:color w:val="000000"/>
          <w:sz w:val="27"/>
          <w:szCs w:val="27"/>
        </w:rPr>
        <w:t xml:space="preserve"> </w:t>
      </w:r>
    </w:p>
    <w:p>
      <w:pPr>
        <w:pStyle w:val="13"/>
        <w:spacing w:before="0" w:beforeAutospacing="0" w:after="2" w:afterAutospacing="0"/>
        <w:ind w:left="0" w:firstLine="640"/>
        <w:rPr>
          <w:sz w:val="27"/>
          <w:szCs w:val="27"/>
        </w:rPr>
      </w:pPr>
      <w:r>
        <w:rPr>
          <w:rStyle w:val="12"/>
          <w:rFonts w:ascii="宋体" w:hAnsi="宋体" w:eastAsia="宋体" w:cs="宋体"/>
          <w:color w:val="000000"/>
          <w:sz w:val="36"/>
          <w:szCs w:val="36"/>
        </w:rPr>
        <w:t>（1）绩效管理评价工作开展情况。</w:t>
      </w:r>
    </w:p>
    <w:p>
      <w:pPr>
        <w:pStyle w:val="13"/>
        <w:spacing w:before="0" w:beforeAutospacing="0" w:after="2" w:afterAutospacing="0"/>
        <w:ind w:left="0" w:firstLine="640"/>
        <w:rPr>
          <w:sz w:val="27"/>
          <w:szCs w:val="27"/>
        </w:rPr>
      </w:pPr>
      <w:r>
        <w:rPr>
          <w:rFonts w:ascii="宋体" w:hAnsi="宋体" w:eastAsia="宋体" w:cs="宋体"/>
          <w:color w:val="000000"/>
          <w:sz w:val="32"/>
          <w:szCs w:val="32"/>
        </w:rPr>
        <w:t>根据预算绩效管理要求，我部门组织对2021年度一般公共预算项目支出全面开展绩效自评，其中，一级项目0个，二级项目4个，共涉及资金330.48万元，占一般公共预算项目支出总额的100%。组织对2021年度0个政府性基金预算项目支出开展绩效自评，共涉及资金0万元，占政府性基金预算项目支出总额的0%。组织对2021年度0个国有资本经营预算项目支出开展绩效自评，共涉及资金0万元，占国有资本经营预算项目支出总额的0%。</w:t>
      </w:r>
      <w:r>
        <w:rPr>
          <w:color w:val="000000"/>
          <w:sz w:val="27"/>
          <w:szCs w:val="27"/>
        </w:rPr>
        <w:t xml:space="preserve"> </w:t>
      </w:r>
    </w:p>
    <w:p>
      <w:pPr>
        <w:pStyle w:val="13"/>
        <w:spacing w:before="0" w:beforeAutospacing="0" w:after="2" w:afterAutospacing="0"/>
        <w:ind w:left="0" w:firstLine="640"/>
        <w:rPr>
          <w:sz w:val="27"/>
          <w:szCs w:val="27"/>
        </w:rPr>
      </w:pPr>
      <w:r>
        <w:rPr>
          <w:rFonts w:ascii="宋体" w:hAnsi="宋体" w:eastAsia="宋体" w:cs="宋体"/>
          <w:color w:val="000000"/>
          <w:sz w:val="32"/>
          <w:szCs w:val="32"/>
        </w:rPr>
        <w:t>组织对“维修维护运行费”“环境污染治理”等4个项目开展了部门评价，涉及一般公共预算支出330.48万元，政府性基金预算支出0万元，国有资本经营预算支出0万元。从评价情况来看，本年度单位预算绩效管理均按照预算编制的准确完整性、预算执行的有效性、预算编制及执行的规范性进行展开，各项绩效目标及绩效评价报告均达到要求。</w:t>
      </w:r>
      <w:r>
        <w:rPr>
          <w:color w:val="000000"/>
          <w:sz w:val="27"/>
          <w:szCs w:val="27"/>
        </w:rPr>
        <w:t xml:space="preserve"> </w:t>
      </w:r>
    </w:p>
    <w:p>
      <w:pPr>
        <w:pStyle w:val="13"/>
        <w:spacing w:before="0" w:beforeAutospacing="0" w:after="2" w:afterAutospacing="0"/>
        <w:ind w:left="0" w:firstLine="640"/>
        <w:rPr>
          <w:sz w:val="27"/>
          <w:szCs w:val="27"/>
        </w:rPr>
      </w:pPr>
      <w:r>
        <w:rPr>
          <w:rFonts w:ascii="宋体" w:hAnsi="宋体" w:eastAsia="宋体" w:cs="宋体"/>
          <w:color w:val="000000"/>
          <w:sz w:val="32"/>
          <w:szCs w:val="32"/>
        </w:rPr>
        <w:t>组织对花垣县城市管理和综合执法局开展整体支出绩效评价，涉及一般公共预算支出2314.21万元，政府性基金预算支出15万元。从评价情况来看，本年度单位预算绩效管理均按照预算编制的准确完整性、预算执行的有效性、预算编制及执行的规范性进行展开。</w:t>
      </w:r>
    </w:p>
    <w:p>
      <w:pPr>
        <w:pStyle w:val="13"/>
        <w:spacing w:before="0" w:beforeAutospacing="0" w:after="2" w:afterAutospacing="0"/>
        <w:ind w:left="0" w:firstLine="640"/>
        <w:rPr>
          <w:sz w:val="27"/>
          <w:szCs w:val="27"/>
        </w:rPr>
      </w:pPr>
      <w:r>
        <w:rPr>
          <w:rStyle w:val="12"/>
          <w:rFonts w:ascii="宋体" w:hAnsi="宋体" w:eastAsia="宋体" w:cs="宋体"/>
          <w:color w:val="000000"/>
          <w:sz w:val="36"/>
          <w:szCs w:val="36"/>
        </w:rPr>
        <w:t>（2）部门决算中项目绩效自评结果。</w:t>
      </w:r>
      <w:r>
        <w:rPr>
          <w:color w:val="000000"/>
          <w:sz w:val="27"/>
          <w:szCs w:val="27"/>
        </w:rPr>
        <w:t xml:space="preserve"> </w:t>
      </w:r>
    </w:p>
    <w:p>
      <w:pPr>
        <w:pStyle w:val="13"/>
        <w:spacing w:before="0" w:beforeAutospacing="0" w:after="2" w:afterAutospacing="0"/>
        <w:ind w:left="0" w:firstLine="640"/>
        <w:rPr>
          <w:sz w:val="27"/>
          <w:szCs w:val="27"/>
        </w:rPr>
      </w:pPr>
      <w:r>
        <w:rPr>
          <w:rFonts w:ascii="宋体" w:hAnsi="宋体" w:eastAsia="宋体" w:cs="宋体"/>
          <w:color w:val="000000"/>
          <w:sz w:val="32"/>
          <w:szCs w:val="32"/>
        </w:rPr>
        <w:t>卫生整治治理项目绩效自评综述：根据年初设定的绩效目标，项目绩效自评得分为90分。项目全年预算数为50万元，执行数为50万元，完成预算的100%。项目绩效目标完成情况：一是项目是否实现了年度绩效目标；二是项目服务对象或受益人对项目结果是否满意。发现的主要问题及原因：一是调度施工进度；二是协调外部问题。下一步改进措施：一是积极配合施工方协调外部问题；二是积极调度施工进度，保证施工有效、有序进行。机关运转经费项目绩效自评综述：根据年初设定的绩效目标，项目绩效自评得分为90分。项目全年预算数为10万元，执行数为9.98万元，完成预算的99.8%。</w:t>
      </w:r>
      <w:r>
        <w:rPr>
          <w:color w:val="000000"/>
          <w:sz w:val="27"/>
          <w:szCs w:val="27"/>
        </w:rPr>
        <w:t xml:space="preserve"> </w:t>
      </w:r>
    </w:p>
    <w:p>
      <w:pPr>
        <w:pStyle w:val="13"/>
        <w:spacing w:before="0" w:beforeAutospacing="0" w:after="2" w:afterAutospacing="0"/>
        <w:ind w:left="0" w:firstLine="640"/>
        <w:rPr>
          <w:sz w:val="27"/>
          <w:szCs w:val="27"/>
        </w:rPr>
      </w:pPr>
      <w:r>
        <w:rPr>
          <w:rStyle w:val="12"/>
          <w:rFonts w:ascii="宋体" w:hAnsi="宋体" w:eastAsia="宋体" w:cs="宋体"/>
          <w:color w:val="000000"/>
          <w:sz w:val="36"/>
          <w:szCs w:val="36"/>
        </w:rPr>
        <w:t>（3）部门评价项目绩效评价结果。</w:t>
      </w:r>
    </w:p>
    <w:p>
      <w:pPr>
        <w:pStyle w:val="13"/>
        <w:spacing w:before="0" w:beforeAutospacing="0" w:after="2" w:afterAutospacing="0"/>
        <w:ind w:left="0" w:firstLine="640"/>
        <w:rPr>
          <w:sz w:val="27"/>
          <w:szCs w:val="27"/>
        </w:rPr>
      </w:pPr>
      <w:r>
        <w:rPr>
          <w:rFonts w:ascii="宋体" w:hAnsi="宋体" w:eastAsia="宋体" w:cs="宋体"/>
          <w:color w:val="000000"/>
          <w:sz w:val="32"/>
          <w:szCs w:val="32"/>
        </w:rPr>
        <w:t>部门评价项目数量3个以内的，至少将1 个部门评价报告向社会公开；部门评价项目数量大于3 个的，至少将2 个部门评价报告向社会公开。报告框架可参考《项目支出绩效评价办法》（财预〔2020〕10 号）中《项目支出绩效评价报告（参考提纲）》、《湖南省预算支出绩效评价管理办法》（湘财绩〔2020〕7号）。</w:t>
      </w:r>
    </w:p>
    <w:p>
      <w:pPr>
        <w:keepNext w:val="0"/>
        <w:keepLines w:val="0"/>
        <w:widowControl/>
        <w:suppressLineNumbers w:val="0"/>
        <w:jc w:val="left"/>
      </w:pPr>
    </w:p>
    <w:p>
      <w:pPr>
        <w:pStyle w:val="9"/>
        <w:keepNext w:val="0"/>
        <w:keepLines w:val="0"/>
        <w:widowControl/>
        <w:suppressLineNumbers w:val="0"/>
        <w:spacing w:before="0" w:beforeAutospacing="0" w:after="2" w:afterAutospacing="0"/>
      </w:pPr>
    </w:p>
    <w:p>
      <w:pPr>
        <w:pStyle w:val="9"/>
        <w:keepNext w:val="0"/>
        <w:keepLines w:val="0"/>
        <w:widowControl/>
        <w:suppressLineNumbers w:val="0"/>
        <w:spacing w:before="0" w:beforeAutospacing="0" w:after="2" w:afterAutospacing="0"/>
      </w:pPr>
    </w:p>
    <w:p/>
    <w:p>
      <w:pPr>
        <w:spacing w:before="0" w:beforeAutospacing="0" w:after="2" w:afterAutospacing="0"/>
        <w:jc w:val="center"/>
        <w:rPr>
          <w:sz w:val="21"/>
          <w:szCs w:val="21"/>
        </w:rPr>
      </w:pPr>
      <w:r>
        <w:rPr>
          <w:rFonts w:ascii="宋体" w:hAnsi="宋体" w:eastAsia="宋体" w:cs="宋体"/>
          <w:b/>
          <w:bCs/>
          <w:color w:val="000000"/>
          <w:sz w:val="36"/>
          <w:szCs w:val="36"/>
        </w:rPr>
        <w:t>第四部分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名词解释</w:t>
      </w:r>
      <w:r>
        <w:rPr>
          <w:color w:val="000000"/>
          <w:sz w:val="21"/>
          <w:szCs w:val="21"/>
        </w:rPr>
        <w:t xml:space="preserve"> </w:t>
      </w:r>
    </w:p>
    <w:p>
      <w:pPr>
        <w:spacing w:before="0" w:beforeAutospacing="0" w:after="2" w:afterAutospacing="0" w:line="336" w:lineRule="atLeast"/>
        <w:ind w:left="0" w:right="0" w:firstLine="643"/>
        <w:rPr>
          <w:rFonts w:ascii="Calibri" w:hAnsi="Calibri" w:cs="Calibri"/>
          <w:sz w:val="21"/>
          <w:szCs w:val="21"/>
        </w:rPr>
      </w:pPr>
      <w:r>
        <w:rPr>
          <w:rFonts w:ascii="宋体" w:hAnsi="宋体" w:eastAsia="宋体" w:cs="宋体"/>
          <w:b/>
          <w:bCs/>
          <w:color w:val="000000"/>
          <w:sz w:val="32"/>
          <w:szCs w:val="32"/>
        </w:rPr>
        <w:t>财政拨款收入</w:t>
      </w:r>
      <w:r>
        <w:rPr>
          <w:rFonts w:ascii="宋体" w:hAnsi="宋体" w:eastAsia="宋体" w:cs="宋体"/>
          <w:color w:val="000000"/>
          <w:sz w:val="32"/>
          <w:szCs w:val="32"/>
        </w:rPr>
        <w:t>：指财政当年拨付的资金。包括一般公共预算财政拨款和政府性基金财政拨款。</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上级补助收入</w:t>
      </w:r>
      <w:r>
        <w:rPr>
          <w:rFonts w:ascii="宋体" w:hAnsi="宋体" w:eastAsia="宋体" w:cs="宋体"/>
          <w:color w:val="000000"/>
          <w:sz w:val="32"/>
          <w:szCs w:val="32"/>
        </w:rPr>
        <w:t>：指事业单位从主管部门和上级单位取得的非财政补助收入。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事业收入：</w:t>
      </w:r>
      <w:r>
        <w:rPr>
          <w:rFonts w:ascii="宋体" w:hAnsi="宋体" w:eastAsia="宋体" w:cs="宋体"/>
          <w:color w:val="000000"/>
          <w:sz w:val="32"/>
          <w:szCs w:val="32"/>
        </w:rPr>
        <w:t>指事业单位开展专业业务活动及辅助活动所取得的收入。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经营收入：</w:t>
      </w:r>
      <w:r>
        <w:rPr>
          <w:rFonts w:ascii="宋体" w:hAnsi="宋体" w:eastAsia="宋体" w:cs="宋体"/>
          <w:color w:val="000000"/>
          <w:sz w:val="32"/>
          <w:szCs w:val="32"/>
        </w:rPr>
        <w:t>指事业单位在专业业务活动及其辅助活动之外开展非独立核算经营活动取得的收入。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附属单位上缴收入</w:t>
      </w:r>
      <w:r>
        <w:rPr>
          <w:rFonts w:ascii="宋体" w:hAnsi="宋体" w:eastAsia="宋体" w:cs="宋体"/>
          <w:color w:val="000000"/>
          <w:sz w:val="32"/>
          <w:szCs w:val="32"/>
        </w:rPr>
        <w:t>：指事业单位附属独立核算单位按照有关规定上缴的收入。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其他收入</w:t>
      </w:r>
      <w:r>
        <w:rPr>
          <w:rFonts w:ascii="宋体" w:hAnsi="宋体" w:eastAsia="宋体" w:cs="宋体"/>
          <w:color w:val="000000"/>
          <w:sz w:val="32"/>
          <w:szCs w:val="32"/>
        </w:rPr>
        <w:t>：指除上述“财政拨款收入”、“事业收入”、“经营收入”等以外的收入。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用事业基金弥补收支差额</w:t>
      </w:r>
      <w:r>
        <w:rPr>
          <w:rFonts w:ascii="宋体" w:hAnsi="宋体" w:eastAsia="宋体" w:cs="宋体"/>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年初结转和结余</w:t>
      </w:r>
      <w:r>
        <w:rPr>
          <w:rFonts w:ascii="宋体" w:hAnsi="宋体" w:eastAsia="宋体" w:cs="宋体"/>
          <w:color w:val="000000"/>
          <w:sz w:val="32"/>
          <w:szCs w:val="32"/>
        </w:rPr>
        <w:t>：指以前年度尚未完成、结转到本年按有关规定继续使用的资金。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结余分配</w:t>
      </w:r>
      <w:r>
        <w:rPr>
          <w:rFonts w:ascii="宋体" w:hAnsi="宋体" w:eastAsia="宋体" w:cs="宋体"/>
          <w:color w:val="000000"/>
          <w:sz w:val="32"/>
          <w:szCs w:val="32"/>
        </w:rPr>
        <w:t>：指事业事位按规定从非财政补助结余中分配的事业基金和职工福利基金等。</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年末结转和结余</w:t>
      </w:r>
      <w:r>
        <w:rPr>
          <w:rFonts w:ascii="宋体" w:hAnsi="宋体" w:eastAsia="宋体" w:cs="宋体"/>
          <w:color w:val="000000"/>
          <w:sz w:val="32"/>
          <w:szCs w:val="32"/>
        </w:rPr>
        <w:t>：指本年度或以前年度预算安排、因客观条件发生变化无法按原计划实施，需要延迟到以后年度按有关规定继续使用的资金。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基本支出</w:t>
      </w:r>
      <w:r>
        <w:rPr>
          <w:rFonts w:ascii="宋体" w:hAnsi="宋体" w:eastAsia="宋体" w:cs="宋体"/>
          <w:color w:val="000000"/>
          <w:sz w:val="32"/>
          <w:szCs w:val="32"/>
        </w:rPr>
        <w:t>：指为保障机构正常运转、完成日常工作任务而发生的人员支出和公用支出。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项目支出</w:t>
      </w:r>
      <w:r>
        <w:rPr>
          <w:rFonts w:ascii="宋体" w:hAnsi="宋体" w:eastAsia="宋体" w:cs="宋体"/>
          <w:color w:val="000000"/>
          <w:sz w:val="32"/>
          <w:szCs w:val="32"/>
        </w:rPr>
        <w:t>：指在基本支出之外为完成特定行政任务和事业发展目标所发生的支出。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经营支出</w:t>
      </w:r>
      <w:r>
        <w:rPr>
          <w:rFonts w:ascii="宋体" w:hAnsi="宋体" w:eastAsia="宋体" w:cs="宋体"/>
          <w:color w:val="000000"/>
          <w:sz w:val="32"/>
          <w:szCs w:val="32"/>
        </w:rPr>
        <w:t>：指事业单位在专业业务活动及其辅助活动之外开展非独立核算经营活动所发生的支出。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“三公”经费</w:t>
      </w:r>
      <w:r>
        <w:rPr>
          <w:rFonts w:ascii="宋体" w:hAnsi="宋体" w:eastAsia="宋体" w:cs="宋体"/>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机关运行经费</w:t>
      </w:r>
      <w:r>
        <w:rPr>
          <w:rFonts w:ascii="宋体" w:hAnsi="宋体" w:eastAsia="宋体" w:cs="宋体"/>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default" w:ascii="Calibri" w:hAnsi="Calibri" w:cs="Calibri"/>
          <w:color w:val="000000"/>
          <w:sz w:val="21"/>
          <w:szCs w:val="21"/>
        </w:rPr>
        <w:t xml:space="preserve"> </w:t>
      </w:r>
    </w:p>
    <w:p>
      <w:pPr>
        <w:keepNext w:val="0"/>
        <w:keepLines w:val="0"/>
        <w:widowControl/>
        <w:suppressLineNumbers w:val="0"/>
        <w:jc w:val="left"/>
      </w:pPr>
    </w:p>
    <w:p>
      <w:pPr>
        <w:pStyle w:val="9"/>
        <w:keepNext w:val="0"/>
        <w:keepLines w:val="0"/>
        <w:widowControl/>
        <w:suppressLineNumbers w:val="0"/>
        <w:spacing w:before="0" w:beforeAutospacing="0" w:after="2" w:afterAutospacing="0"/>
      </w:pPr>
    </w:p>
    <w:p>
      <w:pPr>
        <w:pStyle w:val="9"/>
        <w:keepNext w:val="0"/>
        <w:keepLines w:val="0"/>
        <w:widowControl/>
        <w:suppressLineNumbers w:val="0"/>
        <w:spacing w:before="0" w:beforeAutospacing="0" w:after="2" w:afterAutospacing="0"/>
      </w:pPr>
    </w:p>
    <w:p>
      <w:pPr>
        <w:spacing w:before="0" w:beforeAutospacing="0" w:after="2" w:afterAutospacing="0" w:line="336" w:lineRule="atLeast"/>
        <w:ind w:left="0" w:right="0" w:firstLine="643"/>
        <w:rPr>
          <w:rFonts w:hint="default" w:ascii="Calibri" w:hAnsi="Calibri" w:cs="Calibri"/>
          <w:sz w:val="21"/>
          <w:szCs w:val="21"/>
        </w:rPr>
      </w:pPr>
    </w:p>
    <w:p>
      <w:pPr>
        <w:spacing w:before="0" w:beforeAutospacing="0" w:after="2" w:afterAutospacing="0"/>
        <w:jc w:val="center"/>
        <w:rPr>
          <w:sz w:val="21"/>
          <w:szCs w:val="21"/>
        </w:rPr>
      </w:pPr>
      <w:r>
        <w:rPr>
          <w:rFonts w:ascii="宋体" w:hAnsi="宋体" w:eastAsia="宋体" w:cs="宋体"/>
          <w:b/>
          <w:bCs/>
          <w:color w:val="000000"/>
          <w:sz w:val="36"/>
          <w:szCs w:val="36"/>
        </w:rPr>
        <w:t>第五部分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附件</w:t>
      </w:r>
      <w:r>
        <w:rPr>
          <w:color w:val="000000"/>
          <w:sz w:val="21"/>
          <w:szCs w:val="21"/>
        </w:rPr>
        <w:t xml:space="preserve"> </w:t>
      </w:r>
    </w:p>
    <w:p>
      <w:pPr>
        <w:spacing w:before="0" w:beforeAutospacing="0" w:after="2" w:afterAutospacing="0"/>
        <w:jc w:val="center"/>
        <w:rPr>
          <w:sz w:val="21"/>
          <w:szCs w:val="21"/>
        </w:rPr>
      </w:pPr>
    </w:p>
    <w:p>
      <w:pPr>
        <w:spacing w:before="0" w:beforeAutospacing="0" w:after="2" w:afterAutospacing="0"/>
        <w:jc w:val="center"/>
        <w:rPr>
          <w:sz w:val="21"/>
          <w:szCs w:val="21"/>
        </w:rPr>
      </w:pPr>
    </w:p>
    <w:sectPr>
      <w:pgSz w:w="11906" w:h="16838" w:orient="landscape"/>
      <w:pgMar w:top="1440" w:right="1080" w:bottom="1440" w:left="1080" w:header="851" w:footer="992" w:gutter="0"/>
      <w:paperSrc/>
      <w:cols w:space="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variable"/>
    <w:sig w:usb0="A00002BF" w:usb1="38CF7CFA" w:usb2="00000016" w:usb3="00000000" w:csb0="0004000F" w:csb1="00000000"/>
  </w:font>
  <w:font w:name="Tahoma">
    <w:panose1 w:val="020B0604030504040204"/>
    <w:charset w:val="00"/>
    <w:family w:val="auto"/>
    <w:pitch w:val="variable"/>
    <w:sig w:usb0="E1002EFF" w:usb1="C000605B" w:usb2="00000029" w:usb3="00000000" w:csb0="200101FF" w:csb1="2028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微软雅黑">
    <w:panose1 w:val="020B0503020204020204"/>
    <w:charset w:val="86"/>
    <w:family w:val="auto"/>
    <w:pitch w:val="variable"/>
    <w:sig w:usb0="80000287" w:usb1="280F3C52" w:usb2="00000016" w:usb3="00000000" w:csb0="0004001F" w:csb1="00000000"/>
  </w:font>
  <w:font w:name="Verdana">
    <w:panose1 w:val="020B0604030504040204"/>
    <w:charset w:val="00"/>
    <w:family w:val="auto"/>
    <w:pitch w:val="variable"/>
    <w:sig w:usb0="A10006FF" w:usb1="4000205B" w:usb2="00000010" w:usb3="00000000" w:csb0="2000019F" w:csb1="00000000"/>
  </w:font>
  <w:font w:name="楷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微软雅黑">
    <w:panose1 w:val="020B0503020204020204"/>
    <w:charset w:val="86"/>
    <w:family w:val="auto"/>
    <w:pitch w:val="variable"/>
    <w:sig w:usb0="80000287" w:usb1="280F3C52" w:usb2="00000016" w:usb3="00000000" w:csb0="0004001F" w:csb1="00000000"/>
  </w:font>
  <w:font w:name="Arial Black">
    <w:panose1 w:val="020B0A04020102020204"/>
    <w:charset w:val="00"/>
    <w:family w:val="auto"/>
    <w:pitch w:val="variable"/>
    <w:sig w:usb0="00000287" w:usb1="00000000" w:usb2="00000000" w:usb3="00000000" w:csb0="2000009F" w:csb1="DFD70000"/>
  </w:font>
  <w:font w:name="新宋体">
    <w:panose1 w:val="02010609030101010101"/>
    <w:charset w:val="86"/>
    <w:family w:val="auto"/>
    <w:pitch w:val="fixed"/>
    <w:sig w:usb0="00000003" w:usb1="288F0000" w:usb2="00000006" w:usb3="00000000" w:csb0="00040001" w:csb1="00000000"/>
  </w:font>
  <w:font w:name="@新宋体">
    <w:panose1 w:val="02010609030101010101"/>
    <w:charset w:val="86"/>
    <w:family w:val="auto"/>
    <w:pitch w:val="fixed"/>
    <w:sig w:usb0="00000003" w:usb1="288F0000" w:usb2="0000000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仿宋">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8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NWI3NjcwMWFkMzM5ZDY2MzNiZTAzZTQ4ODdiMDgifQ=="/>
  </w:docVars>
  <w:rsids>
    <w:rsidRoot w:val="00000000"/>
    <w:rsid w:val="02C35C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character" w:styleId="12">
    <w:name w:val="Strong"/>
    <w:basedOn w:val="11"/>
    <w:qFormat/>
    <w:uiPriority w:val="0"/>
    <w:rPr>
      <w:b/>
    </w:rPr>
  </w:style>
  <w:style w:type="paragraph" w:customStyle="1" w:styleId="13">
    <w:name w:val="18"/>
    <w:basedOn w:val="1"/>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2022-11-17T02:24:38Z</dcterms:created>
  <dc:creator>Administrator</dc:creator>
  <cp:lastModifiedBy>Ever</cp:lastModifiedBy>
  <dcterms:modified xsi:type="dcterms:W3CDTF">2022-11-17T02:26:10Z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35B720BCAD9349A4BBE434087837A6F9</vt:lpwstr>
  </property>
</Properties>
</file>