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ascii="Times New Roman" w:hAnsi="Times New Roman" w:eastAsia="仿宋" w:cs="Times New Roman"/>
          <w:color w:val="auto"/>
          <w:sz w:val="44"/>
          <w:szCs w:val="44"/>
          <w:lang w:eastAsia="zh-CN"/>
        </w:rPr>
      </w:pPr>
      <w:r>
        <w:rPr>
          <w:rFonts w:hint="eastAsia" w:ascii="Times New Roman" w:hAnsi="Times New Roman" w:eastAsia="仿宋" w:cs="Times New Roman"/>
          <w:color w:val="auto"/>
          <w:sz w:val="44"/>
          <w:szCs w:val="44"/>
          <w:lang w:val="en-US" w:eastAsia="zh-CN"/>
        </w:rPr>
        <w:t>花垣县</w:t>
      </w:r>
      <w:r>
        <w:rPr>
          <w:rFonts w:hint="default" w:ascii="Times New Roman" w:hAnsi="Times New Roman" w:eastAsia="仿宋" w:cs="Times New Roman"/>
          <w:color w:val="auto"/>
          <w:sz w:val="44"/>
          <w:szCs w:val="44"/>
        </w:rPr>
        <w:t>城市规划区声环境功能区划分</w:t>
      </w:r>
      <w:r>
        <w:rPr>
          <w:rFonts w:hint="eastAsia" w:ascii="Times New Roman" w:hAnsi="Times New Roman" w:eastAsia="仿宋" w:cs="Times New Roman"/>
          <w:color w:val="auto"/>
          <w:sz w:val="44"/>
          <w:szCs w:val="44"/>
          <w:lang w:eastAsia="zh-CN"/>
        </w:rPr>
        <w:t>方案</w:t>
      </w:r>
    </w:p>
    <w:p>
      <w:pPr>
        <w:spacing w:line="360" w:lineRule="auto"/>
        <w:ind w:firstLine="560"/>
        <w:rPr>
          <w:rFonts w:hint="default" w:ascii="Times New Roman" w:hAnsi="Times New Roman" w:eastAsia="仿宋"/>
          <w:color w:val="auto"/>
          <w:sz w:val="28"/>
          <w:lang w:val="en-US" w:eastAsia="zh-CN"/>
        </w:rPr>
      </w:pPr>
      <w:r>
        <w:rPr>
          <w:rFonts w:hint="default" w:ascii="Times New Roman" w:hAnsi="Times New Roman" w:eastAsia="仿宋"/>
          <w:color w:val="auto"/>
          <w:sz w:val="28"/>
          <w:lang w:val="en-US" w:eastAsia="zh-CN"/>
        </w:rPr>
        <w:t>为贯彻落实《中华人民共和国环境保护法》、《中华人民共和国环境噪声污染防治法》，进一步做好</w:t>
      </w:r>
      <w:r>
        <w:rPr>
          <w:rFonts w:hint="eastAsia" w:ascii="Times New Roman" w:hAnsi="Times New Roman" w:eastAsia="仿宋"/>
          <w:color w:val="auto"/>
          <w:sz w:val="28"/>
          <w:lang w:val="en-US" w:eastAsia="zh-CN"/>
        </w:rPr>
        <w:t>花垣县</w:t>
      </w:r>
      <w:r>
        <w:rPr>
          <w:rFonts w:hint="default" w:ascii="Times New Roman" w:hAnsi="Times New Roman" w:eastAsia="仿宋"/>
          <w:color w:val="auto"/>
          <w:sz w:val="28"/>
          <w:lang w:val="en-US" w:eastAsia="zh-CN"/>
        </w:rPr>
        <w:t>声环境保护工作，按照《声环境功能区划分技术规范》（GB/T 19150-2014）要求，结合</w:t>
      </w:r>
      <w:r>
        <w:rPr>
          <w:rFonts w:hint="eastAsia" w:ascii="Times New Roman" w:hAnsi="Times New Roman" w:eastAsia="仿宋"/>
          <w:color w:val="auto"/>
          <w:sz w:val="28"/>
          <w:lang w:val="en-US" w:eastAsia="zh-CN"/>
        </w:rPr>
        <w:t>花垣县</w:t>
      </w:r>
      <w:r>
        <w:rPr>
          <w:rFonts w:hint="default" w:ascii="Times New Roman" w:hAnsi="Times New Roman" w:eastAsia="仿宋"/>
          <w:color w:val="auto"/>
          <w:sz w:val="28"/>
          <w:lang w:val="en-US" w:eastAsia="zh-CN"/>
        </w:rPr>
        <w:t>城市建设现状和未来发展规划，起草编制了《</w:t>
      </w:r>
      <w:r>
        <w:rPr>
          <w:rFonts w:hint="eastAsia" w:ascii="Times New Roman" w:hAnsi="Times New Roman" w:eastAsia="仿宋"/>
          <w:color w:val="auto"/>
          <w:sz w:val="28"/>
          <w:lang w:val="en-US" w:eastAsia="zh-CN"/>
        </w:rPr>
        <w:t>花垣县</w:t>
      </w:r>
      <w:r>
        <w:rPr>
          <w:rFonts w:hint="default" w:ascii="Times New Roman" w:hAnsi="Times New Roman" w:eastAsia="仿宋"/>
          <w:color w:val="auto"/>
          <w:sz w:val="28"/>
          <w:lang w:val="en-US" w:eastAsia="zh-CN"/>
        </w:rPr>
        <w:t>城市规划区声环境功能区划分技术报告》。</w:t>
      </w:r>
    </w:p>
    <w:p>
      <w:pPr>
        <w:spacing w:line="360" w:lineRule="auto"/>
        <w:ind w:firstLine="560"/>
        <w:rPr>
          <w:rFonts w:hint="default" w:ascii="Times New Roman" w:hAnsi="Times New Roman" w:eastAsia="仿宋"/>
          <w:color w:val="auto"/>
          <w:sz w:val="28"/>
          <w:lang w:val="en-US" w:eastAsia="zh-CN"/>
        </w:rPr>
      </w:pPr>
      <w:r>
        <w:rPr>
          <w:rFonts w:hint="default" w:ascii="Times New Roman" w:hAnsi="Times New Roman" w:eastAsia="仿宋"/>
          <w:color w:val="auto"/>
          <w:sz w:val="28"/>
          <w:lang w:val="en-US" w:eastAsia="zh-CN"/>
        </w:rPr>
        <w:t>《</w:t>
      </w:r>
      <w:r>
        <w:rPr>
          <w:rFonts w:hint="eastAsia" w:ascii="Times New Roman" w:hAnsi="Times New Roman" w:eastAsia="仿宋"/>
          <w:color w:val="auto"/>
          <w:sz w:val="28"/>
          <w:lang w:val="en-US" w:eastAsia="zh-CN"/>
        </w:rPr>
        <w:t>花垣县</w:t>
      </w:r>
      <w:r>
        <w:rPr>
          <w:rFonts w:hint="default" w:ascii="Times New Roman" w:hAnsi="Times New Roman" w:eastAsia="仿宋"/>
          <w:color w:val="auto"/>
          <w:sz w:val="28"/>
          <w:lang w:val="en-US" w:eastAsia="zh-CN"/>
        </w:rPr>
        <w:t>城市规划区声环境功能区划分技术报告》（以下简称《区划》）适用范围为</w:t>
      </w:r>
      <w:r>
        <w:rPr>
          <w:rFonts w:hint="eastAsia" w:ascii="Times New Roman" w:hAnsi="Times New Roman" w:eastAsia="仿宋"/>
          <w:color w:val="auto"/>
          <w:sz w:val="28"/>
          <w:lang w:val="en-US" w:eastAsia="zh-CN"/>
        </w:rPr>
        <w:t>花垣县</w:t>
      </w:r>
      <w:r>
        <w:rPr>
          <w:rFonts w:hint="default" w:ascii="Times New Roman" w:hAnsi="Times New Roman" w:eastAsia="仿宋"/>
          <w:color w:val="auto"/>
          <w:sz w:val="28"/>
          <w:lang w:val="en-US" w:eastAsia="zh-CN"/>
        </w:rPr>
        <w:t>城市建成区及规划区，共计</w:t>
      </w:r>
      <w:r>
        <w:rPr>
          <w:rFonts w:hint="eastAsia" w:ascii="Times New Roman" w:hAnsi="Times New Roman" w:eastAsia="仿宋"/>
          <w:color w:val="auto"/>
          <w:sz w:val="28"/>
          <w:lang w:val="en-US" w:eastAsia="zh-CN"/>
        </w:rPr>
        <w:t>35.85</w:t>
      </w:r>
      <w:r>
        <w:rPr>
          <w:rFonts w:hint="default" w:ascii="Times New Roman" w:hAnsi="Times New Roman" w:eastAsia="仿宋"/>
          <w:color w:val="auto"/>
          <w:sz w:val="28"/>
          <w:lang w:val="en-US" w:eastAsia="zh-CN"/>
        </w:rPr>
        <w:t>平方公里的区域</w:t>
      </w:r>
      <w:r>
        <w:rPr>
          <w:rFonts w:hint="eastAsia" w:ascii="Times New Roman" w:hAnsi="Times New Roman" w:eastAsia="仿宋"/>
          <w:color w:val="auto"/>
          <w:sz w:val="28"/>
          <w:lang w:val="en-US" w:eastAsia="zh-CN"/>
        </w:rPr>
        <w:t>（</w:t>
      </w:r>
      <w:r>
        <w:rPr>
          <w:rFonts w:hint="eastAsia" w:ascii="Times New Roman" w:hAnsi="Times New Roman" w:eastAsia="仿宋" w:cs="Times New Roman"/>
          <w:color w:val="auto"/>
          <w:sz w:val="28"/>
          <w:highlight w:val="none"/>
          <w:lang w:val="en-US" w:eastAsia="zh-CN"/>
        </w:rPr>
        <w:t>包括水体和未规划的山林</w:t>
      </w:r>
      <w:r>
        <w:rPr>
          <w:rFonts w:hint="eastAsia" w:ascii="Times New Roman" w:hAnsi="Times New Roman" w:eastAsia="仿宋"/>
          <w:color w:val="auto"/>
          <w:sz w:val="28"/>
          <w:lang w:val="en-US" w:eastAsia="zh-CN"/>
        </w:rPr>
        <w:t>）</w:t>
      </w:r>
      <w:r>
        <w:rPr>
          <w:rFonts w:hint="default" w:ascii="Times New Roman" w:hAnsi="Times New Roman" w:eastAsia="仿宋"/>
          <w:color w:val="auto"/>
          <w:sz w:val="28"/>
          <w:lang w:val="en-US" w:eastAsia="zh-CN"/>
        </w:rPr>
        <w:t>。作为本地区环境影响评价、建设项目审批、噪声纠纷评判的依据。</w:t>
      </w:r>
    </w:p>
    <w:p>
      <w:pPr>
        <w:spacing w:line="360" w:lineRule="auto"/>
        <w:ind w:firstLine="560"/>
        <w:rPr>
          <w:rFonts w:hint="eastAsia" w:ascii="Times New Roman" w:hAnsi="Times New Roman" w:eastAsia="仿宋"/>
          <w:color w:val="auto"/>
          <w:sz w:val="28"/>
          <w:lang w:val="en-US" w:eastAsia="zh-CN"/>
        </w:rPr>
      </w:pPr>
      <w:r>
        <w:rPr>
          <w:rFonts w:hint="default" w:ascii="Times New Roman" w:hAnsi="Times New Roman" w:eastAsia="仿宋"/>
          <w:color w:val="auto"/>
          <w:sz w:val="28"/>
          <w:lang w:val="en-US" w:eastAsia="zh-CN"/>
        </w:rPr>
        <w:t>本《区划》由</w:t>
      </w:r>
      <w:r>
        <w:rPr>
          <w:rFonts w:hint="default" w:ascii="Times New Roman" w:hAnsi="Times New Roman" w:eastAsia="仿宋"/>
          <w:color w:val="auto"/>
          <w:sz w:val="28"/>
          <w:lang w:eastAsia="zh-CN"/>
        </w:rPr>
        <w:t>湘西自治州生态环境局</w:t>
      </w:r>
      <w:r>
        <w:rPr>
          <w:rFonts w:hint="eastAsia" w:ascii="Times New Roman" w:hAnsi="Times New Roman" w:eastAsia="仿宋"/>
          <w:color w:val="auto"/>
          <w:sz w:val="28"/>
          <w:lang w:val="en-US" w:eastAsia="zh-CN"/>
        </w:rPr>
        <w:t>花垣</w:t>
      </w:r>
      <w:r>
        <w:rPr>
          <w:rFonts w:hint="default" w:ascii="Times New Roman" w:hAnsi="Times New Roman" w:eastAsia="仿宋"/>
          <w:color w:val="auto"/>
          <w:sz w:val="28"/>
          <w:lang w:val="en-US" w:eastAsia="zh-CN"/>
        </w:rPr>
        <w:t>分局组织编制，经</w:t>
      </w:r>
      <w:r>
        <w:rPr>
          <w:rFonts w:hint="eastAsia" w:ascii="Times New Roman" w:hAnsi="Times New Roman" w:eastAsia="仿宋"/>
          <w:color w:val="auto"/>
          <w:sz w:val="28"/>
          <w:lang w:val="en-US" w:eastAsia="zh-CN"/>
        </w:rPr>
        <w:t>花垣县</w:t>
      </w:r>
      <w:r>
        <w:rPr>
          <w:rFonts w:hint="default" w:ascii="Times New Roman" w:hAnsi="Times New Roman" w:eastAsia="仿宋"/>
          <w:color w:val="auto"/>
          <w:sz w:val="28"/>
          <w:lang w:val="en-US" w:eastAsia="zh-CN"/>
        </w:rPr>
        <w:t>人民政府批准实施。</w:t>
      </w:r>
    </w:p>
    <w:p>
      <w:pPr>
        <w:numPr>
          <w:ilvl w:val="0"/>
          <w:numId w:val="1"/>
        </w:numPr>
        <w:spacing w:line="360" w:lineRule="auto"/>
        <w:ind w:firstLine="560"/>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适用范围</w:t>
      </w:r>
    </w:p>
    <w:p>
      <w:pPr>
        <w:spacing w:line="360" w:lineRule="auto"/>
        <w:ind w:firstLine="560"/>
        <w:rPr>
          <w:rFonts w:hint="eastAsia" w:ascii="Times New Roman" w:hAnsi="Times New Roman" w:eastAsia="仿宋"/>
          <w:color w:val="auto"/>
          <w:sz w:val="28"/>
        </w:rPr>
      </w:pPr>
      <w:r>
        <w:rPr>
          <w:rFonts w:hint="eastAsia" w:ascii="Times New Roman" w:hAnsi="Times New Roman" w:eastAsia="仿宋"/>
          <w:color w:val="auto"/>
          <w:sz w:val="28"/>
        </w:rPr>
        <w:t>本次</w:t>
      </w:r>
      <w:r>
        <w:rPr>
          <w:rFonts w:hint="eastAsia" w:ascii="Times New Roman" w:hAnsi="Times New Roman" w:eastAsia="仿宋"/>
          <w:color w:val="auto"/>
          <w:sz w:val="28"/>
          <w:lang w:eastAsia="zh-CN"/>
        </w:rPr>
        <w:t>花垣县</w:t>
      </w:r>
      <w:r>
        <w:rPr>
          <w:rFonts w:hint="eastAsia" w:ascii="Times New Roman" w:hAnsi="Times New Roman" w:eastAsia="仿宋"/>
          <w:color w:val="auto"/>
          <w:sz w:val="28"/>
        </w:rPr>
        <w:t>城市规划区声环境功能区划分</w:t>
      </w:r>
      <w:r>
        <w:rPr>
          <w:rFonts w:hint="eastAsia" w:ascii="Times New Roman" w:hAnsi="Times New Roman" w:eastAsia="仿宋"/>
          <w:color w:val="auto"/>
          <w:sz w:val="28"/>
          <w:lang w:eastAsia="zh-CN"/>
        </w:rPr>
        <w:t>范围</w:t>
      </w:r>
      <w:r>
        <w:rPr>
          <w:rFonts w:hint="eastAsia" w:ascii="Times New Roman" w:hAnsi="Times New Roman" w:eastAsia="仿宋"/>
          <w:color w:val="auto"/>
          <w:sz w:val="28"/>
        </w:rPr>
        <w:t>共计</w:t>
      </w:r>
      <w:r>
        <w:rPr>
          <w:rFonts w:hint="eastAsia" w:ascii="Times New Roman" w:hAnsi="Times New Roman" w:eastAsia="仿宋"/>
          <w:color w:val="auto"/>
          <w:sz w:val="28"/>
          <w:lang w:val="en-US" w:eastAsia="zh-CN"/>
        </w:rPr>
        <w:t>35.85</w:t>
      </w:r>
      <w:r>
        <w:rPr>
          <w:rFonts w:hint="eastAsia" w:ascii="Times New Roman" w:hAnsi="Times New Roman" w:eastAsia="仿宋"/>
          <w:color w:val="auto"/>
          <w:sz w:val="28"/>
        </w:rPr>
        <w:t>平方公里</w:t>
      </w:r>
      <w:r>
        <w:rPr>
          <w:rFonts w:hint="eastAsia" w:ascii="Times New Roman" w:hAnsi="Times New Roman" w:eastAsia="仿宋"/>
          <w:color w:val="auto"/>
          <w:sz w:val="28"/>
          <w:lang w:eastAsia="zh-CN"/>
        </w:rPr>
        <w:t>（</w:t>
      </w:r>
      <w:r>
        <w:rPr>
          <w:rFonts w:hint="eastAsia" w:ascii="Times New Roman" w:hAnsi="Times New Roman" w:eastAsia="仿宋" w:cs="Times New Roman"/>
          <w:color w:val="auto"/>
          <w:sz w:val="28"/>
          <w:highlight w:val="none"/>
          <w:lang w:val="en-US" w:eastAsia="zh-CN"/>
        </w:rPr>
        <w:t>包括水体和未规划的山林</w:t>
      </w:r>
      <w:r>
        <w:rPr>
          <w:rFonts w:hint="eastAsia" w:ascii="Times New Roman" w:hAnsi="Times New Roman" w:eastAsia="仿宋"/>
          <w:color w:val="auto"/>
          <w:sz w:val="28"/>
          <w:lang w:eastAsia="zh-CN"/>
        </w:rPr>
        <w:t>）</w:t>
      </w:r>
      <w:r>
        <w:rPr>
          <w:rFonts w:hint="eastAsia" w:ascii="Times New Roman" w:hAnsi="Times New Roman" w:eastAsia="仿宋"/>
          <w:color w:val="auto"/>
          <w:sz w:val="28"/>
        </w:rPr>
        <w:t>。</w:t>
      </w:r>
    </w:p>
    <w:p>
      <w:pPr>
        <w:numPr>
          <w:ilvl w:val="0"/>
          <w:numId w:val="1"/>
        </w:numPr>
        <w:spacing w:line="360" w:lineRule="auto"/>
        <w:ind w:firstLine="560"/>
        <w:rPr>
          <w:rFonts w:hint="default"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规范性引用文件</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本《区划》通过引用下列法律法规及文件中的条款而形成的条文，当法律法规及文件修订时，应施用其修订之后相对应的条款。</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（一）法律法规</w:t>
      </w:r>
    </w:p>
    <w:p>
      <w:pPr>
        <w:numPr>
          <w:ilvl w:val="0"/>
          <w:numId w:val="0"/>
        </w:numPr>
        <w:spacing w:line="240" w:lineRule="auto"/>
        <w:ind w:firstLine="420" w:firstLineChars="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（1）《中华人民共和国环境保护法》（2015年1月1日起施行）；</w:t>
      </w:r>
    </w:p>
    <w:p>
      <w:pPr>
        <w:spacing w:line="36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（2）《中华人民共和国环境噪声污染防治法》（2018年12月29日修订）。</w:t>
      </w:r>
    </w:p>
    <w:p>
      <w:pPr>
        <w:spacing w:line="360" w:lineRule="auto"/>
        <w:ind w:firstLine="560" w:firstLineChars="200"/>
        <w:rPr>
          <w:rFonts w:hint="default" w:ascii="Times New Roman" w:hAnsi="Times New Roman" w:eastAsia="仿宋"/>
          <w:color w:val="auto"/>
          <w:sz w:val="28"/>
          <w:lang w:val="en-US" w:eastAsia="zh-CN"/>
        </w:rPr>
      </w:pPr>
      <w:r>
        <w:rPr>
          <w:rFonts w:hint="eastAsia" w:ascii="Times New Roman" w:hAnsi="Times New Roman" w:eastAsia="仿宋"/>
          <w:color w:val="auto"/>
          <w:sz w:val="28"/>
          <w:lang w:eastAsia="zh-CN"/>
        </w:rPr>
        <w:t>（</w:t>
      </w:r>
      <w:r>
        <w:rPr>
          <w:rFonts w:hint="eastAsia" w:ascii="Times New Roman" w:hAnsi="Times New Roman" w:eastAsia="仿宋"/>
          <w:color w:val="auto"/>
          <w:sz w:val="28"/>
          <w:lang w:val="en-US" w:eastAsia="zh-CN"/>
        </w:rPr>
        <w:t>二</w:t>
      </w:r>
      <w:r>
        <w:rPr>
          <w:rFonts w:hint="eastAsia" w:ascii="Times New Roman" w:hAnsi="Times New Roman" w:eastAsia="仿宋"/>
          <w:color w:val="auto"/>
          <w:sz w:val="28"/>
          <w:lang w:eastAsia="zh-CN"/>
        </w:rPr>
        <w:t>）</w:t>
      </w:r>
      <w:r>
        <w:rPr>
          <w:rFonts w:hint="eastAsia" w:ascii="Times New Roman" w:hAnsi="Times New Roman" w:eastAsia="仿宋"/>
          <w:color w:val="auto"/>
          <w:sz w:val="28"/>
          <w:lang w:val="en-US" w:eastAsia="zh-CN"/>
        </w:rPr>
        <w:t>相关标准及政策性文件</w:t>
      </w:r>
    </w:p>
    <w:p>
      <w:pPr>
        <w:spacing w:line="360" w:lineRule="auto"/>
        <w:ind w:firstLine="560" w:firstLineChars="200"/>
        <w:rPr>
          <w:rFonts w:ascii="Times New Roman" w:hAnsi="Times New Roman" w:eastAsia="仿宋"/>
          <w:color w:val="auto"/>
          <w:sz w:val="28"/>
        </w:rPr>
      </w:pPr>
      <w:r>
        <w:rPr>
          <w:rFonts w:ascii="Times New Roman" w:hAnsi="Times New Roman" w:eastAsia="仿宋"/>
          <w:color w:val="auto"/>
          <w:sz w:val="28"/>
        </w:rPr>
        <w:t>《声环境功能区划分技术规范》（GB/T15190-2014）；</w:t>
      </w:r>
    </w:p>
    <w:p>
      <w:pPr>
        <w:spacing w:line="360" w:lineRule="auto"/>
        <w:ind w:firstLine="560" w:firstLineChars="200"/>
        <w:rPr>
          <w:rFonts w:ascii="Times New Roman" w:hAnsi="Times New Roman" w:eastAsia="仿宋"/>
          <w:color w:val="auto"/>
          <w:sz w:val="28"/>
        </w:rPr>
      </w:pPr>
      <w:r>
        <w:rPr>
          <w:rFonts w:ascii="Times New Roman" w:hAnsi="Times New Roman" w:eastAsia="仿宋"/>
          <w:color w:val="auto"/>
          <w:sz w:val="28"/>
        </w:rPr>
        <w:t>《声环境质量标准》（GB3096-2008），</w:t>
      </w:r>
      <w:r>
        <w:rPr>
          <w:rFonts w:hint="eastAsia" w:ascii="Times New Roman" w:hAnsi="Times New Roman" w:eastAsia="仿宋"/>
          <w:color w:val="auto"/>
          <w:sz w:val="28"/>
        </w:rPr>
        <w:t>原</w:t>
      </w:r>
      <w:r>
        <w:rPr>
          <w:rFonts w:ascii="Times New Roman" w:hAnsi="Times New Roman" w:eastAsia="仿宋"/>
          <w:color w:val="auto"/>
          <w:sz w:val="28"/>
        </w:rPr>
        <w:t>国家环境保护部2008年10月1日执行；</w:t>
      </w:r>
    </w:p>
    <w:p>
      <w:pPr>
        <w:spacing w:line="360" w:lineRule="auto"/>
        <w:ind w:firstLine="560" w:firstLineChars="200"/>
        <w:jc w:val="left"/>
        <w:rPr>
          <w:rFonts w:ascii="Times New Roman" w:hAnsi="Times New Roman" w:eastAsia="仿宋"/>
          <w:color w:val="auto"/>
          <w:sz w:val="28"/>
        </w:rPr>
      </w:pPr>
      <w:r>
        <w:rPr>
          <w:rFonts w:ascii="Times New Roman" w:hAnsi="Times New Roman" w:eastAsia="仿宋"/>
          <w:color w:val="auto"/>
          <w:sz w:val="28"/>
        </w:rPr>
        <w:t>《环境噪声监测技术规范-城市声环境常规监测》（HJ640-2012）；</w:t>
      </w:r>
    </w:p>
    <w:p>
      <w:pPr>
        <w:spacing w:line="360" w:lineRule="auto"/>
        <w:ind w:firstLine="560" w:firstLineChars="200"/>
        <w:jc w:val="left"/>
        <w:rPr>
          <w:rFonts w:ascii="Times New Roman" w:hAnsi="Times New Roman" w:eastAsia="仿宋"/>
          <w:color w:val="auto"/>
          <w:sz w:val="28"/>
        </w:rPr>
      </w:pPr>
      <w:r>
        <w:rPr>
          <w:rFonts w:ascii="Times New Roman" w:hAnsi="Times New Roman" w:eastAsia="仿宋"/>
          <w:color w:val="auto"/>
          <w:sz w:val="28"/>
        </w:rPr>
        <w:t>《城市用地分类与规划建设用地标准》（GB50137-2011），</w:t>
      </w:r>
      <w:r>
        <w:rPr>
          <w:rFonts w:hint="eastAsia" w:ascii="Times New Roman" w:hAnsi="Times New Roman" w:eastAsia="仿宋"/>
          <w:color w:val="auto"/>
          <w:sz w:val="28"/>
        </w:rPr>
        <w:t>原</w:t>
      </w:r>
      <w:r>
        <w:rPr>
          <w:rFonts w:ascii="Times New Roman" w:hAnsi="Times New Roman" w:eastAsia="仿宋"/>
          <w:color w:val="auto"/>
          <w:sz w:val="28"/>
        </w:rPr>
        <w:t>住房和城乡建设部，2012年1月1日正式施行；</w:t>
      </w:r>
    </w:p>
    <w:p>
      <w:pPr>
        <w:spacing w:line="360" w:lineRule="auto"/>
        <w:ind w:firstLine="560" w:firstLineChars="200"/>
        <w:jc w:val="left"/>
        <w:rPr>
          <w:rFonts w:ascii="Times New Roman" w:hAnsi="Times New Roman" w:eastAsia="仿宋"/>
          <w:color w:val="auto"/>
          <w:sz w:val="28"/>
        </w:rPr>
      </w:pPr>
      <w:r>
        <w:rPr>
          <w:rFonts w:ascii="Times New Roman" w:hAnsi="Times New Roman" w:eastAsia="仿宋"/>
          <w:color w:val="auto"/>
          <w:sz w:val="28"/>
        </w:rPr>
        <w:t>《工业企业厂界环境噪声排放标准》（GB12348-2008）；</w:t>
      </w:r>
    </w:p>
    <w:p>
      <w:pPr>
        <w:spacing w:line="360" w:lineRule="auto"/>
        <w:ind w:firstLine="560" w:firstLineChars="200"/>
        <w:jc w:val="left"/>
        <w:rPr>
          <w:rFonts w:ascii="Times New Roman" w:hAnsi="Times New Roman" w:eastAsia="仿宋"/>
          <w:color w:val="auto"/>
          <w:sz w:val="28"/>
        </w:rPr>
      </w:pPr>
      <w:r>
        <w:rPr>
          <w:rFonts w:ascii="Times New Roman" w:hAnsi="Times New Roman" w:eastAsia="仿宋"/>
          <w:color w:val="auto"/>
          <w:sz w:val="28"/>
        </w:rPr>
        <w:t>《社会生活环境噪声排放标准》（GB22337-2008）；</w:t>
      </w:r>
    </w:p>
    <w:p>
      <w:pPr>
        <w:spacing w:line="360" w:lineRule="auto"/>
        <w:ind w:firstLine="560" w:firstLineChars="200"/>
        <w:rPr>
          <w:rFonts w:hint="eastAsia" w:ascii="Times New Roman" w:hAnsi="Times New Roman" w:eastAsia="仿宋"/>
          <w:color w:val="auto"/>
          <w:sz w:val="28"/>
          <w:lang w:eastAsia="zh-CN"/>
        </w:rPr>
      </w:pPr>
      <w:r>
        <w:rPr>
          <w:rFonts w:ascii="Times New Roman" w:hAnsi="Times New Roman" w:eastAsia="仿宋"/>
          <w:color w:val="auto"/>
          <w:sz w:val="28"/>
        </w:rPr>
        <w:t>《建筑施工场界环境噪声排放标准》（GB12523-2011）</w:t>
      </w:r>
      <w:r>
        <w:rPr>
          <w:rFonts w:hint="eastAsia" w:ascii="Times New Roman" w:hAnsi="Times New Roman" w:eastAsia="仿宋"/>
          <w:color w:val="auto"/>
          <w:sz w:val="28"/>
          <w:lang w:eastAsia="zh-CN"/>
        </w:rPr>
        <w:t>；</w:t>
      </w:r>
    </w:p>
    <w:p>
      <w:pPr>
        <w:spacing w:line="360" w:lineRule="auto"/>
        <w:ind w:firstLine="560" w:firstLineChars="200"/>
        <w:rPr>
          <w:rFonts w:ascii="Times New Roman" w:hAnsi="Times New Roman" w:eastAsia="仿宋"/>
          <w:color w:val="auto"/>
          <w:sz w:val="28"/>
        </w:rPr>
      </w:pPr>
      <w:r>
        <w:rPr>
          <w:rFonts w:ascii="Times New Roman" w:hAnsi="Times New Roman" w:eastAsia="仿宋"/>
          <w:color w:val="auto"/>
          <w:sz w:val="28"/>
        </w:rPr>
        <w:t>《铁路边界噪声限值及其测量方法》（GB12525-90）；</w:t>
      </w:r>
    </w:p>
    <w:p>
      <w:pPr>
        <w:spacing w:line="360" w:lineRule="auto"/>
        <w:ind w:firstLine="560" w:firstLineChars="200"/>
        <w:rPr>
          <w:rFonts w:hint="eastAsia" w:ascii="Times New Roman" w:hAnsi="Times New Roman" w:eastAsia="仿宋"/>
          <w:color w:val="auto"/>
          <w:sz w:val="28"/>
        </w:rPr>
      </w:pPr>
      <w:r>
        <w:rPr>
          <w:rFonts w:hint="eastAsia" w:ascii="Times New Roman" w:hAnsi="Times New Roman" w:eastAsia="仿宋"/>
          <w:color w:val="auto"/>
          <w:sz w:val="28"/>
        </w:rPr>
        <w:t>《</w:t>
      </w:r>
      <w:r>
        <w:rPr>
          <w:rFonts w:hint="eastAsia" w:ascii="Times New Roman" w:hAnsi="Times New Roman" w:eastAsia="仿宋"/>
          <w:color w:val="auto"/>
          <w:sz w:val="28"/>
          <w:lang w:eastAsia="zh-CN"/>
        </w:rPr>
        <w:t>花垣县县</w:t>
      </w:r>
      <w:r>
        <w:rPr>
          <w:rFonts w:hint="eastAsia" w:ascii="Times New Roman" w:hAnsi="Times New Roman" w:eastAsia="仿宋"/>
          <w:color w:val="auto"/>
          <w:sz w:val="28"/>
        </w:rPr>
        <w:t>城总体规划（</w:t>
      </w:r>
      <w:r>
        <w:rPr>
          <w:rFonts w:hint="eastAsia" w:ascii="Times New Roman" w:hAnsi="Times New Roman" w:eastAsia="仿宋"/>
          <w:color w:val="auto"/>
          <w:sz w:val="28"/>
          <w:lang w:eastAsia="zh-CN"/>
        </w:rPr>
        <w:t>2010-2030</w:t>
      </w:r>
      <w:r>
        <w:rPr>
          <w:rFonts w:hint="eastAsia" w:ascii="Times New Roman" w:hAnsi="Times New Roman" w:eastAsia="仿宋"/>
          <w:color w:val="auto"/>
          <w:sz w:val="28"/>
        </w:rPr>
        <w:t>年）》</w:t>
      </w:r>
      <w:r>
        <w:rPr>
          <w:rFonts w:ascii="Times New Roman" w:hAnsi="Times New Roman" w:eastAsia="仿宋"/>
          <w:color w:val="auto"/>
          <w:sz w:val="28"/>
        </w:rPr>
        <w:t>；</w:t>
      </w:r>
    </w:p>
    <w:p>
      <w:pPr>
        <w:numPr>
          <w:ilvl w:val="0"/>
          <w:numId w:val="0"/>
        </w:numPr>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《关于加强环境噪声污染防治工作改善城乡声环境质量的指导意见》（环发〔2010〕144号）；</w:t>
      </w:r>
    </w:p>
    <w:p>
      <w:pPr>
        <w:numPr>
          <w:ilvl w:val="0"/>
          <w:numId w:val="0"/>
        </w:numPr>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《关于加强和规范声环境功能区划分管理工作的通知》（环办大气函〔2017〕1709号）；</w:t>
      </w:r>
    </w:p>
    <w:p>
      <w:pPr>
        <w:numPr>
          <w:ilvl w:val="0"/>
          <w:numId w:val="1"/>
        </w:numPr>
        <w:spacing w:line="360" w:lineRule="auto"/>
        <w:ind w:firstLine="560"/>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执行标准</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各类声环境功能区执行的环境噪声等级声级标准限值如下：</w:t>
      </w:r>
    </w:p>
    <w:p>
      <w:pPr>
        <w:numPr>
          <w:ilvl w:val="0"/>
          <w:numId w:val="0"/>
        </w:numPr>
        <w:spacing w:line="360" w:lineRule="auto"/>
        <w:jc w:val="center"/>
        <w:rPr>
          <w:rFonts w:hint="eastAsia" w:ascii="Times New Roman" w:hAnsi="Times New Roman" w:eastAsia="仿宋"/>
          <w:b/>
          <w:bCs/>
          <w:color w:val="auto"/>
          <w:sz w:val="28"/>
          <w:lang w:val="en-US" w:eastAsia="zh-CN"/>
        </w:rPr>
      </w:pPr>
    </w:p>
    <w:p>
      <w:pPr>
        <w:pStyle w:val="2"/>
        <w:ind w:left="0" w:leftChars="0" w:firstLine="0" w:firstLineChars="0"/>
        <w:rPr>
          <w:rFonts w:hint="eastAsia" w:ascii="Times New Roman" w:hAnsi="Times New Roman" w:eastAsia="仿宋"/>
          <w:b/>
          <w:bCs/>
          <w:color w:val="auto"/>
          <w:sz w:val="28"/>
          <w:lang w:val="en-US" w:eastAsia="zh-CN"/>
        </w:rPr>
      </w:pPr>
    </w:p>
    <w:p>
      <w:pPr>
        <w:numPr>
          <w:ilvl w:val="0"/>
          <w:numId w:val="0"/>
        </w:numPr>
        <w:spacing w:line="360" w:lineRule="auto"/>
        <w:jc w:val="center"/>
        <w:rPr>
          <w:rFonts w:hint="eastAsia" w:ascii="Times New Roman" w:hAnsi="Times New Roman" w:eastAsia="仿宋"/>
          <w:b/>
          <w:bCs/>
          <w:color w:val="auto"/>
          <w:sz w:val="28"/>
          <w:lang w:val="en-US" w:eastAsia="zh-CN"/>
        </w:rPr>
      </w:pPr>
    </w:p>
    <w:p>
      <w:pPr>
        <w:numPr>
          <w:ilvl w:val="0"/>
          <w:numId w:val="0"/>
        </w:numPr>
        <w:spacing w:line="360" w:lineRule="auto"/>
        <w:jc w:val="center"/>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 xml:space="preserve">表1  环境噪声限值       </w:t>
      </w:r>
    </w:p>
    <w:p>
      <w:pPr>
        <w:numPr>
          <w:ilvl w:val="0"/>
          <w:numId w:val="0"/>
        </w:numPr>
        <w:spacing w:line="360" w:lineRule="auto"/>
        <w:jc w:val="center"/>
        <w:rPr>
          <w:rFonts w:hint="default" w:ascii="Times New Roman" w:hAnsi="Times New Roman" w:eastAsia="仿宋"/>
          <w:b w:val="0"/>
          <w:bCs w:val="0"/>
          <w:color w:val="auto"/>
          <w:sz w:val="24"/>
          <w:szCs w:val="24"/>
          <w:lang w:val="en-US" w:eastAsia="zh-CN"/>
        </w:rPr>
      </w:pPr>
      <w:r>
        <w:rPr>
          <w:rFonts w:hint="eastAsia" w:ascii="Times New Roman" w:hAnsi="Times New Roman" w:eastAsia="仿宋"/>
          <w:b w:val="0"/>
          <w:bCs w:val="0"/>
          <w:color w:val="auto"/>
          <w:sz w:val="24"/>
          <w:szCs w:val="24"/>
          <w:lang w:val="en-US" w:eastAsia="zh-CN"/>
        </w:rPr>
        <w:t xml:space="preserve">                                             单位：dB（A）</w:t>
      </w:r>
    </w:p>
    <w:tbl>
      <w:tblPr>
        <w:tblStyle w:val="10"/>
        <w:tblW w:w="83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8"/>
        <w:gridCol w:w="2228"/>
        <w:gridCol w:w="2022"/>
        <w:gridCol w:w="1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4456" w:type="dxa"/>
            <w:gridSpan w:val="2"/>
            <w:vMerge w:val="restart"/>
            <w:vAlign w:val="center"/>
          </w:tcPr>
          <w:p>
            <w:pPr>
              <w:pStyle w:val="5"/>
              <w:adjustRightInd w:val="0"/>
              <w:snapToGrid w:val="0"/>
              <w:ind w:firstLine="0" w:firstLineChars="0"/>
              <w:jc w:val="center"/>
              <w:rPr>
                <w:rFonts w:ascii="Times New Roman" w:hAnsi="Times New Roman" w:eastAsia="仿宋"/>
                <w:b/>
                <w:color w:val="auto"/>
                <w:szCs w:val="21"/>
              </w:rPr>
            </w:pPr>
            <w:r>
              <w:rPr>
                <w:rFonts w:ascii="Times New Roman" w:hAnsi="Times New Roman" w:eastAsia="仿宋"/>
                <w:b/>
                <w:color w:val="auto"/>
                <w:szCs w:val="21"/>
              </w:rPr>
              <w:t>声环境功能区类别</w:t>
            </w:r>
          </w:p>
        </w:tc>
        <w:tc>
          <w:tcPr>
            <w:tcW w:w="3904" w:type="dxa"/>
            <w:gridSpan w:val="2"/>
            <w:vAlign w:val="center"/>
          </w:tcPr>
          <w:p>
            <w:pPr>
              <w:pStyle w:val="5"/>
              <w:adjustRightInd w:val="0"/>
              <w:snapToGrid w:val="0"/>
              <w:ind w:firstLine="0" w:firstLineChars="0"/>
              <w:jc w:val="center"/>
              <w:rPr>
                <w:rFonts w:ascii="Times New Roman" w:hAnsi="Times New Roman" w:eastAsia="仿宋"/>
                <w:b/>
                <w:color w:val="auto"/>
                <w:szCs w:val="21"/>
              </w:rPr>
            </w:pPr>
            <w:r>
              <w:rPr>
                <w:rFonts w:ascii="Times New Roman" w:hAnsi="Times New Roman" w:eastAsia="仿宋"/>
                <w:b/>
                <w:color w:val="auto"/>
                <w:szCs w:val="21"/>
              </w:rPr>
              <w:t>时段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4456" w:type="dxa"/>
            <w:gridSpan w:val="2"/>
            <w:vMerge w:val="continue"/>
            <w:vAlign w:val="center"/>
          </w:tcPr>
          <w:p>
            <w:pPr>
              <w:pStyle w:val="5"/>
              <w:adjustRightInd w:val="0"/>
              <w:snapToGrid w:val="0"/>
              <w:ind w:firstLine="0" w:firstLineChars="0"/>
              <w:jc w:val="center"/>
              <w:rPr>
                <w:rFonts w:ascii="Times New Roman" w:hAnsi="Times New Roman" w:eastAsia="仿宋"/>
                <w:b/>
                <w:color w:val="auto"/>
                <w:szCs w:val="21"/>
              </w:rPr>
            </w:pPr>
          </w:p>
        </w:tc>
        <w:tc>
          <w:tcPr>
            <w:tcW w:w="2022" w:type="dxa"/>
            <w:vAlign w:val="center"/>
          </w:tcPr>
          <w:p>
            <w:pPr>
              <w:pStyle w:val="5"/>
              <w:adjustRightInd w:val="0"/>
              <w:snapToGrid w:val="0"/>
              <w:ind w:firstLine="0" w:firstLineChars="0"/>
              <w:jc w:val="center"/>
              <w:rPr>
                <w:rFonts w:ascii="Times New Roman" w:hAnsi="Times New Roman" w:eastAsia="仿宋"/>
                <w:b/>
                <w:color w:val="auto"/>
                <w:szCs w:val="21"/>
              </w:rPr>
            </w:pPr>
            <w:r>
              <w:rPr>
                <w:rFonts w:ascii="Times New Roman" w:hAnsi="Times New Roman" w:eastAsia="仿宋"/>
                <w:b/>
                <w:color w:val="auto"/>
                <w:szCs w:val="21"/>
              </w:rPr>
              <w:t>昼间</w:t>
            </w:r>
          </w:p>
        </w:tc>
        <w:tc>
          <w:tcPr>
            <w:tcW w:w="1882" w:type="dxa"/>
            <w:vAlign w:val="center"/>
          </w:tcPr>
          <w:p>
            <w:pPr>
              <w:pStyle w:val="5"/>
              <w:adjustRightInd w:val="0"/>
              <w:snapToGrid w:val="0"/>
              <w:ind w:firstLine="0" w:firstLineChars="0"/>
              <w:jc w:val="center"/>
              <w:rPr>
                <w:rFonts w:ascii="Times New Roman" w:hAnsi="Times New Roman" w:eastAsia="仿宋"/>
                <w:b/>
                <w:color w:val="auto"/>
                <w:szCs w:val="21"/>
              </w:rPr>
            </w:pPr>
            <w:r>
              <w:rPr>
                <w:rFonts w:ascii="Times New Roman" w:hAnsi="Times New Roman" w:eastAsia="仿宋"/>
                <w:b/>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4456" w:type="dxa"/>
            <w:gridSpan w:val="2"/>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0类</w:t>
            </w:r>
          </w:p>
        </w:tc>
        <w:tc>
          <w:tcPr>
            <w:tcW w:w="202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50</w:t>
            </w:r>
          </w:p>
        </w:tc>
        <w:tc>
          <w:tcPr>
            <w:tcW w:w="188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4456" w:type="dxa"/>
            <w:gridSpan w:val="2"/>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1类</w:t>
            </w:r>
          </w:p>
        </w:tc>
        <w:tc>
          <w:tcPr>
            <w:tcW w:w="202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55</w:t>
            </w:r>
          </w:p>
        </w:tc>
        <w:tc>
          <w:tcPr>
            <w:tcW w:w="188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4456" w:type="dxa"/>
            <w:gridSpan w:val="2"/>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2类</w:t>
            </w:r>
          </w:p>
        </w:tc>
        <w:tc>
          <w:tcPr>
            <w:tcW w:w="202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60</w:t>
            </w:r>
          </w:p>
        </w:tc>
        <w:tc>
          <w:tcPr>
            <w:tcW w:w="188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4456" w:type="dxa"/>
            <w:gridSpan w:val="2"/>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3类</w:t>
            </w:r>
          </w:p>
        </w:tc>
        <w:tc>
          <w:tcPr>
            <w:tcW w:w="202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65</w:t>
            </w:r>
          </w:p>
        </w:tc>
        <w:tc>
          <w:tcPr>
            <w:tcW w:w="188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2228" w:type="dxa"/>
            <w:vMerge w:val="restart"/>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4类</w:t>
            </w:r>
          </w:p>
        </w:tc>
        <w:tc>
          <w:tcPr>
            <w:tcW w:w="2228"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4a类</w:t>
            </w:r>
          </w:p>
        </w:tc>
        <w:tc>
          <w:tcPr>
            <w:tcW w:w="202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70</w:t>
            </w:r>
          </w:p>
        </w:tc>
        <w:tc>
          <w:tcPr>
            <w:tcW w:w="188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2228" w:type="dxa"/>
            <w:vMerge w:val="continue"/>
            <w:vAlign w:val="center"/>
          </w:tcPr>
          <w:p>
            <w:pPr>
              <w:pStyle w:val="5"/>
              <w:adjustRightInd w:val="0"/>
              <w:snapToGrid w:val="0"/>
              <w:ind w:firstLine="0" w:firstLineChars="0"/>
              <w:jc w:val="center"/>
              <w:rPr>
                <w:rFonts w:ascii="Times New Roman" w:hAnsi="Times New Roman" w:eastAsia="仿宋"/>
                <w:color w:val="auto"/>
                <w:szCs w:val="21"/>
              </w:rPr>
            </w:pPr>
          </w:p>
        </w:tc>
        <w:tc>
          <w:tcPr>
            <w:tcW w:w="2228"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4b类</w:t>
            </w:r>
          </w:p>
        </w:tc>
        <w:tc>
          <w:tcPr>
            <w:tcW w:w="202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70</w:t>
            </w:r>
          </w:p>
        </w:tc>
        <w:tc>
          <w:tcPr>
            <w:tcW w:w="1882" w:type="dxa"/>
            <w:vAlign w:val="center"/>
          </w:tcPr>
          <w:p>
            <w:pPr>
              <w:pStyle w:val="5"/>
              <w:adjustRightInd w:val="0"/>
              <w:snapToGrid w:val="0"/>
              <w:ind w:firstLine="0" w:firstLineChars="0"/>
              <w:jc w:val="center"/>
              <w:rPr>
                <w:rFonts w:ascii="Times New Roman" w:hAnsi="Times New Roman" w:eastAsia="仿宋"/>
                <w:color w:val="auto"/>
                <w:szCs w:val="21"/>
              </w:rPr>
            </w:pPr>
            <w:r>
              <w:rPr>
                <w:rFonts w:ascii="Times New Roman" w:hAnsi="Times New Roman" w:eastAsia="仿宋"/>
                <w:color w:val="auto"/>
                <w:szCs w:val="21"/>
              </w:rPr>
              <w:t>60</w:t>
            </w:r>
          </w:p>
        </w:tc>
      </w:tr>
    </w:tbl>
    <w:p>
      <w:pPr>
        <w:spacing w:line="360" w:lineRule="auto"/>
        <w:ind w:firstLine="360" w:firstLineChars="200"/>
        <w:rPr>
          <w:rFonts w:hint="eastAsia" w:ascii="Times New Roman" w:hAnsi="Times New Roman" w:eastAsia="仿宋"/>
          <w:color w:val="auto"/>
          <w:sz w:val="18"/>
          <w:szCs w:val="18"/>
          <w:lang w:val="en-US" w:eastAsia="zh-CN"/>
        </w:rPr>
      </w:pPr>
      <w:r>
        <w:rPr>
          <w:rFonts w:hint="eastAsia" w:ascii="Times New Roman" w:hAnsi="Times New Roman" w:eastAsia="仿宋"/>
          <w:color w:val="auto"/>
          <w:sz w:val="18"/>
          <w:szCs w:val="18"/>
          <w:lang w:val="en-US" w:eastAsia="zh-CN"/>
        </w:rPr>
        <w:t>备注：根据《中华人民共和国环境噪声污染防治法》，“昼间”是指6:00至22:00之间的时段，“夜间”是指22:00至次日6：00之间的时段。</w:t>
      </w:r>
    </w:p>
    <w:p>
      <w:pPr>
        <w:pStyle w:val="2"/>
        <w:rPr>
          <w:rFonts w:hint="default"/>
          <w:color w:val="auto"/>
          <w:lang w:val="en-US" w:eastAsia="zh-CN"/>
        </w:rPr>
      </w:pPr>
    </w:p>
    <w:p>
      <w:pPr>
        <w:numPr>
          <w:ilvl w:val="0"/>
          <w:numId w:val="1"/>
        </w:numPr>
        <w:spacing w:line="360" w:lineRule="auto"/>
        <w:ind w:firstLine="560"/>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划分原则</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1、</w:t>
      </w:r>
      <w:r>
        <w:rPr>
          <w:rFonts w:hint="default" w:ascii="Times New Roman" w:hAnsi="Times New Roman" w:eastAsia="仿宋"/>
          <w:color w:val="auto"/>
          <w:sz w:val="28"/>
          <w:lang w:val="en-US" w:eastAsia="zh-CN"/>
        </w:rPr>
        <w:t>以人为本。</w:t>
      </w:r>
      <w:r>
        <w:rPr>
          <w:rFonts w:hint="eastAsia" w:ascii="Times New Roman" w:hAnsi="Times New Roman" w:eastAsia="仿宋"/>
          <w:color w:val="auto"/>
          <w:sz w:val="28"/>
          <w:lang w:val="en-US" w:eastAsia="zh-CN"/>
        </w:rPr>
        <w:t>通过声环境功能区划分，</w:t>
      </w:r>
      <w:r>
        <w:rPr>
          <w:rFonts w:hint="default" w:ascii="Times New Roman" w:hAnsi="Times New Roman" w:eastAsia="仿宋"/>
          <w:color w:val="auto"/>
          <w:sz w:val="28"/>
          <w:lang w:val="en-US" w:eastAsia="zh-CN"/>
        </w:rPr>
        <w:t>控制噪声污染，提高</w:t>
      </w:r>
      <w:r>
        <w:rPr>
          <w:rFonts w:hint="eastAsia" w:ascii="Times New Roman" w:hAnsi="Times New Roman" w:eastAsia="仿宋"/>
          <w:color w:val="auto"/>
          <w:sz w:val="28"/>
          <w:lang w:val="en-US" w:eastAsia="zh-CN"/>
        </w:rPr>
        <w:t>城市</w:t>
      </w:r>
      <w:r>
        <w:rPr>
          <w:rFonts w:hint="default" w:ascii="Times New Roman" w:hAnsi="Times New Roman" w:eastAsia="仿宋"/>
          <w:color w:val="auto"/>
          <w:sz w:val="28"/>
          <w:lang w:val="en-US" w:eastAsia="zh-CN"/>
        </w:rPr>
        <w:t>声环境质量，保障城市居民正常生活、学习和工作场所的安静。</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2、实事求是</w:t>
      </w:r>
      <w:r>
        <w:rPr>
          <w:rFonts w:hint="default" w:ascii="Times New Roman" w:hAnsi="Times New Roman" w:eastAsia="仿宋"/>
          <w:color w:val="auto"/>
          <w:sz w:val="28"/>
          <w:lang w:val="en-US" w:eastAsia="zh-CN"/>
        </w:rPr>
        <w:t>。从</w:t>
      </w:r>
      <w:r>
        <w:rPr>
          <w:rFonts w:hint="eastAsia" w:ascii="Times New Roman" w:hAnsi="Times New Roman" w:eastAsia="仿宋"/>
          <w:color w:val="auto"/>
          <w:sz w:val="28"/>
          <w:lang w:val="en-US" w:eastAsia="zh-CN"/>
        </w:rPr>
        <w:t>花垣县</w:t>
      </w:r>
      <w:r>
        <w:rPr>
          <w:rFonts w:hint="default" w:ascii="Times New Roman" w:hAnsi="Times New Roman" w:eastAsia="仿宋"/>
          <w:color w:val="auto"/>
          <w:sz w:val="28"/>
          <w:lang w:val="en-US" w:eastAsia="zh-CN"/>
        </w:rPr>
        <w:t>目前声环境现状出发，以城市规划为指导，按区域规划用地的主导功能、用地现状</w:t>
      </w:r>
      <w:r>
        <w:rPr>
          <w:rFonts w:hint="eastAsia" w:ascii="Times New Roman" w:hAnsi="Times New Roman" w:eastAsia="仿宋"/>
          <w:color w:val="auto"/>
          <w:sz w:val="28"/>
          <w:lang w:val="en-US" w:eastAsia="zh-CN"/>
        </w:rPr>
        <w:t>进行</w:t>
      </w:r>
      <w:r>
        <w:rPr>
          <w:rFonts w:hint="default" w:ascii="Times New Roman" w:hAnsi="Times New Roman" w:eastAsia="仿宋"/>
          <w:color w:val="auto"/>
          <w:sz w:val="28"/>
          <w:lang w:val="en-US" w:eastAsia="zh-CN"/>
        </w:rPr>
        <w:t>区划。</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3、科学划分</w:t>
      </w:r>
      <w:r>
        <w:rPr>
          <w:rFonts w:hint="default" w:ascii="Times New Roman" w:hAnsi="Times New Roman" w:eastAsia="仿宋"/>
          <w:color w:val="auto"/>
          <w:sz w:val="28"/>
          <w:lang w:val="en-US" w:eastAsia="zh-CN"/>
        </w:rPr>
        <w:t>。</w:t>
      </w:r>
      <w:r>
        <w:rPr>
          <w:rFonts w:hint="eastAsia" w:ascii="Times New Roman" w:hAnsi="Times New Roman" w:eastAsia="仿宋"/>
          <w:color w:val="auto"/>
          <w:sz w:val="28"/>
          <w:lang w:val="en-US" w:eastAsia="zh-CN"/>
        </w:rPr>
        <w:t>充分考虑</w:t>
      </w:r>
      <w:r>
        <w:rPr>
          <w:rFonts w:hint="default" w:ascii="Times New Roman" w:hAnsi="Times New Roman" w:eastAsia="仿宋"/>
          <w:color w:val="auto"/>
          <w:sz w:val="28"/>
          <w:lang w:val="en-US" w:eastAsia="zh-CN"/>
        </w:rPr>
        <w:t>城市行政区划及自然地貌，做到区划科学合理，促进</w:t>
      </w:r>
      <w:r>
        <w:rPr>
          <w:rFonts w:hint="eastAsia" w:ascii="Times New Roman" w:hAnsi="Times New Roman" w:eastAsia="仿宋"/>
          <w:color w:val="auto"/>
          <w:sz w:val="28"/>
          <w:lang w:val="en-US" w:eastAsia="zh-CN"/>
        </w:rPr>
        <w:t>经济社会和环境保护协调</w:t>
      </w:r>
      <w:r>
        <w:rPr>
          <w:rFonts w:hint="default" w:ascii="Times New Roman" w:hAnsi="Times New Roman" w:eastAsia="仿宋"/>
          <w:color w:val="auto"/>
          <w:sz w:val="28"/>
          <w:lang w:val="en-US" w:eastAsia="zh-CN"/>
        </w:rPr>
        <w:t>发展。</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4、留有余地。</w:t>
      </w:r>
      <w:r>
        <w:rPr>
          <w:rFonts w:hint="default" w:ascii="Times New Roman" w:hAnsi="Times New Roman" w:eastAsia="仿宋"/>
          <w:color w:val="auto"/>
          <w:sz w:val="28"/>
          <w:lang w:val="en-US" w:eastAsia="zh-CN"/>
        </w:rPr>
        <w:t>以宏观控制为主，宜粗不宜细，宜大不宜小，宜连不宜断。</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5、区分特例</w:t>
      </w:r>
      <w:r>
        <w:rPr>
          <w:rFonts w:hint="default" w:ascii="Times New Roman" w:hAnsi="Times New Roman" w:eastAsia="仿宋"/>
          <w:color w:val="auto"/>
          <w:sz w:val="28"/>
          <w:lang w:val="en-US" w:eastAsia="zh-CN"/>
        </w:rPr>
        <w:t>。大区划分、小区管理。一般不在低噪声环境功能区内再划定高噪声环境功能区，市内交通干线道路作为特殊高噪声区段考虑。</w:t>
      </w:r>
    </w:p>
    <w:p>
      <w:pPr>
        <w:pStyle w:val="2"/>
        <w:rPr>
          <w:rFonts w:hint="default" w:ascii="Times New Roman" w:hAnsi="Times New Roman" w:eastAsia="仿宋"/>
          <w:color w:val="auto"/>
          <w:sz w:val="28"/>
          <w:lang w:val="en-US" w:eastAsia="zh-CN"/>
        </w:rPr>
      </w:pPr>
    </w:p>
    <w:p>
      <w:pPr>
        <w:pStyle w:val="2"/>
        <w:rPr>
          <w:rFonts w:hint="default" w:ascii="Times New Roman" w:hAnsi="Times New Roman" w:eastAsia="仿宋"/>
          <w:color w:val="auto"/>
          <w:sz w:val="28"/>
          <w:lang w:val="en-US" w:eastAsia="zh-CN"/>
        </w:rPr>
      </w:pPr>
    </w:p>
    <w:p>
      <w:pPr>
        <w:numPr>
          <w:ilvl w:val="0"/>
          <w:numId w:val="1"/>
        </w:numPr>
        <w:spacing w:line="360" w:lineRule="auto"/>
        <w:ind w:firstLine="560"/>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声环境功能区定义及划分</w:t>
      </w:r>
    </w:p>
    <w:p>
      <w:pPr>
        <w:numPr>
          <w:ilvl w:val="0"/>
          <w:numId w:val="2"/>
        </w:numPr>
        <w:spacing w:line="360" w:lineRule="auto"/>
        <w:ind w:firstLine="562" w:firstLineChars="200"/>
        <w:rPr>
          <w:rFonts w:hint="eastAsia" w:ascii="Times New Roman" w:hAnsi="Times New Roman" w:eastAsia="仿宋"/>
          <w:b/>
          <w:bCs/>
          <w:color w:val="auto"/>
          <w:sz w:val="28"/>
          <w:szCs w:val="28"/>
          <w:lang w:val="en-US" w:eastAsia="zh-CN"/>
        </w:rPr>
      </w:pPr>
      <w:r>
        <w:rPr>
          <w:rFonts w:hint="eastAsia" w:ascii="Times New Roman" w:hAnsi="Times New Roman" w:eastAsia="仿宋"/>
          <w:b/>
          <w:bCs/>
          <w:color w:val="auto"/>
          <w:sz w:val="28"/>
          <w:szCs w:val="28"/>
          <w:lang w:val="en-US" w:eastAsia="zh-CN"/>
        </w:rPr>
        <w:t>声环境功能区定义</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0类声环境功能区：指康复疗养区等特别需要安静的区域。</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1类声环境功能区：指以居民住宅、药疗卫生、文化教育、科研设计、行政办公位主要功能，需要保持安静的区域。</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2类声环境功能区：指以商业金融、集市贸易为主要功能，或者居住、商业、工业混杂，需要维护住宅安静的区域。</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3类声环境功能区：指以工业生产、仓储物流为主要功能，需要防止工业噪声对周围环境产生严重影响的区域。</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4类声环境功能区：指交通干线两侧一定距离之内，需要防止交通噪声对周围环境产生严重影响的区域，包括4a类和4b类两种类型。4a为高速公路、一级公路、二级公路、城市快速路、城市主干道、城市次干道、城市轨道交通（地面段）、内河航道两侧区域；4b为铁路干线两侧区域。</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b/>
          <w:bCs/>
          <w:color w:val="auto"/>
          <w:sz w:val="28"/>
          <w:szCs w:val="28"/>
          <w:lang w:val="en-US" w:eastAsia="zh-CN"/>
        </w:rPr>
        <w:t>（二）声环境功能区划分</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1、本《区划》暂不划定0类声环境功能区。本《区划》生效至下次修订前设置的康复疗养区特别需要安静的区域按《声环境质量标准》（GB3096-2008）的要求执行。</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2、本《区划》范围为花垣县城市规划区，不涉及乡村区域。根据《声环境质量标准》（GB3096-2008）的相关规定；乡村区域一般不划分声环境功能区，根据环境管理的需求，县级以上人民政府生态环境主管部门可按以下要求确定乡村区域适用的声环境质量要求。</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（1）位于乡村的康复疗养区执行0类声环境功能区要求；</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（2）村庄原则上执行1类声环境功能区要求，工业活动较多的村庄以及有交通干线经过的村庄（指执行4类声环境功能区要求以外的地区）可局部或全部执行2类声环境功能区要求；</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（3）集镇执行2类声环境功能区要求；</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（4）独立于村庄、集镇以外的工业、仓储集中执行3类声环境功能区要求；</w:t>
      </w:r>
    </w:p>
    <w:p>
      <w:p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（5）位于交通干线两侧一定距离（参考GB/T15190-2014第8.3条规定）内的噪声敏感建筑物执行4类声环境功能区要求。</w:t>
      </w:r>
    </w:p>
    <w:p>
      <w:p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3、4类声环境功能区的划分</w:t>
      </w:r>
    </w:p>
    <w:p>
      <w:pPr>
        <w:numPr>
          <w:ilvl w:val="0"/>
          <w:numId w:val="3"/>
        </w:numPr>
        <w:spacing w:line="360" w:lineRule="auto"/>
        <w:ind w:firstLine="560"/>
        <w:rPr>
          <w:rFonts w:hint="eastAsia"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交通干线建设规划未实施前应按照当前声环境功能区类别管理，规划实施后实时调整为4类区；</w:t>
      </w:r>
    </w:p>
    <w:p>
      <w:pPr>
        <w:numPr>
          <w:ilvl w:val="0"/>
          <w:numId w:val="3"/>
        </w:numPr>
        <w:spacing w:line="360" w:lineRule="auto"/>
        <w:ind w:firstLine="560"/>
        <w:rPr>
          <w:rFonts w:hint="default" w:ascii="Times New Roman" w:hAnsi="Times New Roman" w:eastAsia="仿宋"/>
          <w:color w:val="auto"/>
          <w:sz w:val="28"/>
          <w:lang w:val="en-US" w:eastAsia="zh-CN"/>
        </w:rPr>
      </w:pPr>
      <w:r>
        <w:rPr>
          <w:rFonts w:hint="eastAsia" w:ascii="Times New Roman" w:hAnsi="Times New Roman" w:eastAsia="仿宋"/>
          <w:color w:val="auto"/>
          <w:sz w:val="28"/>
          <w:lang w:val="en-US" w:eastAsia="zh-CN"/>
        </w:rPr>
        <w:t>4类交通干线与相邻功能区的距离划分按GB/T15190-2014中相关规定确定如下：</w:t>
      </w:r>
    </w:p>
    <w:p>
      <w:pPr>
        <w:numPr>
          <w:ilvl w:val="0"/>
          <w:numId w:val="0"/>
        </w:numPr>
        <w:spacing w:line="360" w:lineRule="auto"/>
        <w:jc w:val="center"/>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表2  交通干线相邻区域4类功能区距离</w:t>
      </w:r>
    </w:p>
    <w:tbl>
      <w:tblPr>
        <w:tblStyle w:val="10"/>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90"/>
        <w:gridCol w:w="2317"/>
        <w:gridCol w:w="27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6" w:hRule="exact"/>
        </w:trPr>
        <w:tc>
          <w:tcPr>
            <w:tcW w:w="3490" w:type="dxa"/>
            <w:vAlign w:val="center"/>
          </w:tcPr>
          <w:p>
            <w:pPr>
              <w:pStyle w:val="5"/>
              <w:adjustRightInd w:val="0"/>
              <w:snapToGrid w:val="0"/>
              <w:spacing w:line="400" w:lineRule="exact"/>
              <w:ind w:firstLine="0" w:firstLineChars="0"/>
              <w:jc w:val="center"/>
              <w:rPr>
                <w:rFonts w:ascii="Times New Roman" w:hAnsi="Times New Roman" w:eastAsia="仿宋"/>
                <w:b/>
                <w:color w:val="auto"/>
                <w:szCs w:val="21"/>
              </w:rPr>
            </w:pPr>
            <w:r>
              <w:rPr>
                <w:rFonts w:ascii="Times New Roman" w:hAnsi="Times New Roman" w:eastAsia="仿宋"/>
                <w:b/>
                <w:color w:val="auto"/>
                <w:szCs w:val="21"/>
              </w:rPr>
              <w:t>源强类型</w:t>
            </w:r>
          </w:p>
        </w:tc>
        <w:tc>
          <w:tcPr>
            <w:tcW w:w="2317" w:type="dxa"/>
            <w:vAlign w:val="center"/>
          </w:tcPr>
          <w:p>
            <w:pPr>
              <w:pStyle w:val="5"/>
              <w:adjustRightInd w:val="0"/>
              <w:snapToGrid w:val="0"/>
              <w:spacing w:line="400" w:lineRule="exact"/>
              <w:ind w:firstLine="0" w:firstLineChars="0"/>
              <w:jc w:val="center"/>
              <w:rPr>
                <w:rFonts w:ascii="Times New Roman" w:hAnsi="Times New Roman" w:eastAsia="仿宋"/>
                <w:b/>
                <w:color w:val="auto"/>
                <w:szCs w:val="21"/>
              </w:rPr>
            </w:pPr>
            <w:r>
              <w:rPr>
                <w:rFonts w:ascii="Times New Roman" w:hAnsi="Times New Roman" w:eastAsia="仿宋"/>
                <w:b/>
                <w:color w:val="auto"/>
                <w:szCs w:val="21"/>
              </w:rPr>
              <w:t>划分距离（m）</w:t>
            </w:r>
          </w:p>
        </w:tc>
        <w:tc>
          <w:tcPr>
            <w:tcW w:w="2715" w:type="dxa"/>
            <w:vAlign w:val="center"/>
          </w:tcPr>
          <w:p>
            <w:pPr>
              <w:pStyle w:val="5"/>
              <w:adjustRightInd w:val="0"/>
              <w:snapToGrid w:val="0"/>
              <w:spacing w:line="400" w:lineRule="exact"/>
              <w:ind w:firstLine="0" w:firstLineChars="0"/>
              <w:jc w:val="center"/>
              <w:rPr>
                <w:rFonts w:ascii="Times New Roman" w:hAnsi="Times New Roman" w:eastAsia="仿宋"/>
                <w:b/>
                <w:color w:val="auto"/>
                <w:szCs w:val="21"/>
              </w:rPr>
            </w:pPr>
            <w:r>
              <w:rPr>
                <w:rFonts w:ascii="Times New Roman" w:hAnsi="Times New Roman" w:eastAsia="仿宋"/>
                <w:b/>
                <w:color w:val="auto"/>
                <w:szCs w:val="21"/>
              </w:rPr>
              <w:t>相邻功能区类型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exact"/>
        </w:trPr>
        <w:tc>
          <w:tcPr>
            <w:tcW w:w="3490" w:type="dxa"/>
            <w:vMerge w:val="restart"/>
            <w:vAlign w:val="center"/>
          </w:tcPr>
          <w:p>
            <w:pPr>
              <w:pStyle w:val="5"/>
              <w:adjustRightInd w:val="0"/>
              <w:snapToGrid w:val="0"/>
              <w:spacing w:line="400" w:lineRule="exact"/>
              <w:ind w:firstLine="0" w:firstLineChars="0"/>
              <w:jc w:val="left"/>
              <w:rPr>
                <w:rFonts w:hint="default" w:ascii="Times New Roman" w:hAnsi="Times New Roman" w:eastAsia="仿宋"/>
                <w:color w:val="auto"/>
                <w:szCs w:val="21"/>
                <w:lang w:val="en-US" w:eastAsia="zh-CN"/>
              </w:rPr>
            </w:pPr>
            <w:r>
              <w:rPr>
                <w:rFonts w:ascii="Times New Roman" w:hAnsi="Times New Roman" w:eastAsia="仿宋"/>
                <w:color w:val="auto"/>
                <w:szCs w:val="21"/>
              </w:rPr>
              <w:t>城市轨道交通（钢轨-地面段）、城市主干路、城市次干路</w:t>
            </w:r>
            <w:r>
              <w:rPr>
                <w:rFonts w:hint="eastAsia" w:ascii="Times New Roman" w:hAnsi="Times New Roman" w:eastAsia="仿宋"/>
                <w:color w:val="auto"/>
                <w:szCs w:val="21"/>
                <w:lang w:eastAsia="zh-CN"/>
              </w:rPr>
              <w:t>、</w:t>
            </w:r>
            <w:r>
              <w:rPr>
                <w:rFonts w:hint="eastAsia" w:ascii="Times New Roman" w:hAnsi="Times New Roman" w:eastAsia="仿宋"/>
                <w:color w:val="auto"/>
                <w:szCs w:val="21"/>
                <w:lang w:val="en-US" w:eastAsia="zh-CN"/>
              </w:rPr>
              <w:t>铁路</w:t>
            </w:r>
          </w:p>
        </w:tc>
        <w:tc>
          <w:tcPr>
            <w:tcW w:w="2317" w:type="dxa"/>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r>
              <w:rPr>
                <w:rFonts w:hint="eastAsia" w:ascii="Times New Roman" w:hAnsi="Times New Roman" w:eastAsia="仿宋"/>
                <w:color w:val="auto"/>
                <w:szCs w:val="21"/>
              </w:rPr>
              <w:t>55</w:t>
            </w:r>
          </w:p>
        </w:tc>
        <w:tc>
          <w:tcPr>
            <w:tcW w:w="2715" w:type="dxa"/>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r>
              <w:rPr>
                <w:rFonts w:ascii="Times New Roman" w:hAnsi="Times New Roman" w:eastAsia="仿宋"/>
                <w:color w:val="auto"/>
                <w:szCs w:val="21"/>
              </w:rPr>
              <w:t>1类区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exact"/>
        </w:trPr>
        <w:tc>
          <w:tcPr>
            <w:tcW w:w="3490" w:type="dxa"/>
            <w:vMerge w:val="continue"/>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p>
        </w:tc>
        <w:tc>
          <w:tcPr>
            <w:tcW w:w="2317" w:type="dxa"/>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r>
              <w:rPr>
                <w:rFonts w:hint="eastAsia" w:ascii="Times New Roman" w:hAnsi="Times New Roman" w:eastAsia="仿宋"/>
                <w:color w:val="auto"/>
                <w:szCs w:val="21"/>
              </w:rPr>
              <w:t>40</w:t>
            </w:r>
          </w:p>
        </w:tc>
        <w:tc>
          <w:tcPr>
            <w:tcW w:w="2715" w:type="dxa"/>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r>
              <w:rPr>
                <w:rFonts w:ascii="Times New Roman" w:hAnsi="Times New Roman" w:eastAsia="仿宋"/>
                <w:color w:val="auto"/>
                <w:szCs w:val="21"/>
              </w:rPr>
              <w:t>2类区</w:t>
            </w:r>
          </w:p>
          <w:p>
            <w:pPr>
              <w:pStyle w:val="5"/>
              <w:adjustRightInd w:val="0"/>
              <w:snapToGrid w:val="0"/>
              <w:spacing w:line="400" w:lineRule="exact"/>
              <w:ind w:firstLine="0" w:firstLineChars="0"/>
              <w:jc w:val="center"/>
              <w:rPr>
                <w:rFonts w:ascii="Times New Roman" w:hAnsi="Times New Roman" w:eastAsia="仿宋"/>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exact"/>
        </w:trPr>
        <w:tc>
          <w:tcPr>
            <w:tcW w:w="3490" w:type="dxa"/>
            <w:vMerge w:val="continue"/>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p>
        </w:tc>
        <w:tc>
          <w:tcPr>
            <w:tcW w:w="2317" w:type="dxa"/>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r>
              <w:rPr>
                <w:rFonts w:ascii="Times New Roman" w:hAnsi="Times New Roman" w:eastAsia="仿宋"/>
                <w:color w:val="auto"/>
                <w:szCs w:val="21"/>
              </w:rPr>
              <w:t>2</w:t>
            </w:r>
            <w:r>
              <w:rPr>
                <w:rFonts w:hint="eastAsia" w:ascii="Times New Roman" w:hAnsi="Times New Roman" w:eastAsia="仿宋"/>
                <w:color w:val="auto"/>
                <w:szCs w:val="21"/>
              </w:rPr>
              <w:t>5</w:t>
            </w:r>
          </w:p>
        </w:tc>
        <w:tc>
          <w:tcPr>
            <w:tcW w:w="2715" w:type="dxa"/>
            <w:vAlign w:val="center"/>
          </w:tcPr>
          <w:p>
            <w:pPr>
              <w:pStyle w:val="5"/>
              <w:adjustRightInd w:val="0"/>
              <w:snapToGrid w:val="0"/>
              <w:spacing w:line="400" w:lineRule="exact"/>
              <w:ind w:firstLine="0" w:firstLineChars="0"/>
              <w:jc w:val="center"/>
              <w:rPr>
                <w:rFonts w:ascii="Times New Roman" w:hAnsi="Times New Roman" w:eastAsia="仿宋"/>
                <w:color w:val="auto"/>
                <w:szCs w:val="21"/>
              </w:rPr>
            </w:pPr>
            <w:r>
              <w:rPr>
                <w:rFonts w:ascii="Times New Roman" w:hAnsi="Times New Roman" w:eastAsia="仿宋"/>
                <w:color w:val="auto"/>
                <w:szCs w:val="21"/>
              </w:rPr>
              <w:t>3类区</w:t>
            </w:r>
          </w:p>
        </w:tc>
      </w:tr>
    </w:tbl>
    <w:p>
      <w:pPr>
        <w:pStyle w:val="12"/>
        <w:spacing w:line="240" w:lineRule="auto"/>
        <w:ind w:firstLine="560"/>
        <w:rPr>
          <w:rFonts w:hint="eastAsia" w:ascii="宋体" w:hAnsi="宋体" w:eastAsia="宋体" w:cs="宋体"/>
          <w:color w:val="auto"/>
          <w:lang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3</w:t>
      </w:r>
      <w:r>
        <w:rPr>
          <w:rFonts w:hint="eastAsia" w:ascii="宋体" w:hAnsi="宋体" w:eastAsia="宋体" w:cs="宋体"/>
          <w:color w:val="auto"/>
          <w:lang w:eastAsia="zh-CN"/>
        </w:rPr>
        <w:t>）</w:t>
      </w:r>
      <w:r>
        <w:rPr>
          <w:rFonts w:ascii="Times New Roman" w:hAnsi="Times New Roman" w:eastAsia="仿宋"/>
          <w:color w:val="auto"/>
        </w:rPr>
        <w:t>4</w:t>
      </w:r>
      <w:r>
        <w:rPr>
          <w:rFonts w:hint="eastAsia" w:ascii="Times New Roman" w:hAnsi="Times New Roman" w:eastAsia="仿宋"/>
          <w:color w:val="auto"/>
          <w:lang w:val="en-US" w:eastAsia="zh-CN"/>
        </w:rPr>
        <w:t>a</w:t>
      </w:r>
      <w:r>
        <w:rPr>
          <w:rFonts w:ascii="Times New Roman" w:hAnsi="Times New Roman" w:eastAsia="仿宋"/>
          <w:color w:val="auto"/>
        </w:rPr>
        <w:t>类声环境功能区划分</w:t>
      </w:r>
    </w:p>
    <w:p>
      <w:pPr>
        <w:pStyle w:val="12"/>
        <w:spacing w:line="240" w:lineRule="auto"/>
        <w:ind w:firstLine="560"/>
        <w:rPr>
          <w:rFonts w:ascii="Times New Roman" w:hAnsi="Times New Roman" w:eastAsia="仿宋"/>
          <w:color w:val="auto"/>
        </w:rPr>
      </w:pPr>
      <w:r>
        <w:rPr>
          <w:rFonts w:hint="eastAsia" w:ascii="宋体" w:hAnsi="宋体" w:eastAsia="宋体" w:cs="宋体"/>
          <w:color w:val="auto"/>
        </w:rPr>
        <w:t>①</w:t>
      </w:r>
      <w:r>
        <w:rPr>
          <w:rFonts w:ascii="Times New Roman" w:hAnsi="Times New Roman" w:eastAsia="仿宋"/>
          <w:color w:val="auto"/>
        </w:rPr>
        <w:t>4a类声环境功能区为城市主干路、城市次干路、城市轨道交通（地面段）等交通干线相邻区域。交通干线相邻区域4类功能区距离按</w:t>
      </w:r>
      <w:r>
        <w:rPr>
          <w:rFonts w:hint="eastAsia" w:ascii="Times New Roman" w:hAnsi="Times New Roman" w:eastAsia="仿宋"/>
          <w:color w:val="auto"/>
          <w:lang w:eastAsia="zh-CN"/>
        </w:rPr>
        <w:t>表2</w:t>
      </w:r>
      <w:r>
        <w:rPr>
          <w:rFonts w:ascii="Times New Roman" w:hAnsi="Times New Roman" w:eastAsia="仿宋"/>
          <w:color w:val="auto"/>
        </w:rPr>
        <w:t>要求执行。</w:t>
      </w:r>
    </w:p>
    <w:p>
      <w:pPr>
        <w:pStyle w:val="12"/>
        <w:spacing w:line="240" w:lineRule="auto"/>
        <w:ind w:firstLine="560"/>
        <w:rPr>
          <w:rFonts w:ascii="Times New Roman" w:hAnsi="Times New Roman" w:eastAsia="仿宋"/>
          <w:color w:val="auto"/>
        </w:rPr>
      </w:pPr>
      <w:r>
        <w:rPr>
          <w:rFonts w:hint="eastAsia" w:ascii="宋体" w:hAnsi="宋体" w:eastAsia="宋体" w:cs="宋体"/>
          <w:color w:val="auto"/>
        </w:rPr>
        <w:t>②</w:t>
      </w:r>
      <w:r>
        <w:rPr>
          <w:rFonts w:ascii="Times New Roman" w:hAnsi="Times New Roman" w:eastAsia="仿宋"/>
          <w:color w:val="auto"/>
        </w:rPr>
        <w:t>当临街建筑高于三层楼房以上（含三层）时，将临街建筑面向交通干线一侧至交通干线边界线的区域定为4a类声环境功能区。</w:t>
      </w:r>
    </w:p>
    <w:p>
      <w:pPr>
        <w:pStyle w:val="12"/>
        <w:spacing w:line="240" w:lineRule="auto"/>
        <w:ind w:firstLine="560"/>
        <w:rPr>
          <w:rFonts w:ascii="Times New Roman" w:hAnsi="Times New Roman" w:eastAsia="仿宋"/>
          <w:color w:val="auto"/>
        </w:rPr>
      </w:pPr>
      <w:r>
        <w:rPr>
          <w:rFonts w:hint="eastAsia" w:ascii="宋体" w:hAnsi="宋体" w:eastAsia="宋体" w:cs="宋体"/>
          <w:color w:val="auto"/>
          <w:szCs w:val="22"/>
        </w:rPr>
        <w:t>③</w:t>
      </w:r>
      <w:r>
        <w:rPr>
          <w:rFonts w:ascii="Times New Roman" w:hAnsi="Times New Roman" w:eastAsia="仿宋"/>
          <w:color w:val="auto"/>
        </w:rPr>
        <w:t>若临街建筑以低于三层楼房的建筑（含开阔地）为主，线路边界线外一定距离内（见</w:t>
      </w:r>
      <w:r>
        <w:rPr>
          <w:rFonts w:hint="eastAsia" w:ascii="Times New Roman" w:hAnsi="Times New Roman" w:eastAsia="仿宋"/>
          <w:color w:val="auto"/>
          <w:lang w:eastAsia="zh-CN"/>
        </w:rPr>
        <w:t>表2</w:t>
      </w:r>
      <w:r>
        <w:rPr>
          <w:rFonts w:ascii="Times New Roman" w:hAnsi="Times New Roman" w:eastAsia="仿宋"/>
          <w:color w:val="auto"/>
        </w:rPr>
        <w:t>）的区域定为4a类声环境功能区。</w:t>
      </w:r>
    </w:p>
    <w:p>
      <w:pPr>
        <w:pStyle w:val="12"/>
        <w:spacing w:line="240" w:lineRule="auto"/>
        <w:ind w:firstLine="560"/>
        <w:rPr>
          <w:rFonts w:ascii="Times New Roman" w:hAnsi="Times New Roman" w:eastAsia="仿宋"/>
          <w:color w:val="auto"/>
        </w:rPr>
      </w:pPr>
      <w:r>
        <w:rPr>
          <w:rFonts w:hint="eastAsia" w:ascii="宋体" w:hAnsi="宋体" w:eastAsia="宋体" w:cs="宋体"/>
          <w:color w:val="auto"/>
        </w:rPr>
        <w:t>④</w:t>
      </w:r>
      <w:r>
        <w:rPr>
          <w:rFonts w:ascii="Times New Roman" w:hAnsi="Times New Roman" w:eastAsia="仿宋"/>
          <w:color w:val="auto"/>
        </w:rPr>
        <w:t>若划分距离范围内临路建筑以高于三层楼房以上（含三层）的建筑为主，第一排建筑面向线路一侧至线路边界线的区域及该建筑物的两侧一定纵深距离（见</w:t>
      </w:r>
      <w:r>
        <w:rPr>
          <w:rFonts w:hint="eastAsia" w:ascii="Times New Roman" w:hAnsi="Times New Roman" w:eastAsia="仿宋"/>
          <w:color w:val="auto"/>
          <w:lang w:eastAsia="zh-CN"/>
        </w:rPr>
        <w:t>表2</w:t>
      </w:r>
      <w:r>
        <w:rPr>
          <w:rFonts w:ascii="Times New Roman" w:hAnsi="Times New Roman" w:eastAsia="仿宋"/>
          <w:color w:val="auto"/>
        </w:rPr>
        <w:t>）范围内受交通噪声直达声影响的区域定为4a类声环境功能区。</w:t>
      </w:r>
    </w:p>
    <w:p>
      <w:pPr>
        <w:pStyle w:val="12"/>
        <w:spacing w:line="240" w:lineRule="auto"/>
        <w:ind w:firstLine="560"/>
        <w:rPr>
          <w:rFonts w:ascii="Times New Roman" w:hAnsi="Times New Roman" w:eastAsia="仿宋"/>
          <w:color w:val="auto"/>
        </w:rPr>
      </w:pPr>
      <w:r>
        <w:rPr>
          <w:rFonts w:hint="eastAsia" w:ascii="宋体" w:hAnsi="宋体" w:eastAsia="宋体" w:cs="宋体"/>
          <w:color w:val="auto"/>
        </w:rPr>
        <w:t>⑤</w:t>
      </w:r>
      <w:r>
        <w:rPr>
          <w:rFonts w:ascii="Times New Roman" w:hAnsi="Times New Roman" w:eastAsia="仿宋"/>
          <w:color w:val="auto"/>
        </w:rPr>
        <w:t>对于第二排及以后的建筑，若其高于前排建筑或虽低于前排建筑但因楼座错落设置使部分楼体探出前排遮挡并受到线路交通噪声的直达声影响，则高出及探出部分的楼层面向线路一侧范围定为4a类区。其余部分未受到交通噪声直达声影响的区域执行相邻声环境功能区要求。</w:t>
      </w:r>
    </w:p>
    <w:p>
      <w:pPr>
        <w:pStyle w:val="12"/>
        <w:spacing w:line="240" w:lineRule="auto"/>
        <w:ind w:firstLine="560"/>
        <w:rPr>
          <w:rFonts w:ascii="Times New Roman" w:hAnsi="Times New Roman" w:eastAsia="仿宋"/>
          <w:color w:val="auto"/>
        </w:rPr>
      </w:pPr>
      <w:r>
        <w:rPr>
          <w:rFonts w:ascii="Times New Roman" w:hAnsi="Times New Roman" w:eastAsia="仿宋"/>
          <w:color w:val="auto"/>
        </w:rPr>
        <w:t>(</w:t>
      </w:r>
      <w:r>
        <w:rPr>
          <w:rFonts w:hint="eastAsia" w:ascii="Times New Roman" w:hAnsi="Times New Roman" w:eastAsia="仿宋"/>
          <w:color w:val="auto"/>
          <w:lang w:val="en-US" w:eastAsia="zh-CN"/>
        </w:rPr>
        <w:t>4</w:t>
      </w:r>
      <w:r>
        <w:rPr>
          <w:rFonts w:ascii="Times New Roman" w:hAnsi="Times New Roman" w:eastAsia="仿宋"/>
          <w:color w:val="auto"/>
        </w:rPr>
        <w:t>)4b类声环境功能区划分</w:t>
      </w:r>
    </w:p>
    <w:p>
      <w:pPr>
        <w:pStyle w:val="12"/>
        <w:spacing w:line="240" w:lineRule="auto"/>
        <w:ind w:firstLine="560"/>
        <w:rPr>
          <w:rFonts w:ascii="Times New Roman" w:hAnsi="Times New Roman" w:eastAsia="仿宋"/>
          <w:color w:val="auto"/>
        </w:rPr>
      </w:pPr>
      <w:r>
        <w:rPr>
          <w:rFonts w:hint="eastAsia" w:ascii="Times New Roman" w:hAnsi="Times New Roman" w:eastAsia="仿宋"/>
          <w:color w:val="auto"/>
        </w:rPr>
        <w:t>①4b类功能区</w:t>
      </w:r>
      <w:r>
        <w:rPr>
          <w:rFonts w:ascii="Times New Roman" w:hAnsi="Times New Roman" w:eastAsia="仿宋"/>
          <w:color w:val="auto"/>
        </w:rPr>
        <w:t>距离</w:t>
      </w:r>
      <w:r>
        <w:rPr>
          <w:rFonts w:hint="eastAsia" w:ascii="Times New Roman" w:hAnsi="Times New Roman" w:eastAsia="仿宋"/>
          <w:color w:val="auto"/>
        </w:rPr>
        <w:t>同样参照</w:t>
      </w:r>
      <w:r>
        <w:rPr>
          <w:rFonts w:hint="eastAsia" w:ascii="Times New Roman" w:hAnsi="Times New Roman" w:eastAsia="仿宋"/>
          <w:color w:val="auto"/>
          <w:lang w:eastAsia="zh-CN"/>
        </w:rPr>
        <w:t>表2</w:t>
      </w:r>
      <w:r>
        <w:rPr>
          <w:rFonts w:ascii="Times New Roman" w:hAnsi="Times New Roman" w:eastAsia="仿宋"/>
          <w:color w:val="auto"/>
        </w:rPr>
        <w:t>要求执行。</w:t>
      </w:r>
    </w:p>
    <w:p>
      <w:pPr>
        <w:pStyle w:val="12"/>
        <w:spacing w:line="240" w:lineRule="auto"/>
        <w:ind w:firstLine="560"/>
        <w:rPr>
          <w:rFonts w:hint="eastAsia" w:ascii="Times New Roman" w:hAnsi="Times New Roman" w:eastAsia="仿宋"/>
          <w:color w:val="auto"/>
          <w:lang w:val="en-US" w:eastAsia="zh-CN"/>
        </w:rPr>
      </w:pPr>
      <w:r>
        <w:rPr>
          <w:rFonts w:hint="eastAsia" w:ascii="Times New Roman" w:hAnsi="Times New Roman" w:eastAsia="仿宋"/>
          <w:color w:val="auto"/>
        </w:rPr>
        <w:t>②</w:t>
      </w:r>
      <w:r>
        <w:rPr>
          <w:rFonts w:hint="eastAsia" w:ascii="Times New Roman" w:hAnsi="Times New Roman" w:eastAsia="仿宋"/>
          <w:color w:val="auto"/>
          <w:lang w:val="en-US" w:eastAsia="zh-CN"/>
        </w:rPr>
        <w:t>当对于4b类声环境功能区与4a类声环境功能区有重叠的部分，划分为4b类声环境功能区。</w:t>
      </w:r>
    </w:p>
    <w:p>
      <w:pPr>
        <w:pStyle w:val="12"/>
        <w:spacing w:line="240" w:lineRule="auto"/>
        <w:ind w:firstLine="0" w:firstLineChars="0"/>
        <w:rPr>
          <w:rFonts w:ascii="Times New Roman" w:hAnsi="Times New Roman" w:eastAsia="仿宋"/>
          <w:color w:val="auto"/>
          <w:szCs w:val="22"/>
        </w:rPr>
      </w:pPr>
      <w:r>
        <w:rPr>
          <w:rFonts w:hint="eastAsia" w:ascii="Times New Roman" w:hAnsi="Times New Roman" w:eastAsia="仿宋"/>
          <w:color w:val="auto"/>
          <w:szCs w:val="22"/>
        </w:rPr>
        <w:tab/>
      </w:r>
      <w:r>
        <w:rPr>
          <w:rFonts w:hint="eastAsia" w:ascii="Times New Roman" w:hAnsi="Times New Roman" w:eastAsia="仿宋"/>
          <w:color w:val="auto"/>
          <w:szCs w:val="22"/>
        </w:rPr>
        <w:t xml:space="preserve"> </w:t>
      </w:r>
      <w:r>
        <w:rPr>
          <w:rFonts w:ascii="Times New Roman" w:hAnsi="Times New Roman" w:eastAsia="仿宋"/>
          <w:color w:val="auto"/>
        </w:rPr>
        <w:t>(</w:t>
      </w:r>
      <w:r>
        <w:rPr>
          <w:rFonts w:hint="eastAsia" w:ascii="Times New Roman" w:hAnsi="Times New Roman" w:eastAsia="仿宋"/>
          <w:color w:val="auto"/>
          <w:lang w:val="en-US" w:eastAsia="zh-CN"/>
        </w:rPr>
        <w:t>5</w:t>
      </w:r>
      <w:r>
        <w:rPr>
          <w:rFonts w:ascii="Times New Roman" w:hAnsi="Times New Roman" w:eastAsia="仿宋"/>
          <w:color w:val="auto"/>
        </w:rPr>
        <w:t>)</w:t>
      </w:r>
      <w:r>
        <w:rPr>
          <w:rFonts w:ascii="Times New Roman" w:hAnsi="Times New Roman" w:eastAsia="仿宋"/>
          <w:color w:val="auto"/>
          <w:szCs w:val="22"/>
        </w:rPr>
        <w:t>4类声环境功能区划分的其它补充说明</w:t>
      </w:r>
    </w:p>
    <w:p>
      <w:pPr>
        <w:pStyle w:val="12"/>
        <w:spacing w:line="240" w:lineRule="auto"/>
        <w:ind w:firstLine="560"/>
        <w:rPr>
          <w:rFonts w:ascii="Times New Roman" w:hAnsi="Times New Roman" w:eastAsia="仿宋"/>
          <w:color w:val="auto"/>
          <w:szCs w:val="22"/>
        </w:rPr>
      </w:pPr>
      <w:r>
        <w:rPr>
          <w:rFonts w:hint="eastAsia" w:ascii="宋体" w:hAnsi="宋体" w:eastAsia="宋体" w:cs="宋体"/>
          <w:color w:val="auto"/>
          <w:szCs w:val="22"/>
        </w:rPr>
        <w:t>Ⅰ</w:t>
      </w:r>
      <w:r>
        <w:rPr>
          <w:rFonts w:ascii="Times New Roman" w:hAnsi="Times New Roman" w:eastAsia="仿宋"/>
          <w:color w:val="auto"/>
          <w:szCs w:val="22"/>
        </w:rPr>
        <w:t>.对于规划未建成的高速公路、城市快速路、城市轨道交通（地面段）、城市主干路、城市次干路、铁路，建成后需报</w:t>
      </w:r>
      <w:r>
        <w:rPr>
          <w:rFonts w:hint="eastAsia" w:ascii="Times New Roman" w:hAnsi="Times New Roman" w:eastAsia="仿宋"/>
          <w:color w:val="auto"/>
          <w:szCs w:val="22"/>
          <w:lang w:eastAsia="zh-CN"/>
        </w:rPr>
        <w:t>花垣县人民政府</w:t>
      </w:r>
      <w:r>
        <w:rPr>
          <w:rFonts w:ascii="Times New Roman" w:hAnsi="Times New Roman" w:eastAsia="仿宋"/>
          <w:color w:val="auto"/>
          <w:szCs w:val="22"/>
        </w:rPr>
        <w:t>备案后划分到相应4a/4b类声环境功能区，并执行相应标准。</w:t>
      </w:r>
    </w:p>
    <w:p>
      <w:pPr>
        <w:pStyle w:val="12"/>
        <w:spacing w:line="240" w:lineRule="auto"/>
        <w:ind w:firstLine="560"/>
        <w:rPr>
          <w:rFonts w:ascii="Times New Roman" w:hAnsi="Times New Roman" w:eastAsia="仿宋"/>
          <w:color w:val="auto"/>
          <w:szCs w:val="22"/>
        </w:rPr>
      </w:pPr>
      <w:r>
        <w:rPr>
          <w:rFonts w:hint="eastAsia" w:ascii="宋体" w:hAnsi="宋体" w:eastAsia="宋体" w:cs="宋体"/>
          <w:color w:val="auto"/>
          <w:szCs w:val="22"/>
        </w:rPr>
        <w:t>Ⅱ</w:t>
      </w:r>
      <w:r>
        <w:rPr>
          <w:rFonts w:ascii="Times New Roman" w:hAnsi="Times New Roman" w:eastAsia="仿宋"/>
          <w:color w:val="auto"/>
          <w:szCs w:val="22"/>
        </w:rPr>
        <w:t>.划分 4 类声环境功能区时，不同的道路、不同的路段、同路段的两侧及道路的同侧其距离可以不统一。</w:t>
      </w:r>
    </w:p>
    <w:p>
      <w:pPr>
        <w:pStyle w:val="12"/>
        <w:spacing w:line="240" w:lineRule="auto"/>
        <w:ind w:firstLine="560"/>
        <w:rPr>
          <w:rFonts w:ascii="Times New Roman" w:hAnsi="Times New Roman" w:eastAsia="仿宋"/>
          <w:color w:val="auto"/>
          <w:szCs w:val="22"/>
        </w:rPr>
      </w:pPr>
      <w:r>
        <w:rPr>
          <w:rFonts w:hint="eastAsia" w:ascii="宋体" w:hAnsi="宋体" w:eastAsia="宋体" w:cs="宋体"/>
          <w:color w:val="auto"/>
          <w:szCs w:val="22"/>
        </w:rPr>
        <w:t>Ⅲ</w:t>
      </w:r>
      <w:r>
        <w:rPr>
          <w:rFonts w:ascii="Times New Roman" w:hAnsi="Times New Roman" w:eastAsia="仿宋"/>
          <w:color w:val="auto"/>
          <w:szCs w:val="22"/>
        </w:rPr>
        <w:t>.城市轨道交通（地面）场站、公交枢纽、高速公路服务区等具有一定规模的交通服务区域，划为4a类声环境功能区。</w:t>
      </w:r>
      <w:r>
        <w:rPr>
          <w:rFonts w:hint="eastAsia" w:ascii="Times New Roman" w:hAnsi="Times New Roman" w:eastAsia="仿宋"/>
          <w:color w:val="auto"/>
          <w:szCs w:val="22"/>
        </w:rPr>
        <w:t>具有一定规模的</w:t>
      </w:r>
      <w:r>
        <w:rPr>
          <w:rFonts w:ascii="Times New Roman" w:hAnsi="Times New Roman" w:eastAsia="仿宋"/>
          <w:color w:val="auto"/>
          <w:szCs w:val="22"/>
        </w:rPr>
        <w:t>铁路交通服务区</w:t>
      </w:r>
      <w:r>
        <w:rPr>
          <w:rFonts w:hint="eastAsia" w:ascii="Times New Roman" w:hAnsi="Times New Roman" w:eastAsia="仿宋"/>
          <w:color w:val="auto"/>
          <w:szCs w:val="22"/>
        </w:rPr>
        <w:t>，划为4b类声环境功能区</w:t>
      </w:r>
      <w:r>
        <w:rPr>
          <w:rFonts w:hint="eastAsia" w:ascii="Times New Roman" w:hAnsi="Times New Roman" w:eastAsia="仿宋"/>
          <w:color w:val="auto"/>
          <w:szCs w:val="22"/>
          <w:lang w:eastAsia="zh-CN"/>
        </w:rPr>
        <w:t>，</w:t>
      </w:r>
      <w:r>
        <w:rPr>
          <w:rFonts w:hint="eastAsia" w:ascii="Times New Roman" w:hAnsi="Times New Roman" w:eastAsia="仿宋"/>
          <w:color w:val="auto"/>
          <w:lang w:val="en-US" w:eastAsia="zh-CN"/>
        </w:rPr>
        <w:t>与其相邻功能区距离按</w:t>
      </w:r>
      <w:r>
        <w:rPr>
          <w:rFonts w:hint="eastAsia" w:ascii="Times New Roman" w:hAnsi="Times New Roman" w:eastAsia="仿宋"/>
          <w:color w:val="auto"/>
          <w:szCs w:val="22"/>
          <w:lang w:val="en-US" w:eastAsia="zh-CN"/>
        </w:rPr>
        <w:t>表2</w:t>
      </w:r>
      <w:r>
        <w:rPr>
          <w:rFonts w:ascii="Times New Roman" w:hAnsi="Times New Roman" w:eastAsia="仿宋"/>
          <w:color w:val="auto"/>
          <w:szCs w:val="22"/>
        </w:rPr>
        <w:t>要求执行</w:t>
      </w:r>
      <w:r>
        <w:rPr>
          <w:rFonts w:hint="eastAsia" w:ascii="Times New Roman" w:hAnsi="Times New Roman" w:eastAsia="仿宋"/>
          <w:color w:val="auto"/>
          <w:szCs w:val="22"/>
        </w:rPr>
        <w:t>。</w:t>
      </w:r>
    </w:p>
    <w:p>
      <w:pPr>
        <w:pStyle w:val="12"/>
        <w:spacing w:line="240" w:lineRule="auto"/>
        <w:ind w:firstLine="560"/>
        <w:rPr>
          <w:rFonts w:hint="eastAsia"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4、工业区内声环境区划其他规定</w:t>
      </w:r>
    </w:p>
    <w:p>
      <w:pPr>
        <w:pStyle w:val="12"/>
        <w:spacing w:line="240" w:lineRule="auto"/>
        <w:ind w:firstLine="560"/>
        <w:rPr>
          <w:rFonts w:hint="eastAsia"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位于各类工业区规划范围，总体上划定为3类区的，在下列情况下执行2类区标准：</w:t>
      </w:r>
    </w:p>
    <w:p>
      <w:pPr>
        <w:pStyle w:val="12"/>
        <w:spacing w:line="240" w:lineRule="auto"/>
        <w:ind w:firstLine="560"/>
        <w:rPr>
          <w:rFonts w:ascii="Times New Roman" w:hAnsi="Times New Roman" w:eastAsia="仿宋"/>
          <w:color w:val="auto"/>
          <w:szCs w:val="22"/>
        </w:rPr>
      </w:pPr>
      <w:r>
        <w:rPr>
          <w:rFonts w:hint="eastAsia" w:ascii="Times New Roman" w:hAnsi="Times New Roman" w:eastAsia="仿宋"/>
          <w:color w:val="auto"/>
          <w:szCs w:val="22"/>
        </w:rPr>
        <w:t>①</w:t>
      </w:r>
      <w:r>
        <w:rPr>
          <w:rFonts w:ascii="Times New Roman" w:hAnsi="Times New Roman" w:eastAsia="仿宋"/>
          <w:color w:val="auto"/>
          <w:szCs w:val="22"/>
        </w:rPr>
        <w:t>规划为工业用地，但尚未开发建设，且仍有敏感目标的区域；</w:t>
      </w:r>
    </w:p>
    <w:p>
      <w:pPr>
        <w:pStyle w:val="12"/>
        <w:spacing w:line="240" w:lineRule="auto"/>
        <w:ind w:firstLine="560"/>
        <w:rPr>
          <w:rFonts w:ascii="Times New Roman" w:hAnsi="Times New Roman" w:eastAsia="仿宋"/>
          <w:color w:val="auto"/>
          <w:szCs w:val="22"/>
        </w:rPr>
      </w:pPr>
      <w:r>
        <w:rPr>
          <w:rFonts w:hint="eastAsia" w:ascii="Times New Roman" w:hAnsi="Times New Roman" w:eastAsia="仿宋"/>
          <w:color w:val="auto"/>
          <w:szCs w:val="22"/>
        </w:rPr>
        <w:t>②</w:t>
      </w:r>
      <w:r>
        <w:rPr>
          <w:rFonts w:ascii="Times New Roman" w:hAnsi="Times New Roman" w:eastAsia="仿宋"/>
          <w:color w:val="auto"/>
          <w:szCs w:val="22"/>
        </w:rPr>
        <w:t>现状为学校、医院、住宅、机关、公园、宾馆、会所等噪声敏感区域；</w:t>
      </w:r>
    </w:p>
    <w:p>
      <w:pPr>
        <w:pStyle w:val="12"/>
        <w:spacing w:line="240" w:lineRule="auto"/>
        <w:ind w:firstLine="560"/>
        <w:rPr>
          <w:rFonts w:ascii="Times New Roman" w:hAnsi="Times New Roman" w:eastAsia="仿宋"/>
          <w:color w:val="auto"/>
          <w:szCs w:val="22"/>
        </w:rPr>
      </w:pPr>
      <w:r>
        <w:rPr>
          <w:rFonts w:hint="eastAsia" w:ascii="Times New Roman" w:hAnsi="Times New Roman" w:eastAsia="仿宋"/>
          <w:color w:val="auto"/>
          <w:szCs w:val="22"/>
        </w:rPr>
        <w:t>③</w:t>
      </w:r>
      <w:r>
        <w:rPr>
          <w:rFonts w:hint="eastAsia" w:ascii="Times New Roman" w:hAnsi="Times New Roman" w:eastAsia="仿宋"/>
          <w:color w:val="auto"/>
          <w:szCs w:val="22"/>
          <w:lang w:eastAsia="zh-CN"/>
        </w:rPr>
        <w:t>花垣工业集中区</w:t>
      </w:r>
      <w:r>
        <w:rPr>
          <w:rFonts w:ascii="Times New Roman" w:hAnsi="Times New Roman" w:eastAsia="仿宋"/>
          <w:color w:val="auto"/>
          <w:szCs w:val="22"/>
        </w:rPr>
        <w:t>详规确定为非工业用地的区域；</w:t>
      </w:r>
    </w:p>
    <w:p>
      <w:pPr>
        <w:pStyle w:val="12"/>
        <w:spacing w:line="240" w:lineRule="auto"/>
        <w:ind w:firstLine="560"/>
        <w:rPr>
          <w:rFonts w:ascii="Times New Roman" w:hAnsi="Times New Roman" w:eastAsia="仿宋"/>
          <w:color w:val="auto"/>
          <w:szCs w:val="22"/>
        </w:rPr>
      </w:pPr>
      <w:r>
        <w:rPr>
          <w:rFonts w:hint="eastAsia" w:ascii="Times New Roman" w:hAnsi="Times New Roman" w:eastAsia="仿宋"/>
          <w:color w:val="auto"/>
          <w:szCs w:val="22"/>
        </w:rPr>
        <w:t>④</w:t>
      </w:r>
      <w:r>
        <w:rPr>
          <w:rFonts w:ascii="Times New Roman" w:hAnsi="Times New Roman" w:eastAsia="仿宋"/>
          <w:color w:val="auto"/>
          <w:szCs w:val="22"/>
        </w:rPr>
        <w:t>以商务办公、软件研发等为主的非生产区域（除工业地产外）。</w:t>
      </w:r>
    </w:p>
    <w:p>
      <w:pPr>
        <w:pStyle w:val="12"/>
        <w:spacing w:line="240" w:lineRule="auto"/>
        <w:ind w:firstLine="560"/>
        <w:rPr>
          <w:rFonts w:hint="default"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5、其他</w:t>
      </w:r>
    </w:p>
    <w:p>
      <w:pPr>
        <w:pStyle w:val="12"/>
        <w:spacing w:line="240" w:lineRule="auto"/>
        <w:ind w:firstLine="560"/>
        <w:rPr>
          <w:rFonts w:hint="default"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各声环境功能区的建设工地噪声执行相应《建筑施工场界环境噪声排放标准》（GB12523-2011）。</w:t>
      </w:r>
    </w:p>
    <w:p>
      <w:pPr>
        <w:numPr>
          <w:ilvl w:val="0"/>
          <w:numId w:val="1"/>
        </w:numPr>
        <w:spacing w:line="360" w:lineRule="auto"/>
        <w:ind w:firstLine="560"/>
        <w:rPr>
          <w:rFonts w:hint="default"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监督管理</w:t>
      </w:r>
    </w:p>
    <w:p>
      <w:pPr>
        <w:pStyle w:val="12"/>
        <w:spacing w:line="240" w:lineRule="auto"/>
        <w:ind w:firstLine="560"/>
        <w:rPr>
          <w:rFonts w:hint="default"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（1）各级乡镇（街道）人民政府对本辖区内的声环境质量负责。</w:t>
      </w:r>
    </w:p>
    <w:p>
      <w:pPr>
        <w:pStyle w:val="12"/>
        <w:spacing w:line="240" w:lineRule="auto"/>
        <w:ind w:firstLine="560"/>
        <w:rPr>
          <w:rFonts w:hint="eastAsia"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（2）自然资源部门在制定城市规划时，应当确定保护和改善声环境的目标和任务；在确定建设布局时，应提出相应的规划设计要求。</w:t>
      </w:r>
    </w:p>
    <w:p>
      <w:pPr>
        <w:pStyle w:val="12"/>
        <w:spacing w:line="240" w:lineRule="auto"/>
        <w:ind w:firstLine="560"/>
        <w:rPr>
          <w:rFonts w:hint="eastAsia"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（3）公安、住建、交通、铁路、城管等行政管理部门应根据各自职责，对交通运输、社会生活噪声及施工噪声污染防治实施监督管理。禁止在1类区、严格限制在2类区建设生产噪声污染的工业项目。</w:t>
      </w:r>
    </w:p>
    <w:p>
      <w:pPr>
        <w:pStyle w:val="12"/>
        <w:spacing w:line="240" w:lineRule="auto"/>
        <w:ind w:firstLine="560"/>
        <w:rPr>
          <w:rFonts w:hint="default"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（4）新建营业性文化娱乐场所的边界噪声必须符合国家规定的环境噪声排放标准；不符合国家规定的环境噪声排放标准的，文化行政主管部门不得核发文化经营许可证，市场管理部门不得核发营业执照。</w:t>
      </w:r>
    </w:p>
    <w:p>
      <w:pPr>
        <w:numPr>
          <w:ilvl w:val="0"/>
          <w:numId w:val="1"/>
        </w:numPr>
        <w:spacing w:line="360" w:lineRule="auto"/>
        <w:ind w:firstLine="560"/>
        <w:rPr>
          <w:rFonts w:hint="default"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花垣县城市规划区声环境功能区划分结果</w:t>
      </w:r>
    </w:p>
    <w:p>
      <w:pPr>
        <w:widowControl/>
        <w:snapToGrid w:val="0"/>
        <w:spacing w:line="600" w:lineRule="exact"/>
        <w:ind w:firstLine="640"/>
        <w:jc w:val="left"/>
        <w:rPr>
          <w:rFonts w:hint="default"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（一）花垣县声环境功能区划分概况</w:t>
      </w:r>
    </w:p>
    <w:p>
      <w:pPr>
        <w:widowControl/>
        <w:snapToGrid w:val="0"/>
        <w:spacing w:line="600" w:lineRule="exact"/>
        <w:ind w:firstLine="64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olor w:val="auto"/>
          <w:sz w:val="28"/>
          <w:highlight w:val="none"/>
          <w:lang w:eastAsia="zh-CN"/>
        </w:rPr>
        <w:t>花垣县</w:t>
      </w:r>
      <w:r>
        <w:rPr>
          <w:rFonts w:hint="eastAsia" w:ascii="Times New Roman" w:hAnsi="Times New Roman" w:eastAsia="仿宋"/>
          <w:color w:val="auto"/>
          <w:sz w:val="28"/>
          <w:highlight w:val="none"/>
        </w:rPr>
        <w:t>城市规划区声环境功能区</w:t>
      </w:r>
      <w:r>
        <w:rPr>
          <w:rFonts w:hint="eastAsia" w:ascii="Times New Roman" w:hAnsi="Times New Roman" w:eastAsia="仿宋"/>
          <w:color w:val="auto"/>
          <w:sz w:val="28"/>
          <w:highlight w:val="none"/>
          <w:lang w:eastAsia="zh-CN"/>
        </w:rPr>
        <w:t>划分总面积为</w:t>
      </w:r>
      <w:r>
        <w:rPr>
          <w:rFonts w:hint="eastAsia" w:ascii="Times New Roman" w:hAnsi="Times New Roman" w:eastAsia="仿宋"/>
          <w:color w:val="auto"/>
          <w:sz w:val="28"/>
          <w:highlight w:val="none"/>
          <w:lang w:val="en-US" w:eastAsia="zh-CN"/>
        </w:rPr>
        <w:t>27.85</w:t>
      </w:r>
      <w:r>
        <w:rPr>
          <w:rFonts w:hint="default" w:ascii="Times New Roman" w:hAnsi="Times New Roman" w:eastAsia="仿宋"/>
          <w:color w:val="auto"/>
          <w:sz w:val="28"/>
          <w:highlight w:val="none"/>
          <w:lang w:val="en-US" w:eastAsia="zh-CN"/>
        </w:rPr>
        <w:t>km</w:t>
      </w:r>
      <w:r>
        <w:rPr>
          <w:rFonts w:hint="eastAsia" w:ascii="Times New Roman" w:hAnsi="Times New Roman" w:eastAsia="仿宋"/>
          <w:color w:val="auto"/>
          <w:sz w:val="28"/>
          <w:highlight w:val="none"/>
          <w:vertAlign w:val="superscript"/>
          <w:lang w:val="en-US" w:eastAsia="zh-CN"/>
        </w:rPr>
        <w:t>2</w:t>
      </w:r>
      <w:r>
        <w:rPr>
          <w:rFonts w:hint="eastAsia" w:ascii="Times New Roman" w:hAnsi="Times New Roman" w:eastAsia="仿宋" w:cs="Times New Roman"/>
          <w:color w:val="auto"/>
          <w:sz w:val="28"/>
          <w:highlight w:val="none"/>
          <w:lang w:val="en-US" w:eastAsia="zh-CN"/>
        </w:rPr>
        <w:t>（不包括水体和未规划的山林）</w:t>
      </w:r>
      <w:r>
        <w:rPr>
          <w:rFonts w:hint="eastAsia" w:ascii="Times New Roman" w:hAnsi="Times New Roman" w:eastAsia="仿宋"/>
          <w:color w:val="auto"/>
          <w:sz w:val="28"/>
          <w:highlight w:val="none"/>
          <w:lang w:val="en-US" w:eastAsia="zh-CN"/>
        </w:rPr>
        <w:t>，其中一类声环境功能区面积0</w:t>
      </w:r>
      <w:r>
        <w:rPr>
          <w:rFonts w:hint="default" w:ascii="Times New Roman" w:hAnsi="Times New Roman" w:eastAsia="仿宋"/>
          <w:color w:val="auto"/>
          <w:sz w:val="28"/>
          <w:highlight w:val="none"/>
          <w:lang w:val="en-US" w:eastAsia="zh-CN"/>
        </w:rPr>
        <w:t>km</w:t>
      </w:r>
      <w:r>
        <w:rPr>
          <w:rFonts w:hint="eastAsia" w:ascii="Times New Roman" w:hAnsi="Times New Roman" w:eastAsia="仿宋"/>
          <w:color w:val="auto"/>
          <w:sz w:val="28"/>
          <w:highlight w:val="none"/>
          <w:vertAlign w:val="superscript"/>
          <w:lang w:val="en-US" w:eastAsia="zh-CN"/>
        </w:rPr>
        <w:t>2</w:t>
      </w:r>
      <w:r>
        <w:rPr>
          <w:rFonts w:hint="eastAsia" w:ascii="Times New Roman" w:hAnsi="Times New Roman" w:eastAsia="仿宋"/>
          <w:color w:val="auto"/>
          <w:sz w:val="28"/>
          <w:highlight w:val="none"/>
          <w:lang w:val="en-US" w:eastAsia="zh-CN"/>
        </w:rPr>
        <w:t>，占划分总面积的0%；二类声环境功能区面积16.79km2，占划分总面积的60.29%，三类声环境功能区面积11.06km2，占划分总面积的39.71%</w:t>
      </w:r>
      <w:r>
        <w:rPr>
          <w:rFonts w:hint="eastAsia" w:ascii="Times New Roman" w:hAnsi="Times New Roman" w:eastAsia="仿宋"/>
          <w:color w:val="auto"/>
          <w:sz w:val="28"/>
          <w:highlight w:val="none"/>
        </w:rPr>
        <w:t>；</w:t>
      </w:r>
      <w:r>
        <w:rPr>
          <w:rFonts w:hint="eastAsia" w:ascii="Times New Roman" w:hAnsi="Times New Roman" w:eastAsia="仿宋" w:cstheme="minorBidi"/>
          <w:color w:val="auto"/>
          <w:kern w:val="2"/>
          <w:sz w:val="28"/>
          <w:szCs w:val="22"/>
          <w:lang w:val="en-US" w:eastAsia="zh-CN" w:bidi="ar-SA"/>
        </w:rPr>
        <w:t>4类声环境功能区为花垣县城市规划区内主要城市主次干道、轻轨等两侧一定距离范围内区域（不统计面积）。</w:t>
      </w:r>
    </w:p>
    <w:p>
      <w:pPr>
        <w:numPr>
          <w:ilvl w:val="0"/>
          <w:numId w:val="0"/>
        </w:numPr>
        <w:spacing w:line="360" w:lineRule="auto"/>
        <w:jc w:val="center"/>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表3  花垣县城市规划区声环境功能区划分统计表</w:t>
      </w:r>
    </w:p>
    <w:tbl>
      <w:tblPr>
        <w:tblStyle w:val="10"/>
        <w:tblW w:w="86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4"/>
        <w:gridCol w:w="948"/>
        <w:gridCol w:w="895"/>
        <w:gridCol w:w="600"/>
        <w:gridCol w:w="1217"/>
        <w:gridCol w:w="860"/>
        <w:gridCol w:w="1240"/>
        <w:gridCol w:w="780"/>
        <w:gridCol w:w="8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244" w:type="dxa"/>
            <w:vMerge w:val="restart"/>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hint="eastAsia" w:ascii="Times New Roman" w:hAnsi="Times New Roman" w:eastAsia="仿宋_GB2312"/>
                <w:b/>
                <w:color w:val="auto"/>
                <w:kern w:val="0"/>
                <w:sz w:val="18"/>
                <w:szCs w:val="18"/>
                <w:u w:val="none"/>
              </w:rPr>
              <w:t>行政</w:t>
            </w:r>
            <w:r>
              <w:rPr>
                <w:rFonts w:ascii="Times New Roman" w:hAnsi="Times New Roman" w:eastAsia="仿宋_GB2312"/>
                <w:b/>
                <w:color w:val="auto"/>
                <w:kern w:val="0"/>
                <w:sz w:val="18"/>
                <w:szCs w:val="18"/>
                <w:u w:val="none"/>
              </w:rPr>
              <w:t>区</w:t>
            </w:r>
          </w:p>
        </w:tc>
        <w:tc>
          <w:tcPr>
            <w:tcW w:w="1843" w:type="dxa"/>
            <w:gridSpan w:val="2"/>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1类标准适用区</w:t>
            </w:r>
          </w:p>
        </w:tc>
        <w:tc>
          <w:tcPr>
            <w:tcW w:w="1817" w:type="dxa"/>
            <w:gridSpan w:val="2"/>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2类标准适用区</w:t>
            </w:r>
          </w:p>
        </w:tc>
        <w:tc>
          <w:tcPr>
            <w:tcW w:w="2100" w:type="dxa"/>
            <w:gridSpan w:val="2"/>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3类标准适用区</w:t>
            </w:r>
          </w:p>
        </w:tc>
        <w:tc>
          <w:tcPr>
            <w:tcW w:w="1606" w:type="dxa"/>
            <w:gridSpan w:val="2"/>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总   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1244" w:type="dxa"/>
            <w:vMerge w:val="continue"/>
            <w:vAlign w:val="center"/>
          </w:tcPr>
          <w:p>
            <w:pPr>
              <w:widowControl/>
              <w:snapToGrid w:val="0"/>
              <w:spacing w:line="400" w:lineRule="exact"/>
              <w:jc w:val="center"/>
              <w:rPr>
                <w:rFonts w:ascii="Times New Roman" w:hAnsi="Times New Roman" w:eastAsia="仿宋_GB2312"/>
                <w:b/>
                <w:color w:val="auto"/>
                <w:kern w:val="0"/>
                <w:sz w:val="18"/>
                <w:szCs w:val="18"/>
                <w:u w:val="none"/>
              </w:rPr>
            </w:pPr>
          </w:p>
        </w:tc>
        <w:tc>
          <w:tcPr>
            <w:tcW w:w="948"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数量(个)</w:t>
            </w:r>
          </w:p>
        </w:tc>
        <w:tc>
          <w:tcPr>
            <w:tcW w:w="895"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面积(km</w:t>
            </w:r>
            <w:r>
              <w:rPr>
                <w:rFonts w:ascii="Times New Roman" w:hAnsi="Times New Roman" w:eastAsia="仿宋_GB2312"/>
                <w:b/>
                <w:color w:val="auto"/>
                <w:kern w:val="0"/>
                <w:sz w:val="18"/>
                <w:szCs w:val="18"/>
                <w:u w:val="none"/>
                <w:vertAlign w:val="superscript"/>
              </w:rPr>
              <w:t>2</w:t>
            </w:r>
            <w:r>
              <w:rPr>
                <w:rFonts w:ascii="Times New Roman" w:hAnsi="Times New Roman" w:eastAsia="仿宋_GB2312"/>
                <w:b/>
                <w:color w:val="auto"/>
                <w:kern w:val="0"/>
                <w:sz w:val="18"/>
                <w:szCs w:val="18"/>
                <w:u w:val="none"/>
              </w:rPr>
              <w:t>)</w:t>
            </w:r>
          </w:p>
        </w:tc>
        <w:tc>
          <w:tcPr>
            <w:tcW w:w="600"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数量(个)</w:t>
            </w:r>
          </w:p>
        </w:tc>
        <w:tc>
          <w:tcPr>
            <w:tcW w:w="1217"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面积(</w:t>
            </w:r>
            <w:r>
              <w:rPr>
                <w:rFonts w:hint="eastAsia" w:ascii="Times New Roman" w:hAnsi="Times New Roman" w:eastAsia="仿宋_GB2312"/>
                <w:b/>
                <w:color w:val="auto"/>
                <w:kern w:val="0"/>
                <w:sz w:val="18"/>
                <w:szCs w:val="18"/>
                <w:u w:val="none"/>
                <w:lang w:val="en-US" w:eastAsia="zh-CN"/>
              </w:rPr>
              <w:t>k</w:t>
            </w:r>
            <w:r>
              <w:rPr>
                <w:rFonts w:ascii="Times New Roman" w:hAnsi="Times New Roman" w:eastAsia="仿宋_GB2312"/>
                <w:b/>
                <w:color w:val="auto"/>
                <w:kern w:val="0"/>
                <w:sz w:val="18"/>
                <w:szCs w:val="18"/>
                <w:u w:val="none"/>
              </w:rPr>
              <w:t>m</w:t>
            </w:r>
            <w:r>
              <w:rPr>
                <w:rFonts w:ascii="Times New Roman" w:hAnsi="Times New Roman" w:eastAsia="仿宋_GB2312"/>
                <w:b/>
                <w:color w:val="auto"/>
                <w:kern w:val="0"/>
                <w:sz w:val="18"/>
                <w:szCs w:val="18"/>
                <w:u w:val="none"/>
                <w:vertAlign w:val="superscript"/>
              </w:rPr>
              <w:t>2</w:t>
            </w:r>
            <w:r>
              <w:rPr>
                <w:rFonts w:ascii="Times New Roman" w:hAnsi="Times New Roman" w:eastAsia="仿宋_GB2312"/>
                <w:b/>
                <w:color w:val="auto"/>
                <w:kern w:val="0"/>
                <w:sz w:val="18"/>
                <w:szCs w:val="18"/>
                <w:u w:val="none"/>
              </w:rPr>
              <w:t>)</w:t>
            </w:r>
          </w:p>
        </w:tc>
        <w:tc>
          <w:tcPr>
            <w:tcW w:w="860"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数量(个)</w:t>
            </w:r>
          </w:p>
        </w:tc>
        <w:tc>
          <w:tcPr>
            <w:tcW w:w="1240"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面积(</w:t>
            </w:r>
            <w:r>
              <w:rPr>
                <w:rFonts w:hint="eastAsia" w:ascii="Times New Roman" w:hAnsi="Times New Roman" w:eastAsia="仿宋_GB2312"/>
                <w:b/>
                <w:color w:val="auto"/>
                <w:kern w:val="0"/>
                <w:sz w:val="18"/>
                <w:szCs w:val="18"/>
                <w:u w:val="none"/>
                <w:lang w:val="en-US" w:eastAsia="zh-CN"/>
              </w:rPr>
              <w:t>k</w:t>
            </w:r>
            <w:r>
              <w:rPr>
                <w:rFonts w:ascii="Times New Roman" w:hAnsi="Times New Roman" w:eastAsia="仿宋_GB2312"/>
                <w:b/>
                <w:color w:val="auto"/>
                <w:kern w:val="0"/>
                <w:sz w:val="18"/>
                <w:szCs w:val="18"/>
                <w:u w:val="none"/>
              </w:rPr>
              <w:t>m</w:t>
            </w:r>
            <w:r>
              <w:rPr>
                <w:rFonts w:ascii="Times New Roman" w:hAnsi="Times New Roman" w:eastAsia="仿宋_GB2312"/>
                <w:b/>
                <w:color w:val="auto"/>
                <w:kern w:val="0"/>
                <w:sz w:val="18"/>
                <w:szCs w:val="18"/>
                <w:u w:val="none"/>
                <w:vertAlign w:val="superscript"/>
              </w:rPr>
              <w:t>2</w:t>
            </w:r>
            <w:r>
              <w:rPr>
                <w:rFonts w:ascii="Times New Roman" w:hAnsi="Times New Roman" w:eastAsia="仿宋_GB2312"/>
                <w:b/>
                <w:color w:val="auto"/>
                <w:kern w:val="0"/>
                <w:sz w:val="18"/>
                <w:szCs w:val="18"/>
                <w:u w:val="none"/>
              </w:rPr>
              <w:t>)</w:t>
            </w:r>
          </w:p>
        </w:tc>
        <w:tc>
          <w:tcPr>
            <w:tcW w:w="780"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数量(个)</w:t>
            </w:r>
          </w:p>
        </w:tc>
        <w:tc>
          <w:tcPr>
            <w:tcW w:w="826" w:type="dxa"/>
            <w:vAlign w:val="center"/>
          </w:tcPr>
          <w:p>
            <w:pPr>
              <w:widowControl/>
              <w:snapToGrid w:val="0"/>
              <w:spacing w:line="400" w:lineRule="exact"/>
              <w:jc w:val="center"/>
              <w:rPr>
                <w:rFonts w:ascii="Times New Roman" w:hAnsi="Times New Roman" w:eastAsia="仿宋_GB2312"/>
                <w:b/>
                <w:color w:val="auto"/>
                <w:kern w:val="0"/>
                <w:sz w:val="18"/>
                <w:szCs w:val="18"/>
                <w:u w:val="none"/>
              </w:rPr>
            </w:pPr>
            <w:r>
              <w:rPr>
                <w:rFonts w:ascii="Times New Roman" w:hAnsi="Times New Roman" w:eastAsia="仿宋_GB2312"/>
                <w:b/>
                <w:color w:val="auto"/>
                <w:kern w:val="0"/>
                <w:sz w:val="18"/>
                <w:szCs w:val="18"/>
                <w:u w:val="none"/>
              </w:rPr>
              <w:t>面积(</w:t>
            </w:r>
            <w:r>
              <w:rPr>
                <w:rFonts w:hint="eastAsia" w:ascii="Times New Roman" w:hAnsi="Times New Roman" w:eastAsia="仿宋_GB2312"/>
                <w:b/>
                <w:color w:val="auto"/>
                <w:kern w:val="0"/>
                <w:sz w:val="18"/>
                <w:szCs w:val="18"/>
                <w:u w:val="none"/>
                <w:lang w:val="en-US" w:eastAsia="zh-CN"/>
              </w:rPr>
              <w:t>k</w:t>
            </w:r>
            <w:r>
              <w:rPr>
                <w:rFonts w:ascii="Times New Roman" w:hAnsi="Times New Roman" w:eastAsia="仿宋_GB2312"/>
                <w:b/>
                <w:color w:val="auto"/>
                <w:kern w:val="0"/>
                <w:sz w:val="18"/>
                <w:szCs w:val="18"/>
                <w:u w:val="none"/>
              </w:rPr>
              <w:t>m2)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244" w:type="dxa"/>
            <w:vAlign w:val="center"/>
          </w:tcPr>
          <w:p>
            <w:pPr>
              <w:widowControl/>
              <w:snapToGrid w:val="0"/>
              <w:spacing w:line="400" w:lineRule="exact"/>
              <w:jc w:val="center"/>
              <w:rPr>
                <w:rFonts w:ascii="Times New Roman" w:hAnsi="Times New Roman" w:eastAsia="仿宋_GB2312"/>
                <w:color w:val="auto"/>
                <w:kern w:val="0"/>
                <w:sz w:val="18"/>
                <w:szCs w:val="18"/>
                <w:u w:val="none"/>
              </w:rPr>
            </w:pPr>
            <w:r>
              <w:rPr>
                <w:rFonts w:hint="eastAsia" w:ascii="Times New Roman" w:hAnsi="Times New Roman" w:eastAsia="仿宋_GB2312"/>
                <w:color w:val="auto"/>
                <w:kern w:val="0"/>
                <w:sz w:val="18"/>
                <w:szCs w:val="18"/>
                <w:u w:val="none"/>
                <w:lang w:eastAsia="zh-CN"/>
              </w:rPr>
              <w:t>花垣县城区</w:t>
            </w:r>
            <w:r>
              <w:rPr>
                <w:rFonts w:hint="eastAsia" w:ascii="Times New Roman" w:hAnsi="Times New Roman" w:eastAsia="仿宋_GB2312"/>
                <w:color w:val="auto"/>
                <w:kern w:val="0"/>
                <w:sz w:val="18"/>
                <w:szCs w:val="18"/>
                <w:u w:val="none"/>
              </w:rPr>
              <w:t xml:space="preserve"> </w:t>
            </w:r>
          </w:p>
        </w:tc>
        <w:tc>
          <w:tcPr>
            <w:tcW w:w="948" w:type="dxa"/>
          </w:tcPr>
          <w:p>
            <w:pPr>
              <w:widowControl/>
              <w:jc w:val="center"/>
              <w:textAlignment w:val="top"/>
              <w:rPr>
                <w:rFonts w:hint="eastAsia" w:ascii="Times New Roman" w:hAnsi="Times New Roman" w:eastAsia="仿宋"/>
                <w:color w:val="auto"/>
                <w:u w:val="none"/>
                <w:vertAlign w:val="baseline"/>
                <w:lang w:val="en-US" w:eastAsia="zh-CN"/>
              </w:rPr>
            </w:pPr>
            <w:r>
              <w:rPr>
                <w:rFonts w:hint="eastAsia" w:ascii="Times New Roman" w:hAnsi="Times New Roman" w:eastAsia="仿宋"/>
                <w:color w:val="auto"/>
                <w:u w:val="none"/>
                <w:vertAlign w:val="baseline"/>
                <w:lang w:val="en-US" w:eastAsia="zh-CN"/>
              </w:rPr>
              <w:t>0</w:t>
            </w:r>
          </w:p>
        </w:tc>
        <w:tc>
          <w:tcPr>
            <w:tcW w:w="895" w:type="dxa"/>
            <w:vAlign w:val="center"/>
          </w:tcPr>
          <w:p>
            <w:pPr>
              <w:widowControl/>
              <w:jc w:val="center"/>
              <w:textAlignment w:val="top"/>
              <w:rPr>
                <w:rFonts w:hint="eastAsia" w:ascii="Times New Roman" w:hAnsi="Times New Roman" w:eastAsia="宋体"/>
                <w:color w:val="auto"/>
                <w:kern w:val="0"/>
                <w:sz w:val="18"/>
                <w:szCs w:val="18"/>
                <w:u w:val="none"/>
                <w:lang w:val="en-US" w:eastAsia="zh-CN"/>
              </w:rPr>
            </w:pPr>
            <w:r>
              <w:rPr>
                <w:rFonts w:hint="eastAsia" w:ascii="Times New Roman" w:hAnsi="Times New Roman"/>
                <w:color w:val="auto"/>
                <w:kern w:val="0"/>
                <w:sz w:val="18"/>
                <w:szCs w:val="18"/>
                <w:u w:val="none"/>
                <w:lang w:val="en-US" w:eastAsia="zh-CN"/>
              </w:rPr>
              <w:t>0</w:t>
            </w:r>
          </w:p>
        </w:tc>
        <w:tc>
          <w:tcPr>
            <w:tcW w:w="600" w:type="dxa"/>
          </w:tcPr>
          <w:p>
            <w:pPr>
              <w:widowControl/>
              <w:jc w:val="center"/>
              <w:textAlignment w:val="top"/>
              <w:rPr>
                <w:rFonts w:hint="default" w:ascii="Times New Roman" w:hAnsi="Times New Roman" w:eastAsia="宋体"/>
                <w:color w:val="auto"/>
                <w:kern w:val="0"/>
                <w:sz w:val="18"/>
                <w:szCs w:val="18"/>
                <w:u w:val="none"/>
                <w:lang w:val="en-US" w:eastAsia="zh-CN"/>
              </w:rPr>
            </w:pPr>
            <w:r>
              <w:rPr>
                <w:rFonts w:hint="eastAsia" w:ascii="Times New Roman" w:hAnsi="Times New Roman"/>
                <w:color w:val="auto"/>
                <w:kern w:val="0"/>
                <w:sz w:val="18"/>
                <w:szCs w:val="18"/>
                <w:u w:val="none"/>
                <w:lang w:val="en-US" w:eastAsia="zh-CN"/>
              </w:rPr>
              <w:t>10</w:t>
            </w:r>
          </w:p>
        </w:tc>
        <w:tc>
          <w:tcPr>
            <w:tcW w:w="1217" w:type="dxa"/>
            <w:vAlign w:val="center"/>
          </w:tcPr>
          <w:p>
            <w:pPr>
              <w:widowControl/>
              <w:jc w:val="center"/>
              <w:textAlignment w:val="top"/>
              <w:rPr>
                <w:rFonts w:hint="default" w:ascii="Times New Roman" w:hAnsi="Times New Roman"/>
                <w:color w:val="auto"/>
                <w:kern w:val="0"/>
                <w:sz w:val="18"/>
                <w:szCs w:val="18"/>
                <w:u w:val="none"/>
                <w:lang w:val="en-US"/>
              </w:rPr>
            </w:pPr>
            <w:r>
              <w:rPr>
                <w:rFonts w:hint="eastAsia" w:ascii="Times New Roman" w:hAnsi="Times New Roman" w:eastAsia="仿宋"/>
                <w:color w:val="auto"/>
                <w:u w:val="none"/>
                <w:vertAlign w:val="baseline"/>
                <w:lang w:val="en-US" w:eastAsia="zh-CN"/>
              </w:rPr>
              <w:t>16.79</w:t>
            </w:r>
          </w:p>
        </w:tc>
        <w:tc>
          <w:tcPr>
            <w:tcW w:w="860" w:type="dxa"/>
          </w:tcPr>
          <w:p>
            <w:pPr>
              <w:widowControl/>
              <w:jc w:val="center"/>
              <w:textAlignment w:val="top"/>
              <w:rPr>
                <w:rFonts w:hint="eastAsia" w:ascii="Times New Roman" w:hAnsi="Times New Roman"/>
                <w:color w:val="auto"/>
                <w:kern w:val="0"/>
                <w:sz w:val="18"/>
                <w:szCs w:val="18"/>
                <w:u w:val="none"/>
                <w:lang w:eastAsia="zh-CN"/>
              </w:rPr>
            </w:pPr>
            <w:r>
              <w:rPr>
                <w:rFonts w:hint="eastAsia" w:ascii="Times New Roman" w:hAnsi="Times New Roman"/>
                <w:color w:val="auto"/>
                <w:kern w:val="0"/>
                <w:sz w:val="18"/>
                <w:szCs w:val="18"/>
                <w:u w:val="none"/>
                <w:lang w:val="en-US" w:eastAsia="zh-CN"/>
              </w:rPr>
              <w:t>5</w:t>
            </w:r>
          </w:p>
        </w:tc>
        <w:tc>
          <w:tcPr>
            <w:tcW w:w="1240" w:type="dxa"/>
            <w:vAlign w:val="center"/>
          </w:tcPr>
          <w:p>
            <w:pPr>
              <w:widowControl/>
              <w:jc w:val="center"/>
              <w:textAlignment w:val="top"/>
              <w:rPr>
                <w:rFonts w:hint="default" w:ascii="Times New Roman" w:hAnsi="Times New Roman"/>
                <w:color w:val="auto"/>
                <w:kern w:val="0"/>
                <w:sz w:val="18"/>
                <w:szCs w:val="18"/>
                <w:u w:val="none"/>
                <w:lang w:val="en-US"/>
              </w:rPr>
            </w:pPr>
            <w:r>
              <w:rPr>
                <w:rFonts w:hint="eastAsia" w:ascii="Times New Roman" w:hAnsi="Times New Roman" w:eastAsia="仿宋"/>
                <w:color w:val="auto"/>
                <w:u w:val="none"/>
                <w:vertAlign w:val="baseline"/>
                <w:lang w:val="en-US" w:eastAsia="zh-CN"/>
              </w:rPr>
              <w:t>11.06</w:t>
            </w:r>
          </w:p>
        </w:tc>
        <w:tc>
          <w:tcPr>
            <w:tcW w:w="780" w:type="dxa"/>
            <w:vAlign w:val="center"/>
          </w:tcPr>
          <w:p>
            <w:pPr>
              <w:widowControl/>
              <w:jc w:val="center"/>
              <w:textAlignment w:val="top"/>
              <w:rPr>
                <w:rFonts w:hint="default" w:ascii="Times New Roman" w:hAnsi="Times New Roman"/>
                <w:color w:val="auto"/>
                <w:kern w:val="0"/>
                <w:sz w:val="18"/>
                <w:szCs w:val="18"/>
                <w:u w:val="none"/>
                <w:lang w:val="en-US" w:eastAsia="zh-CN"/>
              </w:rPr>
            </w:pPr>
            <w:r>
              <w:rPr>
                <w:rFonts w:hint="eastAsia" w:ascii="Times New Roman" w:hAnsi="Times New Roman"/>
                <w:color w:val="auto"/>
                <w:kern w:val="0"/>
                <w:sz w:val="18"/>
                <w:szCs w:val="18"/>
                <w:u w:val="none"/>
                <w:lang w:val="en-US" w:eastAsia="zh-CN"/>
              </w:rPr>
              <w:t>15</w:t>
            </w:r>
          </w:p>
        </w:tc>
        <w:tc>
          <w:tcPr>
            <w:tcW w:w="826" w:type="dxa"/>
            <w:vAlign w:val="center"/>
          </w:tcPr>
          <w:p>
            <w:pPr>
              <w:widowControl/>
              <w:jc w:val="center"/>
              <w:textAlignment w:val="top"/>
              <w:rPr>
                <w:rFonts w:hint="default" w:ascii="Times New Roman" w:hAnsi="Times New Roman"/>
                <w:color w:val="auto"/>
                <w:kern w:val="0"/>
                <w:sz w:val="18"/>
                <w:szCs w:val="18"/>
                <w:u w:val="none"/>
                <w:lang w:val="en-US"/>
              </w:rPr>
            </w:pPr>
            <w:r>
              <w:rPr>
                <w:rFonts w:hint="eastAsia" w:ascii="Times New Roman" w:hAnsi="Times New Roman" w:eastAsia="仿宋"/>
                <w:color w:val="auto"/>
                <w:u w:val="none"/>
                <w:lang w:val="en-US" w:eastAsia="zh-CN"/>
              </w:rPr>
              <w:t>27.85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44" w:type="dxa"/>
            <w:vAlign w:val="center"/>
          </w:tcPr>
          <w:p>
            <w:pPr>
              <w:widowControl/>
              <w:jc w:val="center"/>
              <w:textAlignment w:val="top"/>
              <w:rPr>
                <w:rFonts w:ascii="Times New Roman" w:hAnsi="Times New Roman"/>
                <w:color w:val="auto"/>
                <w:kern w:val="0"/>
                <w:sz w:val="18"/>
                <w:szCs w:val="18"/>
                <w:u w:val="none"/>
              </w:rPr>
            </w:pPr>
            <w:r>
              <w:rPr>
                <w:rFonts w:ascii="Times New Roman" w:hAnsi="Times New Roman" w:eastAsia="仿宋_GB2312"/>
                <w:color w:val="auto"/>
                <w:kern w:val="0"/>
                <w:sz w:val="18"/>
                <w:szCs w:val="18"/>
                <w:u w:val="none"/>
              </w:rPr>
              <w:t>合 计</w:t>
            </w:r>
          </w:p>
        </w:tc>
        <w:tc>
          <w:tcPr>
            <w:tcW w:w="948" w:type="dxa"/>
            <w:vAlign w:val="top"/>
          </w:tcPr>
          <w:p>
            <w:pPr>
              <w:widowControl/>
              <w:jc w:val="center"/>
              <w:textAlignment w:val="top"/>
              <w:rPr>
                <w:rFonts w:hint="eastAsia" w:ascii="Times New Roman" w:hAnsi="Times New Roman" w:eastAsia="宋体"/>
                <w:color w:val="auto"/>
                <w:kern w:val="0"/>
                <w:sz w:val="18"/>
                <w:szCs w:val="18"/>
                <w:u w:val="none"/>
                <w:lang w:eastAsia="zh-CN"/>
              </w:rPr>
            </w:pPr>
            <w:r>
              <w:rPr>
                <w:rFonts w:hint="eastAsia" w:ascii="Times New Roman" w:hAnsi="Times New Roman"/>
                <w:color w:val="auto"/>
                <w:kern w:val="0"/>
                <w:sz w:val="18"/>
                <w:szCs w:val="18"/>
                <w:u w:val="none"/>
                <w:lang w:val="en-US" w:eastAsia="zh-CN"/>
              </w:rPr>
              <w:t>0</w:t>
            </w:r>
          </w:p>
        </w:tc>
        <w:tc>
          <w:tcPr>
            <w:tcW w:w="895" w:type="dxa"/>
            <w:vAlign w:val="center"/>
          </w:tcPr>
          <w:p>
            <w:pPr>
              <w:widowControl/>
              <w:jc w:val="center"/>
              <w:textAlignment w:val="top"/>
              <w:rPr>
                <w:rFonts w:hint="default" w:ascii="Times New Roman" w:hAnsi="Times New Roman" w:eastAsia="宋体"/>
                <w:color w:val="auto"/>
                <w:kern w:val="0"/>
                <w:sz w:val="18"/>
                <w:szCs w:val="18"/>
                <w:u w:val="none"/>
                <w:lang w:val="en-US" w:eastAsia="zh-CN"/>
              </w:rPr>
            </w:pPr>
            <w:r>
              <w:rPr>
                <w:rFonts w:hint="eastAsia" w:ascii="Times New Roman" w:hAnsi="Times New Roman"/>
                <w:color w:val="auto"/>
                <w:kern w:val="0"/>
                <w:sz w:val="18"/>
                <w:szCs w:val="18"/>
                <w:u w:val="none"/>
                <w:lang w:val="en-US" w:eastAsia="zh-CN"/>
              </w:rPr>
              <w:t>0</w:t>
            </w:r>
          </w:p>
        </w:tc>
        <w:tc>
          <w:tcPr>
            <w:tcW w:w="600" w:type="dxa"/>
            <w:vAlign w:val="top"/>
          </w:tcPr>
          <w:p>
            <w:pPr>
              <w:widowControl/>
              <w:jc w:val="center"/>
              <w:textAlignment w:val="top"/>
              <w:rPr>
                <w:rFonts w:hint="default" w:ascii="Times New Roman" w:hAnsi="Times New Roman" w:eastAsia="宋体"/>
                <w:color w:val="auto"/>
                <w:kern w:val="0"/>
                <w:sz w:val="18"/>
                <w:szCs w:val="18"/>
                <w:u w:val="none"/>
                <w:lang w:val="en-US" w:eastAsia="zh-CN"/>
              </w:rPr>
            </w:pPr>
            <w:r>
              <w:rPr>
                <w:rFonts w:hint="eastAsia" w:ascii="Times New Roman" w:hAnsi="Times New Roman"/>
                <w:color w:val="auto"/>
                <w:kern w:val="0"/>
                <w:sz w:val="18"/>
                <w:szCs w:val="18"/>
                <w:u w:val="none"/>
                <w:lang w:val="en-US" w:eastAsia="zh-CN"/>
              </w:rPr>
              <w:t>10</w:t>
            </w:r>
          </w:p>
        </w:tc>
        <w:tc>
          <w:tcPr>
            <w:tcW w:w="1217" w:type="dxa"/>
            <w:vAlign w:val="center"/>
          </w:tcPr>
          <w:p>
            <w:pPr>
              <w:widowControl/>
              <w:jc w:val="center"/>
              <w:textAlignment w:val="top"/>
              <w:rPr>
                <w:rFonts w:hint="default" w:ascii="宋体" w:hAnsi="宋体" w:cs="宋体"/>
                <w:color w:val="auto"/>
                <w:sz w:val="18"/>
                <w:szCs w:val="18"/>
                <w:u w:val="none"/>
                <w:lang w:val="en-US"/>
              </w:rPr>
            </w:pPr>
            <w:r>
              <w:rPr>
                <w:rFonts w:hint="eastAsia" w:ascii="Times New Roman" w:hAnsi="Times New Roman" w:eastAsia="仿宋"/>
                <w:color w:val="auto"/>
                <w:u w:val="none"/>
                <w:vertAlign w:val="baseline"/>
                <w:lang w:val="en-US" w:eastAsia="zh-CN"/>
              </w:rPr>
              <w:t>16.79</w:t>
            </w:r>
          </w:p>
        </w:tc>
        <w:tc>
          <w:tcPr>
            <w:tcW w:w="860" w:type="dxa"/>
            <w:vAlign w:val="top"/>
          </w:tcPr>
          <w:p>
            <w:pPr>
              <w:widowControl/>
              <w:jc w:val="center"/>
              <w:textAlignment w:val="top"/>
              <w:rPr>
                <w:rFonts w:ascii="Times New Roman" w:hAnsi="Times New Roman"/>
                <w:color w:val="auto"/>
                <w:kern w:val="0"/>
                <w:sz w:val="18"/>
                <w:szCs w:val="18"/>
                <w:u w:val="none"/>
              </w:rPr>
            </w:pPr>
            <w:r>
              <w:rPr>
                <w:rFonts w:hint="eastAsia" w:ascii="Times New Roman" w:hAnsi="Times New Roman"/>
                <w:color w:val="auto"/>
                <w:kern w:val="0"/>
                <w:sz w:val="18"/>
                <w:szCs w:val="18"/>
                <w:u w:val="none"/>
                <w:lang w:val="en-US" w:eastAsia="zh-CN"/>
              </w:rPr>
              <w:t>5</w:t>
            </w:r>
          </w:p>
        </w:tc>
        <w:tc>
          <w:tcPr>
            <w:tcW w:w="1240" w:type="dxa"/>
            <w:vAlign w:val="center"/>
          </w:tcPr>
          <w:p>
            <w:pPr>
              <w:widowControl/>
              <w:jc w:val="center"/>
              <w:textAlignment w:val="top"/>
              <w:rPr>
                <w:rFonts w:hint="default" w:ascii="宋体" w:hAnsi="宋体" w:cs="宋体"/>
                <w:color w:val="auto"/>
                <w:sz w:val="18"/>
                <w:szCs w:val="18"/>
                <w:u w:val="none"/>
                <w:lang w:val="en-US"/>
              </w:rPr>
            </w:pPr>
            <w:r>
              <w:rPr>
                <w:rFonts w:hint="eastAsia" w:ascii="Times New Roman" w:hAnsi="Times New Roman" w:eastAsia="仿宋"/>
                <w:color w:val="auto"/>
                <w:u w:val="none"/>
                <w:vertAlign w:val="baseline"/>
                <w:lang w:val="en-US" w:eastAsia="zh-CN"/>
              </w:rPr>
              <w:t>11.06</w:t>
            </w:r>
          </w:p>
        </w:tc>
        <w:tc>
          <w:tcPr>
            <w:tcW w:w="780" w:type="dxa"/>
            <w:vAlign w:val="center"/>
          </w:tcPr>
          <w:p>
            <w:pPr>
              <w:widowControl/>
              <w:jc w:val="center"/>
              <w:textAlignment w:val="top"/>
              <w:rPr>
                <w:rFonts w:hint="default" w:ascii="Times New Roman" w:hAnsi="Times New Roman"/>
                <w:color w:val="auto"/>
                <w:kern w:val="0"/>
                <w:sz w:val="18"/>
                <w:szCs w:val="18"/>
                <w:u w:val="none"/>
                <w:lang w:val="en-US"/>
              </w:rPr>
            </w:pPr>
            <w:r>
              <w:rPr>
                <w:rFonts w:hint="eastAsia" w:ascii="Times New Roman" w:hAnsi="Times New Roman"/>
                <w:color w:val="auto"/>
                <w:kern w:val="0"/>
                <w:sz w:val="18"/>
                <w:szCs w:val="18"/>
                <w:u w:val="none"/>
                <w:lang w:val="en-US" w:eastAsia="zh-CN"/>
              </w:rPr>
              <w:t>15</w:t>
            </w:r>
          </w:p>
        </w:tc>
        <w:tc>
          <w:tcPr>
            <w:tcW w:w="826" w:type="dxa"/>
            <w:vAlign w:val="center"/>
          </w:tcPr>
          <w:p>
            <w:pPr>
              <w:widowControl/>
              <w:jc w:val="center"/>
              <w:textAlignment w:val="top"/>
              <w:rPr>
                <w:rFonts w:hint="default" w:ascii="宋体" w:hAnsi="宋体" w:cs="宋体"/>
                <w:color w:val="auto"/>
                <w:sz w:val="18"/>
                <w:szCs w:val="18"/>
                <w:u w:val="none"/>
                <w:lang w:val="en-US"/>
              </w:rPr>
            </w:pPr>
            <w:r>
              <w:rPr>
                <w:rFonts w:hint="eastAsia" w:ascii="Times New Roman" w:hAnsi="Times New Roman" w:eastAsia="仿宋"/>
                <w:color w:val="auto"/>
                <w:u w:val="none"/>
                <w:lang w:val="en-US" w:eastAsia="zh-CN"/>
              </w:rPr>
              <w:t>27.85</w:t>
            </w:r>
          </w:p>
        </w:tc>
      </w:tr>
    </w:tbl>
    <w:p>
      <w:pPr>
        <w:tabs>
          <w:tab w:val="left" w:pos="7089"/>
        </w:tabs>
        <w:spacing w:line="600" w:lineRule="exact"/>
        <w:ind w:firstLine="360" w:firstLineChars="200"/>
        <w:jc w:val="left"/>
        <w:rPr>
          <w:rFonts w:hint="default" w:ascii="Times New Roman" w:hAnsi="Times New Roman" w:eastAsia="仿宋" w:cstheme="minorBidi"/>
          <w:color w:val="auto"/>
          <w:kern w:val="2"/>
          <w:sz w:val="18"/>
          <w:szCs w:val="18"/>
          <w:lang w:val="en-US" w:eastAsia="zh-CN" w:bidi="ar-SA"/>
        </w:rPr>
      </w:pPr>
      <w:r>
        <w:rPr>
          <w:rFonts w:hint="eastAsia" w:ascii="Times New Roman" w:hAnsi="Times New Roman" w:eastAsia="仿宋" w:cstheme="minorBidi"/>
          <w:color w:val="auto"/>
          <w:kern w:val="2"/>
          <w:sz w:val="18"/>
          <w:szCs w:val="18"/>
          <w:lang w:val="en-US" w:eastAsia="zh-CN" w:bidi="ar-SA"/>
        </w:rPr>
        <w:t>注：未计算交通枢纽的区域面积。</w:t>
      </w:r>
    </w:p>
    <w:p>
      <w:pPr>
        <w:widowControl/>
        <w:snapToGrid w:val="0"/>
        <w:spacing w:line="600" w:lineRule="exact"/>
        <w:ind w:firstLine="64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（二）2020年花垣县城市规划区交通干线的确定</w:t>
      </w:r>
    </w:p>
    <w:p>
      <w:pPr>
        <w:pStyle w:val="12"/>
        <w:spacing w:line="240" w:lineRule="auto"/>
        <w:ind w:firstLine="560"/>
        <w:rPr>
          <w:rFonts w:hint="default" w:ascii="Times New Roman" w:hAnsi="Times New Roman" w:eastAsia="仿宋"/>
          <w:color w:val="auto"/>
          <w:szCs w:val="22"/>
          <w:lang w:val="en-US" w:eastAsia="zh-CN"/>
        </w:rPr>
      </w:pPr>
      <w:r>
        <w:rPr>
          <w:rFonts w:hint="eastAsia" w:ascii="Times New Roman" w:hAnsi="Times New Roman" w:eastAsia="仿宋"/>
          <w:color w:val="auto"/>
          <w:szCs w:val="22"/>
          <w:lang w:val="en-US" w:eastAsia="zh-CN"/>
        </w:rPr>
        <w:t>按照《声环境质量标准》（GB3096-2008）、《公路工程技术标准》（JTG01-2014）及《城市规划基本术语标准》（GB/T50280-1998）中交通干线的定义，对花垣县各类交通干线的条数、名称等信息进行了确定。本次划分确定花垣县城市规划区各类城市道路交通干线共17条，其中城市高速公路1条，主干线12条，次干线4条。</w:t>
      </w:r>
    </w:p>
    <w:p>
      <w:pPr>
        <w:numPr>
          <w:ilvl w:val="0"/>
          <w:numId w:val="1"/>
        </w:numPr>
        <w:spacing w:line="360" w:lineRule="auto"/>
        <w:ind w:firstLine="560"/>
        <w:rPr>
          <w:rFonts w:hint="eastAsia" w:ascii="Times New Roman" w:hAnsi="Times New Roman" w:eastAsia="仿宋"/>
          <w:b/>
          <w:bCs/>
          <w:color w:val="auto"/>
          <w:sz w:val="28"/>
          <w:lang w:val="en-US" w:eastAsia="zh-CN"/>
        </w:rPr>
      </w:pPr>
      <w:r>
        <w:rPr>
          <w:rFonts w:hint="eastAsia" w:ascii="Times New Roman" w:hAnsi="Times New Roman" w:eastAsia="仿宋"/>
          <w:b/>
          <w:bCs/>
          <w:color w:val="auto"/>
          <w:sz w:val="28"/>
          <w:lang w:val="en-US" w:eastAsia="zh-CN"/>
        </w:rPr>
        <w:t>执行时间</w:t>
      </w:r>
    </w:p>
    <w:p>
      <w:p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本《区划》自2021年1月1日起执行。</w:t>
      </w:r>
    </w:p>
    <w:p>
      <w:p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p>
    <w:p>
      <w:p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p>
    <w:p>
      <w:p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附件1 花垣县城区声环境功能区划分结果；</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附件2 花垣县城市规划区交通干线明细；</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附图1 花垣县城市规划区声环境功能区划分图；</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附图2 花垣县城市规划区2类声环境功能区划分图；</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附图3 花垣县城市规划区3类声环境功能区划分图；</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auto"/>
          <w:kern w:val="2"/>
          <w:sz w:val="28"/>
          <w:szCs w:val="22"/>
          <w:lang w:val="en-US" w:eastAsia="zh-CN" w:bidi="ar-SA"/>
        </w:rPr>
      </w:pPr>
      <w:r>
        <w:rPr>
          <w:rFonts w:hint="eastAsia" w:ascii="Times New Roman" w:hAnsi="Times New Roman" w:eastAsia="仿宋" w:cstheme="minorBidi"/>
          <w:color w:val="auto"/>
          <w:kern w:val="2"/>
          <w:sz w:val="28"/>
          <w:szCs w:val="22"/>
          <w:lang w:val="en-US" w:eastAsia="zh-CN" w:bidi="ar-SA"/>
        </w:rPr>
        <w:t>附图4 花垣县城市规划区主要交通干线分布图；</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000000"/>
          <w:kern w:val="2"/>
          <w:sz w:val="28"/>
          <w:szCs w:val="22"/>
          <w:lang w:val="en-US" w:eastAsia="zh-CN" w:bidi="ar-SA"/>
        </w:rPr>
      </w:pPr>
      <w:r>
        <w:rPr>
          <w:rFonts w:hint="eastAsia" w:ascii="Times New Roman" w:hAnsi="Times New Roman" w:eastAsia="仿宋" w:cstheme="minorBidi"/>
          <w:color w:val="000000"/>
          <w:kern w:val="2"/>
          <w:sz w:val="28"/>
          <w:szCs w:val="22"/>
          <w:lang w:val="en-US" w:eastAsia="zh-CN" w:bidi="ar-SA"/>
        </w:rPr>
        <w:t>附图5 花垣县城市规划区区域噪声监测点位分布图；</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000000"/>
          <w:kern w:val="2"/>
          <w:sz w:val="28"/>
          <w:szCs w:val="22"/>
          <w:lang w:val="en-US" w:eastAsia="zh-CN" w:bidi="ar-SA"/>
        </w:rPr>
      </w:pPr>
      <w:r>
        <w:rPr>
          <w:rFonts w:hint="eastAsia" w:ascii="Times New Roman" w:hAnsi="Times New Roman" w:eastAsia="仿宋" w:cstheme="minorBidi"/>
          <w:color w:val="000000"/>
          <w:kern w:val="2"/>
          <w:sz w:val="28"/>
          <w:szCs w:val="22"/>
          <w:lang w:val="en-US" w:eastAsia="zh-CN" w:bidi="ar-SA"/>
        </w:rPr>
        <w:t>附图6 花垣县城市规划区交通噪声监测点位分布图；</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000000"/>
          <w:kern w:val="2"/>
          <w:sz w:val="28"/>
          <w:szCs w:val="22"/>
          <w:lang w:val="en-US" w:eastAsia="zh-CN" w:bidi="ar-SA"/>
        </w:rPr>
      </w:pPr>
      <w:r>
        <w:rPr>
          <w:rFonts w:hint="eastAsia" w:ascii="Times New Roman" w:hAnsi="Times New Roman" w:eastAsia="仿宋" w:cstheme="minorBidi"/>
          <w:color w:val="000000"/>
          <w:kern w:val="2"/>
          <w:sz w:val="28"/>
          <w:szCs w:val="22"/>
          <w:lang w:val="en-US" w:eastAsia="zh-CN" w:bidi="ar-SA"/>
        </w:rPr>
        <w:t>附图7 花垣县总规土地利用规划图；</w:t>
      </w:r>
    </w:p>
    <w:p>
      <w:pPr>
        <w:numPr>
          <w:ilvl w:val="0"/>
          <w:numId w:val="0"/>
        </w:numPr>
        <w:tabs>
          <w:tab w:val="left" w:pos="7089"/>
        </w:tabs>
        <w:spacing w:line="600" w:lineRule="exact"/>
        <w:ind w:firstLine="560" w:firstLineChars="200"/>
        <w:jc w:val="left"/>
        <w:rPr>
          <w:rFonts w:hint="eastAsia" w:ascii="Times New Roman" w:hAnsi="Times New Roman" w:eastAsia="仿宋" w:cstheme="minorBidi"/>
          <w:color w:val="000000"/>
          <w:kern w:val="2"/>
          <w:sz w:val="28"/>
          <w:szCs w:val="22"/>
          <w:lang w:val="en-US" w:eastAsia="zh-CN" w:bidi="ar-SA"/>
        </w:rPr>
      </w:pPr>
      <w:r>
        <w:rPr>
          <w:rFonts w:hint="eastAsia" w:ascii="Times New Roman" w:hAnsi="Times New Roman" w:eastAsia="仿宋" w:cstheme="minorBidi"/>
          <w:color w:val="000000"/>
          <w:kern w:val="2"/>
          <w:sz w:val="28"/>
          <w:szCs w:val="22"/>
          <w:lang w:val="en-US" w:eastAsia="zh-CN" w:bidi="ar-SA"/>
        </w:rPr>
        <w:t>附图8 道路交通规划图。</w:t>
      </w:r>
    </w:p>
    <w:p>
      <w:pPr>
        <w:tabs>
          <w:tab w:val="left" w:pos="7089"/>
        </w:tabs>
        <w:spacing w:line="600" w:lineRule="exact"/>
        <w:ind w:firstLine="560" w:firstLineChars="200"/>
        <w:jc w:val="left"/>
        <w:rPr>
          <w:rFonts w:hint="default" w:ascii="Times New Roman" w:hAnsi="Times New Roman" w:cs="Times New Roman" w:eastAsiaTheme="majorEastAsia"/>
          <w:color w:val="000000"/>
          <w:sz w:val="28"/>
          <w:szCs w:val="28"/>
          <w:lang w:val="en-US" w:eastAsia="zh-CN"/>
        </w:rPr>
      </w:pPr>
    </w:p>
    <w:p>
      <w:pPr>
        <w:tabs>
          <w:tab w:val="left" w:pos="7089"/>
        </w:tabs>
        <w:spacing w:line="600" w:lineRule="exact"/>
        <w:ind w:firstLine="560" w:firstLineChars="200"/>
        <w:jc w:val="left"/>
        <w:rPr>
          <w:rFonts w:hint="default" w:ascii="Times New Roman" w:hAnsi="Times New Roman" w:cs="Times New Roman" w:eastAsiaTheme="majorEastAsia"/>
          <w:color w:val="000000"/>
          <w:sz w:val="28"/>
          <w:szCs w:val="28"/>
          <w:lang w:val="en-US" w:eastAsia="zh-CN"/>
        </w:rPr>
      </w:pPr>
    </w:p>
    <w:p>
      <w:pPr>
        <w:tabs>
          <w:tab w:val="left" w:pos="7089"/>
        </w:tabs>
        <w:spacing w:line="600" w:lineRule="exact"/>
        <w:ind w:firstLine="560" w:firstLineChars="200"/>
        <w:jc w:val="left"/>
        <w:rPr>
          <w:rFonts w:hint="default" w:ascii="Times New Roman" w:hAnsi="Times New Roman" w:cs="Times New Roman" w:eastAsiaTheme="majorEastAsia"/>
          <w:color w:val="000000"/>
          <w:sz w:val="28"/>
          <w:szCs w:val="28"/>
          <w:lang w:val="en-US" w:eastAsia="zh-CN"/>
        </w:rPr>
      </w:pPr>
    </w:p>
    <w:p>
      <w:pPr>
        <w:widowControl/>
        <w:snapToGrid w:val="0"/>
        <w:spacing w:line="400" w:lineRule="exact"/>
        <w:jc w:val="left"/>
        <w:rPr>
          <w:rFonts w:hint="eastAsia" w:ascii="Times New Roman" w:hAnsi="Times New Roman" w:eastAsia="仿宋" w:cstheme="minorBidi"/>
          <w:color w:val="000000"/>
          <w:kern w:val="2"/>
          <w:sz w:val="28"/>
          <w:szCs w:val="22"/>
          <w:lang w:val="en-US" w:eastAsia="zh-CN" w:bidi="ar-SA"/>
        </w:rPr>
      </w:pPr>
    </w:p>
    <w:p>
      <w:pPr>
        <w:widowControl/>
        <w:snapToGrid w:val="0"/>
        <w:spacing w:line="400" w:lineRule="exact"/>
        <w:jc w:val="left"/>
        <w:rPr>
          <w:rFonts w:hint="eastAsia" w:ascii="Times New Roman" w:hAnsi="Times New Roman" w:eastAsia="仿宋" w:cstheme="minorBidi"/>
          <w:color w:val="000000"/>
          <w:kern w:val="2"/>
          <w:sz w:val="28"/>
          <w:szCs w:val="22"/>
          <w:lang w:val="en-US" w:eastAsia="zh-CN" w:bidi="ar-SA"/>
        </w:rPr>
        <w:sectPr>
          <w:footerReference r:id="rId3" w:type="default"/>
          <w:pgSz w:w="11906" w:h="16838"/>
          <w:pgMar w:top="1440" w:right="1800" w:bottom="1440" w:left="1800" w:header="851" w:footer="992" w:gutter="0"/>
          <w:pgNumType w:fmt="decimal"/>
          <w:cols w:space="425" w:num="1"/>
          <w:docGrid w:type="lines" w:linePitch="312" w:charSpace="0"/>
        </w:sectPr>
      </w:pPr>
    </w:p>
    <w:p>
      <w:pPr>
        <w:widowControl/>
        <w:snapToGrid w:val="0"/>
        <w:spacing w:line="400" w:lineRule="exact"/>
        <w:jc w:val="left"/>
        <w:rPr>
          <w:rFonts w:hint="default" w:ascii="Times New Roman" w:hAnsi="Times New Roman" w:eastAsia="仿宋" w:cstheme="minorBidi"/>
          <w:b/>
          <w:bCs/>
          <w:color w:val="000000"/>
          <w:kern w:val="2"/>
          <w:sz w:val="28"/>
          <w:szCs w:val="22"/>
          <w:lang w:val="en-US" w:eastAsia="zh-CN" w:bidi="ar-SA"/>
        </w:rPr>
      </w:pPr>
      <w:bookmarkStart w:id="0" w:name="_GoBack"/>
      <w:r>
        <w:rPr>
          <w:rFonts w:hint="eastAsia" w:ascii="Times New Roman" w:hAnsi="Times New Roman" w:eastAsia="仿宋" w:cstheme="minorBidi"/>
          <w:b/>
          <w:bCs/>
          <w:color w:val="000000"/>
          <w:kern w:val="2"/>
          <w:sz w:val="28"/>
          <w:szCs w:val="22"/>
          <w:lang w:val="en-US" w:eastAsia="zh-CN" w:bidi="ar-SA"/>
        </w:rPr>
        <w:t>附件一  花垣县城区声环境功能区划分结果</w:t>
      </w:r>
    </w:p>
    <w:bookmarkEnd w:id="0"/>
    <w:p>
      <w:pPr>
        <w:widowControl/>
        <w:snapToGrid w:val="0"/>
        <w:spacing w:line="580" w:lineRule="exact"/>
        <w:ind w:firstLine="640"/>
        <w:jc w:val="center"/>
        <w:rPr>
          <w:rFonts w:ascii="Times New Roman" w:eastAsia="仿宋"/>
          <w:b/>
          <w:color w:val="000000"/>
          <w:kern w:val="0"/>
          <w:sz w:val="28"/>
          <w:szCs w:val="28"/>
          <w:lang w:bidi="ar"/>
        </w:rPr>
      </w:pPr>
      <w:r>
        <w:rPr>
          <w:rFonts w:hint="eastAsia" w:ascii="Times New Roman" w:eastAsia="仿宋"/>
          <w:b/>
          <w:color w:val="000000"/>
          <w:kern w:val="0"/>
          <w:sz w:val="28"/>
          <w:szCs w:val="28"/>
          <w:lang w:eastAsia="zh-CN" w:bidi="ar"/>
        </w:rPr>
        <w:t>花垣县城区</w:t>
      </w:r>
      <w:r>
        <w:rPr>
          <w:rFonts w:ascii="Times New Roman" w:eastAsia="仿宋"/>
          <w:b/>
          <w:color w:val="000000"/>
          <w:kern w:val="0"/>
          <w:sz w:val="28"/>
          <w:szCs w:val="28"/>
          <w:lang w:bidi="ar"/>
        </w:rPr>
        <w:t>声环境功能区划分</w:t>
      </w:r>
      <w:r>
        <w:rPr>
          <w:rFonts w:hint="eastAsia" w:ascii="Times New Roman" w:eastAsia="仿宋"/>
          <w:b/>
          <w:color w:val="000000"/>
          <w:kern w:val="0"/>
          <w:sz w:val="28"/>
          <w:szCs w:val="28"/>
          <w:lang w:bidi="ar"/>
        </w:rPr>
        <w:t>结果</w:t>
      </w:r>
    </w:p>
    <w:tbl>
      <w:tblPr>
        <w:tblStyle w:val="10"/>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10"/>
        <w:gridCol w:w="791"/>
        <w:gridCol w:w="7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6" w:hRule="atLeast"/>
          <w:jc w:val="center"/>
        </w:trPr>
        <w:tc>
          <w:tcPr>
            <w:tcW w:w="710" w:type="dxa"/>
            <w:shd w:val="clear" w:color="auto" w:fill="auto"/>
            <w:noWrap/>
            <w:tcMar>
              <w:top w:w="12" w:type="dxa"/>
              <w:left w:w="12" w:type="dxa"/>
              <w:right w:w="12" w:type="dxa"/>
            </w:tcMar>
            <w:vAlign w:val="center"/>
          </w:tcPr>
          <w:p>
            <w:pPr>
              <w:widowControl/>
              <w:snapToGrid w:val="0"/>
              <w:spacing w:line="400" w:lineRule="exact"/>
              <w:jc w:val="center"/>
              <w:rPr>
                <w:rFonts w:hint="default" w:ascii="Times New Roman" w:hAnsi="Times New Roman" w:eastAsia="仿宋_GB2312"/>
                <w:b/>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b/>
                <w:color w:val="000000" w:themeColor="text1"/>
                <w:kern w:val="0"/>
                <w:sz w:val="18"/>
                <w:szCs w:val="18"/>
                <w:u w:val="none"/>
                <w:lang w:val="en-US" w:eastAsia="zh-CN"/>
                <w14:textFill>
                  <w14:solidFill>
                    <w14:schemeClr w14:val="tx1"/>
                  </w14:solidFill>
                </w14:textFill>
              </w:rPr>
              <w:t>类别</w:t>
            </w:r>
          </w:p>
        </w:tc>
        <w:tc>
          <w:tcPr>
            <w:tcW w:w="791" w:type="dxa"/>
            <w:shd w:val="clear" w:color="auto" w:fill="auto"/>
            <w:noWrap/>
            <w:tcMar>
              <w:top w:w="12" w:type="dxa"/>
              <w:left w:w="12" w:type="dxa"/>
              <w:right w:w="12" w:type="dxa"/>
            </w:tcMar>
            <w:vAlign w:val="center"/>
          </w:tcPr>
          <w:p>
            <w:pPr>
              <w:widowControl/>
              <w:snapToGrid w:val="0"/>
              <w:spacing w:line="400" w:lineRule="exact"/>
              <w:jc w:val="center"/>
              <w:rPr>
                <w:rFonts w:hint="default" w:ascii="Times New Roman" w:hAnsi="Times New Roman" w:eastAsia="仿宋_GB2312"/>
                <w:b/>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b/>
                <w:color w:val="000000" w:themeColor="text1"/>
                <w:kern w:val="0"/>
                <w:sz w:val="18"/>
                <w:szCs w:val="18"/>
                <w:u w:val="none"/>
                <w:lang w:val="en-US" w:eastAsia="zh-CN"/>
                <w14:textFill>
                  <w14:solidFill>
                    <w14:schemeClr w14:val="tx1"/>
                  </w14:solidFill>
                </w14:textFill>
              </w:rPr>
              <w:t>编号</w:t>
            </w:r>
          </w:p>
        </w:tc>
        <w:tc>
          <w:tcPr>
            <w:tcW w:w="7148" w:type="dxa"/>
            <w:shd w:val="clear" w:color="auto" w:fill="auto"/>
            <w:noWrap/>
            <w:tcMar>
              <w:top w:w="12" w:type="dxa"/>
              <w:left w:w="12" w:type="dxa"/>
              <w:right w:w="12" w:type="dxa"/>
            </w:tcMar>
            <w:vAlign w:val="center"/>
          </w:tcPr>
          <w:p>
            <w:pPr>
              <w:widowControl/>
              <w:snapToGrid w:val="0"/>
              <w:spacing w:line="400" w:lineRule="exact"/>
              <w:jc w:val="center"/>
              <w:rPr>
                <w:rFonts w:hint="default" w:ascii="Times New Roman" w:hAnsi="Times New Roman" w:eastAsia="仿宋_GB2312"/>
                <w:b/>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b/>
                <w:color w:val="000000" w:themeColor="text1"/>
                <w:kern w:val="0"/>
                <w:sz w:val="18"/>
                <w:szCs w:val="18"/>
                <w:u w:val="none"/>
                <w:lang w:val="en-US" w:eastAsia="zh-CN"/>
                <w14:textFill>
                  <w14:solidFill>
                    <w14:schemeClr w14:val="tx1"/>
                  </w14:solidFill>
                </w14:textFill>
              </w:rPr>
              <w:t>地理</w:t>
            </w:r>
            <w:r>
              <w:rPr>
                <w:rFonts w:hint="default" w:ascii="Times New Roman" w:hAnsi="Times New Roman" w:eastAsia="仿宋_GB2312"/>
                <w:b/>
                <w:color w:val="000000" w:themeColor="text1"/>
                <w:kern w:val="0"/>
                <w:sz w:val="18"/>
                <w:szCs w:val="18"/>
                <w:u w:val="none"/>
                <w:lang w:val="en-US" w:eastAsia="zh-CN"/>
                <w14:textFill>
                  <w14:solidFill>
                    <w14:schemeClr w14:val="tx1"/>
                  </w14:solidFill>
                </w14:textFill>
              </w:rPr>
              <w:t>边界</w:t>
            </w:r>
            <w:r>
              <w:rPr>
                <w:rFonts w:hint="eastAsia" w:ascii="Times New Roman" w:hAnsi="Times New Roman" w:eastAsia="仿宋_GB2312"/>
                <w:b/>
                <w:color w:val="000000" w:themeColor="text1"/>
                <w:kern w:val="0"/>
                <w:sz w:val="18"/>
                <w:szCs w:val="18"/>
                <w:u w:val="none"/>
                <w:lang w:val="en-US" w:eastAsia="zh-CN"/>
                <w14:textFill>
                  <w14:solidFill>
                    <w14:schemeClr w14:val="tx1"/>
                  </w14:solidFill>
                </w14:textFill>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restart"/>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2类区</w:t>
            </w: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花垣2-1</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西以张花高速为界，北以边城大道为界，东以城北大道为界。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花垣2-2</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西以张花高速为界，北以乡道076为界，东以城北大道为界，南以国道319为界。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花垣2-3</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西以中心城区范围边界为界，北部以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国道319</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，东以城北大道为界，南以规划区为界</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花垣2-4</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西以边城大道和城北大道为界，北部以中心城区及规划区边界为界，南以建设西路为界。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花垣2-5</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西以城北大道为界，北以建设西路为界，东以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钟佛路</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西</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南部以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大竹山</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花垣2-6</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北</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建设中路</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东</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四方井路</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为界，南以衡阳路</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为界，西以钟</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佛路为界。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花垣2-7</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西以佛山路为界，北以衡阳路为界，东以规划区边界为界，南以中心城区范围为界。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花垣2-8</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四方井</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路为界，北以建设路为界，东以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兄弟河</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为界，南以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衡阳</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路为界。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花垣2-9</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东、西、北部均以规划区边界为界，南以浮桥路为界。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花垣2-10</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西以王二桥路为界，北以中心城区范围为界，东以规划区边界为界，南以兄弟河为界。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restart"/>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3类区</w:t>
            </w:r>
          </w:p>
        </w:tc>
        <w:tc>
          <w:tcPr>
            <w:tcW w:w="791" w:type="dxa"/>
            <w:shd w:val="clear" w:color="auto" w:fill="auto"/>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花垣3-1</w:t>
            </w:r>
          </w:p>
        </w:tc>
        <w:tc>
          <w:tcPr>
            <w:tcW w:w="7148" w:type="dxa"/>
            <w:shd w:val="clear" w:color="auto" w:fill="auto"/>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北以中心城区范围为界，东以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张花高速</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西以省道231为界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南</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以乡道076为界</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14:textFill>
                  <w14:solidFill>
                    <w14:schemeClr w14:val="tx1"/>
                  </w14:solidFill>
                </w14:textFill>
              </w:rPr>
            </w:pPr>
          </w:p>
        </w:tc>
        <w:tc>
          <w:tcPr>
            <w:tcW w:w="791" w:type="dxa"/>
            <w:shd w:val="clear" w:color="auto" w:fill="auto"/>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花垣3-2</w:t>
            </w:r>
          </w:p>
        </w:tc>
        <w:tc>
          <w:tcPr>
            <w:tcW w:w="7148" w:type="dxa"/>
            <w:shd w:val="clear" w:color="auto" w:fill="auto"/>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北</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以张花高速公路为界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东以规划</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边界</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南</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为创业路为界</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14:textFill>
                  <w14:solidFill>
                    <w14:schemeClr w14:val="tx1"/>
                  </w14:solidFill>
                </w14:textFill>
              </w:rPr>
            </w:pPr>
          </w:p>
        </w:tc>
        <w:tc>
          <w:tcPr>
            <w:tcW w:w="791" w:type="dxa"/>
            <w:shd w:val="clear" w:color="auto" w:fill="auto"/>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花垣3-3</w:t>
            </w:r>
          </w:p>
        </w:tc>
        <w:tc>
          <w:tcPr>
            <w:tcW w:w="7148" w:type="dxa"/>
            <w:shd w:val="clear" w:color="auto" w:fill="auto"/>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北以乡道076为界，西以省道231为界，南以规划区</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边界</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为界，东以张花高速公路为界。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14:textFill>
                  <w14:solidFill>
                    <w14:schemeClr w14:val="tx1"/>
                  </w14:solidFill>
                </w14:textFill>
              </w:rPr>
            </w:pPr>
          </w:p>
        </w:tc>
        <w:tc>
          <w:tcPr>
            <w:tcW w:w="791" w:type="dxa"/>
            <w:shd w:val="clear" w:color="auto" w:fill="auto"/>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花垣3-4</w:t>
            </w:r>
          </w:p>
        </w:tc>
        <w:tc>
          <w:tcPr>
            <w:tcW w:w="7148" w:type="dxa"/>
            <w:shd w:val="clear" w:color="auto" w:fill="auto"/>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北以花垣河，东以中心城区边界为界，南以建设东路为界，西南以规划边界为界。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14:textFill>
                  <w14:solidFill>
                    <w14:schemeClr w14:val="tx1"/>
                  </w14:solidFill>
                </w14:textFill>
              </w:rPr>
            </w:pPr>
          </w:p>
        </w:tc>
        <w:tc>
          <w:tcPr>
            <w:tcW w:w="791" w:type="dxa"/>
            <w:shd w:val="clear" w:color="auto" w:fill="auto"/>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花垣3-5</w:t>
            </w:r>
          </w:p>
        </w:tc>
        <w:tc>
          <w:tcPr>
            <w:tcW w:w="7148" w:type="dxa"/>
            <w:shd w:val="clear" w:color="auto" w:fill="auto"/>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西</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南</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以兄弟河</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、规划边界及东正街</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北部以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建设东及规划边界</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路为界，东以</w:t>
            </w:r>
            <w:r>
              <w:rPr>
                <w:rFonts w:hint="eastAsia" w:ascii="Times New Roman" w:hAnsi="Times New Roman" w:eastAsia="仿宋_GB2312"/>
                <w:color w:val="000000" w:themeColor="text1"/>
                <w:kern w:val="0"/>
                <w:sz w:val="18"/>
                <w:szCs w:val="18"/>
                <w:u w:val="none"/>
                <w:lang w:val="en-US" w:eastAsia="zh-CN"/>
                <w14:textFill>
                  <w14:solidFill>
                    <w14:schemeClr w14:val="tx1"/>
                  </w14:solidFill>
                </w14:textFill>
              </w:rPr>
              <w:t>衡阳路</w:t>
            </w: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4a类区</w:t>
            </w:r>
          </w:p>
        </w:tc>
        <w:tc>
          <w:tcPr>
            <w:tcW w:w="791" w:type="dxa"/>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w:t>
            </w:r>
          </w:p>
        </w:tc>
        <w:tc>
          <w:tcPr>
            <w:tcW w:w="7148" w:type="dxa"/>
            <w:shd w:val="clear" w:color="auto" w:fill="auto"/>
            <w:noWrap/>
            <w:tcMar>
              <w:top w:w="12" w:type="dxa"/>
              <w:left w:w="12" w:type="dxa"/>
              <w:right w:w="12" w:type="dxa"/>
            </w:tcMar>
            <w:vAlign w:val="center"/>
          </w:tcPr>
          <w:p>
            <w:pPr>
              <w:widowControl/>
              <w:jc w:val="left"/>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高速公路、一级公路、二级公路、城市快速路、城市主干路、城市次干路、城市轨道交通线路（地面段）、内河航道边界线外一定距离内区域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49" w:type="dxa"/>
            <w:gridSpan w:val="3"/>
            <w:shd w:val="clear" w:color="auto" w:fill="auto"/>
            <w:noWrap/>
            <w:tcMar>
              <w:top w:w="12" w:type="dxa"/>
              <w:left w:w="12" w:type="dxa"/>
              <w:right w:w="12" w:type="dxa"/>
            </w:tcMar>
            <w:vAlign w:val="center"/>
          </w:tcPr>
          <w:p>
            <w:pPr>
              <w:widowControl/>
              <w:jc w:val="center"/>
              <w:textAlignment w:val="top"/>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pPr>
            <w:r>
              <w:rPr>
                <w:rFonts w:hint="default" w:ascii="Times New Roman" w:hAnsi="Times New Roman" w:eastAsia="仿宋_GB2312"/>
                <w:color w:val="000000" w:themeColor="text1"/>
                <w:kern w:val="0"/>
                <w:sz w:val="18"/>
                <w:szCs w:val="18"/>
                <w:u w:val="none"/>
                <w:lang w:val="en-US" w:eastAsia="zh-CN"/>
                <w14:textFill>
                  <w14:solidFill>
                    <w14:schemeClr w14:val="tx1"/>
                  </w14:solidFill>
                </w14:textFill>
              </w:rPr>
              <w:t>共计</w:t>
            </w:r>
          </w:p>
        </w:tc>
      </w:tr>
    </w:tbl>
    <w:p>
      <w:pPr>
        <w:pStyle w:val="12"/>
        <w:spacing w:line="240" w:lineRule="auto"/>
        <w:ind w:left="0" w:leftChars="0" w:firstLine="0" w:firstLineChars="0"/>
        <w:jc w:val="left"/>
        <w:rPr>
          <w:rFonts w:hint="eastAsia" w:ascii="Times New Roman" w:eastAsia="仿宋"/>
          <w:b/>
          <w:color w:val="000000"/>
          <w:kern w:val="0"/>
          <w:sz w:val="28"/>
          <w:szCs w:val="28"/>
          <w:lang w:val="en-US" w:eastAsia="zh-CN" w:bidi="ar"/>
        </w:rPr>
        <w:sectPr>
          <w:pgSz w:w="11906" w:h="16838"/>
          <w:pgMar w:top="1440" w:right="1800" w:bottom="1440" w:left="1800" w:header="851" w:footer="992" w:gutter="0"/>
          <w:pgNumType w:fmt="decimal"/>
          <w:cols w:space="425" w:num="1"/>
          <w:docGrid w:type="lines" w:linePitch="312" w:charSpace="0"/>
        </w:sectPr>
      </w:pPr>
    </w:p>
    <w:p>
      <w:pPr>
        <w:pStyle w:val="12"/>
        <w:spacing w:line="240" w:lineRule="auto"/>
        <w:ind w:left="0" w:leftChars="0" w:firstLine="0" w:firstLineChars="0"/>
        <w:jc w:val="left"/>
        <w:rPr>
          <w:rFonts w:hint="default" w:ascii="Times New Roman" w:eastAsia="仿宋"/>
          <w:b/>
          <w:color w:val="000000"/>
          <w:kern w:val="0"/>
          <w:sz w:val="28"/>
          <w:szCs w:val="28"/>
          <w:lang w:val="en-US" w:eastAsia="zh-CN" w:bidi="ar"/>
        </w:rPr>
      </w:pPr>
      <w:r>
        <w:rPr>
          <w:rFonts w:hint="eastAsia" w:ascii="Times New Roman" w:eastAsia="仿宋"/>
          <w:b/>
          <w:color w:val="000000"/>
          <w:kern w:val="0"/>
          <w:sz w:val="28"/>
          <w:szCs w:val="28"/>
          <w:lang w:val="en-US" w:eastAsia="zh-CN" w:bidi="ar"/>
        </w:rPr>
        <w:t>附件二  花垣县城市规划区</w:t>
      </w:r>
      <w:r>
        <w:rPr>
          <w:rFonts w:hint="default" w:ascii="Times New Roman" w:eastAsia="仿宋"/>
          <w:b/>
          <w:color w:val="000000"/>
          <w:kern w:val="0"/>
          <w:sz w:val="28"/>
          <w:szCs w:val="28"/>
          <w:lang w:val="en-US" w:eastAsia="zh-CN" w:bidi="ar"/>
        </w:rPr>
        <w:t>交通</w:t>
      </w:r>
      <w:r>
        <w:rPr>
          <w:rFonts w:hint="eastAsia" w:ascii="Times New Roman" w:eastAsia="仿宋"/>
          <w:b/>
          <w:color w:val="000000"/>
          <w:kern w:val="0"/>
          <w:sz w:val="28"/>
          <w:szCs w:val="28"/>
          <w:lang w:val="en-US" w:eastAsia="zh-CN" w:bidi="ar"/>
        </w:rPr>
        <w:t>明细</w:t>
      </w:r>
    </w:p>
    <w:tbl>
      <w:tblPr>
        <w:tblStyle w:val="10"/>
        <w:tblW w:w="4996" w:type="pct"/>
        <w:jc w:val="center"/>
        <w:tblLayout w:type="autofit"/>
        <w:tblCellMar>
          <w:top w:w="0" w:type="dxa"/>
          <w:left w:w="108" w:type="dxa"/>
          <w:bottom w:w="0" w:type="dxa"/>
          <w:right w:w="108" w:type="dxa"/>
        </w:tblCellMar>
      </w:tblPr>
      <w:tblGrid>
        <w:gridCol w:w="638"/>
        <w:gridCol w:w="1930"/>
        <w:gridCol w:w="1221"/>
        <w:gridCol w:w="1221"/>
        <w:gridCol w:w="3505"/>
      </w:tblGrid>
      <w:tr>
        <w:tblPrEx>
          <w:tblCellMar>
            <w:top w:w="0" w:type="dxa"/>
            <w:left w:w="108" w:type="dxa"/>
            <w:bottom w:w="0" w:type="dxa"/>
            <w:right w:w="108" w:type="dxa"/>
          </w:tblCellMar>
        </w:tblPrEx>
        <w:trPr>
          <w:trHeight w:val="312" w:hRule="atLeast"/>
          <w:jc w:val="center"/>
        </w:trPr>
        <w:tc>
          <w:tcPr>
            <w:tcW w:w="34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序号</w:t>
            </w:r>
          </w:p>
        </w:tc>
        <w:tc>
          <w:tcPr>
            <w:tcW w:w="11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道路名</w:t>
            </w:r>
          </w:p>
        </w:tc>
        <w:tc>
          <w:tcPr>
            <w:tcW w:w="72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道路类别</w:t>
            </w:r>
          </w:p>
        </w:tc>
        <w:tc>
          <w:tcPr>
            <w:tcW w:w="72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走向</w:t>
            </w:r>
          </w:p>
        </w:tc>
        <w:tc>
          <w:tcPr>
            <w:tcW w:w="206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起讫点</w:t>
            </w:r>
          </w:p>
        </w:tc>
      </w:tr>
      <w:tr>
        <w:tblPrEx>
          <w:tblCellMar>
            <w:top w:w="0" w:type="dxa"/>
            <w:left w:w="108" w:type="dxa"/>
            <w:bottom w:w="0" w:type="dxa"/>
            <w:right w:w="108" w:type="dxa"/>
          </w:tblCellMar>
        </w:tblPrEx>
        <w:trPr>
          <w:trHeight w:val="312" w:hRule="atLeast"/>
          <w:jc w:val="center"/>
        </w:trPr>
        <w:tc>
          <w:tcPr>
            <w:tcW w:w="342" w:type="pct"/>
            <w:vMerge w:val="continue"/>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p>
        </w:tc>
        <w:tc>
          <w:tcPr>
            <w:tcW w:w="1141" w:type="pct"/>
            <w:vMerge w:val="continue"/>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p>
        </w:tc>
        <w:tc>
          <w:tcPr>
            <w:tcW w:w="725" w:type="pct"/>
            <w:vMerge w:val="continue"/>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p>
        </w:tc>
        <w:tc>
          <w:tcPr>
            <w:tcW w:w="725" w:type="pct"/>
            <w:vMerge w:val="continue"/>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p>
        </w:tc>
        <w:tc>
          <w:tcPr>
            <w:tcW w:w="2065" w:type="pct"/>
            <w:vMerge w:val="continue"/>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城北大道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东西向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经十路～经十四路</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建设西路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东西向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凉丰路～钟佛山路</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建设中路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东西向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三叉路～西门口</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建设东路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东西向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西门口～浮桥</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凉丰路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城北大道～建设西路</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大竹山路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糖厂～佳民319国道</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钟佛山路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城北大道～衡阳路</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赶秋路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城北大道～四方井大桥</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城南路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四方井大桥～衡阳路</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衡阳路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佳民圆盘～望城</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创业路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东西向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经三路～张花高速</w:t>
            </w:r>
          </w:p>
        </w:tc>
      </w:tr>
      <w:tr>
        <w:tblPrEx>
          <w:tblCellMar>
            <w:top w:w="0" w:type="dxa"/>
            <w:left w:w="108" w:type="dxa"/>
            <w:bottom w:w="0" w:type="dxa"/>
            <w:right w:w="108" w:type="dxa"/>
          </w:tblCellMar>
        </w:tblPrEx>
        <w:trPr>
          <w:trHeight w:val="285" w:hRule="atLeast"/>
          <w:jc w:val="center"/>
        </w:trPr>
        <w:tc>
          <w:tcPr>
            <w:tcW w:w="342" w:type="pct"/>
            <w:tcBorders>
              <w:top w:val="nil"/>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141"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富园路</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主干道</w:t>
            </w:r>
          </w:p>
        </w:tc>
        <w:tc>
          <w:tcPr>
            <w:tcW w:w="72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nil"/>
              <w:left w:val="nil"/>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纬一路～纬十六路</w:t>
            </w:r>
          </w:p>
        </w:tc>
      </w:tr>
      <w:tr>
        <w:tblPrEx>
          <w:tblCellMar>
            <w:top w:w="0" w:type="dxa"/>
            <w:left w:w="108" w:type="dxa"/>
            <w:bottom w:w="0" w:type="dxa"/>
            <w:right w:w="108" w:type="dxa"/>
          </w:tblCellMar>
        </w:tblPrEx>
        <w:trPr>
          <w:trHeight w:val="285"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1141"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张花高速</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高速</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城区段</w:t>
            </w:r>
          </w:p>
        </w:tc>
      </w:tr>
      <w:tr>
        <w:tblPrEx>
          <w:tblCellMar>
            <w:top w:w="0" w:type="dxa"/>
            <w:left w:w="108" w:type="dxa"/>
            <w:bottom w:w="0" w:type="dxa"/>
            <w:right w:w="108" w:type="dxa"/>
          </w:tblCellMar>
        </w:tblPrEx>
        <w:trPr>
          <w:trHeight w:val="285"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1141"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乡道076</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次干道</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东西向</w:t>
            </w:r>
          </w:p>
        </w:tc>
        <w:tc>
          <w:tcPr>
            <w:tcW w:w="206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省道231～城北路</w:t>
            </w:r>
          </w:p>
        </w:tc>
      </w:tr>
      <w:tr>
        <w:tblPrEx>
          <w:tblCellMar>
            <w:top w:w="0" w:type="dxa"/>
            <w:left w:w="108" w:type="dxa"/>
            <w:bottom w:w="0" w:type="dxa"/>
            <w:right w:w="108" w:type="dxa"/>
          </w:tblCellMar>
        </w:tblPrEx>
        <w:trPr>
          <w:trHeight w:val="285"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1141"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省道231</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次干道</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城区段</w:t>
            </w:r>
          </w:p>
        </w:tc>
      </w:tr>
      <w:tr>
        <w:tblPrEx>
          <w:tblCellMar>
            <w:top w:w="0" w:type="dxa"/>
            <w:left w:w="108" w:type="dxa"/>
            <w:bottom w:w="0" w:type="dxa"/>
            <w:right w:w="108" w:type="dxa"/>
          </w:tblCellMar>
        </w:tblPrEx>
        <w:trPr>
          <w:trHeight w:val="285"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141"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国道319</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次干道</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东西向</w:t>
            </w:r>
          </w:p>
        </w:tc>
        <w:tc>
          <w:tcPr>
            <w:tcW w:w="206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城区段</w:t>
            </w:r>
          </w:p>
        </w:tc>
      </w:tr>
      <w:tr>
        <w:tblPrEx>
          <w:tblCellMar>
            <w:top w:w="0" w:type="dxa"/>
            <w:left w:w="108" w:type="dxa"/>
            <w:bottom w:w="0" w:type="dxa"/>
            <w:right w:w="108" w:type="dxa"/>
          </w:tblCellMar>
        </w:tblPrEx>
        <w:trPr>
          <w:trHeight w:val="285"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1141"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蚩龙大道</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次干道</w:t>
            </w:r>
          </w:p>
        </w:tc>
        <w:tc>
          <w:tcPr>
            <w:tcW w:w="72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南北向</w:t>
            </w:r>
          </w:p>
        </w:tc>
        <w:tc>
          <w:tcPr>
            <w:tcW w:w="2065"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
              <w:keepNext w:val="0"/>
              <w:keepLines w:val="0"/>
              <w:pageBreakBefore w:val="0"/>
              <w:kinsoku/>
              <w:wordWrap/>
              <w:overflowPunct/>
              <w:topLinePunct w:val="0"/>
              <w:autoSpaceDE/>
              <w:autoSpaceDN/>
              <w:bidi w:val="0"/>
              <w:snapToGrid/>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衡阳路～中心城区边界</w:t>
            </w:r>
          </w:p>
        </w:tc>
      </w:tr>
    </w:tbl>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default"/>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pStyle w:val="2"/>
        <w:jc w:val="center"/>
        <w:rPr>
          <w:rFonts w:hint="default"/>
          <w:lang w:val="en-US" w:eastAsia="zh-CN"/>
        </w:rPr>
      </w:pPr>
      <w:r>
        <w:rPr>
          <w:rFonts w:hint="default"/>
          <w:lang w:val="en-US" w:eastAsia="zh-CN"/>
        </w:rPr>
        <w:drawing>
          <wp:inline distT="0" distB="0" distL="114300" distR="114300">
            <wp:extent cx="7451090" cy="5267960"/>
            <wp:effectExtent l="0" t="0" r="16510" b="8890"/>
            <wp:docPr id="18" name="图片 18" descr="附图1 花垣县城市规划区声环境功能区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图1 花垣县城市规划区声环境功能区划分图"/>
                    <pic:cNvPicPr>
                      <a:picLocks noChangeAspect="1"/>
                    </pic:cNvPicPr>
                  </pic:nvPicPr>
                  <pic:blipFill>
                    <a:blip r:embed="rId5"/>
                    <a:stretch>
                      <a:fillRect/>
                    </a:stretch>
                  </pic:blipFill>
                  <pic:spPr>
                    <a:xfrm>
                      <a:off x="0" y="0"/>
                      <a:ext cx="7451090" cy="5267960"/>
                    </a:xfrm>
                    <a:prstGeom prst="rect">
                      <a:avLst/>
                    </a:prstGeom>
                  </pic:spPr>
                </pic:pic>
              </a:graphicData>
            </a:graphic>
          </wp:inline>
        </w:drawing>
      </w:r>
      <w:r>
        <w:rPr>
          <w:rFonts w:hint="default"/>
          <w:lang w:val="en-US" w:eastAsia="zh-CN"/>
        </w:rPr>
        <w:drawing>
          <wp:inline distT="0" distB="0" distL="114300" distR="114300">
            <wp:extent cx="7451090" cy="5267960"/>
            <wp:effectExtent l="0" t="0" r="16510" b="8890"/>
            <wp:docPr id="17" name="图片 17" descr="附图2 花垣县城市规划区2类声环境功能区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图2 花垣县城市规划区2类声环境功能区划分图"/>
                    <pic:cNvPicPr>
                      <a:picLocks noChangeAspect="1"/>
                    </pic:cNvPicPr>
                  </pic:nvPicPr>
                  <pic:blipFill>
                    <a:blip r:embed="rId6"/>
                    <a:stretch>
                      <a:fillRect/>
                    </a:stretch>
                  </pic:blipFill>
                  <pic:spPr>
                    <a:xfrm>
                      <a:off x="0" y="0"/>
                      <a:ext cx="7451090" cy="5267960"/>
                    </a:xfrm>
                    <a:prstGeom prst="rect">
                      <a:avLst/>
                    </a:prstGeom>
                  </pic:spPr>
                </pic:pic>
              </a:graphicData>
            </a:graphic>
          </wp:inline>
        </w:drawing>
      </w:r>
      <w:r>
        <w:rPr>
          <w:rFonts w:hint="default"/>
          <w:lang w:val="en-US" w:eastAsia="zh-CN"/>
        </w:rPr>
        <w:drawing>
          <wp:inline distT="0" distB="0" distL="114300" distR="114300">
            <wp:extent cx="7451090" cy="5267960"/>
            <wp:effectExtent l="0" t="0" r="16510" b="8890"/>
            <wp:docPr id="16" name="图片 16" descr="附图3 花垣县城市规划区3类声环境功能区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图3 花垣县城市规划区3类声环境功能区划分图"/>
                    <pic:cNvPicPr>
                      <a:picLocks noChangeAspect="1"/>
                    </pic:cNvPicPr>
                  </pic:nvPicPr>
                  <pic:blipFill>
                    <a:blip r:embed="rId7"/>
                    <a:stretch>
                      <a:fillRect/>
                    </a:stretch>
                  </pic:blipFill>
                  <pic:spPr>
                    <a:xfrm>
                      <a:off x="0" y="0"/>
                      <a:ext cx="7451090" cy="5267960"/>
                    </a:xfrm>
                    <a:prstGeom prst="rect">
                      <a:avLst/>
                    </a:prstGeom>
                  </pic:spPr>
                </pic:pic>
              </a:graphicData>
            </a:graphic>
          </wp:inline>
        </w:drawing>
      </w:r>
      <w:r>
        <w:rPr>
          <w:rFonts w:hint="default"/>
          <w:lang w:val="en-US" w:eastAsia="zh-CN"/>
        </w:rPr>
        <w:drawing>
          <wp:inline distT="0" distB="0" distL="114300" distR="114300">
            <wp:extent cx="7451090" cy="5267960"/>
            <wp:effectExtent l="0" t="0" r="16510" b="8890"/>
            <wp:docPr id="15" name="图片 15" descr="附图4 花垣县城市规划区主要交通干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图4 花垣县城市规划区主要交通干线分布图"/>
                    <pic:cNvPicPr>
                      <a:picLocks noChangeAspect="1"/>
                    </pic:cNvPicPr>
                  </pic:nvPicPr>
                  <pic:blipFill>
                    <a:blip r:embed="rId8"/>
                    <a:stretch>
                      <a:fillRect/>
                    </a:stretch>
                  </pic:blipFill>
                  <pic:spPr>
                    <a:xfrm>
                      <a:off x="0" y="0"/>
                      <a:ext cx="7451090" cy="5267960"/>
                    </a:xfrm>
                    <a:prstGeom prst="rect">
                      <a:avLst/>
                    </a:prstGeom>
                  </pic:spPr>
                </pic:pic>
              </a:graphicData>
            </a:graphic>
          </wp:inline>
        </w:drawing>
      </w:r>
      <w:r>
        <w:rPr>
          <w:rFonts w:hint="default"/>
          <w:lang w:val="en-US" w:eastAsia="zh-CN"/>
        </w:rPr>
        <w:drawing>
          <wp:inline distT="0" distB="0" distL="114300" distR="114300">
            <wp:extent cx="7451090" cy="5267960"/>
            <wp:effectExtent l="0" t="0" r="16510" b="8890"/>
            <wp:docPr id="14" name="图片 14" descr="附图5 花垣县城市规划区区域噪声监测点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图5 花垣县城市规划区区域噪声监测点位分布图"/>
                    <pic:cNvPicPr>
                      <a:picLocks noChangeAspect="1"/>
                    </pic:cNvPicPr>
                  </pic:nvPicPr>
                  <pic:blipFill>
                    <a:blip r:embed="rId9"/>
                    <a:stretch>
                      <a:fillRect/>
                    </a:stretch>
                  </pic:blipFill>
                  <pic:spPr>
                    <a:xfrm>
                      <a:off x="0" y="0"/>
                      <a:ext cx="7451090" cy="5267960"/>
                    </a:xfrm>
                    <a:prstGeom prst="rect">
                      <a:avLst/>
                    </a:prstGeom>
                  </pic:spPr>
                </pic:pic>
              </a:graphicData>
            </a:graphic>
          </wp:inline>
        </w:drawing>
      </w:r>
      <w:r>
        <w:rPr>
          <w:rFonts w:hint="default"/>
          <w:lang w:val="en-US" w:eastAsia="zh-CN"/>
        </w:rPr>
        <w:drawing>
          <wp:inline distT="0" distB="0" distL="114300" distR="114300">
            <wp:extent cx="7451090" cy="5267960"/>
            <wp:effectExtent l="0" t="0" r="16510" b="8890"/>
            <wp:docPr id="13" name="图片 13" descr="附图6 花垣县城市规划区交通噪声监测点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图6 花垣县城市规划区交通噪声监测点位分布图"/>
                    <pic:cNvPicPr>
                      <a:picLocks noChangeAspect="1"/>
                    </pic:cNvPicPr>
                  </pic:nvPicPr>
                  <pic:blipFill>
                    <a:blip r:embed="rId10"/>
                    <a:stretch>
                      <a:fillRect/>
                    </a:stretch>
                  </pic:blipFill>
                  <pic:spPr>
                    <a:xfrm>
                      <a:off x="0" y="0"/>
                      <a:ext cx="7451090" cy="5267960"/>
                    </a:xfrm>
                    <a:prstGeom prst="rect">
                      <a:avLst/>
                    </a:prstGeom>
                  </pic:spPr>
                </pic:pic>
              </a:graphicData>
            </a:graphic>
          </wp:inline>
        </w:drawing>
      </w:r>
      <w:r>
        <w:rPr>
          <w:rFonts w:hint="default"/>
          <w:lang w:val="en-US" w:eastAsia="zh-CN"/>
        </w:rPr>
        <w:drawing>
          <wp:inline distT="0" distB="0" distL="114300" distR="114300">
            <wp:extent cx="7448550" cy="5260975"/>
            <wp:effectExtent l="0" t="0" r="0" b="15875"/>
            <wp:docPr id="12" name="图片 12" descr="附图7 花垣县总规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图7 花垣县总规土地利用规划图"/>
                    <pic:cNvPicPr>
                      <a:picLocks noChangeAspect="1"/>
                    </pic:cNvPicPr>
                  </pic:nvPicPr>
                  <pic:blipFill>
                    <a:blip r:embed="rId11"/>
                    <a:stretch>
                      <a:fillRect/>
                    </a:stretch>
                  </pic:blipFill>
                  <pic:spPr>
                    <a:xfrm>
                      <a:off x="0" y="0"/>
                      <a:ext cx="7448550" cy="5260975"/>
                    </a:xfrm>
                    <a:prstGeom prst="rect">
                      <a:avLst/>
                    </a:prstGeom>
                  </pic:spPr>
                </pic:pic>
              </a:graphicData>
            </a:graphic>
          </wp:inline>
        </w:drawing>
      </w:r>
      <w:r>
        <w:rPr>
          <w:rFonts w:hint="default"/>
          <w:lang w:val="en-US" w:eastAsia="zh-CN"/>
        </w:rPr>
        <w:drawing>
          <wp:inline distT="0" distB="0" distL="114300" distR="114300">
            <wp:extent cx="7448550" cy="5260975"/>
            <wp:effectExtent l="0" t="0" r="0" b="15875"/>
            <wp:docPr id="10" name="图片 10" descr="附图8 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图8 道路交通规划图"/>
                    <pic:cNvPicPr>
                      <a:picLocks noChangeAspect="1"/>
                    </pic:cNvPicPr>
                  </pic:nvPicPr>
                  <pic:blipFill>
                    <a:blip r:embed="rId12"/>
                    <a:stretch>
                      <a:fillRect/>
                    </a:stretch>
                  </pic:blipFill>
                  <pic:spPr>
                    <a:xfrm>
                      <a:off x="0" y="0"/>
                      <a:ext cx="7448550" cy="5260975"/>
                    </a:xfrm>
                    <a:prstGeom prst="rect">
                      <a:avLst/>
                    </a:prstGeom>
                  </pic:spPr>
                </pic:pic>
              </a:graphicData>
            </a:graphic>
          </wp:inline>
        </w:drawing>
      </w: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772CCB"/>
    <w:multiLevelType w:val="singleLevel"/>
    <w:tmpl w:val="98772CCB"/>
    <w:lvl w:ilvl="0" w:tentative="0">
      <w:start w:val="1"/>
      <w:numFmt w:val="decimal"/>
      <w:suff w:val="nothing"/>
      <w:lvlText w:val="（%1）"/>
      <w:lvlJc w:val="left"/>
    </w:lvl>
  </w:abstractNum>
  <w:abstractNum w:abstractNumId="1">
    <w:nsid w:val="AC0D9BFF"/>
    <w:multiLevelType w:val="singleLevel"/>
    <w:tmpl w:val="AC0D9BFF"/>
    <w:lvl w:ilvl="0" w:tentative="0">
      <w:start w:val="1"/>
      <w:numFmt w:val="chineseCounting"/>
      <w:suff w:val="nothing"/>
      <w:lvlText w:val="%1、"/>
      <w:lvlJc w:val="left"/>
      <w:rPr>
        <w:rFonts w:hint="eastAsia"/>
      </w:rPr>
    </w:lvl>
  </w:abstractNum>
  <w:abstractNum w:abstractNumId="2">
    <w:nsid w:val="06E6CC6D"/>
    <w:multiLevelType w:val="singleLevel"/>
    <w:tmpl w:val="06E6CC6D"/>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06563A"/>
    <w:rsid w:val="049D7DAA"/>
    <w:rsid w:val="07996E36"/>
    <w:rsid w:val="0BB959CB"/>
    <w:rsid w:val="0C332C76"/>
    <w:rsid w:val="0CEA116E"/>
    <w:rsid w:val="202864B5"/>
    <w:rsid w:val="21A518F9"/>
    <w:rsid w:val="2406563A"/>
    <w:rsid w:val="247A452B"/>
    <w:rsid w:val="24B27191"/>
    <w:rsid w:val="3C222819"/>
    <w:rsid w:val="3E2A54A9"/>
    <w:rsid w:val="45A14758"/>
    <w:rsid w:val="4A362496"/>
    <w:rsid w:val="4E9D558E"/>
    <w:rsid w:val="58104CEF"/>
    <w:rsid w:val="5B051F57"/>
    <w:rsid w:val="5D1F52B3"/>
    <w:rsid w:val="6680660D"/>
    <w:rsid w:val="66C952E5"/>
    <w:rsid w:val="69CC517E"/>
    <w:rsid w:val="76F36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0"/>
    <w:pPr>
      <w:ind w:firstLine="420" w:firstLineChars="200"/>
    </w:pPr>
  </w:style>
  <w:style w:type="paragraph" w:styleId="3">
    <w:name w:val="Body Text Indent"/>
    <w:basedOn w:val="1"/>
    <w:qFormat/>
    <w:uiPriority w:val="0"/>
    <w:pPr>
      <w:keepNext w:val="0"/>
      <w:keepLines w:val="0"/>
      <w:widowControl w:val="0"/>
      <w:suppressLineNumbers w:val="0"/>
      <w:spacing w:before="0" w:beforeAutospacing="0" w:after="120" w:afterAutospacing="0"/>
      <w:ind w:left="420" w:leftChars="200" w:right="0"/>
      <w:jc w:val="both"/>
    </w:pPr>
    <w:rPr>
      <w:rFonts w:ascii="Times New Roman" w:hAnsi="Times New Roman"/>
      <w:szCs w:val="20"/>
    </w:rPr>
  </w:style>
  <w:style w:type="paragraph" w:styleId="5">
    <w:name w:val="Normal Indent"/>
    <w:basedOn w:val="1"/>
    <w:qFormat/>
    <w:uiPriority w:val="0"/>
    <w:pPr>
      <w:ind w:firstLine="420" w:firstLineChars="200"/>
    </w:pPr>
    <w:rPr>
      <w:szCs w:val="20"/>
    </w:r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rPr>
      <w:sz w:val="24"/>
    </w:rPr>
  </w:style>
  <w:style w:type="paragraph" w:customStyle="1" w:styleId="12">
    <w:name w:val="样式1"/>
    <w:basedOn w:val="1"/>
    <w:qFormat/>
    <w:uiPriority w:val="0"/>
    <w:pPr>
      <w:spacing w:line="360" w:lineRule="auto"/>
      <w:ind w:firstLine="200" w:firstLineChars="200"/>
    </w:pPr>
    <w:rPr>
      <w:rFonts w:eastAsia="仿宋_GB2312"/>
      <w:sz w:val="28"/>
    </w:rPr>
  </w:style>
  <w:style w:type="paragraph" w:customStyle="1" w:styleId="13">
    <w:name w:val="表格内容"/>
    <w:basedOn w:val="1"/>
    <w:qFormat/>
    <w:uiPriority w:val="0"/>
    <w:pPr>
      <w:spacing w:line="240" w:lineRule="auto"/>
      <w:ind w:firstLine="0" w:firstLineChars="0"/>
      <w:jc w:val="center"/>
    </w:pPr>
    <w:rPr>
      <w:rFonts w:ascii="Times New Roman" w:hAnsi="Times New Roman" w:eastAsia="宋体"/>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2019-10-24T07:14:00Z</dcterms:created>
  <dc:creator>A巢亿</dc:creator>
  <cp:lastModifiedBy>Administrator</cp:lastModifiedBy>
  <dcterms:modified xsi:type="dcterms:W3CDTF">2020-10-20T03:01:57Z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