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hint="eastAsia" w:ascii="仿宋_GB2312" w:hAnsi="仿宋_GB2312" w:eastAsia="仿宋_GB2312" w:cs="仿宋_GB2312"/>
          <w:sz w:val="36"/>
          <w:szCs w:val="36"/>
        </w:rPr>
      </w:pPr>
    </w:p>
    <w:p>
      <w:pPr>
        <w:adjustRightInd w:val="0"/>
        <w:snapToGrid w:val="0"/>
        <w:jc w:val="center"/>
        <w:outlineLvl w:val="0"/>
        <w:rPr>
          <w:rFonts w:hint="eastAsia" w:ascii="方正小标宋_GBK" w:eastAsia="方正小标宋_GBK"/>
          <w:bCs/>
          <w:sz w:val="72"/>
          <w:szCs w:val="72"/>
        </w:rPr>
      </w:pPr>
      <w:bookmarkStart w:id="0" w:name="_Toc29442"/>
      <w:bookmarkStart w:id="1" w:name="_Toc25013"/>
      <w:bookmarkStart w:id="2" w:name="_Toc26904"/>
      <w:r>
        <w:rPr>
          <w:rFonts w:hint="eastAsia" w:ascii="方正小标宋_GBK" w:eastAsia="方正小标宋_GBK"/>
          <w:bCs/>
          <w:sz w:val="72"/>
          <w:szCs w:val="72"/>
        </w:rPr>
        <w:t>建设项目环境影响报告表</w:t>
      </w:r>
      <w:bookmarkEnd w:id="0"/>
      <w:bookmarkEnd w:id="1"/>
      <w:bookmarkEnd w:id="2"/>
    </w:p>
    <w:p>
      <w:pPr>
        <w:adjustRightInd w:val="0"/>
        <w:snapToGrid w:val="0"/>
        <w:spacing w:before="192" w:beforeLines="80"/>
        <w:jc w:val="center"/>
        <w:rPr>
          <w:rFonts w:ascii="华文仿宋" w:hAnsi="华文仿宋" w:eastAsia="华文仿宋" w:cs="华文仿宋"/>
          <w:color w:val="000000"/>
          <w:kern w:val="44"/>
          <w:sz w:val="44"/>
          <w:szCs w:val="44"/>
        </w:rPr>
      </w:pPr>
      <w:r>
        <w:rPr>
          <w:rFonts w:hint="eastAsia" w:ascii="宋体" w:hAnsi="宋体"/>
          <w:b/>
          <w:sz w:val="48"/>
          <w:szCs w:val="48"/>
        </w:rPr>
        <w:t>（</w:t>
      </w:r>
      <w:r>
        <w:rPr>
          <w:rFonts w:hint="eastAsia" w:ascii="宋体" w:hAnsi="宋体"/>
          <w:b/>
          <w:sz w:val="48"/>
          <w:szCs w:val="48"/>
          <w:lang w:eastAsia="zh-CN"/>
        </w:rPr>
        <w:t>污染影响类</w:t>
      </w:r>
      <w:r>
        <w:rPr>
          <w:rFonts w:hint="eastAsia" w:ascii="宋体" w:hAnsi="宋体"/>
          <w:b/>
          <w:sz w:val="48"/>
          <w:szCs w:val="48"/>
        </w:rPr>
        <w:t>）</w:t>
      </w:r>
    </w:p>
    <w:p>
      <w:pPr>
        <w:jc w:val="center"/>
        <w:rPr>
          <w:rFonts w:eastAsia="仿宋"/>
          <w:sz w:val="52"/>
          <w:szCs w:val="52"/>
        </w:rPr>
      </w:pPr>
    </w:p>
    <w:p/>
    <w:p>
      <w:pPr>
        <w:ind w:firstLine="1040"/>
        <w:rPr>
          <w:rFonts w:eastAsia="仿宋"/>
          <w:sz w:val="44"/>
          <w:szCs w:val="44"/>
        </w:rPr>
      </w:pPr>
    </w:p>
    <w:p>
      <w:pPr>
        <w:ind w:firstLine="1040"/>
        <w:rPr>
          <w:rFonts w:eastAsia="仿宋"/>
          <w:sz w:val="44"/>
          <w:szCs w:val="44"/>
        </w:rPr>
      </w:pPr>
    </w:p>
    <w:p>
      <w:pPr>
        <w:ind w:firstLine="1040"/>
        <w:rPr>
          <w:rFonts w:hint="eastAsia" w:ascii="宋体" w:hAnsi="宋体" w:eastAsia="宋体" w:cs="宋体"/>
          <w:sz w:val="30"/>
          <w:szCs w:val="30"/>
        </w:rPr>
      </w:pPr>
    </w:p>
    <w:p>
      <w:pPr>
        <w:spacing w:line="360" w:lineRule="auto"/>
        <w:jc w:val="center"/>
        <w:rPr>
          <w:rFonts w:hint="eastAsia" w:ascii="宋体" w:hAnsi="宋体" w:eastAsia="宋体" w:cs="宋体"/>
          <w:sz w:val="30"/>
          <w:szCs w:val="30"/>
          <w:u w:val="single"/>
          <w:lang w:eastAsia="zh-CN"/>
        </w:rPr>
      </w:pPr>
      <w:r>
        <w:rPr>
          <w:rFonts w:hint="eastAsia" w:ascii="宋体" w:hAnsi="宋体" w:eastAsia="宋体" w:cs="宋体"/>
          <w:sz w:val="30"/>
          <w:szCs w:val="30"/>
          <w:u w:val="none"/>
          <w:lang w:eastAsia="zh-CN"/>
        </w:rPr>
        <w:t>项目名称：</w:t>
      </w:r>
      <w:r>
        <w:rPr>
          <w:rFonts w:hint="eastAsia" w:ascii="宋体" w:hAnsi="宋体" w:eastAsia="宋体" w:cs="宋体"/>
          <w:sz w:val="30"/>
          <w:szCs w:val="30"/>
          <w:u w:val="single"/>
          <w:lang w:eastAsia="zh-CN"/>
        </w:rPr>
        <w:t>花垣吾道环保科技有限公司30万吨/年锰渣</w:t>
      </w:r>
    </w:p>
    <w:p>
      <w:pPr>
        <w:spacing w:line="360" w:lineRule="auto"/>
        <w:jc w:val="center"/>
        <w:rPr>
          <w:rFonts w:hint="default" w:ascii="宋体" w:hAnsi="宋体" w:eastAsia="宋体" w:cs="宋体"/>
          <w:sz w:val="30"/>
          <w:szCs w:val="30"/>
          <w:u w:val="single"/>
          <w:lang w:val="en-US" w:eastAsia="zh-CN"/>
        </w:rPr>
      </w:pPr>
      <w:r>
        <w:rPr>
          <w:rFonts w:hint="eastAsia" w:ascii="宋体" w:hAnsi="宋体" w:cs="宋体"/>
          <w:sz w:val="30"/>
          <w:szCs w:val="30"/>
          <w:u w:val="single"/>
          <w:lang w:val="en-US" w:eastAsia="zh-CN"/>
        </w:rPr>
        <w:t xml:space="preserve">           </w:t>
      </w:r>
      <w:r>
        <w:rPr>
          <w:rFonts w:hint="eastAsia" w:ascii="宋体" w:hAnsi="宋体" w:eastAsia="宋体" w:cs="宋体"/>
          <w:sz w:val="30"/>
          <w:szCs w:val="30"/>
          <w:u w:val="single"/>
          <w:lang w:eastAsia="zh-CN"/>
        </w:rPr>
        <w:t>无害化及综合利用项目</w:t>
      </w:r>
      <w:r>
        <w:rPr>
          <w:rFonts w:hint="eastAsia" w:ascii="宋体" w:hAnsi="宋体" w:cs="宋体"/>
          <w:sz w:val="30"/>
          <w:szCs w:val="30"/>
          <w:u w:val="single"/>
          <w:lang w:val="en-US" w:eastAsia="zh-CN"/>
        </w:rPr>
        <w:t xml:space="preserve">        </w:t>
      </w:r>
    </w:p>
    <w:p>
      <w:pPr>
        <w:spacing w:line="360" w:lineRule="auto"/>
        <w:ind w:firstLine="600" w:firstLineChars="200"/>
        <w:jc w:val="both"/>
        <w:rPr>
          <w:rFonts w:hint="default" w:ascii="宋体" w:hAnsi="宋体" w:eastAsia="宋体" w:cs="宋体"/>
          <w:sz w:val="30"/>
          <w:szCs w:val="30"/>
          <w:u w:val="single"/>
          <w:lang w:val="en-US" w:eastAsia="zh-CN"/>
        </w:rPr>
      </w:pPr>
      <w:r>
        <w:rPr>
          <w:rFonts w:hint="eastAsia" w:ascii="宋体" w:hAnsi="宋体" w:eastAsia="宋体" w:cs="宋体"/>
          <w:sz w:val="30"/>
          <w:szCs w:val="30"/>
        </w:rPr>
        <w:t>建设单位（盖章）：</w:t>
      </w:r>
      <w:r>
        <w:rPr>
          <w:rFonts w:hint="eastAsia" w:ascii="宋体" w:hAnsi="宋体" w:cs="宋体"/>
          <w:sz w:val="30"/>
          <w:szCs w:val="30"/>
          <w:u w:val="single"/>
          <w:lang w:val="en-US" w:eastAsia="zh-CN"/>
        </w:rPr>
        <w:t xml:space="preserve"> </w:t>
      </w:r>
      <w:r>
        <w:rPr>
          <w:rFonts w:hint="eastAsia" w:ascii="宋体" w:hAnsi="宋体" w:eastAsia="宋体" w:cs="宋体"/>
          <w:sz w:val="30"/>
          <w:szCs w:val="30"/>
          <w:u w:val="single"/>
          <w:lang w:eastAsia="zh-CN"/>
        </w:rPr>
        <w:t>花垣吾道环保科技有限公司</w:t>
      </w:r>
      <w:r>
        <w:rPr>
          <w:rFonts w:hint="eastAsia" w:ascii="宋体" w:hAnsi="宋体" w:cs="宋体"/>
          <w:sz w:val="30"/>
          <w:szCs w:val="30"/>
          <w:u w:val="single"/>
          <w:lang w:val="en-US" w:eastAsia="zh-CN"/>
        </w:rPr>
        <w:t xml:space="preserve">    </w:t>
      </w:r>
    </w:p>
    <w:p>
      <w:pPr>
        <w:spacing w:line="360" w:lineRule="auto"/>
        <w:ind w:firstLine="600" w:firstLineChars="200"/>
        <w:jc w:val="both"/>
        <w:rPr>
          <w:rFonts w:hint="default" w:ascii="宋体" w:hAnsi="宋体" w:eastAsia="宋体" w:cs="宋体"/>
          <w:sz w:val="30"/>
          <w:szCs w:val="30"/>
          <w:lang w:val="en-US"/>
        </w:rPr>
      </w:pPr>
      <w:r>
        <w:rPr>
          <w:rFonts w:hint="eastAsia" w:ascii="宋体" w:hAnsi="宋体" w:eastAsia="宋体" w:cs="宋体"/>
          <w:sz w:val="30"/>
          <w:szCs w:val="30"/>
        </w:rPr>
        <w:t>编制日期</w:t>
      </w:r>
      <w:r>
        <w:rPr>
          <w:rFonts w:hint="eastAsia" w:ascii="宋体" w:hAnsi="宋体" w:eastAsia="宋体" w:cs="宋体"/>
          <w:sz w:val="30"/>
          <w:szCs w:val="30"/>
          <w:u w:val="none"/>
        </w:rPr>
        <w:t>：</w:t>
      </w:r>
      <w:r>
        <w:rPr>
          <w:rFonts w:hint="eastAsia" w:ascii="宋体" w:hAnsi="宋体" w:cs="宋体"/>
          <w:sz w:val="30"/>
          <w:szCs w:val="30"/>
          <w:u w:val="single"/>
          <w:lang w:val="en-US" w:eastAsia="zh-CN"/>
        </w:rPr>
        <w:t xml:space="preserve">              </w:t>
      </w:r>
      <w:r>
        <w:rPr>
          <w:rFonts w:hint="eastAsia" w:ascii="宋体" w:hAnsi="宋体" w:eastAsia="宋体" w:cs="宋体"/>
          <w:sz w:val="30"/>
          <w:szCs w:val="30"/>
          <w:u w:val="single"/>
          <w:lang w:eastAsia="zh-CN"/>
        </w:rPr>
        <w:t>202</w:t>
      </w:r>
      <w:r>
        <w:rPr>
          <w:rFonts w:hint="eastAsia" w:ascii="宋体" w:hAnsi="宋体" w:eastAsia="宋体" w:cs="宋体"/>
          <w:sz w:val="30"/>
          <w:szCs w:val="30"/>
          <w:u w:val="single"/>
          <w:lang w:val="en-US" w:eastAsia="zh-CN"/>
        </w:rPr>
        <w:t>3</w:t>
      </w:r>
      <w:r>
        <w:rPr>
          <w:rFonts w:hint="eastAsia" w:ascii="宋体" w:hAnsi="宋体" w:eastAsia="宋体" w:cs="宋体"/>
          <w:sz w:val="30"/>
          <w:szCs w:val="30"/>
          <w:u w:val="single"/>
          <w:lang w:eastAsia="zh-CN"/>
        </w:rPr>
        <w:t>年</w:t>
      </w:r>
      <w:r>
        <w:rPr>
          <w:rFonts w:hint="eastAsia" w:ascii="宋体" w:hAnsi="宋体" w:cs="宋体"/>
          <w:sz w:val="30"/>
          <w:szCs w:val="30"/>
          <w:u w:val="single"/>
          <w:lang w:val="en-US" w:eastAsia="zh-CN"/>
        </w:rPr>
        <w:t>12</w:t>
      </w:r>
      <w:r>
        <w:rPr>
          <w:rFonts w:hint="eastAsia" w:ascii="宋体" w:hAnsi="宋体" w:eastAsia="宋体" w:cs="宋体"/>
          <w:sz w:val="30"/>
          <w:szCs w:val="30"/>
          <w:u w:val="single"/>
          <w:lang w:eastAsia="zh-CN"/>
        </w:rPr>
        <w:t>月</w:t>
      </w:r>
      <w:bookmarkStart w:id="3" w:name="_Hlk57884087"/>
      <w:r>
        <w:rPr>
          <w:rFonts w:hint="eastAsia" w:ascii="宋体" w:hAnsi="宋体" w:cs="宋体"/>
          <w:sz w:val="30"/>
          <w:szCs w:val="30"/>
          <w:u w:val="single"/>
          <w:lang w:val="en-US" w:eastAsia="zh-CN"/>
        </w:rPr>
        <w:t xml:space="preserve">             </w:t>
      </w: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p>
      <w:pPr>
        <w:rPr>
          <w:rFonts w:hint="eastAsia"/>
        </w:rPr>
      </w:pPr>
    </w:p>
    <w:bookmarkEnd w:id="3"/>
    <w:p>
      <w:pPr>
        <w:adjustRightInd w:val="0"/>
        <w:snapToGrid w:val="0"/>
        <w:spacing w:line="288" w:lineRule="auto"/>
        <w:jc w:val="center"/>
        <w:rPr>
          <w:rFonts w:hint="eastAsia" w:ascii="楷体_GB2312" w:eastAsia="楷体_GB2312"/>
          <w:sz w:val="36"/>
          <w:szCs w:val="36"/>
        </w:rPr>
      </w:pPr>
      <w:r>
        <w:rPr>
          <w:rFonts w:hint="eastAsia" w:ascii="楷体_GB2312" w:eastAsia="楷体_GB2312"/>
          <w:sz w:val="36"/>
          <w:szCs w:val="36"/>
        </w:rPr>
        <w:t>中华人民共和国生态环境部制</w:t>
      </w:r>
    </w:p>
    <w:p>
      <w:pPr>
        <w:pStyle w:val="3"/>
        <w:bidi w:val="0"/>
        <w:jc w:val="center"/>
        <w:rPr>
          <w:rFonts w:hint="eastAsia"/>
          <w:lang w:val="en-US" w:eastAsia="zh-CN"/>
        </w:rPr>
        <w:sectPr>
          <w:head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12" w:charSpace="0"/>
        </w:sectPr>
      </w:pPr>
      <w:bookmarkStart w:id="4" w:name="_Toc18922"/>
    </w:p>
    <w:p>
      <w:pPr>
        <w:adjustRightInd w:val="0"/>
        <w:snapToGrid w:val="0"/>
        <w:spacing w:before="0" w:beforeAutospacing="0" w:after="0" w:afterAutospacing="0"/>
        <w:jc w:val="center"/>
        <w:rPr>
          <w:rFonts w:ascii="仿宋" w:hAnsi="仿宋" w:eastAsia="仿宋"/>
          <w:b/>
          <w:snapToGrid w:val="0"/>
          <w:color w:val="auto"/>
          <w:sz w:val="38"/>
          <w:szCs w:val="38"/>
          <w:highlight w:val="none"/>
        </w:rPr>
      </w:pPr>
      <w:r>
        <w:rPr>
          <w:rFonts w:hint="eastAsia" w:ascii="仿宋" w:hAnsi="仿宋" w:eastAsia="仿宋"/>
          <w:b/>
          <w:snapToGrid w:val="0"/>
          <w:color w:val="auto"/>
          <w:sz w:val="38"/>
          <w:szCs w:val="38"/>
          <w:highlight w:val="none"/>
        </w:rPr>
        <w:t>编制单位和编制人员情况表</w:t>
      </w:r>
    </w:p>
    <w:tbl>
      <w:tblPr>
        <w:tblStyle w:val="15"/>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57"/>
        <w:gridCol w:w="2193"/>
        <w:gridCol w:w="263"/>
        <w:gridCol w:w="433"/>
        <w:gridCol w:w="2754"/>
        <w:gridCol w:w="14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2134" w:type="pct"/>
            <w:gridSpan w:val="2"/>
            <w:tcBorders>
              <w:top w:val="single" w:color="auto" w:sz="8"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cs="Times New Roman"/>
                <w:color w:val="auto"/>
                <w:sz w:val="21"/>
                <w:szCs w:val="21"/>
                <w:highlight w:val="none"/>
              </w:rPr>
              <w:t>建设项目名称</w:t>
            </w:r>
          </w:p>
        </w:tc>
        <w:tc>
          <w:tcPr>
            <w:tcW w:w="2865" w:type="pct"/>
            <w:gridSpan w:val="4"/>
            <w:tcBorders>
              <w:top w:val="single" w:color="auto" w:sz="8" w:space="0"/>
              <w:left w:val="single" w:color="auto" w:sz="4" w:space="0"/>
              <w:bottom w:val="single" w:color="auto" w:sz="4" w:space="0"/>
              <w:right w:val="single" w:color="auto" w:sz="8" w:space="0"/>
            </w:tcBorders>
            <w:noWrap w:val="0"/>
            <w:vAlign w:val="center"/>
          </w:tcPr>
          <w:p>
            <w:pPr>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rPr>
              <w:t>花垣吾道环保科技有限公司30万吨/年锰渣无害化及综合利用项目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4" w:type="pct"/>
            <w:gridSpan w:val="2"/>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cs="Times New Roman"/>
                <w:color w:val="auto"/>
                <w:sz w:val="21"/>
                <w:szCs w:val="21"/>
                <w:highlight w:val="none"/>
              </w:rPr>
              <w:t>环境影响评价文件类型</w:t>
            </w:r>
          </w:p>
        </w:tc>
        <w:tc>
          <w:tcPr>
            <w:tcW w:w="2865" w:type="pct"/>
            <w:gridSpan w:val="4"/>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hint="eastAsia" w:ascii="Times New Roman" w:hAnsi="Times New Roman" w:eastAsia="宋体" w:cs="Times New Roman"/>
                <w:color w:val="auto"/>
                <w:sz w:val="21"/>
                <w:szCs w:val="21"/>
                <w:highlight w:val="none"/>
                <w:lang w:val="en-US" w:eastAsia="zh-CN"/>
              </w:rPr>
            </w:pPr>
            <w:r>
              <w:rPr>
                <w:rFonts w:ascii="Times New Roman" w:cs="Times New Roman"/>
                <w:color w:val="auto"/>
                <w:sz w:val="21"/>
                <w:szCs w:val="21"/>
                <w:highlight w:val="none"/>
              </w:rPr>
              <w:t>报告</w:t>
            </w:r>
            <w:r>
              <w:rPr>
                <w:rFonts w:hint="eastAsia" w:ascii="Times New Roman" w:cs="Times New Roman"/>
                <w:color w:val="auto"/>
                <w:sz w:val="21"/>
                <w:szCs w:val="21"/>
                <w:highlight w:val="none"/>
                <w:lang w:val="en-US" w:eastAsia="zh-CN"/>
              </w:rPr>
              <w:t>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6"/>
            <w:tcBorders>
              <w:top w:val="single" w:color="auto" w:sz="4" w:space="0"/>
              <w:left w:val="single" w:color="auto" w:sz="8"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ascii="Times New Roman" w:hAnsi="Times New Roman" w:eastAsia="黑体" w:cs="Times New Roman"/>
                <w:color w:val="auto"/>
                <w:sz w:val="21"/>
                <w:szCs w:val="21"/>
                <w:highlight w:val="none"/>
              </w:rPr>
            </w:pPr>
            <w:r>
              <w:rPr>
                <w:rFonts w:ascii="Times New Roman" w:hAnsi="黑体" w:eastAsia="黑体" w:cs="Times New Roman"/>
                <w:color w:val="auto"/>
                <w:sz w:val="21"/>
                <w:szCs w:val="21"/>
                <w:highlight w:val="none"/>
              </w:rPr>
              <w:t>一、建设单位情况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4" w:type="pct"/>
            <w:gridSpan w:val="2"/>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cs="Times New Roman"/>
                <w:color w:val="auto"/>
                <w:sz w:val="21"/>
                <w:szCs w:val="21"/>
                <w:highlight w:val="none"/>
              </w:rPr>
              <w:t>建设单位（签章）</w:t>
            </w:r>
          </w:p>
        </w:tc>
        <w:tc>
          <w:tcPr>
            <w:tcW w:w="2865" w:type="pct"/>
            <w:gridSpan w:val="4"/>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hint="eastAsia" w:ascii="Times New Roman" w:cs="Times New Roman"/>
                <w:color w:val="auto"/>
                <w:sz w:val="21"/>
                <w:szCs w:val="21"/>
                <w:highlight w:val="none"/>
              </w:rPr>
              <w:t>花垣吾道环保科技有限公司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2134" w:type="pct"/>
            <w:gridSpan w:val="2"/>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cs="Times New Roman"/>
                <w:color w:val="auto"/>
                <w:sz w:val="21"/>
                <w:szCs w:val="21"/>
                <w:highlight w:val="none"/>
              </w:rPr>
              <w:t>法定代表人或主要负责人（签字）</w:t>
            </w:r>
          </w:p>
        </w:tc>
        <w:tc>
          <w:tcPr>
            <w:tcW w:w="2865" w:type="pct"/>
            <w:gridSpan w:val="4"/>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莫玉剑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4" w:type="pct"/>
            <w:gridSpan w:val="2"/>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cs="Times New Roman"/>
                <w:color w:val="auto"/>
                <w:sz w:val="21"/>
                <w:szCs w:val="21"/>
                <w:highlight w:val="none"/>
              </w:rPr>
              <w:t>主管人员及联系电话</w:t>
            </w:r>
          </w:p>
        </w:tc>
        <w:tc>
          <w:tcPr>
            <w:tcW w:w="2865" w:type="pct"/>
            <w:gridSpan w:val="4"/>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王聪 19182794202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6"/>
            <w:tcBorders>
              <w:top w:val="single" w:color="auto" w:sz="4" w:space="0"/>
              <w:left w:val="single" w:color="auto" w:sz="8"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ascii="Times New Roman" w:hAnsi="Times New Roman" w:eastAsia="黑体" w:cs="Times New Roman"/>
                <w:color w:val="auto"/>
                <w:sz w:val="21"/>
                <w:szCs w:val="21"/>
                <w:highlight w:val="none"/>
              </w:rPr>
            </w:pPr>
            <w:r>
              <w:rPr>
                <w:rFonts w:ascii="Times New Roman" w:hAnsi="黑体" w:eastAsia="黑体" w:cs="Times New Roman"/>
                <w:color w:val="auto"/>
                <w:sz w:val="21"/>
                <w:szCs w:val="21"/>
                <w:highlight w:val="none"/>
              </w:rPr>
              <w:t>二、编制单位情况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4" w:type="pct"/>
            <w:gridSpan w:val="2"/>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cs="Times New Roman"/>
                <w:color w:val="auto"/>
                <w:sz w:val="21"/>
                <w:szCs w:val="21"/>
                <w:highlight w:val="none"/>
              </w:rPr>
              <w:t>主持编制单位名称（签章）</w:t>
            </w:r>
          </w:p>
        </w:tc>
        <w:tc>
          <w:tcPr>
            <w:tcW w:w="2865" w:type="pct"/>
            <w:gridSpan w:val="4"/>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cs="Times New Roman"/>
                <w:color w:val="auto"/>
                <w:sz w:val="21"/>
                <w:szCs w:val="21"/>
                <w:highlight w:val="none"/>
              </w:rPr>
              <w:t>湖南有色金属研究院有限责任公司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4" w:type="pct"/>
            <w:gridSpan w:val="2"/>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cs="Times New Roman"/>
                <w:color w:val="auto"/>
                <w:sz w:val="21"/>
                <w:szCs w:val="21"/>
                <w:highlight w:val="none"/>
              </w:rPr>
              <w:t>社会信用代码</w:t>
            </w:r>
          </w:p>
        </w:tc>
        <w:tc>
          <w:tcPr>
            <w:tcW w:w="2865" w:type="pct"/>
            <w:gridSpan w:val="4"/>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91430000444885233P</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6"/>
            <w:tcBorders>
              <w:top w:val="single" w:color="auto" w:sz="4" w:space="0"/>
              <w:left w:val="single" w:color="auto" w:sz="8"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ascii="Times New Roman" w:hAnsi="Times New Roman" w:eastAsia="黑体" w:cs="Times New Roman"/>
                <w:color w:val="auto"/>
                <w:sz w:val="21"/>
                <w:szCs w:val="21"/>
                <w:highlight w:val="none"/>
              </w:rPr>
            </w:pPr>
            <w:r>
              <w:rPr>
                <w:rFonts w:ascii="Times New Roman" w:hAnsi="黑体" w:eastAsia="黑体" w:cs="Times New Roman"/>
                <w:color w:val="auto"/>
                <w:sz w:val="21"/>
                <w:szCs w:val="21"/>
                <w:highlight w:val="none"/>
              </w:rPr>
              <w:t>三、编制人员情况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4" w:type="pct"/>
            <w:gridSpan w:val="2"/>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编制主持人及联系电话</w:t>
            </w:r>
          </w:p>
        </w:tc>
        <w:tc>
          <w:tcPr>
            <w:tcW w:w="2865" w:type="pct"/>
            <w:gridSpan w:val="4"/>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向求来 13677360599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6"/>
            <w:tcBorders>
              <w:top w:val="single" w:color="auto" w:sz="4" w:space="0"/>
              <w:left w:val="single" w:color="auto" w:sz="8"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w:t>
            </w:r>
            <w:r>
              <w:rPr>
                <w:rFonts w:ascii="Times New Roman" w:cs="Times New Roman"/>
                <w:color w:val="auto"/>
                <w:sz w:val="21"/>
                <w:szCs w:val="21"/>
                <w:highlight w:val="none"/>
              </w:rPr>
              <w:t>编制主持人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8" w:type="pct"/>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r>
              <w:rPr>
                <w:rFonts w:ascii="Times New Roman" w:cs="Times New Roman"/>
                <w:color w:val="auto"/>
                <w:sz w:val="21"/>
                <w:szCs w:val="21"/>
                <w:highlight w:val="none"/>
              </w:rPr>
              <w:t>姓名</w:t>
            </w:r>
          </w:p>
        </w:tc>
        <w:tc>
          <w:tcPr>
            <w:tcW w:w="1686"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jc w:val="center"/>
              <w:textAlignment w:val="auto"/>
              <w:rPr>
                <w:rFonts w:ascii="Times New Roman" w:hAnsi="Times New Roman" w:cs="Times New Roman"/>
                <w:color w:val="auto"/>
                <w:sz w:val="21"/>
                <w:szCs w:val="21"/>
                <w:highlight w:val="none"/>
              </w:rPr>
            </w:pPr>
            <w:r>
              <w:rPr>
                <w:rFonts w:ascii="Times New Roman" w:cs="Times New Roman"/>
                <w:color w:val="auto"/>
                <w:sz w:val="21"/>
                <w:szCs w:val="21"/>
                <w:highlight w:val="none"/>
              </w:rPr>
              <w:t>职业资格证书编号</w:t>
            </w:r>
          </w:p>
        </w:tc>
        <w:tc>
          <w:tcPr>
            <w:tcW w:w="1619" w:type="pct"/>
            <w:tcBorders>
              <w:top w:val="single" w:color="auto" w:sz="4" w:space="0"/>
              <w:left w:val="single" w:color="auto" w:sz="4"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center"/>
              <w:rPr>
                <w:rFonts w:ascii="Times New Roman" w:cs="Times New Roman"/>
                <w:color w:val="auto"/>
                <w:sz w:val="21"/>
                <w:szCs w:val="21"/>
                <w:highlight w:val="none"/>
              </w:rPr>
            </w:pPr>
            <w:r>
              <w:rPr>
                <w:rFonts w:hint="eastAsia" w:ascii="Times New Roman" w:hAnsi="Times New Roman"/>
                <w:color w:val="auto"/>
                <w:sz w:val="21"/>
                <w:szCs w:val="21"/>
                <w:highlight w:val="none"/>
              </w:rPr>
              <w:t>信用编号</w:t>
            </w:r>
          </w:p>
        </w:tc>
        <w:tc>
          <w:tcPr>
            <w:tcW w:w="835" w:type="pct"/>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r>
              <w:rPr>
                <w:rFonts w:ascii="Times New Roman" w:cs="Times New Roman"/>
                <w:color w:val="auto"/>
                <w:sz w:val="21"/>
                <w:szCs w:val="21"/>
                <w:highlight w:val="none"/>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8" w:type="pct"/>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r>
              <w:rPr>
                <w:rFonts w:ascii="Times New Roman" w:cs="Times New Roman"/>
                <w:color w:val="auto"/>
                <w:sz w:val="21"/>
                <w:szCs w:val="21"/>
                <w:highlight w:val="none"/>
              </w:rPr>
              <w:t>向求来</w:t>
            </w:r>
          </w:p>
        </w:tc>
        <w:tc>
          <w:tcPr>
            <w:tcW w:w="1686"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Cs w:val="21"/>
                <w:highlight w:val="none"/>
              </w:rPr>
              <w:t>201905035430000009</w:t>
            </w:r>
          </w:p>
        </w:tc>
        <w:tc>
          <w:tcPr>
            <w:tcW w:w="1619" w:type="pct"/>
            <w:tcBorders>
              <w:top w:val="single" w:color="auto" w:sz="4" w:space="0"/>
              <w:left w:val="single" w:color="auto" w:sz="4" w:space="0"/>
              <w:bottom w:val="single" w:color="auto" w:sz="4" w:space="0"/>
              <w:right w:val="single" w:color="auto" w:sz="4" w:space="0"/>
            </w:tcBorders>
            <w:noWrap w:val="0"/>
            <w:vAlign w:val="center"/>
          </w:tcPr>
          <w:p>
            <w:pPr>
              <w:widowControl w:val="0"/>
              <w:adjustRightInd w:val="0"/>
              <w:snapToGrid w:val="0"/>
              <w:spacing w:before="0" w:beforeAutospacing="0" w:after="0" w:afterAutospacing="0"/>
              <w:ind w:firstLine="42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b w:val="0"/>
                <w:bCs/>
                <w:color w:val="auto"/>
                <w:szCs w:val="21"/>
                <w:highlight w:val="none"/>
              </w:rPr>
              <w:t>BH0</w:t>
            </w:r>
            <w:r>
              <w:rPr>
                <w:rFonts w:hint="eastAsia" w:ascii="Times New Roman" w:hAnsi="Times New Roman" w:cs="Times New Roman"/>
                <w:b w:val="0"/>
                <w:bCs/>
                <w:color w:val="auto"/>
                <w:szCs w:val="21"/>
                <w:highlight w:val="none"/>
                <w:lang w:val="en-US" w:eastAsia="zh-CN"/>
              </w:rPr>
              <w:t>22977</w:t>
            </w:r>
          </w:p>
        </w:tc>
        <w:tc>
          <w:tcPr>
            <w:tcW w:w="835" w:type="pct"/>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ind w:firstLine="420"/>
              <w:jc w:val="center"/>
              <w:rPr>
                <w:rFonts w:ascii="Times New Roman" w:hAnsi="Times New Roman"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6"/>
            <w:tcBorders>
              <w:top w:val="single" w:color="auto" w:sz="4" w:space="0"/>
              <w:left w:val="single" w:color="auto" w:sz="8"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both"/>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w:t>
            </w:r>
            <w:r>
              <w:rPr>
                <w:rFonts w:ascii="Times New Roman" w:cs="Times New Roman"/>
                <w:color w:val="auto"/>
                <w:sz w:val="21"/>
                <w:szCs w:val="21"/>
                <w:highlight w:val="none"/>
              </w:rPr>
              <w:t>主要编制人员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8" w:type="pct"/>
            <w:tcBorders>
              <w:top w:val="single" w:color="auto" w:sz="4" w:space="0"/>
              <w:left w:val="single" w:color="auto" w:sz="8"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r>
              <w:rPr>
                <w:rFonts w:ascii="Times New Roman" w:cs="Times New Roman"/>
                <w:color w:val="auto"/>
                <w:sz w:val="21"/>
                <w:szCs w:val="21"/>
                <w:highlight w:val="none"/>
              </w:rPr>
              <w:t>姓名</w:t>
            </w:r>
          </w:p>
        </w:tc>
        <w:tc>
          <w:tcPr>
            <w:tcW w:w="1429" w:type="pct"/>
            <w:gridSpan w:val="2"/>
            <w:tcBorders>
              <w:top w:val="single" w:color="auto" w:sz="4" w:space="0"/>
              <w:left w:val="single" w:color="auto" w:sz="4"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r>
              <w:rPr>
                <w:rFonts w:ascii="Times New Roman" w:cs="Times New Roman"/>
                <w:color w:val="auto"/>
                <w:sz w:val="21"/>
                <w:szCs w:val="21"/>
                <w:highlight w:val="none"/>
              </w:rPr>
              <w:t>职业资格证书编号</w:t>
            </w:r>
          </w:p>
        </w:tc>
        <w:tc>
          <w:tcPr>
            <w:tcW w:w="1876" w:type="pct"/>
            <w:gridSpan w:val="2"/>
            <w:tcBorders>
              <w:top w:val="single" w:color="auto" w:sz="4" w:space="0"/>
              <w:left w:val="single" w:color="auto" w:sz="4"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r>
              <w:rPr>
                <w:rFonts w:ascii="Times New Roman" w:cs="Times New Roman"/>
                <w:color w:val="auto"/>
                <w:sz w:val="21"/>
                <w:szCs w:val="21"/>
                <w:highlight w:val="none"/>
              </w:rPr>
              <w:t>主要编写内容</w:t>
            </w:r>
          </w:p>
        </w:tc>
        <w:tc>
          <w:tcPr>
            <w:tcW w:w="835" w:type="pct"/>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r>
              <w:rPr>
                <w:rFonts w:ascii="Times New Roman" w:cs="Times New Roman"/>
                <w:color w:val="auto"/>
                <w:sz w:val="21"/>
                <w:szCs w:val="21"/>
                <w:highlight w:val="none"/>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6" w:hRule="atLeast"/>
        </w:trPr>
        <w:tc>
          <w:tcPr>
            <w:tcW w:w="858" w:type="pct"/>
            <w:tcBorders>
              <w:top w:val="single" w:color="auto" w:sz="4" w:space="0"/>
              <w:left w:val="single" w:color="auto" w:sz="8" w:space="0"/>
              <w:bottom w:val="single" w:color="auto" w:sz="4" w:space="0"/>
              <w:right w:val="single" w:color="auto" w:sz="4" w:space="0"/>
            </w:tcBorders>
            <w:noWrap w:val="0"/>
            <w:vAlign w:val="center"/>
          </w:tcPr>
          <w:p>
            <w:pPr>
              <w:spacing w:line="264" w:lineRule="auto"/>
              <w:jc w:val="center"/>
              <w:rPr>
                <w:rFonts w:ascii="Times New Roman" w:hAnsi="Times New Roman" w:cs="Times New Roman"/>
                <w:b w:val="0"/>
                <w:bCs/>
                <w:color w:val="auto"/>
                <w:szCs w:val="21"/>
                <w:highlight w:val="none"/>
              </w:rPr>
            </w:pPr>
            <w:r>
              <w:rPr>
                <w:rFonts w:ascii="Times New Roman" w:cs="Times New Roman"/>
                <w:b w:val="0"/>
                <w:bCs/>
                <w:color w:val="auto"/>
                <w:szCs w:val="21"/>
                <w:highlight w:val="none"/>
              </w:rPr>
              <w:t>向求来</w:t>
            </w:r>
          </w:p>
        </w:tc>
        <w:tc>
          <w:tcPr>
            <w:tcW w:w="1429" w:type="pct"/>
            <w:gridSpan w:val="2"/>
            <w:tcBorders>
              <w:top w:val="single" w:color="auto" w:sz="4" w:space="0"/>
              <w:left w:val="single" w:color="auto" w:sz="4" w:space="0"/>
              <w:bottom w:val="single" w:color="auto" w:sz="4" w:space="0"/>
              <w:right w:val="single" w:color="auto" w:sz="4" w:space="0"/>
            </w:tcBorders>
            <w:noWrap w:val="0"/>
            <w:vAlign w:val="center"/>
          </w:tcPr>
          <w:p>
            <w:pPr>
              <w:spacing w:line="264" w:lineRule="auto"/>
              <w:jc w:val="center"/>
              <w:rPr>
                <w:rFonts w:ascii="Times New Roman" w:hAnsi="Times New Roman" w:cs="Times New Roman"/>
                <w:b w:val="0"/>
                <w:bCs/>
                <w:color w:val="auto"/>
                <w:szCs w:val="21"/>
                <w:highlight w:val="none"/>
              </w:rPr>
            </w:pPr>
            <w:r>
              <w:rPr>
                <w:rFonts w:ascii="Times New Roman" w:hAnsi="Times New Roman" w:cs="Times New Roman"/>
                <w:b w:val="0"/>
                <w:bCs/>
                <w:color w:val="auto"/>
                <w:szCs w:val="21"/>
                <w:highlight w:val="none"/>
              </w:rPr>
              <w:t>201905035430000009</w:t>
            </w:r>
          </w:p>
        </w:tc>
        <w:tc>
          <w:tcPr>
            <w:tcW w:w="1876" w:type="pct"/>
            <w:gridSpan w:val="2"/>
            <w:tcBorders>
              <w:top w:val="single" w:color="auto" w:sz="4" w:space="0"/>
              <w:left w:val="single" w:color="auto" w:sz="4" w:space="0"/>
              <w:bottom w:val="single" w:color="auto" w:sz="4" w:space="0"/>
              <w:right w:val="single" w:color="auto" w:sz="4"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建设项目</w:t>
            </w:r>
            <w:r>
              <w:rPr>
                <w:rFonts w:ascii="Times New Roman" w:cs="Times New Roman"/>
                <w:color w:val="auto"/>
                <w:sz w:val="21"/>
                <w:szCs w:val="21"/>
                <w:highlight w:val="none"/>
              </w:rPr>
              <w:t>工程分析、</w:t>
            </w:r>
            <w:r>
              <w:rPr>
                <w:rFonts w:hint="eastAsia" w:cs="Times New Roman"/>
                <w:color w:val="auto"/>
                <w:sz w:val="21"/>
                <w:szCs w:val="21"/>
                <w:highlight w:val="none"/>
                <w:lang w:val="en-US" w:eastAsia="zh-CN"/>
              </w:rPr>
              <w:t>区域环境质量现状</w:t>
            </w:r>
            <w:r>
              <w:rPr>
                <w:rFonts w:ascii="Times New Roman" w:cs="Times New Roman"/>
                <w:color w:val="auto"/>
                <w:sz w:val="21"/>
                <w:szCs w:val="21"/>
                <w:highlight w:val="none"/>
              </w:rPr>
              <w:t>、</w:t>
            </w:r>
            <w:r>
              <w:rPr>
                <w:rFonts w:hint="eastAsia" w:cs="Times New Roman"/>
                <w:color w:val="auto"/>
                <w:sz w:val="21"/>
                <w:szCs w:val="21"/>
                <w:highlight w:val="none"/>
                <w:lang w:val="en-US" w:eastAsia="zh-CN"/>
              </w:rPr>
              <w:t>环境保护目标及评价标准</w:t>
            </w:r>
            <w:r>
              <w:rPr>
                <w:rFonts w:ascii="Times New Roman" w:cs="Times New Roman"/>
                <w:color w:val="auto"/>
                <w:sz w:val="21"/>
                <w:szCs w:val="21"/>
                <w:highlight w:val="none"/>
              </w:rPr>
              <w:t>、</w:t>
            </w:r>
            <w:r>
              <w:rPr>
                <w:rFonts w:hint="eastAsia" w:cs="Times New Roman"/>
                <w:color w:val="auto"/>
                <w:sz w:val="21"/>
                <w:szCs w:val="21"/>
                <w:highlight w:val="none"/>
                <w:lang w:val="en-US" w:eastAsia="zh-CN"/>
              </w:rPr>
              <w:t>主要环境影响和保护措施</w:t>
            </w:r>
            <w:r>
              <w:rPr>
                <w:rFonts w:ascii="Times New Roman" w:cs="Times New Roman"/>
                <w:color w:val="auto"/>
                <w:sz w:val="21"/>
                <w:szCs w:val="21"/>
                <w:highlight w:val="none"/>
              </w:rPr>
              <w:t>、环境风险评价</w:t>
            </w:r>
            <w:r>
              <w:rPr>
                <w:rFonts w:hint="eastAsia" w:cs="Times New Roman"/>
                <w:color w:val="auto"/>
                <w:sz w:val="21"/>
                <w:szCs w:val="21"/>
                <w:highlight w:val="none"/>
                <w:lang w:val="en-US" w:eastAsia="zh-CN"/>
              </w:rPr>
              <w:t>专项</w:t>
            </w:r>
            <w:r>
              <w:rPr>
                <w:rFonts w:ascii="Times New Roman" w:cs="Times New Roman"/>
                <w:color w:val="auto"/>
                <w:sz w:val="21"/>
                <w:szCs w:val="21"/>
                <w:highlight w:val="none"/>
              </w:rPr>
              <w:t>、结论与建议</w:t>
            </w:r>
          </w:p>
        </w:tc>
        <w:tc>
          <w:tcPr>
            <w:tcW w:w="835" w:type="pct"/>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858" w:type="pct"/>
            <w:tcBorders>
              <w:top w:val="single" w:color="auto" w:sz="4" w:space="0"/>
              <w:left w:val="single" w:color="auto" w:sz="8" w:space="0"/>
              <w:bottom w:val="single" w:color="auto" w:sz="4" w:space="0"/>
              <w:right w:val="single" w:color="auto" w:sz="4" w:space="0"/>
            </w:tcBorders>
            <w:noWrap w:val="0"/>
            <w:vAlign w:val="center"/>
          </w:tcPr>
          <w:p>
            <w:pPr>
              <w:spacing w:line="264" w:lineRule="auto"/>
              <w:jc w:val="center"/>
              <w:rPr>
                <w:rFonts w:hint="default" w:ascii="Times New Roman" w:hAnsi="Times New Roman" w:cs="Times New Roman"/>
                <w:b w:val="0"/>
                <w:bCs/>
                <w:color w:val="auto"/>
                <w:szCs w:val="21"/>
                <w:highlight w:val="none"/>
                <w:lang w:val="en-US" w:eastAsia="zh-CN"/>
              </w:rPr>
            </w:pPr>
            <w:r>
              <w:rPr>
                <w:rFonts w:hint="eastAsia" w:ascii="Times New Roman" w:hAnsi="Times New Roman" w:cs="Times New Roman"/>
                <w:b w:val="0"/>
                <w:bCs/>
                <w:color w:val="auto"/>
                <w:szCs w:val="21"/>
                <w:highlight w:val="none"/>
                <w:lang w:val="en-US" w:eastAsia="zh-CN"/>
              </w:rPr>
              <w:t>李铸</w:t>
            </w:r>
          </w:p>
        </w:tc>
        <w:tc>
          <w:tcPr>
            <w:tcW w:w="1429" w:type="pct"/>
            <w:gridSpan w:val="2"/>
            <w:tcBorders>
              <w:top w:val="single" w:color="auto" w:sz="4" w:space="0"/>
              <w:left w:val="single" w:color="auto" w:sz="4" w:space="0"/>
              <w:bottom w:val="single" w:color="auto" w:sz="4" w:space="0"/>
              <w:right w:val="single" w:color="auto" w:sz="4" w:space="0"/>
            </w:tcBorders>
            <w:noWrap w:val="0"/>
            <w:vAlign w:val="center"/>
          </w:tcPr>
          <w:p>
            <w:pPr>
              <w:spacing w:line="264" w:lineRule="auto"/>
              <w:jc w:val="center"/>
              <w:rPr>
                <w:rFonts w:ascii="Times New Roman" w:hAnsi="Times New Roman" w:cs="Times New Roman"/>
                <w:b w:val="0"/>
                <w:bCs/>
                <w:color w:val="auto"/>
                <w:szCs w:val="21"/>
                <w:highlight w:val="none"/>
                <w:lang w:val="en-US" w:eastAsia="zh-CN"/>
              </w:rPr>
            </w:pPr>
            <w:r>
              <w:rPr>
                <w:rFonts w:hint="eastAsia" w:ascii="Times New Roman" w:hAnsi="Times New Roman" w:cs="Times New Roman"/>
                <w:b w:val="0"/>
                <w:bCs/>
                <w:color w:val="auto"/>
                <w:szCs w:val="21"/>
                <w:highlight w:val="none"/>
              </w:rPr>
              <w:t>BH0</w:t>
            </w:r>
            <w:r>
              <w:rPr>
                <w:rFonts w:hint="eastAsia" w:ascii="Times New Roman" w:hAnsi="Times New Roman" w:cs="Times New Roman"/>
                <w:b w:val="0"/>
                <w:bCs/>
                <w:color w:val="auto"/>
                <w:szCs w:val="21"/>
                <w:highlight w:val="none"/>
                <w:lang w:val="en-US" w:eastAsia="zh-CN"/>
              </w:rPr>
              <w:t>2297</w:t>
            </w:r>
            <w:r>
              <w:rPr>
                <w:rFonts w:hint="eastAsia" w:ascii="Times New Roman" w:hAnsi="Times New Roman" w:cs="Times New Roman"/>
                <w:b w:val="0"/>
                <w:bCs/>
                <w:color w:val="auto"/>
                <w:szCs w:val="21"/>
                <w:highlight w:val="none"/>
              </w:rPr>
              <w:t>8</w:t>
            </w:r>
          </w:p>
        </w:tc>
        <w:tc>
          <w:tcPr>
            <w:tcW w:w="1876" w:type="pct"/>
            <w:gridSpan w:val="2"/>
            <w:tcBorders>
              <w:top w:val="single" w:color="auto" w:sz="4" w:space="0"/>
              <w:left w:val="single" w:color="auto" w:sz="4" w:space="0"/>
              <w:bottom w:val="single" w:color="auto" w:sz="4" w:space="0"/>
              <w:right w:val="single" w:color="auto" w:sz="4" w:space="0"/>
            </w:tcBorders>
            <w:noWrap w:val="0"/>
            <w:vAlign w:val="center"/>
          </w:tcPr>
          <w:p>
            <w:pPr>
              <w:widowControl w:val="0"/>
              <w:adjustRightInd w:val="0"/>
              <w:snapToGrid w:val="0"/>
              <w:jc w:val="center"/>
              <w:rPr>
                <w:rFonts w:hint="default" w:ascii="Times New Roman" w:hAnsi="宋体" w:eastAsia="宋体" w:cs="宋体"/>
                <w:color w:val="auto"/>
                <w:sz w:val="21"/>
                <w:szCs w:val="21"/>
                <w:highlight w:val="none"/>
                <w:lang w:val="en-US" w:eastAsia="zh-CN" w:bidi="ar-SA"/>
              </w:rPr>
            </w:pPr>
            <w:r>
              <w:rPr>
                <w:rFonts w:ascii="Times New Roman" w:cs="Times New Roman"/>
                <w:color w:val="auto"/>
                <w:sz w:val="21"/>
                <w:szCs w:val="21"/>
                <w:highlight w:val="none"/>
              </w:rPr>
              <w:t>建设项目</w:t>
            </w:r>
            <w:r>
              <w:rPr>
                <w:rFonts w:hint="eastAsia" w:cs="Times New Roman"/>
                <w:color w:val="auto"/>
                <w:sz w:val="21"/>
                <w:szCs w:val="21"/>
                <w:highlight w:val="none"/>
                <w:lang w:val="en-US" w:eastAsia="zh-CN"/>
              </w:rPr>
              <w:t>基本情况</w:t>
            </w:r>
            <w:r>
              <w:rPr>
                <w:rFonts w:ascii="Times New Roman" w:cs="Times New Roman"/>
                <w:color w:val="auto"/>
                <w:sz w:val="21"/>
                <w:szCs w:val="21"/>
                <w:highlight w:val="none"/>
              </w:rPr>
              <w:t>、污染物排放总量控制</w:t>
            </w:r>
            <w:r>
              <w:rPr>
                <w:rFonts w:hint="eastAsia" w:cs="Times New Roman"/>
                <w:color w:val="auto"/>
                <w:sz w:val="21"/>
                <w:szCs w:val="21"/>
                <w:highlight w:val="none"/>
                <w:lang w:val="en-US" w:eastAsia="zh-CN"/>
              </w:rPr>
              <w:t>指标、环境保护措施监督检查清单</w:t>
            </w:r>
          </w:p>
        </w:tc>
        <w:tc>
          <w:tcPr>
            <w:tcW w:w="835" w:type="pct"/>
            <w:tcBorders>
              <w:top w:val="single" w:color="auto" w:sz="4" w:space="0"/>
              <w:left w:val="single" w:color="auto" w:sz="4" w:space="0"/>
              <w:bottom w:val="single" w:color="auto" w:sz="4" w:space="0"/>
              <w:right w:val="single" w:color="auto" w:sz="8" w:space="0"/>
            </w:tcBorders>
            <w:noWrap w:val="0"/>
            <w:vAlign w:val="center"/>
          </w:tcPr>
          <w:p>
            <w:pPr>
              <w:widowControl w:val="0"/>
              <w:adjustRightInd w:val="0"/>
              <w:snapToGrid w:val="0"/>
              <w:spacing w:before="0" w:beforeAutospacing="0" w:after="0" w:afterAutospacing="0"/>
              <w:jc w:val="center"/>
              <w:rPr>
                <w:rFonts w:ascii="Times New Roman" w:hAnsi="Times New Roman" w:cs="Times New Roman"/>
                <w:color w:val="auto"/>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9" w:hRule="atLeast"/>
        </w:trPr>
        <w:tc>
          <w:tcPr>
            <w:tcW w:w="5000" w:type="pct"/>
            <w:gridSpan w:val="6"/>
            <w:tcBorders>
              <w:top w:val="single" w:color="auto" w:sz="4" w:space="0"/>
              <w:left w:val="single" w:color="auto" w:sz="8" w:space="0"/>
              <w:bottom w:val="single" w:color="auto" w:sz="8" w:space="0"/>
              <w:right w:val="single" w:color="auto" w:sz="8" w:space="0"/>
            </w:tcBorders>
            <w:noWrap w:val="0"/>
            <w:vAlign w:val="top"/>
          </w:tcPr>
          <w:p>
            <w:pPr>
              <w:widowControl w:val="0"/>
              <w:adjustRightInd w:val="0"/>
              <w:snapToGrid w:val="0"/>
              <w:spacing w:beforeLines="50" w:beforeAutospacing="0" w:after="0" w:afterAutospacing="0"/>
              <w:jc w:val="both"/>
              <w:rPr>
                <w:rFonts w:ascii="Times New Roman" w:hAnsi="Times New Roman" w:eastAsia="黑体" w:cs="Times New Roman"/>
                <w:color w:val="auto"/>
                <w:sz w:val="21"/>
                <w:szCs w:val="21"/>
                <w:highlight w:val="none"/>
              </w:rPr>
            </w:pPr>
            <w:r>
              <w:rPr>
                <w:rFonts w:ascii="Times New Roman" w:hAnsi="黑体" w:eastAsia="黑体" w:cs="Times New Roman"/>
                <w:color w:val="auto"/>
                <w:sz w:val="21"/>
                <w:szCs w:val="21"/>
                <w:highlight w:val="none"/>
              </w:rPr>
              <w:t>四、参与编制单位和人员情况</w:t>
            </w:r>
          </w:p>
        </w:tc>
      </w:tr>
    </w:tbl>
    <w:p>
      <w:pPr>
        <w:jc w:val="center"/>
        <w:rPr>
          <w:rFonts w:hint="eastAsia"/>
          <w:sz w:val="32"/>
          <w:szCs w:val="32"/>
          <w:lang w:val="en-US"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jc w:val="center"/>
        <w:rPr>
          <w:rFonts w:hint="eastAsia"/>
          <w:sz w:val="32"/>
          <w:szCs w:val="32"/>
          <w:lang w:val="en-US" w:eastAsia="zh-CN"/>
        </w:rPr>
      </w:pPr>
      <w:r>
        <w:rPr>
          <w:rFonts w:hint="eastAsia"/>
          <w:sz w:val="32"/>
          <w:szCs w:val="32"/>
          <w:lang w:val="en-US" w:eastAsia="zh-CN"/>
        </w:rPr>
        <w:t>目录</w:t>
      </w:r>
    </w:p>
    <w:p>
      <w:pPr>
        <w:pStyle w:val="10"/>
        <w:tabs>
          <w:tab w:val="right" w:leader="dot" w:pos="8306"/>
        </w:tabs>
      </w:pPr>
      <w:r>
        <w:fldChar w:fldCharType="begin"/>
      </w:r>
      <w:r>
        <w:instrText xml:space="preserve">TOC \o "1-5" \h \u </w:instrText>
      </w:r>
      <w:r>
        <w:fldChar w:fldCharType="separate"/>
      </w:r>
    </w:p>
    <w:p>
      <w:pPr>
        <w:pStyle w:val="13"/>
        <w:tabs>
          <w:tab w:val="right" w:leader="dot" w:pos="8306"/>
        </w:tabs>
        <w:ind w:left="0" w:leftChars="0" w:firstLine="0" w:firstLineChars="0"/>
      </w:pPr>
      <w:r>
        <w:fldChar w:fldCharType="begin"/>
      </w:r>
      <w:r>
        <w:instrText xml:space="preserve"> HYPERLINK \l _Toc14482 </w:instrText>
      </w:r>
      <w:r>
        <w:fldChar w:fldCharType="separate"/>
      </w:r>
      <w:r>
        <w:rPr>
          <w:rFonts w:hint="eastAsia"/>
          <w:lang w:val="en-US" w:eastAsia="zh-CN"/>
        </w:rPr>
        <w:t>一、建设项目基本情况</w:t>
      </w:r>
      <w:r>
        <w:tab/>
      </w:r>
      <w:r>
        <w:fldChar w:fldCharType="begin"/>
      </w:r>
      <w:r>
        <w:instrText xml:space="preserve"> PAGEREF _Toc14482 \h </w:instrText>
      </w:r>
      <w:r>
        <w:fldChar w:fldCharType="separate"/>
      </w:r>
      <w:r>
        <w:t>1</w:t>
      </w:r>
      <w:r>
        <w:fldChar w:fldCharType="end"/>
      </w:r>
      <w:r>
        <w:fldChar w:fldCharType="end"/>
      </w:r>
    </w:p>
    <w:p>
      <w:pPr>
        <w:pStyle w:val="13"/>
        <w:tabs>
          <w:tab w:val="right" w:leader="dot" w:pos="8306"/>
        </w:tabs>
        <w:ind w:left="0" w:leftChars="0" w:firstLine="0" w:firstLineChars="0"/>
      </w:pPr>
      <w:r>
        <w:fldChar w:fldCharType="begin"/>
      </w:r>
      <w:r>
        <w:instrText xml:space="preserve"> HYPERLINK \l _Toc20254 </w:instrText>
      </w:r>
      <w:r>
        <w:fldChar w:fldCharType="separate"/>
      </w:r>
      <w:r>
        <w:rPr>
          <w:rFonts w:hint="eastAsia"/>
          <w:lang w:val="en-US" w:eastAsia="zh-CN"/>
        </w:rPr>
        <w:t>二、建设项目工程分析</w:t>
      </w:r>
      <w:r>
        <w:tab/>
      </w:r>
      <w:r>
        <w:fldChar w:fldCharType="begin"/>
      </w:r>
      <w:r>
        <w:instrText xml:space="preserve"> PAGEREF _Toc20254 \h </w:instrText>
      </w:r>
      <w:r>
        <w:fldChar w:fldCharType="separate"/>
      </w:r>
      <w:r>
        <w:t>11</w:t>
      </w:r>
      <w:r>
        <w:fldChar w:fldCharType="end"/>
      </w:r>
      <w:r>
        <w:fldChar w:fldCharType="end"/>
      </w:r>
    </w:p>
    <w:p>
      <w:pPr>
        <w:pStyle w:val="13"/>
        <w:tabs>
          <w:tab w:val="right" w:leader="dot" w:pos="8306"/>
        </w:tabs>
        <w:ind w:left="0" w:leftChars="0" w:firstLine="0" w:firstLineChars="0"/>
      </w:pPr>
      <w:r>
        <w:fldChar w:fldCharType="begin"/>
      </w:r>
      <w:r>
        <w:instrText xml:space="preserve"> HYPERLINK \l _Toc3924 </w:instrText>
      </w:r>
      <w:r>
        <w:fldChar w:fldCharType="separate"/>
      </w:r>
      <w:r>
        <w:rPr>
          <w:lang w:val="en-US" w:eastAsia="zh-CN"/>
        </w:rPr>
        <w:t>三、区域环境质量现状、环境保护目标及评价标准</w:t>
      </w:r>
      <w:r>
        <w:tab/>
      </w:r>
      <w:r>
        <w:fldChar w:fldCharType="begin"/>
      </w:r>
      <w:r>
        <w:instrText xml:space="preserve"> PAGEREF _Toc3924 \h </w:instrText>
      </w:r>
      <w:r>
        <w:fldChar w:fldCharType="separate"/>
      </w:r>
      <w:r>
        <w:t>23</w:t>
      </w:r>
      <w:r>
        <w:fldChar w:fldCharType="end"/>
      </w:r>
      <w:r>
        <w:fldChar w:fldCharType="end"/>
      </w:r>
    </w:p>
    <w:p>
      <w:pPr>
        <w:pStyle w:val="13"/>
        <w:tabs>
          <w:tab w:val="right" w:leader="dot" w:pos="8306"/>
        </w:tabs>
        <w:ind w:left="0" w:leftChars="0" w:firstLine="0" w:firstLineChars="0"/>
      </w:pPr>
      <w:r>
        <w:fldChar w:fldCharType="begin"/>
      </w:r>
      <w:r>
        <w:instrText xml:space="preserve"> HYPERLINK \l _Toc18221 </w:instrText>
      </w:r>
      <w:r>
        <w:fldChar w:fldCharType="separate"/>
      </w:r>
      <w:r>
        <w:rPr>
          <w:rFonts w:hint="eastAsia"/>
          <w:lang w:val="en-US" w:eastAsia="zh-CN"/>
        </w:rPr>
        <w:t>四、主要环境影响和保护措施</w:t>
      </w:r>
      <w:r>
        <w:tab/>
      </w:r>
      <w:r>
        <w:fldChar w:fldCharType="begin"/>
      </w:r>
      <w:r>
        <w:instrText xml:space="preserve"> PAGEREF _Toc18221 \h </w:instrText>
      </w:r>
      <w:r>
        <w:fldChar w:fldCharType="separate"/>
      </w:r>
      <w:r>
        <w:t>43</w:t>
      </w:r>
      <w:r>
        <w:fldChar w:fldCharType="end"/>
      </w:r>
      <w:r>
        <w:fldChar w:fldCharType="end"/>
      </w:r>
    </w:p>
    <w:p>
      <w:pPr>
        <w:pStyle w:val="13"/>
        <w:tabs>
          <w:tab w:val="right" w:leader="dot" w:pos="8306"/>
        </w:tabs>
        <w:ind w:left="0" w:leftChars="0" w:firstLine="0" w:firstLineChars="0"/>
      </w:pPr>
      <w:r>
        <w:fldChar w:fldCharType="begin"/>
      </w:r>
      <w:r>
        <w:instrText xml:space="preserve"> HYPERLINK \l _Toc26048 </w:instrText>
      </w:r>
      <w:r>
        <w:fldChar w:fldCharType="separate"/>
      </w:r>
      <w:r>
        <w:rPr>
          <w:rFonts w:hint="eastAsia"/>
          <w:lang w:val="en-US" w:eastAsia="zh-CN"/>
        </w:rPr>
        <w:t>五、</w:t>
      </w:r>
      <w:r>
        <w:rPr>
          <w:rFonts w:hint="default"/>
          <w:lang w:val="en-US" w:eastAsia="zh-CN"/>
        </w:rPr>
        <w:t>环境保护措施监督检查清单</w:t>
      </w:r>
      <w:r>
        <w:tab/>
      </w:r>
      <w:r>
        <w:fldChar w:fldCharType="begin"/>
      </w:r>
      <w:r>
        <w:instrText xml:space="preserve"> PAGEREF _Toc26048 \h </w:instrText>
      </w:r>
      <w:r>
        <w:fldChar w:fldCharType="separate"/>
      </w:r>
      <w:r>
        <w:t>59</w:t>
      </w:r>
      <w:r>
        <w:fldChar w:fldCharType="end"/>
      </w:r>
      <w:r>
        <w:fldChar w:fldCharType="end"/>
      </w:r>
    </w:p>
    <w:p>
      <w:pPr>
        <w:pStyle w:val="13"/>
        <w:tabs>
          <w:tab w:val="right" w:leader="dot" w:pos="8306"/>
        </w:tabs>
        <w:ind w:left="0" w:leftChars="0" w:firstLine="0" w:firstLineChars="0"/>
      </w:pPr>
      <w:r>
        <w:fldChar w:fldCharType="begin"/>
      </w:r>
      <w:r>
        <w:instrText xml:space="preserve"> HYPERLINK \l _Toc30841 </w:instrText>
      </w:r>
      <w:r>
        <w:fldChar w:fldCharType="separate"/>
      </w:r>
      <w:r>
        <w:rPr>
          <w:rFonts w:hint="eastAsia"/>
        </w:rPr>
        <w:t>六、</w:t>
      </w:r>
      <w:r>
        <w:t>结论</w:t>
      </w:r>
      <w:r>
        <w:tab/>
      </w:r>
      <w:r>
        <w:fldChar w:fldCharType="begin"/>
      </w:r>
      <w:r>
        <w:instrText xml:space="preserve"> PAGEREF _Toc30841 \h </w:instrText>
      </w:r>
      <w:r>
        <w:fldChar w:fldCharType="separate"/>
      </w:r>
      <w:r>
        <w:t>60</w:t>
      </w:r>
      <w:r>
        <w:fldChar w:fldCharType="end"/>
      </w:r>
      <w:r>
        <w:fldChar w:fldCharType="end"/>
      </w:r>
    </w:p>
    <w:p>
      <w:pPr>
        <w:pStyle w:val="13"/>
        <w:tabs>
          <w:tab w:val="right" w:leader="dot" w:pos="8306"/>
        </w:tabs>
        <w:ind w:left="0" w:leftChars="0" w:firstLine="240" w:firstLineChars="100"/>
      </w:pPr>
      <w:r>
        <w:fldChar w:fldCharType="begin"/>
      </w:r>
      <w:r>
        <w:instrText xml:space="preserve"> HYPERLINK \l _Toc18909 </w:instrText>
      </w:r>
      <w:r>
        <w:fldChar w:fldCharType="separate"/>
      </w:r>
      <w:r>
        <w:rPr>
          <w:rFonts w:hint="eastAsia"/>
          <w:lang w:val="en-US" w:eastAsia="zh-CN"/>
        </w:rPr>
        <w:t>附表</w:t>
      </w:r>
      <w:r>
        <w:tab/>
      </w:r>
      <w:r>
        <w:fldChar w:fldCharType="begin"/>
      </w:r>
      <w:r>
        <w:instrText xml:space="preserve"> PAGEREF _Toc18909 \h </w:instrText>
      </w:r>
      <w:r>
        <w:fldChar w:fldCharType="separate"/>
      </w:r>
      <w:r>
        <w:t>61</w:t>
      </w:r>
      <w:r>
        <w:fldChar w:fldCharType="end"/>
      </w:r>
      <w:r>
        <w:fldChar w:fldCharType="end"/>
      </w:r>
    </w:p>
    <w:p>
      <w:pPr>
        <w:pStyle w:val="13"/>
        <w:tabs>
          <w:tab w:val="right" w:leader="dot" w:pos="8306"/>
        </w:tabs>
      </w:pPr>
      <w:r>
        <w:fldChar w:fldCharType="begin"/>
      </w:r>
      <w:r>
        <w:instrText xml:space="preserve"> HYPERLINK \l _Toc7543 </w:instrText>
      </w:r>
      <w:r>
        <w:fldChar w:fldCharType="separate"/>
      </w:r>
      <w:r>
        <w:rPr>
          <w:rFonts w:hint="eastAsia" w:ascii="宋体" w:hAnsi="宋体" w:eastAsia="宋体" w:cs="宋体"/>
          <w:snapToGrid w:val="0"/>
          <w:szCs w:val="38"/>
        </w:rPr>
        <w:t>建设项目污染物排放量汇总表</w:t>
      </w:r>
      <w:r>
        <w:tab/>
      </w:r>
      <w:r>
        <w:fldChar w:fldCharType="begin"/>
      </w:r>
      <w:r>
        <w:instrText xml:space="preserve"> PAGEREF _Toc7543 \h </w:instrText>
      </w:r>
      <w:r>
        <w:fldChar w:fldCharType="separate"/>
      </w:r>
      <w:r>
        <w:t>61</w:t>
      </w:r>
      <w:r>
        <w:fldChar w:fldCharType="end"/>
      </w:r>
      <w:r>
        <w:fldChar w:fldCharType="end"/>
      </w:r>
    </w:p>
    <w:p>
      <w:pPr>
        <w:pStyle w:val="13"/>
        <w:tabs>
          <w:tab w:val="right" w:leader="dot" w:pos="8306"/>
        </w:tabs>
        <w:ind w:left="0" w:leftChars="0" w:firstLine="240" w:firstLineChars="100"/>
      </w:pPr>
      <w:r>
        <w:fldChar w:fldCharType="begin"/>
      </w:r>
      <w:r>
        <w:instrText xml:space="preserve"> HYPERLINK \l _Toc24073 </w:instrText>
      </w:r>
      <w:r>
        <w:fldChar w:fldCharType="separate"/>
      </w:r>
      <w:r>
        <w:rPr>
          <w:rFonts w:hint="eastAsia"/>
          <w:lang w:val="en-US" w:eastAsia="zh-CN"/>
        </w:rPr>
        <w:t>附件</w:t>
      </w:r>
      <w:r>
        <w:tab/>
      </w:r>
      <w:r>
        <w:fldChar w:fldCharType="begin"/>
      </w:r>
      <w:r>
        <w:instrText xml:space="preserve"> PAGEREF _Toc24073 \h </w:instrText>
      </w:r>
      <w:r>
        <w:fldChar w:fldCharType="separate"/>
      </w:r>
      <w:r>
        <w:t>62</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_Toc29216 </w:instrText>
      </w:r>
      <w:r>
        <w:fldChar w:fldCharType="separate"/>
      </w:r>
      <w:r>
        <w:rPr>
          <w:rFonts w:hint="eastAsia"/>
          <w:lang w:val="en-US" w:eastAsia="zh-CN"/>
        </w:rPr>
        <w:t>附件1 环评委托合同</w:t>
      </w:r>
      <w:r>
        <w:tab/>
      </w:r>
      <w:r>
        <w:fldChar w:fldCharType="begin"/>
      </w:r>
      <w:r>
        <w:instrText xml:space="preserve"> PAGEREF _Toc29216 \h </w:instrText>
      </w:r>
      <w:r>
        <w:fldChar w:fldCharType="separate"/>
      </w:r>
      <w:r>
        <w:t>62</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_Toc23717 </w:instrText>
      </w:r>
      <w:r>
        <w:fldChar w:fldCharType="separate"/>
      </w:r>
      <w:r>
        <w:rPr>
          <w:rFonts w:hint="eastAsia"/>
          <w:lang w:val="en-US" w:eastAsia="zh-CN"/>
        </w:rPr>
        <w:t>附件2 园区环评批复</w:t>
      </w:r>
      <w:r>
        <w:tab/>
      </w:r>
      <w:r>
        <w:fldChar w:fldCharType="begin"/>
      </w:r>
      <w:r>
        <w:instrText xml:space="preserve"> PAGEREF _Toc23717 \h </w:instrText>
      </w:r>
      <w:r>
        <w:fldChar w:fldCharType="separate"/>
      </w:r>
      <w:r>
        <w:t>63</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_Toc28711 </w:instrText>
      </w:r>
      <w:r>
        <w:fldChar w:fldCharType="separate"/>
      </w:r>
      <w:r>
        <w:rPr>
          <w:rFonts w:hint="eastAsia"/>
          <w:lang w:val="en-US" w:eastAsia="zh-CN"/>
        </w:rPr>
        <w:t>附件3 项目专利</w:t>
      </w:r>
      <w:r>
        <w:tab/>
      </w:r>
      <w:r>
        <w:fldChar w:fldCharType="begin"/>
      </w:r>
      <w:r>
        <w:instrText xml:space="preserve"> PAGEREF _Toc28711 \h </w:instrText>
      </w:r>
      <w:r>
        <w:fldChar w:fldCharType="separate"/>
      </w:r>
      <w:r>
        <w:t>69</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_Toc9765 </w:instrText>
      </w:r>
      <w:r>
        <w:fldChar w:fldCharType="separate"/>
      </w:r>
      <w:r>
        <w:rPr>
          <w:rFonts w:hint="eastAsia"/>
          <w:lang w:val="en-US" w:eastAsia="zh-CN"/>
        </w:rPr>
        <w:t>附件4 锰渣及无害化锰渣水浸</w:t>
      </w:r>
      <w:r>
        <w:tab/>
      </w:r>
      <w:r>
        <w:fldChar w:fldCharType="begin"/>
      </w:r>
      <w:r>
        <w:instrText xml:space="preserve"> PAGEREF _Toc9765 \h </w:instrText>
      </w:r>
      <w:r>
        <w:fldChar w:fldCharType="separate"/>
      </w:r>
      <w:r>
        <w:t>79</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_Toc13711 </w:instrText>
      </w:r>
      <w:r>
        <w:fldChar w:fldCharType="separate"/>
      </w:r>
      <w:r>
        <w:rPr>
          <w:rFonts w:hint="eastAsia"/>
          <w:lang w:val="en-US" w:eastAsia="zh-CN"/>
        </w:rPr>
        <w:t>附件5 轻质隔墙条板酸浸浸出毒性检测</w:t>
      </w:r>
      <w:r>
        <w:tab/>
      </w:r>
      <w:r>
        <w:fldChar w:fldCharType="begin"/>
      </w:r>
      <w:r>
        <w:instrText xml:space="preserve"> PAGEREF _Toc13711 \h </w:instrText>
      </w:r>
      <w:r>
        <w:fldChar w:fldCharType="separate"/>
      </w:r>
      <w:r>
        <w:t>87</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_Toc10837 </w:instrText>
      </w:r>
      <w:r>
        <w:fldChar w:fldCharType="separate"/>
      </w:r>
      <w:r>
        <w:rPr>
          <w:rFonts w:hint="eastAsia"/>
          <w:lang w:val="en-US" w:eastAsia="zh-CN"/>
        </w:rPr>
        <w:t>附件6 轻质隔墙条板材料测试</w:t>
      </w:r>
      <w:r>
        <w:tab/>
      </w:r>
      <w:r>
        <w:fldChar w:fldCharType="begin"/>
      </w:r>
      <w:r>
        <w:instrText xml:space="preserve"> PAGEREF _Toc10837 \h </w:instrText>
      </w:r>
      <w:r>
        <w:fldChar w:fldCharType="separate"/>
      </w:r>
      <w:r>
        <w:t>90</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_Toc32102 </w:instrText>
      </w:r>
      <w:r>
        <w:fldChar w:fldCharType="separate"/>
      </w:r>
      <w:r>
        <w:rPr>
          <w:rFonts w:hint="eastAsia"/>
          <w:lang w:val="en-US" w:eastAsia="zh-CN"/>
        </w:rPr>
        <w:t>附件7 噪声检测报告</w:t>
      </w:r>
      <w:r>
        <w:tab/>
      </w:r>
      <w:r>
        <w:fldChar w:fldCharType="begin"/>
      </w:r>
      <w:r>
        <w:instrText xml:space="preserve"> PAGEREF _Toc32102 \h </w:instrText>
      </w:r>
      <w:r>
        <w:fldChar w:fldCharType="separate"/>
      </w:r>
      <w:r>
        <w:t>98</w:t>
      </w:r>
      <w:r>
        <w:fldChar w:fldCharType="end"/>
      </w:r>
      <w:r>
        <w:fldChar w:fldCharType="end"/>
      </w:r>
    </w:p>
    <w:p>
      <w:pPr>
        <w:pStyle w:val="13"/>
        <w:tabs>
          <w:tab w:val="right" w:leader="dot" w:pos="8306"/>
        </w:tabs>
        <w:ind w:left="0" w:leftChars="0" w:firstLine="240" w:firstLineChars="100"/>
      </w:pPr>
      <w:r>
        <w:fldChar w:fldCharType="begin"/>
      </w:r>
      <w:r>
        <w:instrText xml:space="preserve"> HYPERLINK \l _Toc24757 </w:instrText>
      </w:r>
      <w:r>
        <w:fldChar w:fldCharType="separate"/>
      </w:r>
      <w:r>
        <w:rPr>
          <w:rFonts w:hint="eastAsia"/>
          <w:lang w:val="en-US" w:eastAsia="zh-CN"/>
        </w:rPr>
        <w:t>附图</w:t>
      </w:r>
      <w:r>
        <w:tab/>
      </w:r>
      <w:r>
        <w:fldChar w:fldCharType="begin"/>
      </w:r>
      <w:r>
        <w:instrText xml:space="preserve"> PAGEREF _Toc24757 \h </w:instrText>
      </w:r>
      <w:r>
        <w:fldChar w:fldCharType="separate"/>
      </w:r>
      <w:r>
        <w:t>104</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_Toc3889 </w:instrText>
      </w:r>
      <w:r>
        <w:fldChar w:fldCharType="separate"/>
      </w:r>
      <w:r>
        <w:rPr>
          <w:rFonts w:hint="eastAsia"/>
          <w:lang w:val="en-US" w:eastAsia="zh-CN"/>
        </w:rPr>
        <w:t>附图1 项目地理位置图</w:t>
      </w:r>
      <w:r>
        <w:tab/>
      </w:r>
      <w:r>
        <w:fldChar w:fldCharType="begin"/>
      </w:r>
      <w:r>
        <w:instrText xml:space="preserve"> PAGEREF _Toc3889 \h </w:instrText>
      </w:r>
      <w:r>
        <w:fldChar w:fldCharType="separate"/>
      </w:r>
      <w:r>
        <w:t>104</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_Toc28853 </w:instrText>
      </w:r>
      <w:r>
        <w:fldChar w:fldCharType="separate"/>
      </w:r>
      <w:r>
        <w:rPr>
          <w:rFonts w:hint="eastAsia"/>
          <w:lang w:val="en-US" w:eastAsia="zh-CN"/>
        </w:rPr>
        <w:t>附图2 平面布置图</w:t>
      </w:r>
      <w:r>
        <w:tab/>
      </w:r>
      <w:r>
        <w:fldChar w:fldCharType="begin"/>
      </w:r>
      <w:r>
        <w:instrText xml:space="preserve"> PAGEREF _Toc28853 \h </w:instrText>
      </w:r>
      <w:r>
        <w:fldChar w:fldCharType="separate"/>
      </w:r>
      <w:r>
        <w:t>105</w:t>
      </w:r>
      <w:r>
        <w:fldChar w:fldCharType="end"/>
      </w:r>
      <w:r>
        <w:fldChar w:fldCharType="end"/>
      </w:r>
    </w:p>
    <w:p>
      <w:pPr>
        <w:pStyle w:val="11"/>
        <w:tabs>
          <w:tab w:val="right" w:leader="dot" w:pos="8306"/>
        </w:tabs>
        <w:ind w:left="0" w:leftChars="0" w:firstLine="480" w:firstLineChars="200"/>
      </w:pPr>
      <w:r>
        <w:fldChar w:fldCharType="begin"/>
      </w:r>
      <w:r>
        <w:instrText xml:space="preserve"> HYPERLINK \l _Toc25264 </w:instrText>
      </w:r>
      <w:r>
        <w:fldChar w:fldCharType="separate"/>
      </w:r>
      <w:r>
        <w:rPr>
          <w:rFonts w:hint="eastAsia"/>
          <w:lang w:val="en-US" w:eastAsia="zh-CN"/>
        </w:rPr>
        <w:t>附图3 花垣县总体规划图</w:t>
      </w:r>
      <w:r>
        <w:tab/>
      </w:r>
      <w:r>
        <w:fldChar w:fldCharType="begin"/>
      </w:r>
      <w:r>
        <w:instrText xml:space="preserve"> PAGEREF _Toc25264 \h </w:instrText>
      </w:r>
      <w:r>
        <w:fldChar w:fldCharType="separate"/>
      </w:r>
      <w:r>
        <w:t>106</w:t>
      </w:r>
      <w:r>
        <w:fldChar w:fldCharType="end"/>
      </w:r>
      <w:r>
        <w:fldChar w:fldCharType="end"/>
      </w:r>
    </w:p>
    <w:p>
      <w:pPr>
        <w:pStyle w:val="10"/>
        <w:tabs>
          <w:tab w:val="right" w:leader="dot" w:pos="8306"/>
        </w:tabs>
      </w:pPr>
      <w:r>
        <w:fldChar w:fldCharType="begin"/>
      </w:r>
      <w:r>
        <w:instrText xml:space="preserve"> HYPERLINK \l _Toc7200 </w:instrText>
      </w:r>
      <w:r>
        <w:fldChar w:fldCharType="separate"/>
      </w:r>
      <w:r>
        <w:rPr>
          <w:szCs w:val="32"/>
        </w:rPr>
        <w:t>环境风险专项评价</w:t>
      </w:r>
      <w:r>
        <w:tab/>
      </w:r>
      <w:r>
        <w:fldChar w:fldCharType="begin"/>
      </w:r>
      <w:r>
        <w:instrText xml:space="preserve"> PAGEREF _Toc7200 \h </w:instrText>
      </w:r>
      <w:r>
        <w:fldChar w:fldCharType="separate"/>
      </w:r>
      <w:r>
        <w:t>107</w:t>
      </w:r>
      <w:r>
        <w:fldChar w:fldCharType="end"/>
      </w:r>
      <w:r>
        <w:fldChar w:fldCharType="end"/>
      </w:r>
    </w:p>
    <w:p>
      <w:pPr>
        <w:pStyle w:val="13"/>
        <w:tabs>
          <w:tab w:val="right" w:leader="dot" w:pos="8306"/>
        </w:tabs>
        <w:ind w:firstLine="240" w:firstLineChars="100"/>
      </w:pPr>
      <w:r>
        <w:fldChar w:fldCharType="begin"/>
      </w:r>
      <w:r>
        <w:instrText xml:space="preserve"> HYPERLINK \l _Toc21184 </w:instrText>
      </w:r>
      <w:r>
        <w:fldChar w:fldCharType="separate"/>
      </w:r>
      <w:r>
        <w:t>1</w:t>
      </w:r>
      <w:r>
        <w:rPr>
          <w:rFonts w:hint="eastAsia"/>
          <w:lang w:val="en-US" w:eastAsia="zh-CN"/>
        </w:rPr>
        <w:t xml:space="preserve"> </w:t>
      </w:r>
      <w:r>
        <w:t>环境风险评价概述</w:t>
      </w:r>
      <w:r>
        <w:tab/>
      </w:r>
      <w:r>
        <w:fldChar w:fldCharType="begin"/>
      </w:r>
      <w:r>
        <w:instrText xml:space="preserve"> PAGEREF _Toc21184 \h </w:instrText>
      </w:r>
      <w:r>
        <w:fldChar w:fldCharType="separate"/>
      </w:r>
      <w:r>
        <w:t>108</w:t>
      </w:r>
      <w:r>
        <w:fldChar w:fldCharType="end"/>
      </w:r>
      <w:r>
        <w:fldChar w:fldCharType="end"/>
      </w:r>
    </w:p>
    <w:p>
      <w:pPr>
        <w:pStyle w:val="7"/>
        <w:tabs>
          <w:tab w:val="right" w:leader="dot" w:pos="8306"/>
        </w:tabs>
      </w:pPr>
      <w:r>
        <w:fldChar w:fldCharType="begin"/>
      </w:r>
      <w:r>
        <w:instrText xml:space="preserve"> HYPERLINK \l _Toc5876 </w:instrText>
      </w:r>
      <w:r>
        <w:fldChar w:fldCharType="separate"/>
      </w:r>
      <w:r>
        <w:t>1.1</w:t>
      </w:r>
      <w:r>
        <w:rPr>
          <w:rFonts w:hint="eastAsia"/>
          <w:lang w:val="en-US" w:eastAsia="zh-CN"/>
        </w:rPr>
        <w:t xml:space="preserve"> </w:t>
      </w:r>
      <w:r>
        <w:t>评价原则</w:t>
      </w:r>
      <w:r>
        <w:tab/>
      </w:r>
      <w:r>
        <w:fldChar w:fldCharType="begin"/>
      </w:r>
      <w:r>
        <w:instrText xml:space="preserve"> PAGEREF _Toc5876 \h </w:instrText>
      </w:r>
      <w:r>
        <w:fldChar w:fldCharType="separate"/>
      </w:r>
      <w:r>
        <w:t>108</w:t>
      </w:r>
      <w:r>
        <w:fldChar w:fldCharType="end"/>
      </w:r>
      <w:r>
        <w:fldChar w:fldCharType="end"/>
      </w:r>
    </w:p>
    <w:p>
      <w:pPr>
        <w:pStyle w:val="7"/>
        <w:tabs>
          <w:tab w:val="right" w:leader="dot" w:pos="8306"/>
        </w:tabs>
      </w:pPr>
      <w:r>
        <w:fldChar w:fldCharType="begin"/>
      </w:r>
      <w:r>
        <w:instrText xml:space="preserve"> HYPERLINK \l _Toc9740 </w:instrText>
      </w:r>
      <w:r>
        <w:fldChar w:fldCharType="separate"/>
      </w:r>
      <w:r>
        <w:t>1.2</w:t>
      </w:r>
      <w:r>
        <w:rPr>
          <w:rFonts w:hint="eastAsia"/>
          <w:lang w:val="en-US" w:eastAsia="zh-CN"/>
        </w:rPr>
        <w:t xml:space="preserve"> </w:t>
      </w:r>
      <w:r>
        <w:t>编制依据</w:t>
      </w:r>
      <w:r>
        <w:tab/>
      </w:r>
      <w:r>
        <w:fldChar w:fldCharType="begin"/>
      </w:r>
      <w:r>
        <w:instrText xml:space="preserve"> PAGEREF _Toc9740 \h </w:instrText>
      </w:r>
      <w:r>
        <w:fldChar w:fldCharType="separate"/>
      </w:r>
      <w:r>
        <w:t>108</w:t>
      </w:r>
      <w:r>
        <w:fldChar w:fldCharType="end"/>
      </w:r>
      <w:r>
        <w:fldChar w:fldCharType="end"/>
      </w:r>
    </w:p>
    <w:p>
      <w:pPr>
        <w:pStyle w:val="7"/>
        <w:tabs>
          <w:tab w:val="right" w:leader="dot" w:pos="8306"/>
        </w:tabs>
      </w:pPr>
      <w:r>
        <w:fldChar w:fldCharType="begin"/>
      </w:r>
      <w:r>
        <w:instrText xml:space="preserve"> HYPERLINK \l _Toc27099 </w:instrText>
      </w:r>
      <w:r>
        <w:fldChar w:fldCharType="separate"/>
      </w:r>
      <w:r>
        <w:t>1.3 评价原则</w:t>
      </w:r>
      <w:r>
        <w:tab/>
      </w:r>
      <w:r>
        <w:fldChar w:fldCharType="begin"/>
      </w:r>
      <w:r>
        <w:instrText xml:space="preserve"> PAGEREF _Toc27099 \h </w:instrText>
      </w:r>
      <w:r>
        <w:fldChar w:fldCharType="separate"/>
      </w:r>
      <w:r>
        <w:t>109</w:t>
      </w:r>
      <w:r>
        <w:fldChar w:fldCharType="end"/>
      </w:r>
      <w:r>
        <w:fldChar w:fldCharType="end"/>
      </w:r>
    </w:p>
    <w:p>
      <w:pPr>
        <w:pStyle w:val="7"/>
        <w:tabs>
          <w:tab w:val="right" w:leader="dot" w:pos="8306"/>
        </w:tabs>
      </w:pPr>
      <w:r>
        <w:fldChar w:fldCharType="begin"/>
      </w:r>
      <w:r>
        <w:instrText xml:space="preserve"> HYPERLINK \l _Toc32412 </w:instrText>
      </w:r>
      <w:r>
        <w:fldChar w:fldCharType="separate"/>
      </w:r>
      <w:r>
        <w:t>1.4</w:t>
      </w:r>
      <w:r>
        <w:rPr>
          <w:rFonts w:hint="eastAsia"/>
          <w:lang w:val="en-US" w:eastAsia="zh-CN"/>
        </w:rPr>
        <w:t xml:space="preserve"> </w:t>
      </w:r>
      <w:r>
        <w:t>评价程序</w:t>
      </w:r>
      <w:r>
        <w:tab/>
      </w:r>
      <w:r>
        <w:fldChar w:fldCharType="begin"/>
      </w:r>
      <w:r>
        <w:instrText xml:space="preserve"> PAGEREF _Toc32412 \h </w:instrText>
      </w:r>
      <w:r>
        <w:fldChar w:fldCharType="separate"/>
      </w:r>
      <w:r>
        <w:t>109</w:t>
      </w:r>
      <w:r>
        <w:fldChar w:fldCharType="end"/>
      </w:r>
      <w:r>
        <w:fldChar w:fldCharType="end"/>
      </w:r>
    </w:p>
    <w:p>
      <w:pPr>
        <w:pStyle w:val="13"/>
        <w:tabs>
          <w:tab w:val="right" w:leader="dot" w:pos="8306"/>
        </w:tabs>
        <w:ind w:firstLine="240" w:firstLineChars="100"/>
      </w:pPr>
      <w:r>
        <w:fldChar w:fldCharType="begin"/>
      </w:r>
      <w:r>
        <w:instrText xml:space="preserve"> HYPERLINK \l _Toc17792 </w:instrText>
      </w:r>
      <w:r>
        <w:fldChar w:fldCharType="separate"/>
      </w:r>
      <w:r>
        <w:t>2</w:t>
      </w:r>
      <w:r>
        <w:rPr>
          <w:rFonts w:hint="eastAsia"/>
          <w:lang w:val="en-US" w:eastAsia="zh-CN"/>
        </w:rPr>
        <w:t xml:space="preserve"> </w:t>
      </w:r>
      <w:r>
        <w:t>风险调查</w:t>
      </w:r>
      <w:r>
        <w:tab/>
      </w:r>
      <w:r>
        <w:fldChar w:fldCharType="begin"/>
      </w:r>
      <w:r>
        <w:instrText xml:space="preserve"> PAGEREF _Toc17792 \h </w:instrText>
      </w:r>
      <w:r>
        <w:fldChar w:fldCharType="separate"/>
      </w:r>
      <w:r>
        <w:t>111</w:t>
      </w:r>
      <w:r>
        <w:fldChar w:fldCharType="end"/>
      </w:r>
      <w:r>
        <w:fldChar w:fldCharType="end"/>
      </w:r>
    </w:p>
    <w:p>
      <w:pPr>
        <w:pStyle w:val="7"/>
        <w:tabs>
          <w:tab w:val="right" w:leader="dot" w:pos="8306"/>
        </w:tabs>
      </w:pPr>
      <w:r>
        <w:fldChar w:fldCharType="begin"/>
      </w:r>
      <w:r>
        <w:instrText xml:space="preserve"> HYPERLINK \l _Toc12365 </w:instrText>
      </w:r>
      <w:r>
        <w:fldChar w:fldCharType="separate"/>
      </w:r>
      <w:r>
        <w:t>2.1</w:t>
      </w:r>
      <w:r>
        <w:rPr>
          <w:rFonts w:hint="eastAsia"/>
          <w:lang w:val="en-US" w:eastAsia="zh-CN"/>
        </w:rPr>
        <w:t xml:space="preserve"> </w:t>
      </w:r>
      <w:r>
        <w:t>评价工作等级划分</w:t>
      </w:r>
      <w:r>
        <w:tab/>
      </w:r>
      <w:r>
        <w:fldChar w:fldCharType="begin"/>
      </w:r>
      <w:r>
        <w:instrText xml:space="preserve"> PAGEREF _Toc12365 \h </w:instrText>
      </w:r>
      <w:r>
        <w:fldChar w:fldCharType="separate"/>
      </w:r>
      <w:r>
        <w:t>111</w:t>
      </w:r>
      <w:r>
        <w:fldChar w:fldCharType="end"/>
      </w:r>
      <w:r>
        <w:fldChar w:fldCharType="end"/>
      </w:r>
    </w:p>
    <w:p>
      <w:pPr>
        <w:pStyle w:val="7"/>
        <w:tabs>
          <w:tab w:val="right" w:leader="dot" w:pos="8306"/>
        </w:tabs>
      </w:pPr>
      <w:r>
        <w:fldChar w:fldCharType="begin"/>
      </w:r>
      <w:r>
        <w:instrText xml:space="preserve"> HYPERLINK \l _Toc1189 </w:instrText>
      </w:r>
      <w:r>
        <w:fldChar w:fldCharType="separate"/>
      </w:r>
      <w:r>
        <w:t>2.</w:t>
      </w:r>
      <w:r>
        <w:rPr>
          <w:rFonts w:hint="eastAsia"/>
        </w:rPr>
        <w:t>2</w:t>
      </w:r>
      <w:r>
        <w:rPr>
          <w:rFonts w:hint="eastAsia"/>
          <w:lang w:val="en-US" w:eastAsia="zh-CN"/>
        </w:rPr>
        <w:t xml:space="preserve"> </w:t>
      </w:r>
      <w:r>
        <w:t>环境风险潜势判断</w:t>
      </w:r>
      <w:r>
        <w:tab/>
      </w:r>
      <w:r>
        <w:fldChar w:fldCharType="begin"/>
      </w:r>
      <w:r>
        <w:instrText xml:space="preserve"> PAGEREF _Toc1189 \h </w:instrText>
      </w:r>
      <w:r>
        <w:fldChar w:fldCharType="separate"/>
      </w:r>
      <w:r>
        <w:t>111</w:t>
      </w:r>
      <w:r>
        <w:fldChar w:fldCharType="end"/>
      </w:r>
      <w:r>
        <w:fldChar w:fldCharType="end"/>
      </w:r>
    </w:p>
    <w:p>
      <w:pPr>
        <w:pStyle w:val="11"/>
        <w:tabs>
          <w:tab w:val="right" w:leader="dot" w:pos="8306"/>
        </w:tabs>
      </w:pPr>
      <w:r>
        <w:fldChar w:fldCharType="begin"/>
      </w:r>
      <w:r>
        <w:instrText xml:space="preserve"> HYPERLINK \l _Toc4049 </w:instrText>
      </w:r>
      <w:r>
        <w:fldChar w:fldCharType="separate"/>
      </w:r>
      <w:r>
        <w:t>2.</w:t>
      </w:r>
      <w:r>
        <w:rPr>
          <w:rFonts w:hint="eastAsia"/>
        </w:rPr>
        <w:t>2</w:t>
      </w:r>
      <w:r>
        <w:t>.1 计算危险物质数量与临界量比值（Q）</w:t>
      </w:r>
      <w:r>
        <w:tab/>
      </w:r>
      <w:r>
        <w:fldChar w:fldCharType="begin"/>
      </w:r>
      <w:r>
        <w:instrText xml:space="preserve"> PAGEREF _Toc4049 \h </w:instrText>
      </w:r>
      <w:r>
        <w:fldChar w:fldCharType="separate"/>
      </w:r>
      <w:r>
        <w:t>111</w:t>
      </w:r>
      <w:r>
        <w:fldChar w:fldCharType="end"/>
      </w:r>
      <w:r>
        <w:fldChar w:fldCharType="end"/>
      </w:r>
    </w:p>
    <w:p>
      <w:pPr>
        <w:pStyle w:val="11"/>
        <w:tabs>
          <w:tab w:val="right" w:leader="dot" w:pos="8306"/>
        </w:tabs>
      </w:pPr>
      <w:r>
        <w:fldChar w:fldCharType="begin"/>
      </w:r>
      <w:r>
        <w:instrText xml:space="preserve"> HYPERLINK \l _Toc16994 </w:instrText>
      </w:r>
      <w:r>
        <w:fldChar w:fldCharType="separate"/>
      </w:r>
      <w:r>
        <w:t>2.</w:t>
      </w:r>
      <w:r>
        <w:rPr>
          <w:rFonts w:hint="eastAsia"/>
        </w:rPr>
        <w:t>2</w:t>
      </w:r>
      <w:r>
        <w:t>.2</w:t>
      </w:r>
      <w:r>
        <w:rPr>
          <w:rFonts w:hint="eastAsia"/>
          <w:lang w:val="en-US" w:eastAsia="zh-CN"/>
        </w:rPr>
        <w:t xml:space="preserve"> </w:t>
      </w:r>
      <w:r>
        <w:t>行业及生产工艺（M）</w:t>
      </w:r>
      <w:r>
        <w:tab/>
      </w:r>
      <w:r>
        <w:fldChar w:fldCharType="begin"/>
      </w:r>
      <w:r>
        <w:instrText xml:space="preserve"> PAGEREF _Toc16994 \h </w:instrText>
      </w:r>
      <w:r>
        <w:fldChar w:fldCharType="separate"/>
      </w:r>
      <w:r>
        <w:t>112</w:t>
      </w:r>
      <w:r>
        <w:fldChar w:fldCharType="end"/>
      </w:r>
      <w:r>
        <w:fldChar w:fldCharType="end"/>
      </w:r>
    </w:p>
    <w:p>
      <w:pPr>
        <w:pStyle w:val="11"/>
        <w:tabs>
          <w:tab w:val="right" w:leader="dot" w:pos="8306"/>
        </w:tabs>
      </w:pPr>
      <w:r>
        <w:fldChar w:fldCharType="begin"/>
      </w:r>
      <w:r>
        <w:instrText xml:space="preserve"> HYPERLINK \l _Toc10334 </w:instrText>
      </w:r>
      <w:r>
        <w:fldChar w:fldCharType="separate"/>
      </w:r>
      <w:r>
        <w:t>2.</w:t>
      </w:r>
      <w:r>
        <w:rPr>
          <w:rFonts w:hint="eastAsia"/>
        </w:rPr>
        <w:t>2</w:t>
      </w:r>
      <w:r>
        <w:t>.3 危险物质及工艺系统危险性（P）分级</w:t>
      </w:r>
      <w:r>
        <w:tab/>
      </w:r>
      <w:r>
        <w:fldChar w:fldCharType="begin"/>
      </w:r>
      <w:r>
        <w:instrText xml:space="preserve"> PAGEREF _Toc10334 \h </w:instrText>
      </w:r>
      <w:r>
        <w:fldChar w:fldCharType="separate"/>
      </w:r>
      <w:r>
        <w:t>112</w:t>
      </w:r>
      <w:r>
        <w:fldChar w:fldCharType="end"/>
      </w:r>
      <w:r>
        <w:fldChar w:fldCharType="end"/>
      </w:r>
    </w:p>
    <w:p>
      <w:pPr>
        <w:pStyle w:val="7"/>
        <w:tabs>
          <w:tab w:val="right" w:leader="dot" w:pos="8306"/>
        </w:tabs>
      </w:pPr>
      <w:r>
        <w:fldChar w:fldCharType="begin"/>
      </w:r>
      <w:r>
        <w:instrText xml:space="preserve"> HYPERLINK \l _Toc20367 </w:instrText>
      </w:r>
      <w:r>
        <w:fldChar w:fldCharType="separate"/>
      </w:r>
      <w:r>
        <w:t>2.</w:t>
      </w:r>
      <w:r>
        <w:rPr>
          <w:rFonts w:hint="eastAsia"/>
        </w:rPr>
        <w:t>3</w:t>
      </w:r>
      <w:r>
        <w:t xml:space="preserve"> 敏感程度评估</w:t>
      </w:r>
      <w:r>
        <w:tab/>
      </w:r>
      <w:r>
        <w:fldChar w:fldCharType="begin"/>
      </w:r>
      <w:r>
        <w:instrText xml:space="preserve"> PAGEREF _Toc20367 \h </w:instrText>
      </w:r>
      <w:r>
        <w:fldChar w:fldCharType="separate"/>
      </w:r>
      <w:r>
        <w:t>113</w:t>
      </w:r>
      <w:r>
        <w:fldChar w:fldCharType="end"/>
      </w:r>
      <w:r>
        <w:fldChar w:fldCharType="end"/>
      </w:r>
    </w:p>
    <w:p>
      <w:pPr>
        <w:pStyle w:val="11"/>
        <w:tabs>
          <w:tab w:val="right" w:leader="dot" w:pos="8306"/>
        </w:tabs>
      </w:pPr>
      <w:r>
        <w:fldChar w:fldCharType="begin"/>
      </w:r>
      <w:r>
        <w:instrText xml:space="preserve"> HYPERLINK \l _Toc6144 </w:instrText>
      </w:r>
      <w:r>
        <w:fldChar w:fldCharType="separate"/>
      </w:r>
      <w:r>
        <w:rPr>
          <w:rFonts w:hint="eastAsia"/>
          <w:lang w:val="en-US" w:eastAsia="zh-CN"/>
        </w:rPr>
        <w:t>2</w:t>
      </w:r>
      <w:r>
        <w:t>.3.</w:t>
      </w:r>
      <w:r>
        <w:rPr>
          <w:rFonts w:hint="eastAsia"/>
          <w:lang w:val="en-US" w:eastAsia="zh-CN"/>
        </w:rPr>
        <w:t xml:space="preserve">1 </w:t>
      </w:r>
      <w:r>
        <w:t>大气</w:t>
      </w:r>
      <w:r>
        <w:rPr>
          <w:rFonts w:hint="eastAsia"/>
          <w:lang w:val="en-US" w:eastAsia="zh-CN"/>
        </w:rPr>
        <w:t>环境敏感程度分级</w:t>
      </w:r>
      <w:r>
        <w:tab/>
      </w:r>
      <w:r>
        <w:fldChar w:fldCharType="begin"/>
      </w:r>
      <w:r>
        <w:instrText xml:space="preserve"> PAGEREF _Toc6144 \h </w:instrText>
      </w:r>
      <w:r>
        <w:fldChar w:fldCharType="separate"/>
      </w:r>
      <w:r>
        <w:t>113</w:t>
      </w:r>
      <w:r>
        <w:fldChar w:fldCharType="end"/>
      </w:r>
      <w:r>
        <w:fldChar w:fldCharType="end"/>
      </w:r>
    </w:p>
    <w:p>
      <w:pPr>
        <w:pStyle w:val="11"/>
        <w:tabs>
          <w:tab w:val="right" w:leader="dot" w:pos="8306"/>
        </w:tabs>
      </w:pPr>
      <w:r>
        <w:fldChar w:fldCharType="begin"/>
      </w:r>
      <w:r>
        <w:instrText xml:space="preserve"> HYPERLINK \l _Toc26703 </w:instrText>
      </w:r>
      <w:r>
        <w:fldChar w:fldCharType="separate"/>
      </w:r>
      <w:r>
        <w:t>2.</w:t>
      </w:r>
      <w:r>
        <w:rPr>
          <w:rFonts w:hint="eastAsia"/>
        </w:rPr>
        <w:t>3</w:t>
      </w:r>
      <w:r>
        <w:t>.</w:t>
      </w:r>
      <w:r>
        <w:rPr>
          <w:rFonts w:hint="eastAsia"/>
          <w:lang w:val="en-US" w:eastAsia="zh-CN"/>
        </w:rPr>
        <w:t xml:space="preserve">2 </w:t>
      </w:r>
      <w:r>
        <w:t>地表水环境</w:t>
      </w:r>
      <w:r>
        <w:rPr>
          <w:rFonts w:hint="eastAsia"/>
          <w:lang w:val="en-US" w:eastAsia="zh-CN"/>
        </w:rPr>
        <w:t>敏感程度分级</w:t>
      </w:r>
      <w:r>
        <w:tab/>
      </w:r>
      <w:r>
        <w:fldChar w:fldCharType="begin"/>
      </w:r>
      <w:r>
        <w:instrText xml:space="preserve"> PAGEREF _Toc26703 \h </w:instrText>
      </w:r>
      <w:r>
        <w:fldChar w:fldCharType="separate"/>
      </w:r>
      <w:r>
        <w:t>113</w:t>
      </w:r>
      <w:r>
        <w:fldChar w:fldCharType="end"/>
      </w:r>
      <w:r>
        <w:fldChar w:fldCharType="end"/>
      </w:r>
    </w:p>
    <w:p>
      <w:pPr>
        <w:pStyle w:val="11"/>
        <w:tabs>
          <w:tab w:val="right" w:leader="dot" w:pos="8306"/>
        </w:tabs>
      </w:pPr>
      <w:r>
        <w:fldChar w:fldCharType="begin"/>
      </w:r>
      <w:r>
        <w:instrText xml:space="preserve"> HYPERLINK \l _Toc3953 </w:instrText>
      </w:r>
      <w:r>
        <w:fldChar w:fldCharType="separate"/>
      </w:r>
      <w:r>
        <w:rPr>
          <w:rFonts w:hint="eastAsia"/>
          <w:lang w:val="en-US" w:eastAsia="zh-CN"/>
        </w:rPr>
        <w:t>2.3.3 地下水环境敏感程度分级</w:t>
      </w:r>
      <w:r>
        <w:tab/>
      </w:r>
      <w:r>
        <w:fldChar w:fldCharType="begin"/>
      </w:r>
      <w:r>
        <w:instrText xml:space="preserve"> PAGEREF _Toc3953 \h </w:instrText>
      </w:r>
      <w:r>
        <w:fldChar w:fldCharType="separate"/>
      </w:r>
      <w:r>
        <w:t>114</w:t>
      </w:r>
      <w:r>
        <w:fldChar w:fldCharType="end"/>
      </w:r>
      <w:r>
        <w:fldChar w:fldCharType="end"/>
      </w:r>
    </w:p>
    <w:p>
      <w:pPr>
        <w:pStyle w:val="7"/>
        <w:tabs>
          <w:tab w:val="right" w:leader="dot" w:pos="8306"/>
        </w:tabs>
      </w:pPr>
      <w:r>
        <w:fldChar w:fldCharType="begin"/>
      </w:r>
      <w:r>
        <w:instrText xml:space="preserve"> HYPERLINK \l _Toc21262 </w:instrText>
      </w:r>
      <w:r>
        <w:fldChar w:fldCharType="separate"/>
      </w:r>
      <w:r>
        <w:rPr>
          <w:rFonts w:hint="eastAsia"/>
          <w:lang w:val="en-US" w:eastAsia="zh-CN"/>
        </w:rPr>
        <w:t xml:space="preserve">2.4 </w:t>
      </w:r>
      <w:r>
        <w:t>环境风险潜势划分和工作等级划分</w:t>
      </w:r>
      <w:r>
        <w:tab/>
      </w:r>
      <w:r>
        <w:fldChar w:fldCharType="begin"/>
      </w:r>
      <w:r>
        <w:instrText xml:space="preserve"> PAGEREF _Toc21262 \h </w:instrText>
      </w:r>
      <w:r>
        <w:fldChar w:fldCharType="separate"/>
      </w:r>
      <w:r>
        <w:t>115</w:t>
      </w:r>
      <w:r>
        <w:fldChar w:fldCharType="end"/>
      </w:r>
      <w:r>
        <w:fldChar w:fldCharType="end"/>
      </w:r>
    </w:p>
    <w:p>
      <w:pPr>
        <w:pStyle w:val="7"/>
        <w:tabs>
          <w:tab w:val="right" w:leader="dot" w:pos="8306"/>
        </w:tabs>
      </w:pPr>
      <w:r>
        <w:fldChar w:fldCharType="begin"/>
      </w:r>
      <w:r>
        <w:instrText xml:space="preserve"> HYPERLINK \l _Toc6553 </w:instrText>
      </w:r>
      <w:r>
        <w:fldChar w:fldCharType="separate"/>
      </w:r>
      <w:r>
        <w:rPr>
          <w:rFonts w:hint="eastAsia"/>
          <w:lang w:val="en-US" w:eastAsia="zh-CN"/>
        </w:rPr>
        <w:t>2.5 评价范围</w:t>
      </w:r>
      <w:r>
        <w:tab/>
      </w:r>
      <w:r>
        <w:fldChar w:fldCharType="begin"/>
      </w:r>
      <w:r>
        <w:instrText xml:space="preserve"> PAGEREF _Toc6553 \h </w:instrText>
      </w:r>
      <w:r>
        <w:fldChar w:fldCharType="separate"/>
      </w:r>
      <w:r>
        <w:t>116</w:t>
      </w:r>
      <w:r>
        <w:fldChar w:fldCharType="end"/>
      </w:r>
      <w:r>
        <w:fldChar w:fldCharType="end"/>
      </w:r>
    </w:p>
    <w:p>
      <w:pPr>
        <w:pStyle w:val="7"/>
        <w:tabs>
          <w:tab w:val="right" w:leader="dot" w:pos="8306"/>
        </w:tabs>
      </w:pPr>
      <w:r>
        <w:fldChar w:fldCharType="begin"/>
      </w:r>
      <w:r>
        <w:instrText xml:space="preserve"> HYPERLINK \l _Toc7295 </w:instrText>
      </w:r>
      <w:r>
        <w:fldChar w:fldCharType="separate"/>
      </w:r>
      <w:r>
        <w:rPr>
          <w:rFonts w:hint="eastAsia"/>
          <w:lang w:val="en-US" w:eastAsia="zh-CN"/>
        </w:rPr>
        <w:t>2.6 环境保护目标</w:t>
      </w:r>
      <w:r>
        <w:tab/>
      </w:r>
      <w:r>
        <w:fldChar w:fldCharType="begin"/>
      </w:r>
      <w:r>
        <w:instrText xml:space="preserve"> PAGEREF _Toc7295 \h </w:instrText>
      </w:r>
      <w:r>
        <w:fldChar w:fldCharType="separate"/>
      </w:r>
      <w:r>
        <w:t>116</w:t>
      </w:r>
      <w:r>
        <w:fldChar w:fldCharType="end"/>
      </w:r>
      <w:r>
        <w:fldChar w:fldCharType="end"/>
      </w:r>
    </w:p>
    <w:p>
      <w:pPr>
        <w:pStyle w:val="13"/>
        <w:tabs>
          <w:tab w:val="right" w:leader="dot" w:pos="8306"/>
        </w:tabs>
        <w:ind w:firstLine="240" w:firstLineChars="100"/>
      </w:pPr>
      <w:r>
        <w:fldChar w:fldCharType="begin"/>
      </w:r>
      <w:r>
        <w:instrText xml:space="preserve"> HYPERLINK \l _Toc12328 </w:instrText>
      </w:r>
      <w:r>
        <w:fldChar w:fldCharType="separate"/>
      </w:r>
      <w:r>
        <w:t>3</w:t>
      </w:r>
      <w:r>
        <w:rPr>
          <w:rFonts w:hint="eastAsia"/>
          <w:lang w:val="en-US" w:eastAsia="zh-CN"/>
        </w:rPr>
        <w:t xml:space="preserve"> </w:t>
      </w:r>
      <w:r>
        <w:t>风险识别</w:t>
      </w:r>
      <w:r>
        <w:tab/>
      </w:r>
      <w:r>
        <w:fldChar w:fldCharType="begin"/>
      </w:r>
      <w:r>
        <w:instrText xml:space="preserve"> PAGEREF _Toc12328 \h </w:instrText>
      </w:r>
      <w:r>
        <w:fldChar w:fldCharType="separate"/>
      </w:r>
      <w:r>
        <w:t>119</w:t>
      </w:r>
      <w:r>
        <w:fldChar w:fldCharType="end"/>
      </w:r>
      <w:r>
        <w:fldChar w:fldCharType="end"/>
      </w:r>
    </w:p>
    <w:p>
      <w:pPr>
        <w:pStyle w:val="7"/>
        <w:tabs>
          <w:tab w:val="right" w:leader="dot" w:pos="8306"/>
        </w:tabs>
      </w:pPr>
      <w:r>
        <w:fldChar w:fldCharType="begin"/>
      </w:r>
      <w:r>
        <w:instrText xml:space="preserve"> HYPERLINK \l _Toc79 </w:instrText>
      </w:r>
      <w:r>
        <w:fldChar w:fldCharType="separate"/>
      </w:r>
      <w:r>
        <w:t>3.1 物质危险性识别</w:t>
      </w:r>
      <w:r>
        <w:tab/>
      </w:r>
      <w:r>
        <w:fldChar w:fldCharType="begin"/>
      </w:r>
      <w:r>
        <w:instrText xml:space="preserve"> PAGEREF _Toc79 \h </w:instrText>
      </w:r>
      <w:r>
        <w:fldChar w:fldCharType="separate"/>
      </w:r>
      <w:r>
        <w:t>119</w:t>
      </w:r>
      <w:r>
        <w:fldChar w:fldCharType="end"/>
      </w:r>
      <w:r>
        <w:fldChar w:fldCharType="end"/>
      </w:r>
    </w:p>
    <w:p>
      <w:pPr>
        <w:pStyle w:val="7"/>
        <w:tabs>
          <w:tab w:val="right" w:leader="dot" w:pos="8306"/>
        </w:tabs>
      </w:pPr>
      <w:r>
        <w:fldChar w:fldCharType="begin"/>
      </w:r>
      <w:r>
        <w:instrText xml:space="preserve"> HYPERLINK \l _Toc3559 </w:instrText>
      </w:r>
      <w:r>
        <w:fldChar w:fldCharType="separate"/>
      </w:r>
      <w:r>
        <w:t>3.2 生产系统危险性识别</w:t>
      </w:r>
      <w:r>
        <w:tab/>
      </w:r>
      <w:r>
        <w:fldChar w:fldCharType="begin"/>
      </w:r>
      <w:r>
        <w:instrText xml:space="preserve"> PAGEREF _Toc3559 \h </w:instrText>
      </w:r>
      <w:r>
        <w:fldChar w:fldCharType="separate"/>
      </w:r>
      <w:r>
        <w:t>119</w:t>
      </w:r>
      <w:r>
        <w:fldChar w:fldCharType="end"/>
      </w:r>
      <w:r>
        <w:fldChar w:fldCharType="end"/>
      </w:r>
    </w:p>
    <w:p>
      <w:pPr>
        <w:pStyle w:val="11"/>
        <w:tabs>
          <w:tab w:val="right" w:leader="dot" w:pos="8306"/>
        </w:tabs>
      </w:pPr>
      <w:r>
        <w:fldChar w:fldCharType="begin"/>
      </w:r>
      <w:r>
        <w:instrText xml:space="preserve"> HYPERLINK \l _Toc19625 </w:instrText>
      </w:r>
      <w:r>
        <w:fldChar w:fldCharType="separate"/>
      </w:r>
      <w:r>
        <w:t>3.2.1</w:t>
      </w:r>
      <w:r>
        <w:rPr>
          <w:rFonts w:hint="eastAsia"/>
          <w:lang w:val="en-US" w:eastAsia="zh-CN"/>
        </w:rPr>
        <w:t xml:space="preserve"> </w:t>
      </w:r>
      <w:r>
        <w:t>生产、储存过程潜在危险性识别</w:t>
      </w:r>
      <w:r>
        <w:tab/>
      </w:r>
      <w:r>
        <w:fldChar w:fldCharType="begin"/>
      </w:r>
      <w:r>
        <w:instrText xml:space="preserve"> PAGEREF _Toc19625 \h </w:instrText>
      </w:r>
      <w:r>
        <w:fldChar w:fldCharType="separate"/>
      </w:r>
      <w:r>
        <w:t>119</w:t>
      </w:r>
      <w:r>
        <w:fldChar w:fldCharType="end"/>
      </w:r>
      <w:r>
        <w:fldChar w:fldCharType="end"/>
      </w:r>
    </w:p>
    <w:p>
      <w:pPr>
        <w:pStyle w:val="11"/>
        <w:tabs>
          <w:tab w:val="right" w:leader="dot" w:pos="8306"/>
        </w:tabs>
      </w:pPr>
      <w:r>
        <w:fldChar w:fldCharType="begin"/>
      </w:r>
      <w:r>
        <w:instrText xml:space="preserve"> HYPERLINK \l _Toc29877 </w:instrText>
      </w:r>
      <w:r>
        <w:fldChar w:fldCharType="separate"/>
      </w:r>
      <w:r>
        <w:t>3.2.</w:t>
      </w:r>
      <w:r>
        <w:rPr>
          <w:rFonts w:hint="eastAsia"/>
          <w:lang w:val="en-US" w:eastAsia="zh-CN"/>
        </w:rPr>
        <w:t xml:space="preserve">2 </w:t>
      </w:r>
      <w:r>
        <w:t>环境风险类型及危害分析</w:t>
      </w:r>
      <w:r>
        <w:tab/>
      </w:r>
      <w:r>
        <w:fldChar w:fldCharType="begin"/>
      </w:r>
      <w:r>
        <w:instrText xml:space="preserve"> PAGEREF _Toc29877 \h </w:instrText>
      </w:r>
      <w:r>
        <w:fldChar w:fldCharType="separate"/>
      </w:r>
      <w:r>
        <w:t>119</w:t>
      </w:r>
      <w:r>
        <w:fldChar w:fldCharType="end"/>
      </w:r>
      <w:r>
        <w:fldChar w:fldCharType="end"/>
      </w:r>
    </w:p>
    <w:p>
      <w:pPr>
        <w:pStyle w:val="13"/>
        <w:tabs>
          <w:tab w:val="right" w:leader="dot" w:pos="8306"/>
        </w:tabs>
        <w:ind w:firstLine="240" w:firstLineChars="100"/>
      </w:pPr>
      <w:r>
        <w:fldChar w:fldCharType="begin"/>
      </w:r>
      <w:r>
        <w:instrText xml:space="preserve"> HYPERLINK \l _Toc16074 </w:instrText>
      </w:r>
      <w:r>
        <w:fldChar w:fldCharType="separate"/>
      </w:r>
      <w:r>
        <w:rPr>
          <w:rFonts w:hint="eastAsia"/>
          <w:szCs w:val="21"/>
          <w:lang w:val="en-US" w:eastAsia="zh-CN"/>
        </w:rPr>
        <w:t xml:space="preserve">4 </w:t>
      </w:r>
      <w:r>
        <w:t>风险事故情形分析</w:t>
      </w:r>
      <w:r>
        <w:tab/>
      </w:r>
      <w:r>
        <w:fldChar w:fldCharType="begin"/>
      </w:r>
      <w:r>
        <w:instrText xml:space="preserve"> PAGEREF _Toc16074 \h </w:instrText>
      </w:r>
      <w:r>
        <w:fldChar w:fldCharType="separate"/>
      </w:r>
      <w:r>
        <w:t>121</w:t>
      </w:r>
      <w:r>
        <w:fldChar w:fldCharType="end"/>
      </w:r>
      <w:r>
        <w:fldChar w:fldCharType="end"/>
      </w:r>
    </w:p>
    <w:p>
      <w:pPr>
        <w:pStyle w:val="7"/>
        <w:tabs>
          <w:tab w:val="right" w:leader="dot" w:pos="8306"/>
        </w:tabs>
      </w:pPr>
      <w:r>
        <w:fldChar w:fldCharType="begin"/>
      </w:r>
      <w:r>
        <w:instrText xml:space="preserve"> HYPERLINK \l _Toc3149 </w:instrText>
      </w:r>
      <w:r>
        <w:fldChar w:fldCharType="separate"/>
      </w:r>
      <w:r>
        <w:rPr>
          <w:rFonts w:hint="eastAsia"/>
          <w:lang w:val="en-US" w:eastAsia="zh-CN"/>
        </w:rPr>
        <w:t>4.1 最大可信事故概率分析</w:t>
      </w:r>
      <w:r>
        <w:tab/>
      </w:r>
      <w:r>
        <w:fldChar w:fldCharType="begin"/>
      </w:r>
      <w:r>
        <w:instrText xml:space="preserve"> PAGEREF _Toc3149 \h </w:instrText>
      </w:r>
      <w:r>
        <w:fldChar w:fldCharType="separate"/>
      </w:r>
      <w:r>
        <w:t>121</w:t>
      </w:r>
      <w:r>
        <w:fldChar w:fldCharType="end"/>
      </w:r>
      <w:r>
        <w:fldChar w:fldCharType="end"/>
      </w:r>
    </w:p>
    <w:p>
      <w:pPr>
        <w:pStyle w:val="7"/>
        <w:tabs>
          <w:tab w:val="right" w:leader="dot" w:pos="8306"/>
        </w:tabs>
      </w:pPr>
      <w:r>
        <w:fldChar w:fldCharType="begin"/>
      </w:r>
      <w:r>
        <w:instrText xml:space="preserve"> HYPERLINK \l _Toc2350 </w:instrText>
      </w:r>
      <w:r>
        <w:fldChar w:fldCharType="separate"/>
      </w:r>
      <w:r>
        <w:rPr>
          <w:rFonts w:hint="eastAsia"/>
          <w:lang w:val="en-US" w:eastAsia="zh-CN"/>
        </w:rPr>
        <w:t>4.2 风险事故情形设定</w:t>
      </w:r>
      <w:r>
        <w:tab/>
      </w:r>
      <w:r>
        <w:fldChar w:fldCharType="begin"/>
      </w:r>
      <w:r>
        <w:instrText xml:space="preserve"> PAGEREF _Toc2350 \h </w:instrText>
      </w:r>
      <w:r>
        <w:fldChar w:fldCharType="separate"/>
      </w:r>
      <w:r>
        <w:t>121</w:t>
      </w:r>
      <w:r>
        <w:fldChar w:fldCharType="end"/>
      </w:r>
      <w:r>
        <w:fldChar w:fldCharType="end"/>
      </w:r>
    </w:p>
    <w:p>
      <w:pPr>
        <w:pStyle w:val="7"/>
        <w:tabs>
          <w:tab w:val="right" w:leader="dot" w:pos="8306"/>
        </w:tabs>
      </w:pPr>
      <w:r>
        <w:fldChar w:fldCharType="begin"/>
      </w:r>
      <w:r>
        <w:instrText xml:space="preserve"> HYPERLINK \l _Toc26688 </w:instrText>
      </w:r>
      <w:r>
        <w:fldChar w:fldCharType="separate"/>
      </w:r>
      <w:r>
        <w:rPr>
          <w:rFonts w:hint="eastAsia"/>
          <w:lang w:val="en-US" w:eastAsia="zh-CN"/>
        </w:rPr>
        <w:t>4.3 项源分析</w:t>
      </w:r>
      <w:r>
        <w:tab/>
      </w:r>
      <w:r>
        <w:fldChar w:fldCharType="begin"/>
      </w:r>
      <w:r>
        <w:instrText xml:space="preserve"> PAGEREF _Toc26688 \h </w:instrText>
      </w:r>
      <w:r>
        <w:fldChar w:fldCharType="separate"/>
      </w:r>
      <w:r>
        <w:t>122</w:t>
      </w:r>
      <w:r>
        <w:fldChar w:fldCharType="end"/>
      </w:r>
      <w:r>
        <w:fldChar w:fldCharType="end"/>
      </w:r>
    </w:p>
    <w:p>
      <w:pPr>
        <w:pStyle w:val="13"/>
        <w:tabs>
          <w:tab w:val="right" w:leader="dot" w:pos="8306"/>
        </w:tabs>
        <w:ind w:firstLine="240" w:firstLineChars="100"/>
      </w:pPr>
      <w:r>
        <w:fldChar w:fldCharType="begin"/>
      </w:r>
      <w:r>
        <w:instrText xml:space="preserve"> HYPERLINK \l _Toc30746 </w:instrText>
      </w:r>
      <w:r>
        <w:fldChar w:fldCharType="separate"/>
      </w:r>
      <w:r>
        <w:rPr>
          <w:rFonts w:hint="eastAsia"/>
          <w:lang w:val="en-US" w:eastAsia="zh-CN"/>
        </w:rPr>
        <w:t>5 风险预测及分析</w:t>
      </w:r>
      <w:r>
        <w:tab/>
      </w:r>
      <w:r>
        <w:fldChar w:fldCharType="begin"/>
      </w:r>
      <w:r>
        <w:instrText xml:space="preserve"> PAGEREF _Toc30746 \h </w:instrText>
      </w:r>
      <w:r>
        <w:fldChar w:fldCharType="separate"/>
      </w:r>
      <w:r>
        <w:t>123</w:t>
      </w:r>
      <w:r>
        <w:fldChar w:fldCharType="end"/>
      </w:r>
      <w:r>
        <w:fldChar w:fldCharType="end"/>
      </w:r>
    </w:p>
    <w:p>
      <w:pPr>
        <w:pStyle w:val="7"/>
        <w:tabs>
          <w:tab w:val="right" w:leader="dot" w:pos="8306"/>
        </w:tabs>
      </w:pPr>
      <w:r>
        <w:fldChar w:fldCharType="begin"/>
      </w:r>
      <w:r>
        <w:instrText xml:space="preserve"> HYPERLINK \l _Toc30415 </w:instrText>
      </w:r>
      <w:r>
        <w:fldChar w:fldCharType="separate"/>
      </w:r>
      <w:r>
        <w:rPr>
          <w:rFonts w:hint="eastAsia"/>
          <w:lang w:val="en-US" w:eastAsia="zh-CN"/>
        </w:rPr>
        <w:t>5.1 大气环境风险预测</w:t>
      </w:r>
      <w:r>
        <w:tab/>
      </w:r>
      <w:r>
        <w:fldChar w:fldCharType="begin"/>
      </w:r>
      <w:r>
        <w:instrText xml:space="preserve"> PAGEREF _Toc30415 \h </w:instrText>
      </w:r>
      <w:r>
        <w:fldChar w:fldCharType="separate"/>
      </w:r>
      <w:r>
        <w:t>123</w:t>
      </w:r>
      <w:r>
        <w:fldChar w:fldCharType="end"/>
      </w:r>
      <w:r>
        <w:fldChar w:fldCharType="end"/>
      </w:r>
    </w:p>
    <w:p>
      <w:pPr>
        <w:pStyle w:val="7"/>
        <w:tabs>
          <w:tab w:val="right" w:leader="dot" w:pos="8306"/>
        </w:tabs>
      </w:pPr>
      <w:r>
        <w:fldChar w:fldCharType="begin"/>
      </w:r>
      <w:r>
        <w:instrText xml:space="preserve"> HYPERLINK \l _Toc3989 </w:instrText>
      </w:r>
      <w:r>
        <w:fldChar w:fldCharType="separate"/>
      </w:r>
      <w:r>
        <w:rPr>
          <w:rFonts w:hint="eastAsia"/>
          <w:lang w:val="en-US" w:eastAsia="zh-CN"/>
        </w:rPr>
        <w:t>5.2 地表水环境风险预测</w:t>
      </w:r>
      <w:r>
        <w:tab/>
      </w:r>
      <w:r>
        <w:fldChar w:fldCharType="begin"/>
      </w:r>
      <w:r>
        <w:instrText xml:space="preserve"> PAGEREF _Toc3989 \h </w:instrText>
      </w:r>
      <w:r>
        <w:fldChar w:fldCharType="separate"/>
      </w:r>
      <w:r>
        <w:t>123</w:t>
      </w:r>
      <w:r>
        <w:fldChar w:fldCharType="end"/>
      </w:r>
      <w:r>
        <w:fldChar w:fldCharType="end"/>
      </w:r>
    </w:p>
    <w:p>
      <w:pPr>
        <w:pStyle w:val="7"/>
        <w:tabs>
          <w:tab w:val="right" w:leader="dot" w:pos="8306"/>
        </w:tabs>
      </w:pPr>
      <w:r>
        <w:fldChar w:fldCharType="begin"/>
      </w:r>
      <w:r>
        <w:instrText xml:space="preserve"> HYPERLINK \l _Toc26504 </w:instrText>
      </w:r>
      <w:r>
        <w:fldChar w:fldCharType="separate"/>
      </w:r>
      <w:r>
        <w:rPr>
          <w:rFonts w:hint="eastAsia"/>
          <w:lang w:val="en-US" w:eastAsia="zh-CN"/>
        </w:rPr>
        <w:t>5.3 地下水环境风险预测</w:t>
      </w:r>
      <w:r>
        <w:tab/>
      </w:r>
      <w:r>
        <w:fldChar w:fldCharType="begin"/>
      </w:r>
      <w:r>
        <w:instrText xml:space="preserve"> PAGEREF _Toc26504 \h </w:instrText>
      </w:r>
      <w:r>
        <w:fldChar w:fldCharType="separate"/>
      </w:r>
      <w:r>
        <w:t>124</w:t>
      </w:r>
      <w:r>
        <w:fldChar w:fldCharType="end"/>
      </w:r>
      <w:r>
        <w:fldChar w:fldCharType="end"/>
      </w:r>
    </w:p>
    <w:p>
      <w:pPr>
        <w:pStyle w:val="13"/>
        <w:tabs>
          <w:tab w:val="right" w:leader="dot" w:pos="8306"/>
        </w:tabs>
        <w:ind w:firstLine="240" w:firstLineChars="100"/>
      </w:pPr>
      <w:r>
        <w:fldChar w:fldCharType="begin"/>
      </w:r>
      <w:r>
        <w:instrText xml:space="preserve"> HYPERLINK \l _Toc5644 </w:instrText>
      </w:r>
      <w:r>
        <w:fldChar w:fldCharType="separate"/>
      </w:r>
      <w:r>
        <w:rPr>
          <w:rFonts w:hint="eastAsia"/>
          <w:lang w:val="en-US" w:eastAsia="zh-CN"/>
        </w:rPr>
        <w:t>6 风险防范措施</w:t>
      </w:r>
      <w:r>
        <w:tab/>
      </w:r>
      <w:r>
        <w:fldChar w:fldCharType="begin"/>
      </w:r>
      <w:r>
        <w:instrText xml:space="preserve"> PAGEREF _Toc5644 \h </w:instrText>
      </w:r>
      <w:r>
        <w:fldChar w:fldCharType="separate"/>
      </w:r>
      <w:r>
        <w:t>126</w:t>
      </w:r>
      <w:r>
        <w:fldChar w:fldCharType="end"/>
      </w:r>
      <w:r>
        <w:fldChar w:fldCharType="end"/>
      </w:r>
    </w:p>
    <w:p>
      <w:pPr>
        <w:pStyle w:val="7"/>
        <w:tabs>
          <w:tab w:val="right" w:leader="dot" w:pos="8306"/>
        </w:tabs>
      </w:pPr>
      <w:r>
        <w:fldChar w:fldCharType="begin"/>
      </w:r>
      <w:r>
        <w:instrText xml:space="preserve"> HYPERLINK \l _Toc20435 </w:instrText>
      </w:r>
      <w:r>
        <w:fldChar w:fldCharType="separate"/>
      </w:r>
      <w:r>
        <w:rPr>
          <w:rFonts w:hint="eastAsia"/>
          <w:lang w:val="en-US" w:eastAsia="zh-CN"/>
        </w:rPr>
        <w:t>6.</w:t>
      </w:r>
      <w:r>
        <w:t>1</w:t>
      </w:r>
      <w:r>
        <w:rPr>
          <w:rFonts w:hint="eastAsia"/>
          <w:lang w:val="en-US" w:eastAsia="zh-CN"/>
        </w:rPr>
        <w:t xml:space="preserve"> </w:t>
      </w:r>
      <w:r>
        <w:t>总平面布置风险防范措施</w:t>
      </w:r>
      <w:r>
        <w:tab/>
      </w:r>
      <w:r>
        <w:fldChar w:fldCharType="begin"/>
      </w:r>
      <w:r>
        <w:instrText xml:space="preserve"> PAGEREF _Toc20435 \h </w:instrText>
      </w:r>
      <w:r>
        <w:fldChar w:fldCharType="separate"/>
      </w:r>
      <w:r>
        <w:t>126</w:t>
      </w:r>
      <w:r>
        <w:fldChar w:fldCharType="end"/>
      </w:r>
      <w:r>
        <w:fldChar w:fldCharType="end"/>
      </w:r>
    </w:p>
    <w:p>
      <w:pPr>
        <w:pStyle w:val="7"/>
        <w:tabs>
          <w:tab w:val="right" w:leader="dot" w:pos="8306"/>
        </w:tabs>
      </w:pPr>
      <w:r>
        <w:fldChar w:fldCharType="begin"/>
      </w:r>
      <w:r>
        <w:instrText xml:space="preserve"> HYPERLINK \l _Toc22839 </w:instrText>
      </w:r>
      <w:r>
        <w:fldChar w:fldCharType="separate"/>
      </w:r>
      <w:r>
        <w:rPr>
          <w:rFonts w:hint="eastAsia"/>
          <w:lang w:val="en-US" w:eastAsia="zh-CN"/>
        </w:rPr>
        <w:t>6.</w:t>
      </w:r>
      <w:r>
        <w:t>2</w:t>
      </w:r>
      <w:r>
        <w:rPr>
          <w:rFonts w:hint="eastAsia"/>
          <w:lang w:val="en-US" w:eastAsia="zh-CN"/>
        </w:rPr>
        <w:t xml:space="preserve"> </w:t>
      </w:r>
      <w:r>
        <w:t>工艺及设备技术风险防范措施</w:t>
      </w:r>
      <w:r>
        <w:tab/>
      </w:r>
      <w:r>
        <w:fldChar w:fldCharType="begin"/>
      </w:r>
      <w:r>
        <w:instrText xml:space="preserve"> PAGEREF _Toc22839 \h </w:instrText>
      </w:r>
      <w:r>
        <w:fldChar w:fldCharType="separate"/>
      </w:r>
      <w:r>
        <w:t>126</w:t>
      </w:r>
      <w:r>
        <w:fldChar w:fldCharType="end"/>
      </w:r>
      <w:r>
        <w:fldChar w:fldCharType="end"/>
      </w:r>
    </w:p>
    <w:p>
      <w:pPr>
        <w:pStyle w:val="7"/>
        <w:tabs>
          <w:tab w:val="right" w:leader="dot" w:pos="8306"/>
        </w:tabs>
      </w:pPr>
      <w:r>
        <w:fldChar w:fldCharType="begin"/>
      </w:r>
      <w:r>
        <w:instrText xml:space="preserve"> HYPERLINK \l _Toc17614 </w:instrText>
      </w:r>
      <w:r>
        <w:fldChar w:fldCharType="separate"/>
      </w:r>
      <w:r>
        <w:rPr>
          <w:rFonts w:hint="eastAsia"/>
          <w:lang w:val="en-US" w:eastAsia="zh-CN"/>
        </w:rPr>
        <w:t>6.</w:t>
      </w:r>
      <w:r>
        <w:t>3</w:t>
      </w:r>
      <w:r>
        <w:rPr>
          <w:rFonts w:hint="eastAsia"/>
          <w:lang w:val="en-US" w:eastAsia="zh-CN"/>
        </w:rPr>
        <w:t xml:space="preserve"> </w:t>
      </w:r>
      <w:r>
        <w:t>运输过程中的风险防范措施</w:t>
      </w:r>
      <w:r>
        <w:tab/>
      </w:r>
      <w:r>
        <w:fldChar w:fldCharType="begin"/>
      </w:r>
      <w:r>
        <w:instrText xml:space="preserve"> PAGEREF _Toc17614 \h </w:instrText>
      </w:r>
      <w:r>
        <w:fldChar w:fldCharType="separate"/>
      </w:r>
      <w:r>
        <w:t>127</w:t>
      </w:r>
      <w:r>
        <w:fldChar w:fldCharType="end"/>
      </w:r>
      <w:r>
        <w:fldChar w:fldCharType="end"/>
      </w:r>
    </w:p>
    <w:p>
      <w:pPr>
        <w:pStyle w:val="7"/>
        <w:tabs>
          <w:tab w:val="right" w:leader="dot" w:pos="8306"/>
        </w:tabs>
      </w:pPr>
      <w:r>
        <w:fldChar w:fldCharType="begin"/>
      </w:r>
      <w:r>
        <w:instrText xml:space="preserve"> HYPERLINK \l _Toc9974 </w:instrText>
      </w:r>
      <w:r>
        <w:fldChar w:fldCharType="separate"/>
      </w:r>
      <w:r>
        <w:rPr>
          <w:rFonts w:hint="eastAsia"/>
          <w:lang w:val="en-US" w:eastAsia="zh-CN"/>
        </w:rPr>
        <w:t>6</w:t>
      </w:r>
      <w:r>
        <w:t>.4</w:t>
      </w:r>
      <w:r>
        <w:rPr>
          <w:rFonts w:hint="eastAsia"/>
          <w:lang w:val="en-US" w:eastAsia="zh-CN"/>
        </w:rPr>
        <w:t xml:space="preserve"> </w:t>
      </w:r>
      <w:r>
        <w:t>贮存过程中的风险防范措施</w:t>
      </w:r>
      <w:r>
        <w:tab/>
      </w:r>
      <w:r>
        <w:fldChar w:fldCharType="begin"/>
      </w:r>
      <w:r>
        <w:instrText xml:space="preserve"> PAGEREF _Toc9974 \h </w:instrText>
      </w:r>
      <w:r>
        <w:fldChar w:fldCharType="separate"/>
      </w:r>
      <w:r>
        <w:t>127</w:t>
      </w:r>
      <w:r>
        <w:fldChar w:fldCharType="end"/>
      </w:r>
      <w:r>
        <w:fldChar w:fldCharType="end"/>
      </w:r>
    </w:p>
    <w:p>
      <w:pPr>
        <w:pStyle w:val="7"/>
        <w:tabs>
          <w:tab w:val="right" w:leader="dot" w:pos="8306"/>
        </w:tabs>
      </w:pPr>
      <w:r>
        <w:fldChar w:fldCharType="begin"/>
      </w:r>
      <w:r>
        <w:instrText xml:space="preserve"> HYPERLINK \l _Toc7465 </w:instrText>
      </w:r>
      <w:r>
        <w:fldChar w:fldCharType="separate"/>
      </w:r>
      <w:r>
        <w:rPr>
          <w:rFonts w:hint="eastAsia"/>
          <w:lang w:val="en-US" w:eastAsia="zh-CN"/>
        </w:rPr>
        <w:t>6.5 生产过程中的风险防范措施</w:t>
      </w:r>
      <w:r>
        <w:tab/>
      </w:r>
      <w:r>
        <w:fldChar w:fldCharType="begin"/>
      </w:r>
      <w:r>
        <w:instrText xml:space="preserve"> PAGEREF _Toc7465 \h </w:instrText>
      </w:r>
      <w:r>
        <w:fldChar w:fldCharType="separate"/>
      </w:r>
      <w:r>
        <w:t>128</w:t>
      </w:r>
      <w:r>
        <w:fldChar w:fldCharType="end"/>
      </w:r>
      <w:r>
        <w:fldChar w:fldCharType="end"/>
      </w:r>
    </w:p>
    <w:p>
      <w:pPr>
        <w:pStyle w:val="7"/>
        <w:tabs>
          <w:tab w:val="right" w:leader="dot" w:pos="8306"/>
        </w:tabs>
      </w:pPr>
      <w:r>
        <w:fldChar w:fldCharType="begin"/>
      </w:r>
      <w:r>
        <w:instrText xml:space="preserve"> HYPERLINK \l _Toc571 </w:instrText>
      </w:r>
      <w:r>
        <w:fldChar w:fldCharType="separate"/>
      </w:r>
      <w:r>
        <w:rPr>
          <w:rFonts w:hint="eastAsia"/>
          <w:lang w:val="en-US" w:eastAsia="zh-CN"/>
        </w:rPr>
        <w:t>6.6 事故应急预案</w:t>
      </w:r>
      <w:r>
        <w:tab/>
      </w:r>
      <w:r>
        <w:fldChar w:fldCharType="begin"/>
      </w:r>
      <w:r>
        <w:instrText xml:space="preserve"> PAGEREF _Toc571 \h </w:instrText>
      </w:r>
      <w:r>
        <w:fldChar w:fldCharType="separate"/>
      </w:r>
      <w:r>
        <w:t>128</w:t>
      </w:r>
      <w:r>
        <w:fldChar w:fldCharType="end"/>
      </w:r>
      <w:r>
        <w:fldChar w:fldCharType="end"/>
      </w:r>
    </w:p>
    <w:p>
      <w:pPr>
        <w:pStyle w:val="13"/>
        <w:tabs>
          <w:tab w:val="right" w:leader="dot" w:pos="8306"/>
        </w:tabs>
        <w:ind w:firstLine="240" w:firstLineChars="100"/>
      </w:pPr>
      <w:r>
        <w:fldChar w:fldCharType="begin"/>
      </w:r>
      <w:r>
        <w:instrText xml:space="preserve"> HYPERLINK \l _Toc7242 </w:instrText>
      </w:r>
      <w:r>
        <w:fldChar w:fldCharType="separate"/>
      </w:r>
      <w:r>
        <w:rPr>
          <w:rFonts w:hint="eastAsia"/>
          <w:lang w:val="en-US" w:eastAsia="zh-CN"/>
        </w:rPr>
        <w:t xml:space="preserve">7 </w:t>
      </w:r>
      <w:r>
        <w:t>环境风险评价结论</w:t>
      </w:r>
      <w:r>
        <w:tab/>
      </w:r>
      <w:r>
        <w:fldChar w:fldCharType="begin"/>
      </w:r>
      <w:r>
        <w:instrText xml:space="preserve"> PAGEREF _Toc7242 \h </w:instrText>
      </w:r>
      <w:r>
        <w:fldChar w:fldCharType="separate"/>
      </w:r>
      <w:r>
        <w:t>131</w:t>
      </w:r>
      <w:r>
        <w:fldChar w:fldCharType="end"/>
      </w:r>
      <w:r>
        <w:fldChar w:fldCharType="end"/>
      </w:r>
    </w:p>
    <w:p>
      <w:pPr>
        <w:pStyle w:val="7"/>
        <w:tabs>
          <w:tab w:val="right" w:leader="dot" w:pos="8306"/>
        </w:tabs>
      </w:pPr>
      <w:r>
        <w:fldChar w:fldCharType="begin"/>
      </w:r>
      <w:r>
        <w:instrText xml:space="preserve"> HYPERLINK \l _Toc31818 </w:instrText>
      </w:r>
      <w:r>
        <w:fldChar w:fldCharType="separate"/>
      </w:r>
      <w:r>
        <w:rPr>
          <w:rFonts w:hint="eastAsia"/>
          <w:lang w:val="en-US" w:eastAsia="zh-CN"/>
        </w:rPr>
        <w:t>7</w:t>
      </w:r>
      <w:r>
        <w:t>.1</w:t>
      </w:r>
      <w:r>
        <w:rPr>
          <w:rFonts w:hint="eastAsia"/>
          <w:lang w:val="en-US" w:eastAsia="zh-CN"/>
        </w:rPr>
        <w:t xml:space="preserve"> </w:t>
      </w:r>
      <w:r>
        <w:t>项目危险因素</w:t>
      </w:r>
      <w:r>
        <w:tab/>
      </w:r>
      <w:r>
        <w:fldChar w:fldCharType="begin"/>
      </w:r>
      <w:r>
        <w:instrText xml:space="preserve"> PAGEREF _Toc31818 \h </w:instrText>
      </w:r>
      <w:r>
        <w:fldChar w:fldCharType="separate"/>
      </w:r>
      <w:r>
        <w:t>131</w:t>
      </w:r>
      <w:r>
        <w:fldChar w:fldCharType="end"/>
      </w:r>
      <w:r>
        <w:fldChar w:fldCharType="end"/>
      </w:r>
    </w:p>
    <w:p>
      <w:pPr>
        <w:pStyle w:val="7"/>
        <w:tabs>
          <w:tab w:val="right" w:leader="dot" w:pos="8306"/>
        </w:tabs>
      </w:pPr>
      <w:r>
        <w:fldChar w:fldCharType="begin"/>
      </w:r>
      <w:r>
        <w:instrText xml:space="preserve"> HYPERLINK \l _Toc7365 </w:instrText>
      </w:r>
      <w:r>
        <w:fldChar w:fldCharType="separate"/>
      </w:r>
      <w:r>
        <w:rPr>
          <w:rFonts w:hint="eastAsia"/>
          <w:lang w:val="en-US" w:eastAsia="zh-CN"/>
        </w:rPr>
        <w:t>7</w:t>
      </w:r>
      <w:r>
        <w:t>.2</w:t>
      </w:r>
      <w:r>
        <w:rPr>
          <w:rFonts w:hint="eastAsia"/>
          <w:lang w:val="en-US" w:eastAsia="zh-CN"/>
        </w:rPr>
        <w:t xml:space="preserve"> </w:t>
      </w:r>
      <w:r>
        <w:t>可能存在的突发环境事件情景</w:t>
      </w:r>
      <w:r>
        <w:tab/>
      </w:r>
      <w:r>
        <w:fldChar w:fldCharType="begin"/>
      </w:r>
      <w:r>
        <w:instrText xml:space="preserve"> PAGEREF _Toc7365 \h </w:instrText>
      </w:r>
      <w:r>
        <w:fldChar w:fldCharType="separate"/>
      </w:r>
      <w:r>
        <w:t>131</w:t>
      </w:r>
      <w:r>
        <w:fldChar w:fldCharType="end"/>
      </w:r>
      <w:r>
        <w:fldChar w:fldCharType="end"/>
      </w:r>
    </w:p>
    <w:p>
      <w:pPr>
        <w:pStyle w:val="7"/>
        <w:tabs>
          <w:tab w:val="right" w:leader="dot" w:pos="8306"/>
        </w:tabs>
      </w:pPr>
      <w:r>
        <w:fldChar w:fldCharType="begin"/>
      </w:r>
      <w:r>
        <w:instrText xml:space="preserve"> HYPERLINK \l _Toc3024 </w:instrText>
      </w:r>
      <w:r>
        <w:fldChar w:fldCharType="separate"/>
      </w:r>
      <w:r>
        <w:rPr>
          <w:rFonts w:hint="eastAsia"/>
          <w:lang w:val="en-US" w:eastAsia="zh-CN"/>
        </w:rPr>
        <w:t>7</w:t>
      </w:r>
      <w:r>
        <w:t>.3</w:t>
      </w:r>
      <w:r>
        <w:rPr>
          <w:rFonts w:hint="eastAsia"/>
          <w:lang w:val="en-US" w:eastAsia="zh-CN"/>
        </w:rPr>
        <w:t xml:space="preserve"> </w:t>
      </w:r>
      <w:r>
        <w:t>环境风险防范措施和应急预案</w:t>
      </w:r>
      <w:r>
        <w:tab/>
      </w:r>
      <w:r>
        <w:fldChar w:fldCharType="begin"/>
      </w:r>
      <w:r>
        <w:instrText xml:space="preserve"> PAGEREF _Toc3024 \h </w:instrText>
      </w:r>
      <w:r>
        <w:fldChar w:fldCharType="separate"/>
      </w:r>
      <w:r>
        <w:t>131</w:t>
      </w:r>
      <w:r>
        <w:fldChar w:fldCharType="end"/>
      </w:r>
      <w:r>
        <w:fldChar w:fldCharType="end"/>
      </w:r>
    </w:p>
    <w:p>
      <w:pPr>
        <w:pStyle w:val="7"/>
        <w:tabs>
          <w:tab w:val="right" w:leader="dot" w:pos="8306"/>
        </w:tabs>
      </w:pPr>
      <w:r>
        <w:fldChar w:fldCharType="begin"/>
      </w:r>
      <w:r>
        <w:instrText xml:space="preserve"> HYPERLINK \l _Toc22378 </w:instrText>
      </w:r>
      <w:r>
        <w:fldChar w:fldCharType="separate"/>
      </w:r>
      <w:r>
        <w:rPr>
          <w:rFonts w:hint="eastAsia"/>
          <w:lang w:val="en-US" w:eastAsia="zh-CN"/>
        </w:rPr>
        <w:t>7</w:t>
      </w:r>
      <w:r>
        <w:t>.4</w:t>
      </w:r>
      <w:r>
        <w:rPr>
          <w:rFonts w:hint="eastAsia"/>
          <w:lang w:val="en-US" w:eastAsia="zh-CN"/>
        </w:rPr>
        <w:t xml:space="preserve"> </w:t>
      </w:r>
      <w:r>
        <w:t>环境风险评价结论与建议</w:t>
      </w:r>
      <w:r>
        <w:tab/>
      </w:r>
      <w:r>
        <w:fldChar w:fldCharType="begin"/>
      </w:r>
      <w:r>
        <w:instrText xml:space="preserve"> PAGEREF _Toc22378 \h </w:instrText>
      </w:r>
      <w:r>
        <w:fldChar w:fldCharType="separate"/>
      </w:r>
      <w:r>
        <w:t>131</w:t>
      </w:r>
      <w:r>
        <w:fldChar w:fldCharType="end"/>
      </w:r>
      <w:r>
        <w:fldChar w:fldCharType="end"/>
      </w:r>
    </w:p>
    <w:p>
      <w:r>
        <w:fldChar w:fldCharType="end"/>
      </w:r>
    </w:p>
    <w:p>
      <w:pPr>
        <w:pStyle w:val="3"/>
        <w:bidi w:val="0"/>
        <w:jc w:val="center"/>
        <w:rPr>
          <w:rFonts w:hint="eastAsia"/>
          <w:lang w:val="en-US" w:eastAsia="zh-CN"/>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bookmarkStart w:id="5" w:name="_Toc23608"/>
    </w:p>
    <w:p>
      <w:pPr>
        <w:pStyle w:val="3"/>
        <w:bidi w:val="0"/>
        <w:jc w:val="center"/>
        <w:rPr>
          <w:rFonts w:hint="eastAsia"/>
          <w:lang w:val="en-US" w:eastAsia="zh-CN"/>
        </w:rPr>
      </w:pPr>
      <w:bookmarkStart w:id="6" w:name="_Toc14482"/>
      <w:r>
        <w:rPr>
          <w:rFonts w:hint="eastAsia"/>
          <w:lang w:val="en-US" w:eastAsia="zh-CN"/>
        </w:rPr>
        <w:t>一、建设项目基本情况</w:t>
      </w:r>
      <w:bookmarkEnd w:id="4"/>
      <w:bookmarkEnd w:id="5"/>
      <w:bookmarkEnd w:id="6"/>
    </w:p>
    <w:tbl>
      <w:tblPr>
        <w:tblStyle w:val="15"/>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528"/>
        <w:gridCol w:w="1485"/>
        <w:gridCol w:w="1783"/>
        <w:gridCol w:w="2122"/>
        <w:gridCol w:w="31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rPr>
                <w:rFonts w:hint="eastAsia"/>
                <w:lang w:val="en-US" w:eastAsia="zh-CN"/>
              </w:rPr>
            </w:pPr>
            <w:r>
              <w:rPr>
                <w:rFonts w:hint="eastAsia"/>
                <w:lang w:val="en-US" w:eastAsia="zh-CN"/>
              </w:rPr>
              <w:t>建设项目名称</w:t>
            </w:r>
          </w:p>
        </w:tc>
        <w:tc>
          <w:tcPr>
            <w:tcW w:w="7047" w:type="dxa"/>
            <w:gridSpan w:val="3"/>
            <w:tcBorders>
              <w:tl2br w:val="nil"/>
              <w:tr2bl w:val="nil"/>
            </w:tcBorders>
            <w:noWrap w:val="0"/>
            <w:vAlign w:val="center"/>
          </w:tcPr>
          <w:p>
            <w:pPr>
              <w:bidi w:val="0"/>
              <w:jc w:val="center"/>
              <w:rPr>
                <w:rFonts w:hint="eastAsia"/>
                <w:lang w:val="en-US" w:eastAsia="zh-CN"/>
              </w:rPr>
            </w:pPr>
            <w:r>
              <w:rPr>
                <w:rFonts w:hint="eastAsia"/>
                <w:lang w:val="en-US" w:eastAsia="zh-CN"/>
              </w:rPr>
              <w:t>花垣吾道环保科技有限公司30万吨/年锰渣无害化及综合利用项目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rPr>
                <w:rFonts w:hint="eastAsia"/>
              </w:rPr>
            </w:pPr>
            <w:r>
              <w:rPr>
                <w:rFonts w:hint="eastAsia"/>
              </w:rPr>
              <w:t>建设单位联系人</w:t>
            </w:r>
          </w:p>
        </w:tc>
        <w:tc>
          <w:tcPr>
            <w:tcW w:w="1783" w:type="dxa"/>
            <w:tcBorders>
              <w:tl2br w:val="nil"/>
              <w:tr2bl w:val="nil"/>
            </w:tcBorders>
            <w:noWrap w:val="0"/>
            <w:vAlign w:val="center"/>
          </w:tcPr>
          <w:p>
            <w:pPr>
              <w:bidi w:val="0"/>
              <w:jc w:val="center"/>
              <w:rPr>
                <w:rFonts w:hint="default"/>
                <w:lang w:val="en-US" w:eastAsia="zh-CN"/>
              </w:rPr>
            </w:pPr>
            <w:r>
              <w:rPr>
                <w:rFonts w:hint="eastAsia"/>
                <w:lang w:val="en-US" w:eastAsia="zh-CN"/>
              </w:rPr>
              <w:t>王聪</w:t>
            </w:r>
          </w:p>
        </w:tc>
        <w:tc>
          <w:tcPr>
            <w:tcW w:w="2122" w:type="dxa"/>
            <w:tcBorders>
              <w:tl2br w:val="nil"/>
              <w:tr2bl w:val="nil"/>
            </w:tcBorders>
            <w:noWrap w:val="0"/>
            <w:vAlign w:val="center"/>
          </w:tcPr>
          <w:p>
            <w:pPr>
              <w:bidi w:val="0"/>
              <w:jc w:val="center"/>
              <w:rPr>
                <w:rFonts w:hint="eastAsia"/>
                <w:lang w:val="en-US" w:eastAsia="zh-CN"/>
              </w:rPr>
            </w:pPr>
            <w:r>
              <w:rPr>
                <w:rFonts w:hint="eastAsia"/>
                <w:lang w:val="en-US" w:eastAsia="zh-CN"/>
              </w:rPr>
              <w:t>联系方式</w:t>
            </w:r>
          </w:p>
        </w:tc>
        <w:tc>
          <w:tcPr>
            <w:tcW w:w="3142" w:type="dxa"/>
            <w:tcBorders>
              <w:tl2br w:val="nil"/>
              <w:tr2bl w:val="nil"/>
            </w:tcBorders>
            <w:noWrap w:val="0"/>
            <w:vAlign w:val="center"/>
          </w:tcPr>
          <w:p>
            <w:pPr>
              <w:bidi w:val="0"/>
              <w:jc w:val="center"/>
              <w:rPr>
                <w:rFonts w:hint="default"/>
                <w:lang w:val="en-US" w:eastAsia="zh-CN"/>
              </w:rPr>
            </w:pPr>
            <w:r>
              <w:rPr>
                <w:rFonts w:hint="eastAsia"/>
                <w:lang w:val="en-US" w:eastAsia="zh-CN"/>
              </w:rPr>
              <w:t>19182794202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pPr>
            <w:r>
              <w:rPr>
                <w:rFonts w:hint="eastAsia"/>
              </w:rPr>
              <w:t>建设地点</w:t>
            </w:r>
          </w:p>
        </w:tc>
        <w:tc>
          <w:tcPr>
            <w:tcW w:w="7047" w:type="dxa"/>
            <w:gridSpan w:val="3"/>
            <w:tcBorders>
              <w:tl2br w:val="nil"/>
              <w:tr2bl w:val="nil"/>
            </w:tcBorders>
            <w:noWrap w:val="0"/>
            <w:vAlign w:val="center"/>
          </w:tcPr>
          <w:p>
            <w:pPr>
              <w:bidi w:val="0"/>
              <w:jc w:val="center"/>
              <w:rPr>
                <w:rFonts w:hint="default"/>
                <w:lang w:val="en-US" w:eastAsia="zh-CN"/>
              </w:rPr>
            </w:pPr>
            <w:r>
              <w:rPr>
                <w:rFonts w:hint="eastAsia"/>
                <w:lang w:val="en-US" w:eastAsia="zh-CN"/>
              </w:rPr>
              <w:t>花垣县花垣产业开发区内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pPr>
            <w:r>
              <w:rPr>
                <w:rFonts w:hint="eastAsia"/>
              </w:rPr>
              <w:t>地理坐标</w:t>
            </w:r>
          </w:p>
        </w:tc>
        <w:tc>
          <w:tcPr>
            <w:tcW w:w="7047" w:type="dxa"/>
            <w:gridSpan w:val="3"/>
            <w:tcBorders>
              <w:tl2br w:val="nil"/>
              <w:tr2bl w:val="nil"/>
            </w:tcBorders>
            <w:noWrap w:val="0"/>
            <w:vAlign w:val="center"/>
          </w:tcPr>
          <w:p>
            <w:pPr>
              <w:bidi w:val="0"/>
              <w:jc w:val="center"/>
              <w:rPr>
                <w:rFonts w:hint="eastAsia"/>
                <w:lang w:eastAsia="zh-CN"/>
              </w:rPr>
            </w:pPr>
            <w:r>
              <w:rPr>
                <w:rFonts w:hint="eastAsia"/>
                <w:lang w:eastAsia="zh-CN"/>
              </w:rPr>
              <w:t>（E：109度</w:t>
            </w:r>
            <w:r>
              <w:rPr>
                <w:rFonts w:hint="eastAsia"/>
                <w:lang w:val="en-US" w:eastAsia="zh-CN"/>
              </w:rPr>
              <w:t>42</w:t>
            </w:r>
            <w:r>
              <w:rPr>
                <w:rFonts w:hint="eastAsia"/>
                <w:lang w:eastAsia="zh-CN"/>
              </w:rPr>
              <w:t>分</w:t>
            </w:r>
            <w:r>
              <w:rPr>
                <w:rFonts w:hint="eastAsia"/>
                <w:lang w:val="en-US" w:eastAsia="zh-CN"/>
              </w:rPr>
              <w:t>85.18</w:t>
            </w:r>
            <w:r>
              <w:rPr>
                <w:rFonts w:hint="eastAsia"/>
                <w:lang w:eastAsia="zh-CN"/>
              </w:rPr>
              <w:t>秒，N：28度</w:t>
            </w:r>
            <w:r>
              <w:rPr>
                <w:rFonts w:hint="eastAsia"/>
                <w:lang w:val="en-US" w:eastAsia="zh-CN"/>
              </w:rPr>
              <w:t>58</w:t>
            </w:r>
            <w:r>
              <w:rPr>
                <w:rFonts w:hint="eastAsia"/>
                <w:lang w:eastAsia="zh-CN"/>
              </w:rPr>
              <w:t>分</w:t>
            </w:r>
            <w:r>
              <w:rPr>
                <w:rFonts w:hint="eastAsia"/>
                <w:lang w:val="en-US" w:eastAsia="zh-CN"/>
              </w:rPr>
              <w:t>42.96</w:t>
            </w:r>
            <w:r>
              <w:rPr>
                <w:rFonts w:hint="eastAsia"/>
                <w:lang w:eastAsia="zh-CN"/>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rPr>
                <w:rFonts w:hint="eastAsia"/>
              </w:rPr>
            </w:pPr>
            <w:r>
              <w:rPr>
                <w:rFonts w:hint="eastAsia"/>
              </w:rPr>
              <w:t>国民经济</w:t>
            </w:r>
          </w:p>
          <w:p>
            <w:pPr>
              <w:bidi w:val="0"/>
              <w:jc w:val="center"/>
            </w:pPr>
            <w:r>
              <w:rPr>
                <w:rFonts w:hint="eastAsia"/>
              </w:rPr>
              <w:t>行业类别</w:t>
            </w:r>
          </w:p>
        </w:tc>
        <w:tc>
          <w:tcPr>
            <w:tcW w:w="1783" w:type="dxa"/>
            <w:tcBorders>
              <w:tl2br w:val="nil"/>
              <w:tr2bl w:val="nil"/>
            </w:tcBorders>
            <w:noWrap w:val="0"/>
            <w:vAlign w:val="center"/>
          </w:tcPr>
          <w:p>
            <w:pPr>
              <w:bidi w:val="0"/>
            </w:pPr>
            <w:r>
              <w:rPr>
                <w:rFonts w:hint="eastAsia"/>
              </w:rPr>
              <w:t>N7723 固体废物治理</w:t>
            </w:r>
          </w:p>
        </w:tc>
        <w:tc>
          <w:tcPr>
            <w:tcW w:w="2122" w:type="dxa"/>
            <w:tcBorders>
              <w:tl2br w:val="nil"/>
              <w:tr2bl w:val="nil"/>
            </w:tcBorders>
            <w:noWrap w:val="0"/>
            <w:vAlign w:val="center"/>
          </w:tcPr>
          <w:p>
            <w:pPr>
              <w:bidi w:val="0"/>
              <w:jc w:val="center"/>
            </w:pPr>
            <w:bookmarkStart w:id="7" w:name="_Hlk49843745"/>
            <w:r>
              <w:t>建设项目</w:t>
            </w:r>
          </w:p>
          <w:p>
            <w:pPr>
              <w:bidi w:val="0"/>
              <w:jc w:val="center"/>
            </w:pPr>
            <w:r>
              <w:t>行业类别</w:t>
            </w:r>
            <w:bookmarkEnd w:id="7"/>
          </w:p>
        </w:tc>
        <w:tc>
          <w:tcPr>
            <w:tcW w:w="3142" w:type="dxa"/>
            <w:tcBorders>
              <w:tl2br w:val="nil"/>
              <w:tr2bl w:val="nil"/>
            </w:tcBorders>
            <w:noWrap w:val="0"/>
            <w:vAlign w:val="center"/>
          </w:tcPr>
          <w:p>
            <w:pPr>
              <w:pStyle w:val="20"/>
              <w:bidi w:val="0"/>
              <w:rPr>
                <w:rFonts w:hint="eastAsia"/>
                <w:lang w:val="en-US" w:eastAsia="zh-CN"/>
              </w:rPr>
            </w:pPr>
            <w:r>
              <w:rPr>
                <w:rFonts w:hint="eastAsia" w:ascii="宋体" w:hAnsi="宋体" w:eastAsia="宋体" w:cs="宋体"/>
                <w:lang w:val="en-US" w:eastAsia="zh-CN"/>
              </w:rPr>
              <w:t>四十七、 生态保护和环境治理业-103 一般工业固体废物（含污水处理污泥）、建筑施工废弃物处置及综合利用-其他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pPr>
            <w:r>
              <w:rPr>
                <w:rFonts w:hint="eastAsia"/>
              </w:rPr>
              <w:t>建设性质</w:t>
            </w:r>
          </w:p>
        </w:tc>
        <w:tc>
          <w:tcPr>
            <w:tcW w:w="1783" w:type="dxa"/>
            <w:tcBorders>
              <w:tl2br w:val="nil"/>
              <w:tr2bl w:val="nil"/>
            </w:tcBorders>
            <w:noWrap w:val="0"/>
            <w:vAlign w:val="center"/>
          </w:tcPr>
          <w:p>
            <w:pPr>
              <w:jc w:val="left"/>
              <w:rPr>
                <w:rFonts w:ascii="Times New Roman" w:hAnsi="Times New Roman" w:cs="Times New Roman"/>
                <w:szCs w:val="21"/>
              </w:rPr>
            </w:pPr>
            <w:r>
              <w:rPr>
                <w:rFonts w:hint="eastAsia" w:ascii="Times New Roman" w:hAnsi="Times New Roman" w:cs="Times New Roman"/>
                <w:szCs w:val="21"/>
                <w:lang w:eastAsia="zh-CN"/>
              </w:rPr>
              <w:t>☑</w:t>
            </w:r>
            <w:r>
              <w:rPr>
                <w:rFonts w:ascii="Times New Roman" w:hAnsi="Times New Roman" w:cs="Times New Roman"/>
                <w:szCs w:val="21"/>
              </w:rPr>
              <w:t>新建</w:t>
            </w:r>
          </w:p>
          <w:p>
            <w:pPr>
              <w:jc w:val="left"/>
              <w:rPr>
                <w:rFonts w:ascii="Times New Roman" w:hAnsi="Times New Roman" w:cs="Times New Roman"/>
                <w:szCs w:val="21"/>
              </w:rPr>
            </w:pPr>
            <w:r>
              <w:rPr>
                <w:rFonts w:hint="eastAsia" w:ascii="Times New Roman" w:hAnsi="Times New Roman" w:cs="Times New Roman"/>
                <w:szCs w:val="21"/>
                <w:lang w:eastAsia="zh-CN"/>
              </w:rPr>
              <w:t>□</w:t>
            </w:r>
            <w:r>
              <w:rPr>
                <w:rFonts w:ascii="Times New Roman" w:hAnsi="Times New Roman" w:cs="Times New Roman"/>
                <w:szCs w:val="21"/>
              </w:rPr>
              <w:t>改建</w:t>
            </w:r>
          </w:p>
          <w:p>
            <w:pPr>
              <w:jc w:val="left"/>
              <w:rPr>
                <w:rFonts w:ascii="Times New Roman" w:hAnsi="Times New Roman" w:cs="Times New Roman"/>
                <w:szCs w:val="21"/>
              </w:rPr>
            </w:pPr>
            <w:r>
              <w:rPr>
                <w:rFonts w:hint="eastAsia" w:ascii="Times New Roman" w:hAnsi="Times New Roman" w:cs="Times New Roman"/>
                <w:szCs w:val="21"/>
                <w:lang w:eastAsia="zh-CN"/>
              </w:rPr>
              <w:t>□</w:t>
            </w:r>
            <w:r>
              <w:rPr>
                <w:rFonts w:ascii="Times New Roman" w:hAnsi="Times New Roman" w:cs="Times New Roman"/>
                <w:szCs w:val="21"/>
              </w:rPr>
              <w:t>扩建</w:t>
            </w:r>
          </w:p>
          <w:p>
            <w:pPr>
              <w:jc w:val="left"/>
              <w:rPr>
                <w:rFonts w:ascii="Times New Roman" w:hAnsi="Times New Roman" w:cs="Times New Roman"/>
                <w:szCs w:val="21"/>
              </w:rPr>
            </w:pPr>
            <w:r>
              <w:rPr>
                <w:rFonts w:hint="eastAsia" w:ascii="Times New Roman" w:hAnsi="Times New Roman" w:cs="Times New Roman"/>
                <w:szCs w:val="21"/>
                <w:lang w:eastAsia="zh-CN"/>
              </w:rPr>
              <w:t>□</w:t>
            </w:r>
            <w:r>
              <w:rPr>
                <w:rFonts w:ascii="Times New Roman" w:hAnsi="Times New Roman" w:cs="Times New Roman"/>
                <w:szCs w:val="21"/>
              </w:rPr>
              <w:t>技术改造</w:t>
            </w:r>
          </w:p>
        </w:tc>
        <w:tc>
          <w:tcPr>
            <w:tcW w:w="2122" w:type="dxa"/>
            <w:tcBorders>
              <w:tl2br w:val="nil"/>
              <w:tr2bl w:val="nil"/>
            </w:tcBorders>
            <w:noWrap w:val="0"/>
            <w:vAlign w:val="center"/>
          </w:tcPr>
          <w:p>
            <w:pPr>
              <w:bidi w:val="0"/>
              <w:jc w:val="center"/>
            </w:pPr>
            <w:r>
              <w:t>建设项目</w:t>
            </w:r>
          </w:p>
          <w:p>
            <w:pPr>
              <w:bidi w:val="0"/>
              <w:jc w:val="center"/>
            </w:pPr>
            <w:r>
              <w:t>申报情形</w:t>
            </w:r>
          </w:p>
        </w:tc>
        <w:tc>
          <w:tcPr>
            <w:tcW w:w="3142" w:type="dxa"/>
            <w:tcBorders>
              <w:tl2br w:val="nil"/>
              <w:tr2bl w:val="nil"/>
            </w:tcBorders>
            <w:noWrap w:val="0"/>
            <w:vAlign w:val="center"/>
          </w:tcPr>
          <w:p>
            <w:pPr>
              <w:jc w:val="left"/>
              <w:rPr>
                <w:rFonts w:ascii="Times New Roman" w:hAnsi="Times New Roman" w:cs="Times New Roman"/>
                <w:szCs w:val="21"/>
              </w:rPr>
            </w:pPr>
            <w:r>
              <w:rPr>
                <w:rFonts w:hint="eastAsia" w:ascii="Times New Roman" w:hAnsi="Times New Roman" w:cs="Times New Roman"/>
                <w:szCs w:val="21"/>
                <w:lang w:eastAsia="zh-CN"/>
              </w:rPr>
              <w:t>☑</w:t>
            </w:r>
            <w:r>
              <w:rPr>
                <w:rFonts w:ascii="Times New Roman" w:hAnsi="Times New Roman" w:cs="Times New Roman"/>
                <w:szCs w:val="21"/>
              </w:rPr>
              <w:t xml:space="preserve">首次申报项目             </w:t>
            </w:r>
          </w:p>
          <w:p>
            <w:pPr>
              <w:jc w:val="left"/>
              <w:rPr>
                <w:rFonts w:ascii="Times New Roman" w:hAnsi="Times New Roman" w:cs="Times New Roman"/>
                <w:szCs w:val="21"/>
              </w:rPr>
            </w:pPr>
            <w:r>
              <w:rPr>
                <w:rFonts w:hint="eastAsia" w:ascii="Times New Roman" w:hAnsi="Times New Roman" w:cs="Times New Roman"/>
                <w:szCs w:val="21"/>
                <w:lang w:eastAsia="zh-CN"/>
              </w:rPr>
              <w:t>□</w:t>
            </w:r>
            <w:r>
              <w:rPr>
                <w:rFonts w:ascii="Times New Roman" w:hAnsi="Times New Roman" w:cs="Times New Roman"/>
                <w:szCs w:val="21"/>
              </w:rPr>
              <w:t>不予批准后再次申报项目</w:t>
            </w:r>
          </w:p>
          <w:p>
            <w:pPr>
              <w:jc w:val="left"/>
              <w:rPr>
                <w:rFonts w:ascii="Times New Roman" w:hAnsi="Times New Roman" w:cs="Times New Roman"/>
                <w:szCs w:val="21"/>
              </w:rPr>
            </w:pPr>
            <w:r>
              <w:rPr>
                <w:rFonts w:hint="eastAsia" w:ascii="Times New Roman" w:hAnsi="Times New Roman" w:cs="Times New Roman"/>
                <w:szCs w:val="21"/>
                <w:lang w:eastAsia="zh-CN"/>
              </w:rPr>
              <w:t>□</w:t>
            </w:r>
            <w:r>
              <w:rPr>
                <w:rFonts w:ascii="Times New Roman" w:hAnsi="Times New Roman" w:cs="Times New Roman"/>
                <w:szCs w:val="21"/>
              </w:rPr>
              <w:t xml:space="preserve">超五年重新审核项目     </w:t>
            </w:r>
          </w:p>
          <w:p>
            <w:pPr>
              <w:jc w:val="left"/>
              <w:rPr>
                <w:rFonts w:ascii="Times New Roman" w:hAnsi="Times New Roman" w:cs="Times New Roman"/>
                <w:szCs w:val="21"/>
              </w:rPr>
            </w:pPr>
            <w:r>
              <w:rPr>
                <w:rFonts w:hint="eastAsia" w:ascii="Times New Roman" w:hAnsi="Times New Roman" w:cs="Times New Roman"/>
                <w:szCs w:val="21"/>
                <w:lang w:eastAsia="zh-CN"/>
              </w:rPr>
              <w:t>□</w:t>
            </w:r>
            <w:r>
              <w:rPr>
                <w:rFonts w:ascii="Times New Roman" w:hAnsi="Times New Roman" w:cs="Times New Roman"/>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85"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rPr>
                <w:rFonts w:hint="eastAsia"/>
              </w:rPr>
            </w:pPr>
            <w:r>
              <w:rPr>
                <w:rFonts w:hint="eastAsia"/>
              </w:rPr>
              <w:t>项目审批（核准/</w:t>
            </w:r>
          </w:p>
          <w:p>
            <w:pPr>
              <w:bidi w:val="0"/>
              <w:jc w:val="center"/>
              <w:rPr>
                <w:rFonts w:hint="eastAsia"/>
              </w:rPr>
            </w:pPr>
            <w:r>
              <w:rPr>
                <w:rFonts w:hint="eastAsia"/>
              </w:rPr>
              <w:t>备案）部门（选填）</w:t>
            </w:r>
          </w:p>
        </w:tc>
        <w:tc>
          <w:tcPr>
            <w:tcW w:w="1783" w:type="dxa"/>
            <w:tcBorders>
              <w:tl2br w:val="nil"/>
              <w:tr2bl w:val="nil"/>
            </w:tcBorders>
            <w:noWrap w:val="0"/>
            <w:vAlign w:val="center"/>
          </w:tcPr>
          <w:p>
            <w:pPr>
              <w:bidi w:val="0"/>
              <w:jc w:val="center"/>
              <w:rPr>
                <w:rFonts w:hint="default"/>
                <w:lang w:val="en-US" w:eastAsia="zh-CN"/>
              </w:rPr>
            </w:pPr>
            <w:r>
              <w:rPr>
                <w:rFonts w:hint="eastAsia"/>
                <w:lang w:val="en-US" w:eastAsia="zh-CN"/>
              </w:rPr>
              <w:t>花垣县发展和改革局</w:t>
            </w:r>
          </w:p>
        </w:tc>
        <w:tc>
          <w:tcPr>
            <w:tcW w:w="2122" w:type="dxa"/>
            <w:tcBorders>
              <w:tl2br w:val="nil"/>
              <w:tr2bl w:val="nil"/>
            </w:tcBorders>
            <w:noWrap w:val="0"/>
            <w:vAlign w:val="center"/>
          </w:tcPr>
          <w:p>
            <w:pPr>
              <w:bidi w:val="0"/>
              <w:jc w:val="center"/>
            </w:pPr>
            <w:r>
              <w:t>项目审批（核准/</w:t>
            </w:r>
          </w:p>
          <w:p>
            <w:pPr>
              <w:bidi w:val="0"/>
              <w:jc w:val="center"/>
            </w:pPr>
            <w:r>
              <w:t>备案）文号（选填）</w:t>
            </w:r>
          </w:p>
        </w:tc>
        <w:tc>
          <w:tcPr>
            <w:tcW w:w="3142" w:type="dxa"/>
            <w:tcBorders>
              <w:tl2br w:val="nil"/>
              <w:tr2bl w:val="nil"/>
            </w:tcBorders>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eastAsia" w:cs="Times New Roman"/>
                <w:szCs w:val="21"/>
                <w:lang w:val="en-US" w:eastAsia="zh-CN"/>
              </w:rPr>
              <w:t>备案编号：2023-068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pPr>
            <w:r>
              <w:t>总投资（万元）</w:t>
            </w:r>
          </w:p>
        </w:tc>
        <w:tc>
          <w:tcPr>
            <w:tcW w:w="1783" w:type="dxa"/>
            <w:tcBorders>
              <w:tl2br w:val="nil"/>
              <w:tr2bl w:val="nil"/>
            </w:tcBorders>
            <w:noWrap w:val="0"/>
            <w:vAlign w:val="center"/>
          </w:tcPr>
          <w:p>
            <w:pPr>
              <w:bidi w:val="0"/>
              <w:jc w:val="center"/>
              <w:rPr>
                <w:rFonts w:hint="default" w:ascii="Times New Roman" w:hAnsi="Times New Roman" w:eastAsia="宋体" w:cs="Times New Roman"/>
                <w:szCs w:val="21"/>
                <w:lang w:val="en-US" w:eastAsia="zh-CN"/>
              </w:rPr>
            </w:pPr>
            <w:r>
              <w:rPr>
                <w:rFonts w:hint="default"/>
                <w:lang w:val="en-US" w:eastAsia="zh-CN"/>
              </w:rPr>
              <w:t>16173.8</w:t>
            </w:r>
          </w:p>
        </w:tc>
        <w:tc>
          <w:tcPr>
            <w:tcW w:w="2122" w:type="dxa"/>
            <w:tcBorders>
              <w:tl2br w:val="nil"/>
              <w:tr2bl w:val="nil"/>
            </w:tcBorders>
            <w:noWrap w:val="0"/>
            <w:tcMar>
              <w:top w:w="16" w:type="dxa"/>
              <w:left w:w="16" w:type="dxa"/>
              <w:right w:w="16" w:type="dxa"/>
            </w:tcMar>
            <w:vAlign w:val="center"/>
          </w:tcPr>
          <w:p>
            <w:pPr>
              <w:bidi w:val="0"/>
              <w:jc w:val="center"/>
            </w:pPr>
            <w:r>
              <w:t>环保投资（万元）</w:t>
            </w:r>
          </w:p>
        </w:tc>
        <w:tc>
          <w:tcPr>
            <w:tcW w:w="3142" w:type="dxa"/>
            <w:tcBorders>
              <w:tl2br w:val="nil"/>
              <w:tr2bl w:val="nil"/>
            </w:tcBorders>
            <w:noWrap w:val="0"/>
            <w:vAlign w:val="center"/>
          </w:tcPr>
          <w:p>
            <w:pPr>
              <w:bidi w:val="0"/>
              <w:jc w:val="center"/>
              <w:rPr>
                <w:rFonts w:hint="default" w:ascii="Times New Roman" w:hAnsi="Times New Roman" w:eastAsia="宋体" w:cs="Times New Roman"/>
                <w:color w:val="auto"/>
                <w:szCs w:val="21"/>
                <w:lang w:val="en-US" w:eastAsia="zh-CN"/>
              </w:rPr>
            </w:pPr>
            <w:r>
              <w:rPr>
                <w:rFonts w:hint="eastAsia"/>
                <w:lang w:val="en-US" w:eastAsia="zh-CN"/>
              </w:rPr>
              <w:t>1037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2"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pPr>
            <w:r>
              <w:t>环保投资占比（%）</w:t>
            </w:r>
          </w:p>
        </w:tc>
        <w:tc>
          <w:tcPr>
            <w:tcW w:w="1783" w:type="dxa"/>
            <w:tcBorders>
              <w:tl2br w:val="nil"/>
              <w:tr2bl w:val="nil"/>
            </w:tcBorders>
            <w:noWrap w:val="0"/>
            <w:vAlign w:val="center"/>
          </w:tcPr>
          <w:p>
            <w:pPr>
              <w:bidi w:val="0"/>
              <w:jc w:val="center"/>
              <w:rPr>
                <w:rFonts w:hint="default" w:ascii="Times New Roman" w:hAnsi="Times New Roman" w:eastAsia="宋体" w:cs="Times New Roman"/>
                <w:szCs w:val="21"/>
                <w:lang w:val="en-US" w:eastAsia="zh-CN"/>
              </w:rPr>
            </w:pPr>
            <w:r>
              <w:rPr>
                <w:rFonts w:hint="eastAsia"/>
                <w:lang w:val="en-US" w:eastAsia="zh-CN"/>
              </w:rPr>
              <w:t>6.4</w:t>
            </w:r>
          </w:p>
        </w:tc>
        <w:tc>
          <w:tcPr>
            <w:tcW w:w="2122" w:type="dxa"/>
            <w:tcBorders>
              <w:tl2br w:val="nil"/>
              <w:tr2bl w:val="nil"/>
            </w:tcBorders>
            <w:noWrap w:val="0"/>
            <w:tcMar>
              <w:top w:w="16" w:type="dxa"/>
              <w:left w:w="16" w:type="dxa"/>
              <w:right w:w="16" w:type="dxa"/>
            </w:tcMar>
            <w:vAlign w:val="center"/>
          </w:tcPr>
          <w:p>
            <w:pPr>
              <w:bidi w:val="0"/>
              <w:jc w:val="center"/>
            </w:pPr>
            <w:r>
              <w:t>施工工期</w:t>
            </w:r>
          </w:p>
        </w:tc>
        <w:tc>
          <w:tcPr>
            <w:tcW w:w="3142"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22" w:hRule="atLeast"/>
          <w:jc w:val="center"/>
        </w:trPr>
        <w:tc>
          <w:tcPr>
            <w:tcW w:w="2013" w:type="dxa"/>
            <w:gridSpan w:val="2"/>
            <w:tcBorders>
              <w:tl2br w:val="nil"/>
              <w:tr2bl w:val="nil"/>
            </w:tcBorders>
            <w:noWrap w:val="0"/>
            <w:tcMar>
              <w:top w:w="16" w:type="dxa"/>
              <w:left w:w="16" w:type="dxa"/>
              <w:right w:w="16" w:type="dxa"/>
            </w:tcMar>
            <w:vAlign w:val="center"/>
          </w:tcPr>
          <w:p>
            <w:pPr>
              <w:bidi w:val="0"/>
              <w:jc w:val="center"/>
              <w:rPr>
                <w:rFonts w:hint="eastAsia"/>
              </w:rPr>
            </w:pPr>
            <w:r>
              <w:rPr>
                <w:rFonts w:hint="eastAsia"/>
              </w:rPr>
              <w:t>是否开工建设</w:t>
            </w:r>
          </w:p>
        </w:tc>
        <w:tc>
          <w:tcPr>
            <w:tcW w:w="1783" w:type="dxa"/>
            <w:tcBorders>
              <w:tl2br w:val="nil"/>
              <w:tr2bl w:val="nil"/>
            </w:tcBorders>
            <w:noWrap w:val="0"/>
            <w:vAlign w:val="center"/>
          </w:tcPr>
          <w:p>
            <w:pPr>
              <w:adjustRightInd w:val="0"/>
              <w:snapToGrid w:val="0"/>
              <w:rPr>
                <w:rFonts w:ascii="Times New Roman" w:hAnsi="Times New Roman" w:cs="Times New Roman"/>
                <w:szCs w:val="21"/>
              </w:rPr>
            </w:pPr>
            <w:r>
              <w:rPr>
                <w:rFonts w:ascii="Times New Roman" w:hAnsi="Times New Roman" w:cs="Times New Roman"/>
                <w:szCs w:val="21"/>
              </w:rPr>
              <w:t>☑否</w:t>
            </w:r>
          </w:p>
          <w:p>
            <w:pPr>
              <w:adjustRightInd w:val="0"/>
              <w:snapToGrid w:val="0"/>
              <w:rPr>
                <w:rFonts w:ascii="Times New Roman" w:hAnsi="Times New Roman" w:cs="Times New Roman"/>
                <w:szCs w:val="21"/>
              </w:rPr>
            </w:pPr>
            <w:r>
              <w:rPr>
                <w:rFonts w:hint="eastAsia" w:ascii="Times New Roman" w:hAnsi="Times New Roman" w:cs="Times New Roman"/>
                <w:szCs w:val="21"/>
                <w:lang w:eastAsia="zh-CN"/>
              </w:rPr>
              <w:t>□</w:t>
            </w:r>
            <w:r>
              <w:rPr>
                <w:rFonts w:ascii="Times New Roman" w:hAnsi="Times New Roman" w:cs="Times New Roman"/>
                <w:szCs w:val="21"/>
              </w:rPr>
              <w:t>是：</w:t>
            </w:r>
            <w:r>
              <w:rPr>
                <w:rFonts w:ascii="Times New Roman" w:hAnsi="Times New Roman" w:cs="Times New Roman"/>
                <w:szCs w:val="21"/>
                <w:u w:val="single"/>
              </w:rPr>
              <w:t xml:space="preserve">             </w:t>
            </w:r>
          </w:p>
        </w:tc>
        <w:tc>
          <w:tcPr>
            <w:tcW w:w="2122" w:type="dxa"/>
            <w:tcBorders>
              <w:tl2br w:val="nil"/>
              <w:tr2bl w:val="nil"/>
            </w:tcBorders>
            <w:noWrap w:val="0"/>
            <w:tcMar>
              <w:top w:w="16" w:type="dxa"/>
              <w:left w:w="16" w:type="dxa"/>
              <w:right w:w="16" w:type="dxa"/>
            </w:tcMar>
            <w:vAlign w:val="center"/>
          </w:tcPr>
          <w:p>
            <w:pPr>
              <w:bidi w:val="0"/>
              <w:jc w:val="center"/>
            </w:pPr>
            <w:r>
              <w:t>用地（用海）</w:t>
            </w:r>
          </w:p>
          <w:p>
            <w:pPr>
              <w:bidi w:val="0"/>
              <w:jc w:val="center"/>
            </w:pPr>
            <w:r>
              <w:t>面积（m</w:t>
            </w:r>
            <w:r>
              <w:rPr>
                <w:vertAlign w:val="superscript"/>
              </w:rPr>
              <w:t>2</w:t>
            </w:r>
            <w:r>
              <w:t>）</w:t>
            </w:r>
          </w:p>
        </w:tc>
        <w:tc>
          <w:tcPr>
            <w:tcW w:w="3142" w:type="dxa"/>
            <w:tcBorders>
              <w:tl2br w:val="nil"/>
              <w:tr2bl w:val="nil"/>
            </w:tcBorders>
            <w:noWrap w:val="0"/>
            <w:vAlign w:val="center"/>
          </w:tcPr>
          <w:p>
            <w:pPr>
              <w:adjustRightInd w:val="0"/>
              <w:snapToGrid w:val="0"/>
              <w:jc w:val="center"/>
              <w:rPr>
                <w:rFonts w:hint="eastAsia" w:ascii="Times New Roman" w:hAnsi="Times New Roman" w:eastAsia="宋体" w:cs="Times New Roman"/>
                <w:szCs w:val="21"/>
                <w:lang w:eastAsia="zh-CN"/>
              </w:rPr>
            </w:pPr>
            <w:r>
              <w:rPr>
                <w:rFonts w:hint="eastAsia" w:cs="Times New Roman"/>
                <w:color w:val="auto"/>
                <w:spacing w:val="-6"/>
                <w:szCs w:val="21"/>
                <w:lang w:val="en-US" w:eastAsia="zh-CN"/>
              </w:rPr>
              <w:t>50500</w:t>
            </w:r>
            <w:r>
              <w:rPr>
                <w:rFonts w:hint="eastAsia" w:ascii="Times New Roman" w:hAnsi="Times New Roman" w:eastAsia="宋体" w:cs="Times New Roman"/>
                <w:color w:val="auto"/>
                <w:spacing w:val="-6"/>
                <w:szCs w:val="21"/>
                <w:lang w:val="en-US" w:eastAsia="zh-CN"/>
              </w:rPr>
              <w:t>m</w:t>
            </w:r>
            <w:r>
              <w:rPr>
                <w:rFonts w:hint="eastAsia" w:ascii="Times New Roman" w:hAnsi="Times New Roman" w:eastAsia="宋体" w:cs="Times New Roman"/>
                <w:color w:val="auto"/>
                <w:spacing w:val="-6"/>
                <w:szCs w:val="21"/>
                <w:vertAlign w:val="superscript"/>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2013" w:type="dxa"/>
            <w:gridSpan w:val="2"/>
            <w:tcBorders>
              <w:tl2br w:val="nil"/>
              <w:tr2bl w:val="nil"/>
            </w:tcBorders>
            <w:noWrap w:val="0"/>
            <w:vAlign w:val="center"/>
          </w:tcPr>
          <w:p>
            <w:pPr>
              <w:autoSpaceDE w:val="0"/>
              <w:autoSpaceDN w:val="0"/>
              <w:adjustRightInd w:val="0"/>
              <w:snapToGrid w:val="0"/>
              <w:jc w:val="center"/>
              <w:rPr>
                <w:rFonts w:ascii="宋体" w:hAnsi="宋体"/>
                <w:kern w:val="0"/>
                <w:szCs w:val="21"/>
              </w:rPr>
            </w:pPr>
            <w:r>
              <w:rPr>
                <w:rFonts w:hint="eastAsia" w:ascii="宋体" w:hAnsi="宋体"/>
                <w:kern w:val="0"/>
                <w:szCs w:val="21"/>
              </w:rPr>
              <w:t>专项评价设置情况</w:t>
            </w:r>
          </w:p>
        </w:tc>
        <w:tc>
          <w:tcPr>
            <w:tcW w:w="7047" w:type="dxa"/>
            <w:gridSpan w:val="3"/>
            <w:tcBorders>
              <w:tl2br w:val="nil"/>
              <w:tr2bl w:val="nil"/>
            </w:tcBorders>
            <w:noWrap w:val="0"/>
            <w:vAlign w:val="center"/>
          </w:tcPr>
          <w:p>
            <w:pPr>
              <w:autoSpaceDE w:val="0"/>
              <w:autoSpaceDN w:val="0"/>
              <w:ind w:firstLine="480" w:firstLineChars="200"/>
              <w:jc w:val="lef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根据《建设项目环境影响报告表编制技术指南（污染影响类）》专项设置评价如下：</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9"/>
              <w:gridCol w:w="3660"/>
              <w:gridCol w:w="1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noWrap w:val="0"/>
                  <w:vAlign w:val="center"/>
                </w:tcPr>
                <w:p>
                  <w:pPr>
                    <w:keepNext w:val="0"/>
                    <w:keepLines w:val="0"/>
                    <w:pageBreakBefore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bCs/>
                      <w:kern w:val="2"/>
                      <w:sz w:val="21"/>
                      <w:szCs w:val="21"/>
                      <w:lang w:val="en-US" w:eastAsia="zh-CN" w:bidi="ar-SA"/>
                    </w:rPr>
                  </w:pPr>
                  <w:r>
                    <w:rPr>
                      <w:rFonts w:hint="default" w:ascii="Times New Roman" w:hAnsi="Times New Roman" w:cs="Times New Roman"/>
                      <w:b/>
                      <w:bCs/>
                      <w:kern w:val="2"/>
                      <w:sz w:val="21"/>
                      <w:szCs w:val="21"/>
                      <w:lang w:val="en-US" w:eastAsia="zh-CN" w:bidi="ar-SA"/>
                    </w:rPr>
                    <w:t>专项评价的类别</w:t>
                  </w:r>
                </w:p>
              </w:tc>
              <w:tc>
                <w:tcPr>
                  <w:tcW w:w="3396" w:type="dxa"/>
                  <w:noWrap w:val="0"/>
                  <w:vAlign w:val="center"/>
                </w:tcPr>
                <w:p>
                  <w:pPr>
                    <w:keepNext w:val="0"/>
                    <w:keepLines w:val="0"/>
                    <w:pageBreakBefore w:val="0"/>
                    <w:tabs>
                      <w:tab w:val="right" w:leader="dot" w:pos="8820"/>
                    </w:tabs>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b/>
                      <w:bCs/>
                      <w:kern w:val="2"/>
                      <w:sz w:val="21"/>
                      <w:szCs w:val="21"/>
                      <w:lang w:val="en-US" w:eastAsia="zh-CN" w:bidi="ar-SA"/>
                    </w:rPr>
                  </w:pPr>
                  <w:r>
                    <w:rPr>
                      <w:rFonts w:hint="default" w:ascii="Times New Roman" w:hAnsi="Times New Roman" w:cs="Times New Roman"/>
                      <w:b/>
                      <w:bCs/>
                      <w:kern w:val="2"/>
                      <w:sz w:val="21"/>
                      <w:szCs w:val="21"/>
                      <w:lang w:val="en-US" w:eastAsia="zh-CN" w:bidi="ar-SA"/>
                    </w:rPr>
                    <w:t>设置原则</w:t>
                  </w:r>
                </w:p>
              </w:tc>
              <w:tc>
                <w:tcPr>
                  <w:tcW w:w="1775" w:type="dxa"/>
                  <w:noWrap w:val="0"/>
                  <w:vAlign w:val="center"/>
                </w:tcPr>
                <w:p>
                  <w:pPr>
                    <w:keepNext w:val="0"/>
                    <w:keepLines w:val="0"/>
                    <w:pageBreakBefore w:val="0"/>
                    <w:tabs>
                      <w:tab w:val="right" w:leader="dot" w:pos="8820"/>
                    </w:tabs>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b/>
                      <w:bCs/>
                      <w:kern w:val="2"/>
                      <w:sz w:val="21"/>
                      <w:szCs w:val="21"/>
                      <w:lang w:val="en-US" w:eastAsia="zh-CN" w:bidi="ar-SA"/>
                    </w:rPr>
                  </w:pPr>
                  <w:r>
                    <w:rPr>
                      <w:rFonts w:hint="default" w:ascii="Times New Roman" w:hAnsi="Times New Roman" w:cs="Times New Roman"/>
                      <w:b/>
                      <w:bCs/>
                      <w:kern w:val="2"/>
                      <w:sz w:val="21"/>
                      <w:szCs w:val="21"/>
                      <w:lang w:val="en-US" w:eastAsia="zh-CN" w:bidi="ar-SA"/>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noWrap w:val="0"/>
                  <w:vAlign w:val="center"/>
                </w:tcPr>
                <w:p>
                  <w:pPr>
                    <w:keepNext w:val="0"/>
                    <w:keepLines w:val="0"/>
                    <w:pageBreakBefore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t>大气</w:t>
                  </w:r>
                </w:p>
              </w:tc>
              <w:tc>
                <w:tcPr>
                  <w:tcW w:w="339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t>排放废气含有毒有害污染物、二噁英、苯并[a]芘、氰化物、氯气且厂界外500米范围内有环境空气保护目标的建设项目</w:t>
                  </w:r>
                </w:p>
              </w:tc>
              <w:tc>
                <w:tcPr>
                  <w:tcW w:w="177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lang w:val="en-US" w:eastAsia="zh-CN" w:bidi="ar-SA"/>
                    </w:rPr>
                  </w:pPr>
                  <w:r>
                    <w:rPr>
                      <w:rFonts w:hint="eastAsia" w:cs="Times New Roman"/>
                      <w:kern w:val="2"/>
                      <w:sz w:val="21"/>
                      <w:szCs w:val="21"/>
                      <w:lang w:val="en-US" w:eastAsia="zh-CN" w:bidi="ar-SA"/>
                    </w:rPr>
                    <w:t>项目产生的废气不含专项评价要求污染物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noWrap w:val="0"/>
                  <w:vAlign w:val="center"/>
                </w:tcPr>
                <w:p>
                  <w:pPr>
                    <w:keepNext w:val="0"/>
                    <w:keepLines w:val="0"/>
                    <w:pageBreakBefore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t>地表水</w:t>
                  </w:r>
                </w:p>
              </w:tc>
              <w:tc>
                <w:tcPr>
                  <w:tcW w:w="339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highlight w:val="none"/>
                      <w:u w:val="none"/>
                      <w:lang w:val="en-US" w:eastAsia="zh-CN" w:bidi="ar-SA"/>
                    </w:rPr>
                  </w:pPr>
                  <w:r>
                    <w:rPr>
                      <w:rFonts w:hint="default" w:ascii="Times New Roman" w:hAnsi="Times New Roman" w:cs="Times New Roman"/>
                      <w:kern w:val="2"/>
                      <w:sz w:val="21"/>
                      <w:szCs w:val="21"/>
                      <w:highlight w:val="none"/>
                      <w:u w:val="none"/>
                      <w:lang w:val="en-US" w:eastAsia="zh-CN" w:bidi="ar-SA"/>
                    </w:rPr>
                    <w:t>新增工业废水直排建设项目（槽罐车外送污水处理厂的除外）；新增废水直排的污水集中处理厂</w:t>
                  </w:r>
                </w:p>
              </w:tc>
              <w:tc>
                <w:tcPr>
                  <w:tcW w:w="177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highlight w:val="none"/>
                      <w:u w:val="none"/>
                      <w:lang w:val="en-US" w:eastAsia="zh-CN" w:bidi="ar-SA"/>
                    </w:rPr>
                  </w:pPr>
                  <w:r>
                    <w:rPr>
                      <w:rFonts w:hint="eastAsia" w:cs="Times New Roman"/>
                      <w:kern w:val="2"/>
                      <w:sz w:val="21"/>
                      <w:szCs w:val="21"/>
                      <w:highlight w:val="none"/>
                      <w:u w:val="none"/>
                      <w:lang w:val="en-US" w:eastAsia="zh-CN" w:bidi="ar-SA"/>
                    </w:rPr>
                    <w:t>项目生产废水不外排；生活废水处理后进入污水处理厂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noWrap w:val="0"/>
                  <w:vAlign w:val="center"/>
                </w:tcPr>
                <w:p>
                  <w:pPr>
                    <w:keepNext w:val="0"/>
                    <w:keepLines w:val="0"/>
                    <w:pageBreakBefore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t>环境风险</w:t>
                  </w:r>
                </w:p>
              </w:tc>
              <w:tc>
                <w:tcPr>
                  <w:tcW w:w="339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kern w:val="2"/>
                      <w:sz w:val="21"/>
                      <w:szCs w:val="21"/>
                      <w:highlight w:val="none"/>
                      <w:lang w:val="en-US" w:eastAsia="zh-CN" w:bidi="ar-SA"/>
                    </w:rPr>
                    <w:t>有毒有害和易燃易爆危险物质存储量超过临界量的建设项目</w:t>
                  </w:r>
                </w:p>
              </w:tc>
              <w:tc>
                <w:tcPr>
                  <w:tcW w:w="177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highlight w:val="none"/>
                      <w:lang w:val="en-US" w:eastAsia="zh-CN" w:bidi="ar-SA"/>
                    </w:rPr>
                  </w:pPr>
                  <w:r>
                    <w:rPr>
                      <w:rFonts w:hint="eastAsia" w:cs="Times New Roman"/>
                      <w:kern w:val="2"/>
                      <w:sz w:val="21"/>
                      <w:szCs w:val="21"/>
                      <w:highlight w:val="none"/>
                      <w:lang w:val="en-US" w:eastAsia="zh-CN" w:bidi="ar-SA"/>
                    </w:rPr>
                    <w:t>锰及其化合物存储量超过临界值，设置专项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noWrap w:val="0"/>
                  <w:vAlign w:val="center"/>
                </w:tcPr>
                <w:p>
                  <w:pPr>
                    <w:keepNext w:val="0"/>
                    <w:keepLines w:val="0"/>
                    <w:pageBreakBefore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t>生态</w:t>
                  </w:r>
                </w:p>
              </w:tc>
              <w:tc>
                <w:tcPr>
                  <w:tcW w:w="339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highlight w:val="none"/>
                      <w:lang w:val="en-US" w:eastAsia="zh-CN" w:bidi="ar-SA"/>
                    </w:rPr>
                  </w:pPr>
                  <w:r>
                    <w:rPr>
                      <w:rFonts w:hint="default" w:ascii="Times New Roman" w:hAnsi="Times New Roman" w:cs="Times New Roman"/>
                      <w:kern w:val="2"/>
                      <w:sz w:val="21"/>
                      <w:szCs w:val="21"/>
                      <w:highlight w:val="none"/>
                      <w:lang w:val="en-US" w:eastAsia="zh-CN" w:bidi="ar-SA"/>
                    </w:rPr>
                    <w:t>取水口下游500米范围内有重要水生生物的自然产卵场、索饵场、越冬场和洄游通道的新增河道取水的污染类建设项目</w:t>
                  </w:r>
                </w:p>
              </w:tc>
              <w:tc>
                <w:tcPr>
                  <w:tcW w:w="177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highlight w:val="none"/>
                      <w:lang w:val="en-US" w:eastAsia="zh-CN" w:bidi="ar-SA"/>
                    </w:rPr>
                  </w:pPr>
                  <w:r>
                    <w:rPr>
                      <w:rFonts w:hint="eastAsia" w:cs="Times New Roman"/>
                      <w:kern w:val="2"/>
                      <w:sz w:val="21"/>
                      <w:szCs w:val="21"/>
                      <w:highlight w:val="none"/>
                      <w:lang w:val="en-US" w:eastAsia="zh-CN" w:bidi="ar-SA"/>
                    </w:rPr>
                    <w:t>项目位于工业园内，不涉及相关的生态敏感目标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59" w:type="dxa"/>
                  <w:noWrap w:val="0"/>
                  <w:vAlign w:val="center"/>
                </w:tcPr>
                <w:p>
                  <w:pPr>
                    <w:keepNext w:val="0"/>
                    <w:keepLines w:val="0"/>
                    <w:pageBreakBefore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t>海洋</w:t>
                  </w:r>
                </w:p>
              </w:tc>
              <w:tc>
                <w:tcPr>
                  <w:tcW w:w="339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t>直接向海排放污染物的海洋工程建设项目</w:t>
                  </w:r>
                </w:p>
              </w:tc>
              <w:tc>
                <w:tcPr>
                  <w:tcW w:w="177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kern w:val="2"/>
                      <w:sz w:val="21"/>
                      <w:szCs w:val="21"/>
                      <w:lang w:val="en-US" w:eastAsia="zh-CN" w:bidi="ar-SA"/>
                    </w:rPr>
                  </w:pPr>
                  <w:r>
                    <w:rPr>
                      <w:rFonts w:hint="eastAsia" w:cs="Times New Roman"/>
                      <w:kern w:val="2"/>
                      <w:sz w:val="21"/>
                      <w:szCs w:val="21"/>
                      <w:lang w:val="en-US" w:eastAsia="zh-CN" w:bidi="ar-SA"/>
                    </w:rPr>
                    <w:t>项目不涉及向海洋排放污染物</w:t>
                  </w:r>
                </w:p>
              </w:tc>
            </w:tr>
          </w:tbl>
          <w:p>
            <w:pPr>
              <w:pStyle w:val="19"/>
              <w:bidi w:val="0"/>
              <w:rPr>
                <w:rFonts w:hint="eastAsia" w:ascii="宋体" w:hAnsi="宋体"/>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91" w:hRule="atLeast"/>
          <w:jc w:val="center"/>
        </w:trPr>
        <w:tc>
          <w:tcPr>
            <w:tcW w:w="2013" w:type="dxa"/>
            <w:gridSpan w:val="2"/>
            <w:tcBorders>
              <w:tl2br w:val="nil"/>
              <w:tr2bl w:val="nil"/>
            </w:tcBorders>
            <w:noWrap w:val="0"/>
            <w:vAlign w:val="center"/>
          </w:tcPr>
          <w:p>
            <w:pPr>
              <w:autoSpaceDE w:val="0"/>
              <w:autoSpaceDN w:val="0"/>
              <w:adjustRightInd w:val="0"/>
              <w:snapToGrid w:val="0"/>
              <w:jc w:val="center"/>
              <w:rPr>
                <w:rFonts w:hint="eastAsia" w:ascii="宋体" w:hAnsi="宋体"/>
                <w:kern w:val="0"/>
                <w:szCs w:val="21"/>
              </w:rPr>
            </w:pPr>
            <w:r>
              <w:rPr>
                <w:rFonts w:hint="eastAsia" w:ascii="宋体" w:hAnsi="宋体"/>
                <w:szCs w:val="21"/>
              </w:rPr>
              <w:t>规划情况</w:t>
            </w:r>
          </w:p>
        </w:tc>
        <w:tc>
          <w:tcPr>
            <w:tcW w:w="7047" w:type="dxa"/>
            <w:gridSpan w:val="3"/>
            <w:tcBorders>
              <w:tl2br w:val="nil"/>
              <w:tr2bl w:val="nil"/>
            </w:tcBorders>
            <w:noWrap w:val="0"/>
            <w:vAlign w:val="center"/>
          </w:tcPr>
          <w:p>
            <w:pPr>
              <w:autoSpaceDE w:val="0"/>
              <w:autoSpaceDN w:val="0"/>
              <w:adjustRightInd w:val="0"/>
              <w:snapToGrid w:val="0"/>
              <w:ind w:firstLine="480" w:firstLineChars="200"/>
              <w:jc w:val="left"/>
              <w:rPr>
                <w:rFonts w:hint="eastAsia" w:ascii="宋体" w:hAnsi="宋体"/>
                <w:kern w:val="0"/>
                <w:szCs w:val="21"/>
              </w:rPr>
            </w:pPr>
            <w:r>
              <w:rPr>
                <w:rFonts w:hint="eastAsia" w:ascii="宋体" w:hAnsi="宋体"/>
                <w:kern w:val="0"/>
                <w:szCs w:val="21"/>
              </w:rPr>
              <w:t>《湖南省花垣工业集中区总体规划》，湖南省城市规划研究设计院，2011年11月；湖南省发展和改革委员会关于《关于花垣工业集中区发展规划（2011-2020）的批复》（湘发改地区〔2012〕1594号，2012年12月8日）；花垣县人民政府关于《花垣县城西工业集中区控制性详细规划》的批复，（花政函〔2014〕141号，2014年12月26日）。花垣产业开发区位于花垣镇，成立于2004年，前身为花垣县工业园。2011年更名为花垣工业集中区，2021年7月13日，湖南省发展和改革委员会发布关于长沙临空产业集聚区等44家省级工业集中区更名的通知（湘发改地区[2021]517号），花垣工业集中区正式更名为花垣产业开发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1" w:hRule="atLeast"/>
          <w:jc w:val="center"/>
        </w:trPr>
        <w:tc>
          <w:tcPr>
            <w:tcW w:w="2013" w:type="dxa"/>
            <w:gridSpan w:val="2"/>
            <w:tcBorders>
              <w:tl2br w:val="nil"/>
              <w:tr2bl w:val="nil"/>
            </w:tcBorders>
            <w:noWrap w:val="0"/>
            <w:vAlign w:val="center"/>
          </w:tcPr>
          <w:p>
            <w:pPr>
              <w:adjustRightInd w:val="0"/>
              <w:snapToGrid w:val="0"/>
              <w:jc w:val="center"/>
              <w:rPr>
                <w:rFonts w:ascii="宋体" w:hAnsi="宋体"/>
                <w:szCs w:val="21"/>
              </w:rPr>
            </w:pPr>
            <w:r>
              <w:rPr>
                <w:rFonts w:hint="eastAsia" w:ascii="宋体" w:hAnsi="宋体"/>
                <w:szCs w:val="21"/>
              </w:rPr>
              <w:t>规划环境影响</w:t>
            </w:r>
          </w:p>
          <w:p>
            <w:pPr>
              <w:adjustRightInd w:val="0"/>
              <w:snapToGrid w:val="0"/>
              <w:jc w:val="center"/>
              <w:rPr>
                <w:rFonts w:hint="eastAsia" w:ascii="宋体" w:hAnsi="宋体"/>
                <w:kern w:val="0"/>
                <w:szCs w:val="21"/>
              </w:rPr>
            </w:pPr>
            <w:r>
              <w:rPr>
                <w:rFonts w:hint="eastAsia" w:ascii="宋体" w:hAnsi="宋体"/>
                <w:szCs w:val="21"/>
              </w:rPr>
              <w:t>评价情况</w:t>
            </w:r>
          </w:p>
        </w:tc>
        <w:tc>
          <w:tcPr>
            <w:tcW w:w="7047" w:type="dxa"/>
            <w:gridSpan w:val="3"/>
            <w:tcBorders>
              <w:tl2br w:val="nil"/>
              <w:tr2bl w:val="nil"/>
            </w:tcBorders>
            <w:noWrap w:val="0"/>
            <w:vAlign w:val="center"/>
          </w:tcPr>
          <w:p>
            <w:pPr>
              <w:bidi w:val="0"/>
              <w:ind w:firstLine="480" w:firstLineChars="200"/>
            </w:pPr>
            <w:r>
              <w:rPr>
                <w:rFonts w:hint="eastAsia"/>
                <w:lang w:val="en-US" w:eastAsia="zh-CN"/>
              </w:rPr>
              <w:t>《花垣县工业集中区环境影响报告书》，湖南省环境保护科学研究院，</w:t>
            </w:r>
            <w:r>
              <w:rPr>
                <w:rFonts w:hint="default"/>
                <w:lang w:val="en-US" w:eastAsia="zh-CN"/>
              </w:rPr>
              <w:t>2012</w:t>
            </w:r>
            <w:r>
              <w:rPr>
                <w:rFonts w:hint="eastAsia"/>
                <w:lang w:val="en-US" w:eastAsia="zh-CN"/>
              </w:rPr>
              <w:t>年</w:t>
            </w:r>
            <w:r>
              <w:rPr>
                <w:rFonts w:hint="default"/>
                <w:lang w:val="en-US" w:eastAsia="zh-CN"/>
              </w:rPr>
              <w:t>5</w:t>
            </w:r>
            <w:r>
              <w:rPr>
                <w:rFonts w:hint="eastAsia"/>
                <w:lang w:val="en-US" w:eastAsia="zh-CN"/>
              </w:rPr>
              <w:t xml:space="preserve">月； </w:t>
            </w:r>
          </w:p>
          <w:p>
            <w:pPr>
              <w:bidi w:val="0"/>
              <w:ind w:firstLine="480" w:firstLineChars="200"/>
              <w:rPr>
                <w:rFonts w:hint="eastAsia" w:ascii="宋体" w:hAnsi="宋体"/>
                <w:kern w:val="0"/>
                <w:szCs w:val="21"/>
              </w:rPr>
            </w:pPr>
            <w:r>
              <w:rPr>
                <w:rFonts w:hint="eastAsia"/>
                <w:lang w:val="en-US" w:eastAsia="zh-CN"/>
              </w:rPr>
              <w:t>湖南省环境保护厅《关于花垣县工业集中区环境影响报告书的批复》（湘环评〔</w:t>
            </w:r>
            <w:r>
              <w:rPr>
                <w:rFonts w:hint="default"/>
                <w:lang w:val="en-US" w:eastAsia="zh-CN"/>
              </w:rPr>
              <w:t>2012</w:t>
            </w:r>
            <w:r>
              <w:rPr>
                <w:rFonts w:hint="eastAsia"/>
                <w:lang w:val="en-US" w:eastAsia="zh-CN"/>
              </w:rPr>
              <w:t>〕</w:t>
            </w:r>
            <w:r>
              <w:rPr>
                <w:rFonts w:hint="default"/>
                <w:lang w:val="en-US" w:eastAsia="zh-CN"/>
              </w:rPr>
              <w:t>122</w:t>
            </w:r>
            <w:r>
              <w:rPr>
                <w:rFonts w:hint="eastAsia"/>
                <w:lang w:val="en-US" w:eastAsia="zh-CN"/>
              </w:rPr>
              <w:t xml:space="preserve">号）。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50" w:hRule="atLeast"/>
          <w:jc w:val="center"/>
        </w:trPr>
        <w:tc>
          <w:tcPr>
            <w:tcW w:w="528" w:type="dxa"/>
            <w:tcBorders>
              <w:tl2br w:val="nil"/>
              <w:tr2bl w:val="nil"/>
            </w:tcBorders>
            <w:noWrap w:val="0"/>
            <w:vAlign w:val="center"/>
          </w:tcPr>
          <w:p>
            <w:pPr>
              <w:autoSpaceDE w:val="0"/>
              <w:autoSpaceDN w:val="0"/>
              <w:adjustRightInd w:val="0"/>
              <w:snapToGrid w:val="0"/>
              <w:jc w:val="center"/>
              <w:rPr>
                <w:rFonts w:ascii="宋体" w:hAnsi="宋体"/>
                <w:kern w:val="0"/>
                <w:szCs w:val="21"/>
              </w:rPr>
            </w:pPr>
            <w:r>
              <w:rPr>
                <w:rFonts w:hint="eastAsia" w:ascii="宋体" w:hAnsi="宋体"/>
                <w:kern w:val="0"/>
                <w:szCs w:val="21"/>
              </w:rPr>
              <w:t>规划及规划环境影响评价符合性分析</w:t>
            </w:r>
          </w:p>
        </w:tc>
        <w:tc>
          <w:tcPr>
            <w:tcW w:w="8532" w:type="dxa"/>
            <w:gridSpan w:val="4"/>
            <w:tcBorders>
              <w:tl2br w:val="nil"/>
              <w:tr2bl w:val="nil"/>
            </w:tcBorders>
            <w:noWrap w:val="0"/>
            <w:vAlign w:val="center"/>
          </w:tcPr>
          <w:p>
            <w:pPr>
              <w:bidi w:val="0"/>
            </w:pPr>
            <w:r>
              <w:rPr>
                <w:rFonts w:hint="eastAsia"/>
                <w:lang w:val="en-US" w:eastAsia="zh-CN"/>
              </w:rPr>
              <w:t>（</w:t>
            </w:r>
            <w:r>
              <w:rPr>
                <w:rFonts w:hint="default"/>
                <w:lang w:val="en-US" w:eastAsia="zh-CN"/>
              </w:rPr>
              <w:t>1</w:t>
            </w:r>
            <w:r>
              <w:rPr>
                <w:rFonts w:hint="eastAsia"/>
                <w:lang w:val="en-US" w:eastAsia="zh-CN"/>
              </w:rPr>
              <w:t xml:space="preserve">）与规划的符合性分析 </w:t>
            </w:r>
          </w:p>
          <w:p>
            <w:pPr>
              <w:keepNext w:val="0"/>
              <w:keepLines w:val="0"/>
              <w:widowControl/>
              <w:suppressLineNumbers w:val="0"/>
              <w:ind w:firstLine="480" w:firstLineChars="200"/>
              <w:jc w:val="left"/>
            </w:pPr>
            <w:r>
              <w:rPr>
                <w:rFonts w:hint="eastAsia" w:ascii="宋体" w:hAnsi="宋体" w:eastAsia="宋体" w:cs="宋体"/>
                <w:color w:val="000000"/>
                <w:kern w:val="0"/>
                <w:sz w:val="24"/>
                <w:szCs w:val="24"/>
                <w:lang w:val="en-US" w:eastAsia="zh-CN" w:bidi="ar"/>
              </w:rPr>
              <w:t>本项目与湖南省花垣工业集中区总体规划以及《关于花垣县工业集中区环境影响报告书》及批复（湘环评〔</w:t>
            </w:r>
            <w:r>
              <w:rPr>
                <w:rFonts w:hint="default" w:ascii="Times New Roman" w:hAnsi="Times New Roman" w:eastAsia="宋体" w:cs="Times New Roman"/>
                <w:color w:val="000000"/>
                <w:kern w:val="0"/>
                <w:sz w:val="24"/>
                <w:szCs w:val="24"/>
                <w:lang w:val="en-US" w:eastAsia="zh-CN" w:bidi="ar"/>
              </w:rPr>
              <w:t>2012</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122</w:t>
            </w:r>
            <w:r>
              <w:rPr>
                <w:rFonts w:hint="eastAsia" w:ascii="宋体" w:hAnsi="宋体" w:eastAsia="宋体" w:cs="宋体"/>
                <w:color w:val="000000"/>
                <w:kern w:val="0"/>
                <w:sz w:val="24"/>
                <w:szCs w:val="24"/>
                <w:lang w:val="en-US" w:eastAsia="zh-CN" w:bidi="ar"/>
              </w:rPr>
              <w:t>号）的相符性如表</w:t>
            </w:r>
            <w:r>
              <w:rPr>
                <w:rFonts w:hint="default" w:ascii="Times New Roman" w:hAnsi="Times New Roman" w:eastAsia="宋体" w:cs="Times New Roman"/>
                <w:color w:val="000000"/>
                <w:kern w:val="0"/>
                <w:sz w:val="24"/>
                <w:szCs w:val="24"/>
                <w:lang w:val="en-US" w:eastAsia="zh-CN" w:bidi="ar"/>
              </w:rPr>
              <w:t>1-1</w:t>
            </w:r>
            <w:r>
              <w:rPr>
                <w:rFonts w:hint="eastAsia" w:ascii="宋体" w:hAnsi="宋体" w:eastAsia="宋体" w:cs="宋体"/>
                <w:color w:val="000000"/>
                <w:kern w:val="0"/>
                <w:sz w:val="24"/>
                <w:szCs w:val="24"/>
                <w:lang w:val="en-US" w:eastAsia="zh-CN" w:bidi="ar"/>
              </w:rPr>
              <w:t>所示：</w:t>
            </w:r>
          </w:p>
          <w:p>
            <w:pPr>
              <w:bidi w:val="0"/>
              <w:jc w:val="center"/>
              <w:rPr>
                <w:b/>
                <w:bCs/>
              </w:rPr>
            </w:pPr>
            <w:r>
              <w:rPr>
                <w:rFonts w:hint="eastAsia"/>
                <w:b/>
                <w:bCs/>
                <w:lang w:val="en-US" w:eastAsia="zh-CN"/>
              </w:rPr>
              <w:t>表1-1  本项目与园区规划的相符性</w:t>
            </w:r>
          </w:p>
          <w:tbl>
            <w:tblPr>
              <w:tblStyle w:val="16"/>
              <w:tblW w:w="80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0"/>
              <w:gridCol w:w="525"/>
              <w:gridCol w:w="5201"/>
              <w:gridCol w:w="1035"/>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30" w:type="dxa"/>
                  <w:vAlign w:val="center"/>
                </w:tcPr>
                <w:p>
                  <w:pPr>
                    <w:pStyle w:val="18"/>
                    <w:bidi w:val="0"/>
                    <w:jc w:val="center"/>
                    <w:rPr>
                      <w:rFonts w:hint="default"/>
                      <w:lang w:val="en-US" w:eastAsia="zh-CN"/>
                    </w:rPr>
                  </w:pPr>
                  <w:r>
                    <w:rPr>
                      <w:rFonts w:hint="eastAsia"/>
                      <w:lang w:val="en-US" w:eastAsia="zh-CN"/>
                    </w:rPr>
                    <w:t>序号</w:t>
                  </w:r>
                </w:p>
              </w:tc>
              <w:tc>
                <w:tcPr>
                  <w:tcW w:w="525" w:type="dxa"/>
                  <w:vAlign w:val="center"/>
                </w:tcPr>
                <w:p>
                  <w:pPr>
                    <w:pStyle w:val="18"/>
                    <w:bidi w:val="0"/>
                    <w:jc w:val="center"/>
                    <w:rPr>
                      <w:rFonts w:hint="default"/>
                      <w:lang w:val="en-US" w:eastAsia="zh-CN"/>
                    </w:rPr>
                  </w:pPr>
                  <w:r>
                    <w:rPr>
                      <w:rFonts w:hint="eastAsia"/>
                      <w:lang w:val="en-US" w:eastAsia="zh-CN"/>
                    </w:rPr>
                    <w:t>类别</w:t>
                  </w:r>
                </w:p>
              </w:tc>
              <w:tc>
                <w:tcPr>
                  <w:tcW w:w="5201" w:type="dxa"/>
                  <w:vAlign w:val="center"/>
                </w:tcPr>
                <w:p>
                  <w:pPr>
                    <w:pStyle w:val="18"/>
                    <w:bidi w:val="0"/>
                    <w:jc w:val="center"/>
                    <w:rPr>
                      <w:rFonts w:hint="default"/>
                      <w:lang w:val="en-US" w:eastAsia="zh-CN"/>
                    </w:rPr>
                  </w:pPr>
                  <w:r>
                    <w:rPr>
                      <w:rFonts w:hint="eastAsia"/>
                      <w:lang w:val="en-US" w:eastAsia="zh-CN"/>
                    </w:rPr>
                    <w:t>要求</w:t>
                  </w:r>
                </w:p>
              </w:tc>
              <w:tc>
                <w:tcPr>
                  <w:tcW w:w="1035" w:type="dxa"/>
                  <w:vAlign w:val="center"/>
                </w:tcPr>
                <w:p>
                  <w:pPr>
                    <w:pStyle w:val="18"/>
                    <w:bidi w:val="0"/>
                    <w:jc w:val="center"/>
                    <w:rPr>
                      <w:rFonts w:hint="default"/>
                      <w:lang w:val="en-US" w:eastAsia="zh-CN"/>
                    </w:rPr>
                  </w:pPr>
                  <w:r>
                    <w:rPr>
                      <w:rFonts w:hint="eastAsia"/>
                      <w:lang w:val="en-US" w:eastAsia="zh-CN"/>
                    </w:rPr>
                    <w:t>本项目</w:t>
                  </w:r>
                </w:p>
              </w:tc>
              <w:tc>
                <w:tcPr>
                  <w:tcW w:w="788" w:type="dxa"/>
                  <w:vAlign w:val="center"/>
                </w:tcPr>
                <w:p>
                  <w:pPr>
                    <w:pStyle w:val="18"/>
                    <w:bidi w:val="0"/>
                    <w:jc w:val="center"/>
                    <w:rPr>
                      <w:rFonts w:hint="default"/>
                      <w:lang w:val="en-US" w:eastAsia="zh-CN"/>
                    </w:rPr>
                  </w:pPr>
                  <w:r>
                    <w:rPr>
                      <w:rFonts w:hint="eastAsia"/>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pPr>
                    <w:pStyle w:val="18"/>
                    <w:bidi w:val="0"/>
                    <w:jc w:val="center"/>
                    <w:rPr>
                      <w:rFonts w:hint="default"/>
                      <w:lang w:val="en-US" w:eastAsia="zh-CN"/>
                    </w:rPr>
                  </w:pPr>
                  <w:r>
                    <w:rPr>
                      <w:rFonts w:hint="eastAsia"/>
                      <w:lang w:val="en-US" w:eastAsia="zh-CN"/>
                    </w:rPr>
                    <w:t>1</w:t>
                  </w:r>
                </w:p>
              </w:tc>
              <w:tc>
                <w:tcPr>
                  <w:tcW w:w="525" w:type="dxa"/>
                  <w:vAlign w:val="center"/>
                </w:tcPr>
                <w:p>
                  <w:pPr>
                    <w:pStyle w:val="18"/>
                    <w:bidi w:val="0"/>
                    <w:jc w:val="center"/>
                    <w:rPr>
                      <w:rFonts w:hint="default"/>
                      <w:lang w:val="en-US" w:eastAsia="zh-CN"/>
                    </w:rPr>
                  </w:pPr>
                  <w:r>
                    <w:rPr>
                      <w:rFonts w:hint="eastAsia"/>
                      <w:lang w:val="en-US" w:eastAsia="zh-CN"/>
                    </w:rPr>
                    <w:t>园区规划</w:t>
                  </w:r>
                </w:p>
              </w:tc>
              <w:tc>
                <w:tcPr>
                  <w:tcW w:w="5201" w:type="dxa"/>
                  <w:vAlign w:val="center"/>
                </w:tcPr>
                <w:p>
                  <w:pPr>
                    <w:pStyle w:val="18"/>
                    <w:bidi w:val="0"/>
                    <w:jc w:val="center"/>
                    <w:rPr>
                      <w:rFonts w:hint="default"/>
                      <w:lang w:val="en-US" w:eastAsia="zh-CN"/>
                    </w:rPr>
                  </w:pPr>
                  <w:r>
                    <w:rPr>
                      <w:rFonts w:hint="default"/>
                      <w:lang w:val="en-US" w:eastAsia="zh-CN"/>
                    </w:rPr>
                    <w:t>花垣县工业园位于花垣县城西部，规划控制面积约6.90km</w:t>
                  </w:r>
                  <w:r>
                    <w:rPr>
                      <w:rFonts w:hint="default"/>
                      <w:vertAlign w:val="superscript"/>
                      <w:lang w:val="en-US" w:eastAsia="zh-CN"/>
                    </w:rPr>
                    <w:t>2</w:t>
                  </w:r>
                  <w:r>
                    <w:rPr>
                      <w:rFonts w:hint="default"/>
                      <w:lang w:val="en-US" w:eastAsia="zh-CN"/>
                    </w:rPr>
                    <w:t>，2009年工业园管委会委托湖南省环境保护科学研究院编制了《花垣县工业园环境影响报告书》并得到了省环保厅的批复（湘环评〔2009〕51号），后由于花垣县工业园申报条件不符合发改委关于设立工业园的要求，工业园的规划建设暂时搁置。2011年，根据湖南省人民政府《关于加快产业园区体系建设的意见》（湘政发〔2011〕25号文）的精神，花垣县政府决定在原申报花垣县工业园6.9km</w:t>
                  </w:r>
                  <w:r>
                    <w:rPr>
                      <w:rFonts w:hint="default"/>
                      <w:vertAlign w:val="superscript"/>
                      <w:lang w:val="en-US" w:eastAsia="zh-CN"/>
                    </w:rPr>
                    <w:t>2</w:t>
                  </w:r>
                  <w:r>
                    <w:rPr>
                      <w:rFonts w:hint="default"/>
                      <w:lang w:val="en-US" w:eastAsia="zh-CN"/>
                    </w:rPr>
                    <w:t>的基础上向西拓展至省道231，新增面积5.8km</w:t>
                  </w:r>
                  <w:r>
                    <w:rPr>
                      <w:rFonts w:hint="default"/>
                      <w:vertAlign w:val="superscript"/>
                      <w:lang w:val="en-US" w:eastAsia="zh-CN"/>
                    </w:rPr>
                    <w:t>2</w:t>
                  </w:r>
                  <w:r>
                    <w:rPr>
                      <w:rFonts w:hint="default"/>
                      <w:lang w:val="en-US" w:eastAsia="zh-CN"/>
                    </w:rPr>
                    <w:t>，并把县城东部老工业集中区2.5km</w:t>
                  </w:r>
                  <w:r>
                    <w:rPr>
                      <w:rFonts w:hint="default"/>
                      <w:vertAlign w:val="superscript"/>
                      <w:lang w:val="en-US" w:eastAsia="zh-CN"/>
                    </w:rPr>
                    <w:t>2</w:t>
                  </w:r>
                  <w:r>
                    <w:rPr>
                      <w:rFonts w:hint="default"/>
                      <w:lang w:val="en-US" w:eastAsia="zh-CN"/>
                    </w:rPr>
                    <w:t>的范围纳入其中形成新的花垣县工业集中区，集中区总规划面积15.2km</w:t>
                  </w:r>
                  <w:r>
                    <w:rPr>
                      <w:rFonts w:hint="default"/>
                      <w:vertAlign w:val="superscript"/>
                      <w:lang w:val="en-US" w:eastAsia="zh-CN"/>
                    </w:rPr>
                    <w:t>2</w:t>
                  </w:r>
                  <w:r>
                    <w:rPr>
                      <w:rFonts w:hint="default"/>
                      <w:lang w:val="en-US" w:eastAsia="zh-CN"/>
                    </w:rPr>
                    <w:t>，分为两部分，东部老工业区规划面积2.5km</w:t>
                  </w:r>
                  <w:r>
                    <w:rPr>
                      <w:rFonts w:hint="default"/>
                      <w:vertAlign w:val="superscript"/>
                      <w:lang w:val="en-US" w:eastAsia="zh-CN"/>
                    </w:rPr>
                    <w:t>2</w:t>
                  </w:r>
                  <w:r>
                    <w:rPr>
                      <w:rFonts w:hint="default"/>
                      <w:lang w:val="en-US" w:eastAsia="zh-CN"/>
                    </w:rPr>
                    <w:t>，西部新规划区规划面积12.7km</w:t>
                  </w:r>
                  <w:r>
                    <w:rPr>
                      <w:rFonts w:hint="default"/>
                      <w:vertAlign w:val="superscript"/>
                      <w:lang w:val="en-US" w:eastAsia="zh-CN"/>
                    </w:rPr>
                    <w:t>2</w:t>
                  </w:r>
                  <w:r>
                    <w:rPr>
                      <w:rFonts w:hint="default"/>
                      <w:lang w:val="en-US" w:eastAsia="zh-CN"/>
                    </w:rPr>
                    <w:t>。区域总体规划结构为“一园三基地”。“一园”即花垣工业集中区，“三基地”即新材料生产基地、锰、锌加工生产基地和配套服务基地。</w:t>
                  </w:r>
                </w:p>
              </w:tc>
              <w:tc>
                <w:tcPr>
                  <w:tcW w:w="1035" w:type="dxa"/>
                  <w:vAlign w:val="center"/>
                </w:tcPr>
                <w:p>
                  <w:pPr>
                    <w:pStyle w:val="18"/>
                    <w:bidi w:val="0"/>
                    <w:jc w:val="center"/>
                    <w:rPr>
                      <w:rFonts w:hint="default"/>
                      <w:lang w:val="en-US" w:eastAsia="zh-CN"/>
                    </w:rPr>
                  </w:pPr>
                  <w:r>
                    <w:rPr>
                      <w:rFonts w:hint="default"/>
                      <w:lang w:val="en-US" w:eastAsia="zh-CN"/>
                    </w:rPr>
                    <w:t>本项目位于花垣产业开发区，属于</w:t>
                  </w:r>
                  <w:r>
                    <w:rPr>
                      <w:rFonts w:hint="eastAsia"/>
                      <w:lang w:val="en-US" w:eastAsia="zh-CN"/>
                    </w:rPr>
                    <w:t>电解锰渣</w:t>
                  </w:r>
                  <w:r>
                    <w:rPr>
                      <w:rFonts w:hint="default"/>
                      <w:lang w:val="en-US" w:eastAsia="zh-CN"/>
                    </w:rPr>
                    <w:t>综合利用项目，符合园区</w:t>
                  </w:r>
                  <w:r>
                    <w:rPr>
                      <w:rFonts w:hint="eastAsia"/>
                      <w:lang w:val="en-US" w:eastAsia="zh-CN"/>
                    </w:rPr>
                    <w:t>锰加工生产基地</w:t>
                  </w:r>
                  <w:r>
                    <w:rPr>
                      <w:rFonts w:hint="default"/>
                      <w:lang w:val="en-US" w:eastAsia="zh-CN"/>
                    </w:rPr>
                    <w:t>规划</w:t>
                  </w:r>
                </w:p>
              </w:tc>
              <w:tc>
                <w:tcPr>
                  <w:tcW w:w="788" w:type="dxa"/>
                  <w:vAlign w:val="center"/>
                </w:tcPr>
                <w:p>
                  <w:pPr>
                    <w:pStyle w:val="18"/>
                    <w:bidi w:val="0"/>
                    <w:jc w:val="center"/>
                    <w:rPr>
                      <w:rFonts w:hint="default"/>
                      <w:lang w:val="en-US" w:eastAsia="zh-CN"/>
                    </w:rPr>
                  </w:pPr>
                  <w:r>
                    <w:rPr>
                      <w:rFonts w:hint="eastAsia"/>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pPr>
                    <w:pStyle w:val="18"/>
                    <w:bidi w:val="0"/>
                    <w:jc w:val="center"/>
                    <w:rPr>
                      <w:rFonts w:hint="default"/>
                      <w:lang w:val="en-US" w:eastAsia="zh-CN"/>
                    </w:rPr>
                  </w:pPr>
                  <w:r>
                    <w:rPr>
                      <w:rFonts w:hint="eastAsia"/>
                      <w:lang w:val="en-US" w:eastAsia="zh-CN"/>
                    </w:rPr>
                    <w:t>2</w:t>
                  </w:r>
                </w:p>
              </w:tc>
              <w:tc>
                <w:tcPr>
                  <w:tcW w:w="525" w:type="dxa"/>
                  <w:vAlign w:val="center"/>
                </w:tcPr>
                <w:p>
                  <w:pPr>
                    <w:pStyle w:val="18"/>
                    <w:bidi w:val="0"/>
                    <w:jc w:val="center"/>
                    <w:rPr>
                      <w:rFonts w:hint="default"/>
                      <w:lang w:val="en-US" w:eastAsia="zh-CN"/>
                    </w:rPr>
                  </w:pPr>
                  <w:r>
                    <w:rPr>
                      <w:rFonts w:hint="eastAsia"/>
                      <w:lang w:val="en-US" w:eastAsia="zh-CN"/>
                    </w:rPr>
                    <w:t>产业定位</w:t>
                  </w:r>
                </w:p>
              </w:tc>
              <w:tc>
                <w:tcPr>
                  <w:tcW w:w="5201" w:type="dxa"/>
                  <w:vAlign w:val="center"/>
                </w:tcPr>
                <w:p>
                  <w:pPr>
                    <w:pStyle w:val="18"/>
                    <w:bidi w:val="0"/>
                    <w:jc w:val="center"/>
                    <w:rPr>
                      <w:rFonts w:hint="default"/>
                      <w:lang w:val="en-US" w:eastAsia="zh-CN"/>
                    </w:rPr>
                  </w:pPr>
                  <w:r>
                    <w:rPr>
                      <w:rFonts w:hint="default"/>
                      <w:lang w:val="en-US" w:eastAsia="zh-CN"/>
                    </w:rPr>
                    <w:t>花垣工业集中区的产业定位是重点发展锰、锌矿等产品的新材料研发生产、农副产品加工、生物制药等主要产业，积极发展与工业集中区配套的物流、仓储等相关产业。新材料生产基地发展重点行业：电解二氧化锰、电解锌、锰酸锂、电子级无硒高纯四氧化三锰及高性能软磁铁氧体等下游产品。区域总体规划结构为“一园三基地”。新材料生产基地：位于西部新规划区中部，是以锰、锌新材料开发的高技术产业基地，同时，适当发展生物制药和农副产品加工业（油脂加工业、粮食加工、饲料加工、种子加工等）。新材料生产基地发展重点行业：电解二氧化锰、电解锌、锰酸锂、电子级无硒高纯四氧化三锰及高性能软磁铁氧体等下游产品。锰、锌加工生产基地：为东部老工业区，现状以电解锰、电解锌生产企业主要积聚之地，规划通过对现状企业进行技改提升。配套服务基地：位于西部新规划区东部，张花高速公路东部，主要功能为物流仓储、商务、会展、办公等。</w:t>
                  </w:r>
                </w:p>
              </w:tc>
              <w:tc>
                <w:tcPr>
                  <w:tcW w:w="1035" w:type="dxa"/>
                  <w:vAlign w:val="center"/>
                </w:tcPr>
                <w:p>
                  <w:pPr>
                    <w:pStyle w:val="18"/>
                    <w:bidi w:val="0"/>
                    <w:jc w:val="center"/>
                    <w:rPr>
                      <w:rFonts w:hint="default"/>
                      <w:lang w:val="en-US" w:eastAsia="zh-CN"/>
                    </w:rPr>
                  </w:pPr>
                  <w:r>
                    <w:rPr>
                      <w:rFonts w:hint="default"/>
                      <w:lang w:val="en-US" w:eastAsia="zh-CN"/>
                    </w:rPr>
                    <w:t>本项目属于</w:t>
                  </w:r>
                  <w:r>
                    <w:rPr>
                      <w:rFonts w:hint="eastAsia"/>
                      <w:lang w:val="en-US" w:eastAsia="zh-CN"/>
                    </w:rPr>
                    <w:t>电解锰渣</w:t>
                  </w:r>
                  <w:r>
                    <w:rPr>
                      <w:rFonts w:hint="default"/>
                      <w:lang w:val="en-US" w:eastAsia="zh-CN"/>
                    </w:rPr>
                    <w:t>综合利用项目，符合园区</w:t>
                  </w:r>
                  <w:r>
                    <w:rPr>
                      <w:rFonts w:hint="eastAsia"/>
                      <w:lang w:val="en-US" w:eastAsia="zh-CN"/>
                    </w:rPr>
                    <w:t>锰加工</w:t>
                  </w:r>
                  <w:r>
                    <w:rPr>
                      <w:rFonts w:hint="default"/>
                      <w:lang w:val="en-US" w:eastAsia="zh-CN"/>
                    </w:rPr>
                    <w:t>的产业定位</w:t>
                  </w:r>
                </w:p>
              </w:tc>
              <w:tc>
                <w:tcPr>
                  <w:tcW w:w="788" w:type="dxa"/>
                  <w:vAlign w:val="center"/>
                </w:tcPr>
                <w:p>
                  <w:pPr>
                    <w:pStyle w:val="18"/>
                    <w:bidi w:val="0"/>
                    <w:jc w:val="center"/>
                    <w:rPr>
                      <w:rFonts w:hint="default"/>
                      <w:lang w:val="en-US" w:eastAsia="zh-CN"/>
                    </w:rPr>
                  </w:pPr>
                  <w:r>
                    <w:rPr>
                      <w:rFonts w:hint="eastAsia"/>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pPr>
                    <w:pStyle w:val="18"/>
                    <w:bidi w:val="0"/>
                    <w:jc w:val="center"/>
                    <w:rPr>
                      <w:rFonts w:hint="default"/>
                      <w:lang w:val="en-US" w:eastAsia="zh-CN"/>
                    </w:rPr>
                  </w:pPr>
                  <w:r>
                    <w:rPr>
                      <w:rFonts w:hint="eastAsia"/>
                      <w:lang w:val="en-US" w:eastAsia="zh-CN"/>
                    </w:rPr>
                    <w:t>3</w:t>
                  </w:r>
                </w:p>
              </w:tc>
              <w:tc>
                <w:tcPr>
                  <w:tcW w:w="525" w:type="dxa"/>
                  <w:vAlign w:val="center"/>
                </w:tcPr>
                <w:p>
                  <w:pPr>
                    <w:pStyle w:val="18"/>
                    <w:bidi w:val="0"/>
                    <w:jc w:val="center"/>
                    <w:rPr>
                      <w:rFonts w:hint="default"/>
                      <w:lang w:val="en-US" w:eastAsia="zh-CN"/>
                    </w:rPr>
                  </w:pPr>
                  <w:r>
                    <w:rPr>
                      <w:rFonts w:hint="eastAsia"/>
                      <w:lang w:val="en-US" w:eastAsia="zh-CN"/>
                    </w:rPr>
                    <w:t>准入清单</w:t>
                  </w:r>
                </w:p>
              </w:tc>
              <w:tc>
                <w:tcPr>
                  <w:tcW w:w="5201" w:type="dxa"/>
                  <w:vAlign w:val="center"/>
                </w:tcPr>
                <w:p>
                  <w:pPr>
                    <w:pStyle w:val="18"/>
                    <w:bidi w:val="0"/>
                    <w:jc w:val="center"/>
                    <w:rPr>
                      <w:rFonts w:hint="default"/>
                      <w:lang w:val="en-US" w:eastAsia="zh-CN"/>
                    </w:rPr>
                  </w:pPr>
                  <w:r>
                    <w:rPr>
                      <w:rFonts w:hint="default"/>
                      <w:lang w:val="en-US" w:eastAsia="zh-CN"/>
                    </w:rPr>
                    <w:t>鼓励类：锰、锌矿产品精深加工（如四氧化三锰项目、软磁铁氧体项目）、农副产品加工(直接食用的食品加工除外)等一、二类企业允许类：锰、锌矿产品精深加工、农副产品加工、符合产业定位的三类工业（有成熟环保治理技术，废水回用率达65%以上）、仓储物流业、生物制药限制类：制浆造纸项目、有机化工项目、酿酒项目等，限制耗水量大及水型污染企业入园。</w:t>
                  </w:r>
                </w:p>
                <w:p>
                  <w:pPr>
                    <w:pStyle w:val="18"/>
                    <w:bidi w:val="0"/>
                    <w:jc w:val="center"/>
                    <w:rPr>
                      <w:rFonts w:hint="default"/>
                      <w:lang w:val="en-US" w:eastAsia="zh-CN"/>
                    </w:rPr>
                  </w:pPr>
                  <w:r>
                    <w:rPr>
                      <w:rFonts w:hint="default"/>
                      <w:lang w:val="en-US" w:eastAsia="zh-CN"/>
                    </w:rPr>
                    <w:t>禁止类：东部区禁止引进三类工业；一类工业用地禁止引进二、三类企业，二类工业用地禁止引进三类企业；不符合产业定位的项目；《产业结构调整指导目录（2019）》（2021年修订）中限制类和淘汰类企业入园、有色金属等选矿项目；禁止铅、锌、铬等重污染冶炼行业，制革工业；电镀工业；使用含汞、砷、镉、铬、铅、氰化物等为原料的项目；日用化工、造纸、炼油、农药工业；水处理设施不完善的企业禁止开工生产；纺织印染工业；致癌、致畸、致突变产品生产项目；电力工业的小火力发电；国家产业政策明令禁止的项目，以及大量增加SO</w:t>
                  </w:r>
                  <w:r>
                    <w:rPr>
                      <w:rFonts w:hint="default"/>
                      <w:vertAlign w:val="subscript"/>
                      <w:lang w:val="en-US" w:eastAsia="zh-CN"/>
                    </w:rPr>
                    <w:t>2</w:t>
                  </w:r>
                  <w:r>
                    <w:rPr>
                      <w:rFonts w:hint="default"/>
                      <w:lang w:val="en-US" w:eastAsia="zh-CN"/>
                    </w:rPr>
                    <w:t>和COD排放的工业项目。</w:t>
                  </w:r>
                </w:p>
              </w:tc>
              <w:tc>
                <w:tcPr>
                  <w:tcW w:w="1035" w:type="dxa"/>
                  <w:vAlign w:val="center"/>
                </w:tcPr>
                <w:p>
                  <w:pPr>
                    <w:pStyle w:val="18"/>
                    <w:bidi w:val="0"/>
                    <w:jc w:val="center"/>
                    <w:rPr>
                      <w:rFonts w:hint="default"/>
                      <w:lang w:val="en-US" w:eastAsia="zh-CN"/>
                    </w:rPr>
                  </w:pPr>
                  <w:r>
                    <w:rPr>
                      <w:rFonts w:hint="default"/>
                      <w:lang w:val="en-US" w:eastAsia="zh-CN"/>
                    </w:rPr>
                    <w:t>本项目属于</w:t>
                  </w:r>
                  <w:r>
                    <w:rPr>
                      <w:rFonts w:hint="eastAsia"/>
                      <w:lang w:val="en-US" w:eastAsia="zh-CN"/>
                    </w:rPr>
                    <w:t>电解锰渣</w:t>
                  </w:r>
                  <w:r>
                    <w:rPr>
                      <w:rFonts w:hint="default"/>
                      <w:lang w:val="en-US" w:eastAsia="zh-CN"/>
                    </w:rPr>
                    <w:t>综合利用项目，</w:t>
                  </w:r>
                  <w:r>
                    <w:rPr>
                      <w:rFonts w:hint="eastAsia"/>
                      <w:lang w:val="en-US" w:eastAsia="zh-CN"/>
                    </w:rPr>
                    <w:t>属于</w:t>
                  </w:r>
                  <w:r>
                    <w:rPr>
                      <w:rFonts w:hint="default"/>
                      <w:lang w:val="en-US" w:eastAsia="zh-CN"/>
                    </w:rPr>
                    <w:t>准入清单</w:t>
                  </w:r>
                  <w:r>
                    <w:rPr>
                      <w:rFonts w:hint="eastAsia"/>
                      <w:lang w:val="en-US" w:eastAsia="zh-CN"/>
                    </w:rPr>
                    <w:t>中的允许类</w:t>
                  </w:r>
                </w:p>
              </w:tc>
              <w:tc>
                <w:tcPr>
                  <w:tcW w:w="788" w:type="dxa"/>
                  <w:vAlign w:val="center"/>
                </w:tcPr>
                <w:p>
                  <w:pPr>
                    <w:pStyle w:val="18"/>
                    <w:bidi w:val="0"/>
                    <w:jc w:val="center"/>
                    <w:rPr>
                      <w:rFonts w:hint="default"/>
                      <w:lang w:val="en-US" w:eastAsia="zh-CN"/>
                    </w:rPr>
                  </w:pPr>
                  <w:r>
                    <w:rPr>
                      <w:rFonts w:hint="eastAsia"/>
                      <w:lang w:val="en-US" w:eastAsia="zh-CN"/>
                    </w:rPr>
                    <w:t>符合</w:t>
                  </w:r>
                </w:p>
              </w:tc>
            </w:tr>
          </w:tbl>
          <w:p>
            <w:pPr>
              <w:bidi w:val="0"/>
              <w:ind w:firstLine="480" w:firstLineChars="200"/>
              <w:rPr>
                <w:rFonts w:hint="default" w:eastAsia="宋体"/>
                <w:lang w:val="en-US" w:eastAsia="zh-CN"/>
              </w:rPr>
            </w:pPr>
            <w:r>
              <w:rPr>
                <w:rFonts w:hint="eastAsia"/>
                <w:lang w:val="en-US" w:eastAsia="zh-CN"/>
              </w:rPr>
              <w:t>由上表可知，本项目作为锰电解渣无害化及综合利用项目符合园区规划及园区定位；2021年4月，中央领导对“锰三角”污染问题做出重要指示批示，“锰三角”污染治理要从污染治理、生态修复、生产方式、结构调整等方面综合施策，标本兼治。本项目能够从源头上解决“锰三角”的污染问题，并进行合理的资源利用，是符合可持续发展理念的经济增长模式，也是对“大量生产、大量消费、大量废弃”的传统经济增长模式的根本变革。因此，本项目符合湖南省花垣工业集中区总体规划以及《关于花垣县工业集中区环境影响报告书》及批复（湘环评〔2012〕122 号）的要求。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1" w:hRule="atLeast"/>
          <w:jc w:val="center"/>
        </w:trPr>
        <w:tc>
          <w:tcPr>
            <w:tcW w:w="528" w:type="dxa"/>
            <w:tcBorders>
              <w:tl2br w:val="nil"/>
              <w:tr2bl w:val="nil"/>
            </w:tcBorders>
            <w:noWrap w:val="0"/>
            <w:vAlign w:val="center"/>
          </w:tcPr>
          <w:p>
            <w:pPr>
              <w:autoSpaceDE w:val="0"/>
              <w:autoSpaceDN w:val="0"/>
              <w:adjustRightInd w:val="0"/>
              <w:snapToGrid w:val="0"/>
              <w:jc w:val="center"/>
              <w:rPr>
                <w:rFonts w:hint="default" w:ascii="宋体" w:hAnsi="宋体" w:eastAsia="宋体"/>
                <w:kern w:val="0"/>
                <w:szCs w:val="21"/>
                <w:lang w:val="en-US" w:eastAsia="zh-CN"/>
              </w:rPr>
            </w:pPr>
            <w:r>
              <w:rPr>
                <w:rFonts w:hint="eastAsia" w:ascii="宋体" w:hAnsi="宋体"/>
                <w:kern w:val="0"/>
                <w:szCs w:val="21"/>
                <w:lang w:val="en-US" w:eastAsia="zh-CN"/>
              </w:rPr>
              <w:t>其他符合性分析</w:t>
            </w:r>
          </w:p>
        </w:tc>
        <w:tc>
          <w:tcPr>
            <w:tcW w:w="8532" w:type="dxa"/>
            <w:gridSpan w:val="4"/>
            <w:tcBorders>
              <w:tl2br w:val="nil"/>
              <w:tr2bl w:val="nil"/>
            </w:tcBorders>
            <w:noWrap w:val="0"/>
            <w:vAlign w:val="center"/>
          </w:tcPr>
          <w:p>
            <w:pPr>
              <w:bidi w:val="0"/>
              <w:rPr>
                <w:rFonts w:hint="eastAsia"/>
                <w:b/>
                <w:bCs/>
                <w:lang w:val="en-US" w:eastAsia="zh-CN"/>
              </w:rPr>
            </w:pPr>
            <w:r>
              <w:rPr>
                <w:rFonts w:hint="eastAsia"/>
                <w:b/>
                <w:bCs/>
                <w:lang w:val="en-US" w:eastAsia="zh-CN"/>
              </w:rPr>
              <w:t>1、与产业政策的相符性</w:t>
            </w:r>
          </w:p>
          <w:p>
            <w:pPr>
              <w:bidi w:val="0"/>
              <w:ind w:firstLine="480" w:firstLineChars="200"/>
              <w:rPr>
                <w:rFonts w:hint="eastAsia"/>
                <w:lang w:val="en-US" w:eastAsia="zh-CN"/>
              </w:rPr>
            </w:pPr>
            <w:r>
              <w:rPr>
                <w:rFonts w:hint="eastAsia"/>
                <w:lang w:val="en-US" w:eastAsia="zh-CN"/>
              </w:rPr>
              <w:t>本项目属于《国民经济行业分类》（GB/T 4754-2017）（2019 年修订）分类中的“N7723 固体废物治理”，经查对国家发展和改革委员会第 21 号令《产业结构调整指导目录（2019 年本）》（2021 年修订），本项目建设属于“第一类鼓励类”中“四十三、环境保护与资源节约综合利用”中“26、再生资源、建筑垃圾资源化回收利用工程和产业化”。因此，项目的建设符合国家产业政策。</w:t>
            </w:r>
          </w:p>
          <w:p>
            <w:pPr>
              <w:bidi w:val="0"/>
              <w:rPr>
                <w:rFonts w:hint="eastAsia"/>
                <w:b/>
                <w:bCs/>
                <w:lang w:val="en-US" w:eastAsia="zh-CN"/>
              </w:rPr>
            </w:pPr>
            <w:r>
              <w:rPr>
                <w:rFonts w:hint="eastAsia"/>
                <w:b/>
                <w:bCs/>
                <w:lang w:val="en-US" w:eastAsia="zh-CN"/>
              </w:rPr>
              <w:t>2、选址合理性分析</w:t>
            </w:r>
          </w:p>
          <w:p>
            <w:pPr>
              <w:pStyle w:val="19"/>
              <w:bidi w:val="0"/>
              <w:rPr>
                <w:rFonts w:hint="eastAsia"/>
                <w:lang w:val="en-US" w:eastAsia="zh-CN"/>
              </w:rPr>
            </w:pPr>
            <w:r>
              <w:rPr>
                <w:rFonts w:hint="eastAsia"/>
                <w:u w:val="none"/>
                <w:lang w:val="en-US" w:eastAsia="zh-CN"/>
              </w:rPr>
              <w:t>本项目选址花垣县产业开发区内，根据《关于发布湖南省省级以上产业园区边界面积及四至范围目录的通知》（湘发改园区【2022】601号文）西部新规划区规划面积12.7km</w:t>
            </w:r>
            <w:r>
              <w:rPr>
                <w:rFonts w:hint="eastAsia"/>
                <w:u w:val="none"/>
                <w:vertAlign w:val="superscript"/>
                <w:lang w:val="en-US" w:eastAsia="zh-CN"/>
              </w:rPr>
              <w:t>2</w:t>
            </w:r>
            <w:r>
              <w:rPr>
                <w:rFonts w:hint="eastAsia"/>
                <w:u w:val="none"/>
                <w:lang w:val="en-US" w:eastAsia="zh-CN"/>
              </w:rPr>
              <w:t>，南起319国道，北至花垣河，东起张花高速公路，西至花龙公路。项目位于西部新规划区的北部，靠近东方矿业公司、毗邻花垣县产业开发区办公楼，</w:t>
            </w:r>
            <w:r>
              <w:rPr>
                <w:rFonts w:hint="eastAsia"/>
                <w:lang w:val="en-US" w:eastAsia="zh-CN"/>
              </w:rPr>
              <w:t>项目用地属于工业用地，用地性质符合城市规划要求，且项目配套工程、公用工程可依托园区内已有设施，园区内道路通畅、运输方便，在实施本次评价提出的各项污染防治措施后，对外环境的影响可控制在国家标准允许的范围内，项目选址合理。</w:t>
            </w:r>
          </w:p>
          <w:p>
            <w:pPr>
              <w:numPr>
                <w:ilvl w:val="0"/>
                <w:numId w:val="0"/>
              </w:numPr>
              <w:bidi w:val="0"/>
              <w:ind w:right="40" w:rightChars="0"/>
              <w:rPr>
                <w:rFonts w:hint="default"/>
                <w:b/>
                <w:bCs/>
                <w:lang w:val="en-US" w:eastAsia="zh-CN"/>
              </w:rPr>
            </w:pPr>
            <w:r>
              <w:rPr>
                <w:rFonts w:hint="eastAsia"/>
                <w:b/>
                <w:bCs/>
                <w:lang w:val="en-US" w:eastAsia="zh-CN"/>
              </w:rPr>
              <w:t>3、平面布局合理性</w:t>
            </w:r>
          </w:p>
          <w:p>
            <w:pPr>
              <w:pStyle w:val="19"/>
              <w:bidi w:val="0"/>
              <w:rPr>
                <w:rFonts w:hint="eastAsia"/>
                <w:lang w:val="en-US" w:eastAsia="zh-CN"/>
              </w:rPr>
            </w:pPr>
            <w:r>
              <w:rPr>
                <w:rFonts w:hint="eastAsia"/>
                <w:lang w:val="en-US" w:eastAsia="zh-CN"/>
              </w:rPr>
              <w:t>本</w:t>
            </w:r>
            <w:r>
              <w:rPr>
                <w:rFonts w:hint="eastAsia"/>
                <w:color w:val="auto"/>
                <w:lang w:val="en-US" w:eastAsia="zh-CN"/>
              </w:rPr>
              <w:t>项目位于花垣县产业开发区内，根据项目的工艺特点来分布生产设备。厂区南侧自西向东设置有无害化中试车间、资源化车间、资源化产品仓库，东侧自南向北依次为办公楼、产品展示中心、事故应急池、初期雨水池、MVR车间和锅炉房，无害化车间位于厂区中间，原料仓库位于无害化车间北侧。车间物流通道连接原料仓库至资源化车间，方便锰渣的运输。厂区平面布置满足生产工艺要求，满足安全生产要求，供电、供水线路简捷，整体布局有利生产，方便管理。本项目功能分区明确，生产区集中设置又互不干扰；生产车间内设备均按照生产工序进行布置，使得生产井然有序。总体上看，本项目总平面布置较合理。</w:t>
            </w:r>
          </w:p>
          <w:p>
            <w:pPr>
              <w:bidi w:val="0"/>
              <w:rPr>
                <w:rFonts w:hint="eastAsia"/>
                <w:b/>
                <w:bCs/>
                <w:lang w:val="en-US" w:eastAsia="zh-CN"/>
              </w:rPr>
            </w:pPr>
            <w:r>
              <w:rPr>
                <w:rFonts w:hint="eastAsia"/>
                <w:b/>
                <w:bCs/>
                <w:lang w:val="en-US" w:eastAsia="zh-CN"/>
              </w:rPr>
              <w:t>4、“三线一单”符合性</w:t>
            </w:r>
          </w:p>
          <w:p>
            <w:pPr>
              <w:pStyle w:val="19"/>
              <w:bidi w:val="0"/>
              <w:rPr>
                <w:rFonts w:hint="eastAsia"/>
                <w:lang w:val="en-US" w:eastAsia="zh-CN"/>
              </w:rPr>
            </w:pPr>
            <w:r>
              <w:rPr>
                <w:rFonts w:hint="eastAsia"/>
                <w:lang w:val="en-US" w:eastAsia="zh-CN"/>
              </w:rPr>
              <w:t>（1）与生态保护红线的相符性分析</w:t>
            </w:r>
          </w:p>
          <w:p>
            <w:pPr>
              <w:pStyle w:val="19"/>
              <w:bidi w:val="0"/>
              <w:rPr>
                <w:rFonts w:hint="eastAsia"/>
                <w:lang w:val="en-US" w:eastAsia="zh-CN"/>
              </w:rPr>
            </w:pPr>
            <w:r>
              <w:rPr>
                <w:rFonts w:hint="eastAsia"/>
                <w:lang w:val="en-US" w:eastAsia="zh-CN"/>
              </w:rPr>
              <w:t>本项目选址位于花垣县产业开发区，不在生态红线保护区域范围内，符合生态保护红线空间管控要求，因此项目建设符合生态红线要求。</w:t>
            </w:r>
          </w:p>
          <w:p>
            <w:pPr>
              <w:pStyle w:val="19"/>
              <w:bidi w:val="0"/>
              <w:rPr>
                <w:rFonts w:hint="eastAsia"/>
                <w:lang w:val="en-US" w:eastAsia="zh-CN"/>
              </w:rPr>
            </w:pPr>
            <w:r>
              <w:rPr>
                <w:rFonts w:hint="eastAsia"/>
                <w:lang w:val="en-US" w:eastAsia="zh-CN"/>
              </w:rPr>
              <w:t>（2）与环境质量底线的相符性分析</w:t>
            </w:r>
          </w:p>
          <w:p>
            <w:pPr>
              <w:pStyle w:val="19"/>
              <w:bidi w:val="0"/>
              <w:rPr>
                <w:rFonts w:hint="eastAsia"/>
                <w:lang w:val="en-US" w:eastAsia="zh-CN"/>
              </w:rPr>
            </w:pPr>
            <w:r>
              <w:rPr>
                <w:rFonts w:hint="eastAsia"/>
                <w:lang w:val="en-US" w:eastAsia="zh-CN"/>
              </w:rPr>
              <w:t>区域环境空气各常规监测因子的指标属于《环境空气质量标准》（GB3095-2012）中二类功能区，根据统计湘西州环境监测站公布的</w:t>
            </w:r>
            <w:r>
              <w:rPr>
                <w:rFonts w:hint="eastAsia"/>
                <w:color w:val="auto"/>
                <w:lang w:val="en-US" w:eastAsia="zh-CN"/>
              </w:rPr>
              <w:t>2021</w:t>
            </w:r>
            <w:r>
              <w:rPr>
                <w:rFonts w:hint="eastAsia"/>
                <w:lang w:val="en-US" w:eastAsia="zh-CN"/>
              </w:rPr>
              <w:t>年度的《环境质量简报》数据中湘西州花垣县的数据可知，项目所在地的PM</w:t>
            </w:r>
            <w:r>
              <w:rPr>
                <w:rFonts w:hint="eastAsia"/>
                <w:vertAlign w:val="subscript"/>
                <w:lang w:val="en-US" w:eastAsia="zh-CN"/>
              </w:rPr>
              <w:t>2.5</w:t>
            </w:r>
            <w:r>
              <w:rPr>
                <w:rFonts w:hint="eastAsia"/>
                <w:lang w:val="en-US" w:eastAsia="zh-CN"/>
              </w:rPr>
              <w:t>、PM</w:t>
            </w:r>
            <w:r>
              <w:rPr>
                <w:rFonts w:hint="eastAsia"/>
                <w:vertAlign w:val="subscript"/>
                <w:lang w:val="en-US" w:eastAsia="zh-CN"/>
              </w:rPr>
              <w:t>10</w:t>
            </w:r>
            <w:r>
              <w:rPr>
                <w:rFonts w:hint="eastAsia"/>
                <w:lang w:val="en-US" w:eastAsia="zh-CN"/>
              </w:rPr>
              <w:t>、SO</w:t>
            </w:r>
            <w:r>
              <w:rPr>
                <w:rFonts w:hint="eastAsia"/>
                <w:vertAlign w:val="subscript"/>
                <w:lang w:val="en-US" w:eastAsia="zh-CN"/>
              </w:rPr>
              <w:t>2</w:t>
            </w:r>
            <w:r>
              <w:rPr>
                <w:rFonts w:hint="eastAsia"/>
                <w:lang w:val="en-US" w:eastAsia="zh-CN"/>
              </w:rPr>
              <w:t>、NO</w:t>
            </w:r>
            <w:r>
              <w:rPr>
                <w:rFonts w:hint="eastAsia"/>
                <w:vertAlign w:val="subscript"/>
                <w:lang w:val="en-US" w:eastAsia="zh-CN"/>
              </w:rPr>
              <w:t>2</w:t>
            </w:r>
            <w:r>
              <w:rPr>
                <w:rFonts w:hint="eastAsia"/>
                <w:lang w:val="en-US" w:eastAsia="zh-CN"/>
              </w:rPr>
              <w:t>、O</w:t>
            </w:r>
            <w:r>
              <w:rPr>
                <w:rFonts w:hint="eastAsia"/>
                <w:vertAlign w:val="subscript"/>
                <w:lang w:val="en-US" w:eastAsia="zh-CN"/>
              </w:rPr>
              <w:t>3</w:t>
            </w:r>
            <w:r>
              <w:rPr>
                <w:rFonts w:hint="eastAsia"/>
                <w:lang w:val="en-US" w:eastAsia="zh-CN"/>
              </w:rPr>
              <w:t>、CO年平均浓度值符合《环境空气质量标准》（GB3095-2012）中二级标准要求。</w:t>
            </w:r>
          </w:p>
          <w:p>
            <w:pPr>
              <w:pStyle w:val="19"/>
              <w:bidi w:val="0"/>
              <w:rPr>
                <w:rFonts w:hint="eastAsia"/>
                <w:lang w:val="en-US" w:eastAsia="zh-CN"/>
              </w:rPr>
            </w:pPr>
            <w:r>
              <w:rPr>
                <w:rFonts w:hint="eastAsia"/>
                <w:lang w:val="en-US" w:eastAsia="zh-CN"/>
              </w:rPr>
              <w:t>地表水花垣河各监测因子均达到《地表水环境质量标准》（GB3838－2002）中的Ⅲ类标准。项目拟建地声环境场界均可达到《声环境质量标准》（GB3096-2008）中3类区标准。</w:t>
            </w:r>
          </w:p>
          <w:p>
            <w:pPr>
              <w:pStyle w:val="19"/>
              <w:bidi w:val="0"/>
              <w:rPr>
                <w:rFonts w:hint="eastAsia"/>
                <w:lang w:val="en-US" w:eastAsia="zh-CN"/>
              </w:rPr>
            </w:pPr>
            <w:r>
              <w:rPr>
                <w:rFonts w:hint="eastAsia"/>
                <w:lang w:val="en-US" w:eastAsia="zh-CN"/>
              </w:rPr>
              <w:t>本项目各项污染物均采取了相应的环保污染防治措施，能够达到相应的污染物排放标准或者综合利用，不会对周边声环境产生明显的影响。项目三废均能有效处理，不会降低区域环境质量现状；本项目建设不会对当地环境质量底线造成冲击。</w:t>
            </w:r>
          </w:p>
          <w:p>
            <w:pPr>
              <w:pStyle w:val="19"/>
              <w:bidi w:val="0"/>
              <w:rPr>
                <w:rFonts w:hint="eastAsia"/>
                <w:lang w:val="en-US" w:eastAsia="zh-CN"/>
              </w:rPr>
            </w:pPr>
            <w:r>
              <w:rPr>
                <w:rFonts w:hint="eastAsia"/>
                <w:lang w:val="en-US" w:eastAsia="zh-CN"/>
              </w:rPr>
              <w:t>（3）与资源利用上线的对照分析</w:t>
            </w:r>
          </w:p>
          <w:p>
            <w:pPr>
              <w:pStyle w:val="19"/>
              <w:bidi w:val="0"/>
              <w:rPr>
                <w:rFonts w:hint="eastAsia"/>
                <w:lang w:val="en-US" w:eastAsia="zh-CN"/>
              </w:rPr>
            </w:pPr>
            <w:r>
              <w:rPr>
                <w:rFonts w:hint="eastAsia"/>
                <w:lang w:val="en-US" w:eastAsia="zh-CN"/>
              </w:rPr>
              <w:t>本项目位于花垣县产业开发区内，符合各相关部门对土地资源开发利用的管控要求，符合土地资源利用上线管控要求。项目厂区用水依托于市政管网供水系统，用电由市政供电系统统一供电。项目建成运行后通过内部管理、设备选择、原辅材料的选用和管理、废物回收利用、污染治理等多方面采取合理可行的防治措施，以“节能、降耗、减污”为目标，有效的控制污染。项目的水、气等资源利用不会突破区域的资源利用上线。</w:t>
            </w:r>
          </w:p>
          <w:p>
            <w:pPr>
              <w:pStyle w:val="19"/>
              <w:bidi w:val="0"/>
              <w:rPr>
                <w:rFonts w:hint="eastAsia"/>
                <w:lang w:val="en-US" w:eastAsia="zh-CN"/>
              </w:rPr>
            </w:pPr>
            <w:r>
              <w:rPr>
                <w:rFonts w:hint="eastAsia"/>
                <w:lang w:val="en-US" w:eastAsia="zh-CN"/>
              </w:rPr>
              <w:t>（4）与生态环境准入清单的符合性</w:t>
            </w:r>
          </w:p>
          <w:p>
            <w:pPr>
              <w:pStyle w:val="19"/>
              <w:bidi w:val="0"/>
              <w:rPr>
                <w:rFonts w:hint="eastAsia"/>
                <w:lang w:val="en-US" w:eastAsia="zh-CN"/>
              </w:rPr>
            </w:pPr>
            <w:r>
              <w:rPr>
                <w:rFonts w:hint="eastAsia"/>
                <w:lang w:val="en-US" w:eastAsia="zh-CN"/>
              </w:rPr>
              <w:t>2020年11月10日，湖南省生态环境厅发布了《湖南省“三线一单”生态环境总体管控要求暨省级以上产业园区生态环境准入清单》，本项目位于花垣县产业开发区内，参照清单中花垣县工业园区符合性分析见表1-3。</w:t>
            </w:r>
          </w:p>
          <w:p>
            <w:pPr>
              <w:numPr>
                <w:ilvl w:val="0"/>
                <w:numId w:val="0"/>
              </w:numPr>
              <w:bidi w:val="0"/>
              <w:ind w:right="40" w:rightChars="0"/>
              <w:rPr>
                <w:rFonts w:hint="eastAsia"/>
                <w:b/>
                <w:bCs/>
                <w:sz w:val="22"/>
                <w:szCs w:val="22"/>
                <w:lang w:val="en-US" w:eastAsia="zh-CN"/>
              </w:rPr>
            </w:pPr>
            <w:r>
              <w:rPr>
                <w:rFonts w:hint="eastAsia"/>
                <w:b/>
                <w:bCs/>
                <w:sz w:val="22"/>
                <w:szCs w:val="22"/>
                <w:lang w:val="en-US" w:eastAsia="zh-CN"/>
              </w:rPr>
              <w:t>表1-3项目与湘西自治州环境管控单元（花垣县工业集中区）生态环境准入清单符合性</w:t>
            </w:r>
          </w:p>
          <w:tbl>
            <w:tblPr>
              <w:tblStyle w:val="1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2"/>
              <w:gridCol w:w="5526"/>
              <w:gridCol w:w="1371"/>
              <w:gridCol w:w="6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41" w:type="pct"/>
                  <w:noWrap w:val="0"/>
                  <w:vAlign w:val="center"/>
                </w:tcPr>
                <w:p>
                  <w:pPr>
                    <w:pStyle w:val="18"/>
                    <w:bidi w:val="0"/>
                    <w:jc w:val="center"/>
                    <w:rPr>
                      <w:sz w:val="24"/>
                      <w:szCs w:val="24"/>
                    </w:rPr>
                  </w:pPr>
                  <w:r>
                    <w:rPr>
                      <w:sz w:val="24"/>
                      <w:szCs w:val="24"/>
                    </w:rPr>
                    <w:t>管控维度</w:t>
                  </w:r>
                </w:p>
              </w:tc>
              <w:tc>
                <w:tcPr>
                  <w:tcW w:w="3334" w:type="pct"/>
                  <w:noWrap w:val="0"/>
                  <w:vAlign w:val="center"/>
                </w:tcPr>
                <w:p>
                  <w:pPr>
                    <w:pStyle w:val="18"/>
                    <w:bidi w:val="0"/>
                    <w:jc w:val="center"/>
                    <w:rPr>
                      <w:sz w:val="24"/>
                      <w:szCs w:val="24"/>
                    </w:rPr>
                  </w:pPr>
                  <w:r>
                    <w:rPr>
                      <w:sz w:val="24"/>
                      <w:szCs w:val="24"/>
                    </w:rPr>
                    <w:t>管控要求</w:t>
                  </w:r>
                </w:p>
              </w:tc>
              <w:tc>
                <w:tcPr>
                  <w:tcW w:w="827" w:type="pct"/>
                  <w:noWrap w:val="0"/>
                  <w:vAlign w:val="center"/>
                </w:tcPr>
                <w:p>
                  <w:pPr>
                    <w:pStyle w:val="18"/>
                    <w:bidi w:val="0"/>
                    <w:jc w:val="center"/>
                    <w:rPr>
                      <w:sz w:val="24"/>
                      <w:szCs w:val="24"/>
                    </w:rPr>
                  </w:pPr>
                  <w:r>
                    <w:rPr>
                      <w:sz w:val="24"/>
                      <w:szCs w:val="24"/>
                    </w:rPr>
                    <w:t>本工程情况</w:t>
                  </w:r>
                </w:p>
              </w:tc>
              <w:tc>
                <w:tcPr>
                  <w:tcW w:w="396" w:type="pct"/>
                  <w:noWrap w:val="0"/>
                  <w:vAlign w:val="center"/>
                </w:tcPr>
                <w:p>
                  <w:pPr>
                    <w:pStyle w:val="18"/>
                    <w:bidi w:val="0"/>
                    <w:jc w:val="center"/>
                    <w:rPr>
                      <w:sz w:val="24"/>
                      <w:szCs w:val="24"/>
                    </w:rPr>
                  </w:pPr>
                  <w:r>
                    <w:rPr>
                      <w:sz w:val="24"/>
                      <w:szCs w:val="24"/>
                    </w:rPr>
                    <w:t>是否符合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41" w:type="pct"/>
                  <w:noWrap w:val="0"/>
                  <w:vAlign w:val="center"/>
                </w:tcPr>
                <w:p>
                  <w:pPr>
                    <w:pStyle w:val="18"/>
                    <w:bidi w:val="0"/>
                    <w:jc w:val="center"/>
                    <w:rPr>
                      <w:sz w:val="24"/>
                      <w:szCs w:val="24"/>
                    </w:rPr>
                  </w:pPr>
                  <w:r>
                    <w:rPr>
                      <w:sz w:val="24"/>
                      <w:szCs w:val="24"/>
                    </w:rPr>
                    <w:t>空间布局约束</w:t>
                  </w:r>
                </w:p>
              </w:tc>
              <w:tc>
                <w:tcPr>
                  <w:tcW w:w="3334" w:type="pct"/>
                  <w:noWrap w:val="0"/>
                  <w:vAlign w:val="center"/>
                </w:tcPr>
                <w:p>
                  <w:pPr>
                    <w:pStyle w:val="18"/>
                    <w:bidi w:val="0"/>
                    <w:jc w:val="left"/>
                    <w:rPr>
                      <w:sz w:val="24"/>
                      <w:szCs w:val="24"/>
                    </w:rPr>
                  </w:pPr>
                  <w:r>
                    <w:rPr>
                      <w:sz w:val="24"/>
                      <w:szCs w:val="24"/>
                    </w:rPr>
                    <w:t>东部老工业区、西部新规划区：</w:t>
                  </w:r>
                </w:p>
                <w:p>
                  <w:pPr>
                    <w:pStyle w:val="18"/>
                    <w:bidi w:val="0"/>
                    <w:jc w:val="left"/>
                    <w:rPr>
                      <w:sz w:val="24"/>
                      <w:szCs w:val="24"/>
                    </w:rPr>
                  </w:pPr>
                  <w:r>
                    <w:rPr>
                      <w:sz w:val="24"/>
                      <w:szCs w:val="24"/>
                    </w:rPr>
                    <w:t>（1.1）园区引进企业应当符合“花垣县产业准入负面清单”的有关规定。</w:t>
                  </w:r>
                </w:p>
                <w:p>
                  <w:pPr>
                    <w:pStyle w:val="18"/>
                    <w:bidi w:val="0"/>
                    <w:jc w:val="left"/>
                    <w:rPr>
                      <w:sz w:val="24"/>
                      <w:szCs w:val="24"/>
                    </w:rPr>
                  </w:pPr>
                  <w:r>
                    <w:rPr>
                      <w:sz w:val="24"/>
                      <w:szCs w:val="24"/>
                    </w:rPr>
                    <w:t>（1.2）限制引进耗水量大或水型污染为主的企业。</w:t>
                  </w:r>
                </w:p>
                <w:p>
                  <w:pPr>
                    <w:pStyle w:val="18"/>
                    <w:bidi w:val="0"/>
                    <w:jc w:val="left"/>
                    <w:rPr>
                      <w:sz w:val="24"/>
                      <w:szCs w:val="24"/>
                    </w:rPr>
                  </w:pPr>
                  <w:r>
                    <w:rPr>
                      <w:sz w:val="24"/>
                      <w:szCs w:val="24"/>
                    </w:rPr>
                    <w:t>（1.3）园区与花垣县城区相邻的区域应设置合理的防护距离。合理规划道路两侧用地，靠近交通干线两侧一定范围内不得建设对噪声敏感的建筑物，居住区与工业区设置合理的噪声防护距离。</w:t>
                  </w:r>
                </w:p>
                <w:p>
                  <w:pPr>
                    <w:pStyle w:val="18"/>
                    <w:bidi w:val="0"/>
                    <w:jc w:val="left"/>
                    <w:rPr>
                      <w:sz w:val="24"/>
                      <w:szCs w:val="24"/>
                    </w:rPr>
                  </w:pPr>
                  <w:r>
                    <w:rPr>
                      <w:sz w:val="24"/>
                      <w:szCs w:val="24"/>
                    </w:rPr>
                    <w:t>东部老工业区：</w:t>
                  </w:r>
                </w:p>
                <w:p>
                  <w:pPr>
                    <w:pStyle w:val="18"/>
                    <w:bidi w:val="0"/>
                    <w:jc w:val="left"/>
                    <w:rPr>
                      <w:sz w:val="24"/>
                      <w:szCs w:val="24"/>
                    </w:rPr>
                  </w:pPr>
                  <w:r>
                    <w:rPr>
                      <w:sz w:val="24"/>
                      <w:szCs w:val="24"/>
                    </w:rPr>
                    <w:t>（1.4）东部老工业区不再新增三类工业，限制二类企业、禁止三类企业和气型污染企业进入。</w:t>
                  </w:r>
                </w:p>
                <w:p>
                  <w:pPr>
                    <w:pStyle w:val="18"/>
                    <w:bidi w:val="0"/>
                    <w:jc w:val="left"/>
                    <w:rPr>
                      <w:sz w:val="24"/>
                      <w:szCs w:val="24"/>
                    </w:rPr>
                  </w:pPr>
                  <w:r>
                    <w:rPr>
                      <w:sz w:val="24"/>
                      <w:szCs w:val="24"/>
                    </w:rPr>
                    <w:t>（1.5）东部老工业区涉及湖南花垣古苗河省级地质公园，应当严格执行《湘西自治州地质公园保护管理办法》的相关规定。</w:t>
                  </w:r>
                </w:p>
              </w:tc>
              <w:tc>
                <w:tcPr>
                  <w:tcW w:w="827" w:type="pct"/>
                  <w:noWrap w:val="0"/>
                  <w:vAlign w:val="center"/>
                </w:tcPr>
                <w:p>
                  <w:pPr>
                    <w:pStyle w:val="18"/>
                    <w:bidi w:val="0"/>
                    <w:jc w:val="center"/>
                    <w:rPr>
                      <w:rFonts w:hint="default" w:eastAsia="宋体"/>
                      <w:sz w:val="24"/>
                      <w:szCs w:val="24"/>
                      <w:lang w:val="en-US" w:eastAsia="zh-CN"/>
                    </w:rPr>
                  </w:pPr>
                  <w:r>
                    <w:rPr>
                      <w:sz w:val="24"/>
                      <w:szCs w:val="24"/>
                    </w:rPr>
                    <w:t>本项目为</w:t>
                  </w:r>
                  <w:r>
                    <w:rPr>
                      <w:rFonts w:hint="eastAsia"/>
                      <w:sz w:val="24"/>
                      <w:szCs w:val="24"/>
                      <w:lang w:val="en-US" w:eastAsia="zh-CN"/>
                    </w:rPr>
                    <w:t>锰渣</w:t>
                  </w:r>
                  <w:r>
                    <w:rPr>
                      <w:sz w:val="24"/>
                      <w:szCs w:val="24"/>
                    </w:rPr>
                    <w:t>综合利用项目，符合“花垣县产业准入负面清单”的有关规定</w:t>
                  </w:r>
                  <w:r>
                    <w:rPr>
                      <w:rFonts w:hint="eastAsia"/>
                      <w:sz w:val="24"/>
                      <w:szCs w:val="24"/>
                      <w:lang w:eastAsia="zh-CN"/>
                    </w:rPr>
                    <w:t>，</w:t>
                  </w:r>
                  <w:r>
                    <w:rPr>
                      <w:rFonts w:hint="eastAsia"/>
                      <w:sz w:val="24"/>
                      <w:szCs w:val="24"/>
                      <w:lang w:val="en-US" w:eastAsia="zh-CN"/>
                    </w:rPr>
                    <w:t>不是水型污染企业，与县城具有合理防护距离。</w:t>
                  </w:r>
                </w:p>
              </w:tc>
              <w:tc>
                <w:tcPr>
                  <w:tcW w:w="396" w:type="pct"/>
                  <w:noWrap w:val="0"/>
                  <w:vAlign w:val="center"/>
                </w:tcPr>
                <w:p>
                  <w:pPr>
                    <w:pStyle w:val="18"/>
                    <w:bidi w:val="0"/>
                    <w:jc w:val="center"/>
                    <w:rPr>
                      <w:sz w:val="24"/>
                      <w:szCs w:val="24"/>
                    </w:rPr>
                  </w:pPr>
                  <w:r>
                    <w:rPr>
                      <w:sz w:val="24"/>
                      <w:szCs w:val="24"/>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41" w:type="pct"/>
                  <w:noWrap w:val="0"/>
                  <w:vAlign w:val="center"/>
                </w:tcPr>
                <w:p>
                  <w:pPr>
                    <w:pStyle w:val="18"/>
                    <w:bidi w:val="0"/>
                    <w:jc w:val="center"/>
                    <w:rPr>
                      <w:sz w:val="24"/>
                      <w:szCs w:val="24"/>
                    </w:rPr>
                  </w:pPr>
                  <w:r>
                    <w:rPr>
                      <w:sz w:val="24"/>
                      <w:szCs w:val="24"/>
                    </w:rPr>
                    <w:t>污染物排放管控</w:t>
                  </w:r>
                </w:p>
              </w:tc>
              <w:tc>
                <w:tcPr>
                  <w:tcW w:w="3334" w:type="pct"/>
                  <w:noWrap w:val="0"/>
                  <w:vAlign w:val="center"/>
                </w:tcPr>
                <w:p>
                  <w:pPr>
                    <w:pStyle w:val="18"/>
                    <w:bidi w:val="0"/>
                    <w:jc w:val="left"/>
                    <w:rPr>
                      <w:sz w:val="24"/>
                      <w:szCs w:val="24"/>
                    </w:rPr>
                  </w:pPr>
                  <w:r>
                    <w:rPr>
                      <w:sz w:val="24"/>
                      <w:szCs w:val="24"/>
                    </w:rPr>
                    <w:t>（2.1）废水：园区排水实施雨污分流。园区内有色金属等行业水污染物排放应满足《湖南省生态环境厅关于执行污染物特别排放限值（第一批）的公告》的要求。</w:t>
                  </w:r>
                </w:p>
                <w:p>
                  <w:pPr>
                    <w:pStyle w:val="18"/>
                    <w:bidi w:val="0"/>
                    <w:jc w:val="left"/>
                    <w:rPr>
                      <w:sz w:val="24"/>
                      <w:szCs w:val="24"/>
                    </w:rPr>
                  </w:pPr>
                  <w:r>
                    <w:rPr>
                      <w:sz w:val="24"/>
                      <w:szCs w:val="24"/>
                    </w:rPr>
                    <w:t>西部新规划区：加快西部片区1万吨/日集中式污水处理厂建设，区内污废水经处理达标后排入花垣河。污水处理厂建成投运且集中区配套排水管网接管建成前，集中区废污水须处理达相应标准后方可排入花垣河。</w:t>
                  </w:r>
                </w:p>
                <w:p>
                  <w:pPr>
                    <w:pStyle w:val="18"/>
                    <w:bidi w:val="0"/>
                    <w:jc w:val="left"/>
                    <w:rPr>
                      <w:sz w:val="24"/>
                      <w:szCs w:val="24"/>
                    </w:rPr>
                  </w:pPr>
                  <w:r>
                    <w:rPr>
                      <w:sz w:val="24"/>
                      <w:szCs w:val="24"/>
                    </w:rPr>
                    <w:t>东部老工业区：现有企业污废水经自行处理达相应标准后回用或排入花垣河，其中三立集团的生活污水经厂内预处理后进入花垣县城镇污水处理厂。</w:t>
                  </w:r>
                </w:p>
                <w:p>
                  <w:pPr>
                    <w:pStyle w:val="18"/>
                    <w:bidi w:val="0"/>
                    <w:jc w:val="left"/>
                    <w:rPr>
                      <w:sz w:val="24"/>
                      <w:szCs w:val="24"/>
                    </w:rPr>
                  </w:pPr>
                  <w:r>
                    <w:rPr>
                      <w:sz w:val="24"/>
                      <w:szCs w:val="24"/>
                    </w:rPr>
                    <w:t>（2.2）废气：</w:t>
                  </w:r>
                </w:p>
                <w:p>
                  <w:pPr>
                    <w:pStyle w:val="18"/>
                    <w:bidi w:val="0"/>
                    <w:jc w:val="left"/>
                    <w:rPr>
                      <w:sz w:val="24"/>
                      <w:szCs w:val="24"/>
                    </w:rPr>
                  </w:pPr>
                  <w:r>
                    <w:rPr>
                      <w:sz w:val="24"/>
                      <w:szCs w:val="24"/>
                    </w:rPr>
                    <w:t>（2.2.1）做好对现有重污染企业环境污染整治工程的监督管理，确保污防设施正常运行和稳定达标排放；加强生产工艺研究与技术改进，采取有效措施，减少园区企业工艺废气的无组织排放；入园企业各生产装置排放的废气须经处理达到相应标准，有色金属等行业及涉锅炉大气污染物排放应满足《湖南省生态环境厅关于执行污染物特别排放限值（第一批）的公告》的要求。</w:t>
                  </w:r>
                </w:p>
                <w:p>
                  <w:pPr>
                    <w:pStyle w:val="18"/>
                    <w:bidi w:val="0"/>
                    <w:jc w:val="left"/>
                    <w:rPr>
                      <w:sz w:val="24"/>
                      <w:szCs w:val="24"/>
                    </w:rPr>
                  </w:pPr>
                  <w:r>
                    <w:rPr>
                      <w:sz w:val="24"/>
                      <w:szCs w:val="24"/>
                    </w:rPr>
                    <w:t>（2.2.2）以有色金属冶炼等行业为重点，全面推进清洁生产技术改造，注重过程控制。加快推进生物医药、食品加工等重点行业VOCs治理。风量在5万立方米/小时以上的单个排气口必须安装在线监测设备。排气口高度超过45米的高架源以及VOCs排放重点源纳入重点排污单位名录，安装烟气排放自动监控设施，并实现与生态环境部门联网。</w:t>
                  </w:r>
                </w:p>
                <w:p>
                  <w:pPr>
                    <w:pStyle w:val="18"/>
                    <w:bidi w:val="0"/>
                    <w:jc w:val="left"/>
                    <w:rPr>
                      <w:sz w:val="24"/>
                      <w:szCs w:val="24"/>
                    </w:rPr>
                  </w:pPr>
                  <w:r>
                    <w:rPr>
                      <w:sz w:val="24"/>
                      <w:szCs w:val="24"/>
                    </w:rPr>
                    <w:t>（2.3）固废：</w:t>
                  </w:r>
                </w:p>
                <w:p>
                  <w:pPr>
                    <w:pStyle w:val="18"/>
                    <w:bidi w:val="0"/>
                    <w:jc w:val="left"/>
                    <w:rPr>
                      <w:sz w:val="24"/>
                      <w:szCs w:val="24"/>
                    </w:rPr>
                  </w:pPr>
                  <w:r>
                    <w:rPr>
                      <w:sz w:val="24"/>
                      <w:szCs w:val="24"/>
                    </w:rPr>
                    <w:t>（2.3.1）做好工业固体废物和生活垃圾的分类收集、转运、综合利用和无害化处理，建立统一的固废收集、贮存、运输、综合利用和安全处置的运营管理体系。推行清洁生产，减少固体废物产生量；加强固体废物的资源化进程，提高综合利用率；规范固体废物处理措施，对工业企业产生固体废物特别是危险废物应按国家有关规定综合利用或妥善处置，严防二次污染。</w:t>
                  </w:r>
                </w:p>
                <w:p>
                  <w:pPr>
                    <w:pStyle w:val="18"/>
                    <w:bidi w:val="0"/>
                    <w:jc w:val="left"/>
                    <w:rPr>
                      <w:sz w:val="24"/>
                      <w:szCs w:val="24"/>
                    </w:rPr>
                  </w:pPr>
                  <w:r>
                    <w:rPr>
                      <w:sz w:val="24"/>
                      <w:szCs w:val="24"/>
                    </w:rPr>
                    <w:t>（2.3.2）酸浸渣、铜镉渣和中和渣等危险废物应由有资质单位安全处置；电解锰渣、锌渣等须按照国家相关规定全部回收利用或安全处置，锰渣库须达到Ⅱ类一般工业固体废物库要求方可投入使用。</w:t>
                  </w:r>
                </w:p>
                <w:p>
                  <w:pPr>
                    <w:pStyle w:val="18"/>
                    <w:bidi w:val="0"/>
                    <w:jc w:val="left"/>
                    <w:rPr>
                      <w:sz w:val="24"/>
                      <w:szCs w:val="24"/>
                    </w:rPr>
                  </w:pPr>
                  <w:r>
                    <w:rPr>
                      <w:sz w:val="24"/>
                      <w:szCs w:val="24"/>
                    </w:rPr>
                    <w:t>（2.3.3）全面开展冶炼渣、锰渣堆存场所排查和整治，完善防扬散、防流失、防渗漏等设施，制定完成整治方案并有序实施。</w:t>
                  </w:r>
                </w:p>
              </w:tc>
              <w:tc>
                <w:tcPr>
                  <w:tcW w:w="827" w:type="pct"/>
                  <w:noWrap w:val="0"/>
                  <w:vAlign w:val="center"/>
                </w:tcPr>
                <w:p>
                  <w:pPr>
                    <w:pStyle w:val="18"/>
                    <w:bidi w:val="0"/>
                    <w:jc w:val="center"/>
                    <w:rPr>
                      <w:sz w:val="24"/>
                      <w:szCs w:val="24"/>
                    </w:rPr>
                  </w:pPr>
                  <w:r>
                    <w:rPr>
                      <w:sz w:val="24"/>
                      <w:szCs w:val="24"/>
                    </w:rPr>
                    <w:t>本项目生产废水全部回用，生活废水经</w:t>
                  </w:r>
                  <w:r>
                    <w:rPr>
                      <w:rFonts w:hint="eastAsia"/>
                      <w:sz w:val="24"/>
                      <w:szCs w:val="24"/>
                      <w:lang w:val="en-US" w:eastAsia="zh-CN"/>
                    </w:rPr>
                    <w:t>化粪池</w:t>
                  </w:r>
                  <w:r>
                    <w:rPr>
                      <w:sz w:val="24"/>
                      <w:szCs w:val="24"/>
                    </w:rPr>
                    <w:t>处理后，进入园区污水处理厂进一步处理；项目</w:t>
                  </w:r>
                  <w:r>
                    <w:rPr>
                      <w:rFonts w:hint="eastAsia"/>
                      <w:sz w:val="24"/>
                      <w:szCs w:val="24"/>
                      <w:lang w:val="en-US" w:eastAsia="zh-CN"/>
                    </w:rPr>
                    <w:t>的无组织废气排放达到相应标准</w:t>
                  </w:r>
                  <w:r>
                    <w:rPr>
                      <w:sz w:val="24"/>
                      <w:szCs w:val="24"/>
                    </w:rPr>
                    <w:t>，</w:t>
                  </w:r>
                  <w:r>
                    <w:rPr>
                      <w:rFonts w:hint="eastAsia"/>
                      <w:sz w:val="24"/>
                      <w:szCs w:val="24"/>
                      <w:lang w:val="en-US" w:eastAsia="zh-CN"/>
                    </w:rPr>
                    <w:t>有组织锅炉废气</w:t>
                  </w:r>
                  <w:r>
                    <w:rPr>
                      <w:sz w:val="24"/>
                      <w:szCs w:val="24"/>
                    </w:rPr>
                    <w:t>配置了收集与净化处理装置，确保达标排放；项目产生的各类固废均采取了有效的处置措施；厂内各类暂存库均按国家标准要求规范建设，建设了防风、防雨、防渗措施，防止管理不当造成二次污染。</w:t>
                  </w:r>
                </w:p>
              </w:tc>
              <w:tc>
                <w:tcPr>
                  <w:tcW w:w="396" w:type="pct"/>
                  <w:noWrap w:val="0"/>
                  <w:vAlign w:val="center"/>
                </w:tcPr>
                <w:p>
                  <w:pPr>
                    <w:pStyle w:val="18"/>
                    <w:bidi w:val="0"/>
                    <w:jc w:val="center"/>
                    <w:rPr>
                      <w:sz w:val="24"/>
                      <w:szCs w:val="24"/>
                    </w:rPr>
                  </w:pPr>
                  <w:r>
                    <w:rPr>
                      <w:sz w:val="24"/>
                      <w:szCs w:val="24"/>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41" w:type="pct"/>
                  <w:noWrap w:val="0"/>
                  <w:vAlign w:val="center"/>
                </w:tcPr>
                <w:p>
                  <w:pPr>
                    <w:pStyle w:val="18"/>
                    <w:bidi w:val="0"/>
                    <w:jc w:val="center"/>
                    <w:rPr>
                      <w:sz w:val="24"/>
                      <w:szCs w:val="24"/>
                    </w:rPr>
                  </w:pPr>
                  <w:r>
                    <w:rPr>
                      <w:sz w:val="24"/>
                      <w:szCs w:val="24"/>
                    </w:rPr>
                    <w:t>环境风险防控</w:t>
                  </w:r>
                </w:p>
              </w:tc>
              <w:tc>
                <w:tcPr>
                  <w:tcW w:w="3334" w:type="pct"/>
                  <w:noWrap w:val="0"/>
                  <w:vAlign w:val="center"/>
                </w:tcPr>
                <w:p>
                  <w:pPr>
                    <w:pStyle w:val="18"/>
                    <w:bidi w:val="0"/>
                    <w:jc w:val="left"/>
                    <w:rPr>
                      <w:sz w:val="24"/>
                      <w:szCs w:val="24"/>
                    </w:rPr>
                  </w:pPr>
                  <w:r>
                    <w:rPr>
                      <w:sz w:val="24"/>
                      <w:szCs w:val="24"/>
                    </w:rPr>
                    <w:t>（3.1）园区应建立健全环境风险防控体系，组织落实《花垣工业集中区突发环境事件应急预案》提出的相关要求，加强环境风险事故防范和应急管理，加强对集中区环境风险重点防控企业、重点防控尾矿库的管理。</w:t>
                  </w:r>
                </w:p>
                <w:p>
                  <w:pPr>
                    <w:pStyle w:val="18"/>
                    <w:bidi w:val="0"/>
                    <w:jc w:val="left"/>
                    <w:rPr>
                      <w:sz w:val="24"/>
                      <w:szCs w:val="24"/>
                    </w:rPr>
                  </w:pPr>
                  <w:r>
                    <w:rPr>
                      <w:sz w:val="24"/>
                      <w:szCs w:val="24"/>
                    </w:rPr>
                    <w:t>（3.2）园区可能发生突发环境事件的污染物排放企业，储存、运输、使用危险化学品的企业，产生、收集、贮存、运输、利用、处置危险废物的企业，尾矿库（锰渣库）企业等应当编制和实施环境应急预案；鼓励其他企业制定单独的环境应急预案，或在突发事件应急预案中制定环境应急预案专章，并备案。</w:t>
                  </w:r>
                </w:p>
                <w:p>
                  <w:pPr>
                    <w:pStyle w:val="18"/>
                    <w:bidi w:val="0"/>
                    <w:jc w:val="left"/>
                    <w:rPr>
                      <w:sz w:val="24"/>
                      <w:szCs w:val="24"/>
                    </w:rPr>
                  </w:pPr>
                  <w:r>
                    <w:rPr>
                      <w:sz w:val="24"/>
                      <w:szCs w:val="24"/>
                    </w:rPr>
                    <w:t>（3.3）落实东部老工业区落后产能淘汰方案，做好淘汰落后产能遗留环境问题处置工作。对历史遗留的锰渣库进行有效治理，杜绝环境安全隐患。原锰锌高科技污染场地在移出污染地块名录以前，不得作为居住用地和商业、学校、医疗、养老机构等公共设施用地。</w:t>
                  </w:r>
                </w:p>
                <w:p>
                  <w:pPr>
                    <w:pStyle w:val="18"/>
                    <w:bidi w:val="0"/>
                    <w:jc w:val="left"/>
                    <w:rPr>
                      <w:sz w:val="24"/>
                      <w:szCs w:val="24"/>
                    </w:rPr>
                  </w:pPr>
                  <w:r>
                    <w:rPr>
                      <w:sz w:val="24"/>
                      <w:szCs w:val="24"/>
                    </w:rPr>
                    <w:t>（3.4）建设用地土壤风险防控：加强涉重金属行业污染防控力度。将涉重金属行业企业纳入土壤环境重点监管企业名单，加大涉重金属企业治污与清洁生产改造力度，规范企业无组织排放与物料、固体废物堆场堆存，稳步推进重金属减排。排放重点污染物的建设项目，严格落实土壤环境影响的评价内容，并提出防范土壤污染的具体措施。新（改、扩）建电解锰项目应采用国家推荐的清洁生产工艺和污染防治技术。电解锰行业对以下污染物进行重点防治：铬、硒、锰、氨氮、酸雾、工业粉尘、锰渣、阳极泥、硫化渣和铬渣。</w:t>
                  </w:r>
                </w:p>
              </w:tc>
              <w:tc>
                <w:tcPr>
                  <w:tcW w:w="827" w:type="pct"/>
                  <w:noWrap w:val="0"/>
                  <w:vAlign w:val="center"/>
                </w:tcPr>
                <w:p>
                  <w:pPr>
                    <w:pStyle w:val="18"/>
                    <w:bidi w:val="0"/>
                    <w:jc w:val="center"/>
                    <w:rPr>
                      <w:sz w:val="24"/>
                      <w:szCs w:val="24"/>
                    </w:rPr>
                  </w:pPr>
                  <w:r>
                    <w:rPr>
                      <w:sz w:val="24"/>
                      <w:szCs w:val="24"/>
                    </w:rPr>
                    <w:t>本项目</w:t>
                  </w:r>
                  <w:r>
                    <w:rPr>
                      <w:rFonts w:hint="eastAsia"/>
                      <w:sz w:val="24"/>
                      <w:szCs w:val="24"/>
                      <w:lang w:val="en-US" w:eastAsia="zh-CN"/>
                    </w:rPr>
                    <w:t>处于花垣县产业开发区内</w:t>
                  </w:r>
                  <w:r>
                    <w:rPr>
                      <w:sz w:val="24"/>
                      <w:szCs w:val="24"/>
                    </w:rPr>
                    <w:t>，建设单位将在正式运营阶段编制《企业突发环境事件应急预案》。</w:t>
                  </w:r>
                </w:p>
              </w:tc>
              <w:tc>
                <w:tcPr>
                  <w:tcW w:w="396" w:type="pct"/>
                  <w:noWrap w:val="0"/>
                  <w:vAlign w:val="center"/>
                </w:tcPr>
                <w:p>
                  <w:pPr>
                    <w:pStyle w:val="18"/>
                    <w:bidi w:val="0"/>
                    <w:jc w:val="center"/>
                    <w:rPr>
                      <w:sz w:val="24"/>
                      <w:szCs w:val="24"/>
                    </w:rPr>
                  </w:pPr>
                  <w:r>
                    <w:rPr>
                      <w:sz w:val="24"/>
                      <w:szCs w:val="24"/>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41" w:type="pct"/>
                  <w:noWrap w:val="0"/>
                  <w:vAlign w:val="center"/>
                </w:tcPr>
                <w:p>
                  <w:pPr>
                    <w:pStyle w:val="18"/>
                    <w:bidi w:val="0"/>
                    <w:jc w:val="center"/>
                    <w:rPr>
                      <w:sz w:val="24"/>
                      <w:szCs w:val="24"/>
                    </w:rPr>
                  </w:pPr>
                  <w:r>
                    <w:rPr>
                      <w:sz w:val="24"/>
                      <w:szCs w:val="24"/>
                    </w:rPr>
                    <w:t>资源开发效率要求</w:t>
                  </w:r>
                </w:p>
              </w:tc>
              <w:tc>
                <w:tcPr>
                  <w:tcW w:w="3334" w:type="pct"/>
                  <w:noWrap w:val="0"/>
                  <w:vAlign w:val="center"/>
                </w:tcPr>
                <w:p>
                  <w:pPr>
                    <w:pStyle w:val="18"/>
                    <w:bidi w:val="0"/>
                    <w:jc w:val="left"/>
                    <w:rPr>
                      <w:sz w:val="24"/>
                      <w:szCs w:val="24"/>
                    </w:rPr>
                  </w:pPr>
                  <w:r>
                    <w:rPr>
                      <w:sz w:val="24"/>
                      <w:szCs w:val="24"/>
                    </w:rPr>
                    <w:t>（4.1）能源：加快推进天然气管网建设，积极推广清洁能源。积极应用炉前风机及二氧化硫风机高压高频改造、阳极板改造等先进节能技术，尽量选用节能机电设备，积极推行清洁生产、余热余压回收利用、节水、绿色建筑节能、公共机构节能及采用信息化能源管理系统等。到2020年，园区综合能源消费量预测值为13.69万吨标煤（当量值），单位GDP能耗预测值为0.478吨标煤/万元；到2025年，园区综合能源消费量预测值为</w:t>
                  </w:r>
                  <w:r>
                    <w:rPr>
                      <w:rFonts w:hint="eastAsia"/>
                      <w:sz w:val="24"/>
                      <w:szCs w:val="24"/>
                      <w:lang w:val="en-US" w:eastAsia="zh-CN"/>
                    </w:rPr>
                    <w:t xml:space="preserve"> </w:t>
                  </w:r>
                  <w:r>
                    <w:rPr>
                      <w:sz w:val="24"/>
                      <w:szCs w:val="24"/>
                    </w:rPr>
                    <w:t>1.26万吨标煤（当量值），单位GDP能耗预测值为0.461吨标煤/万元，单位GDP能耗较2018年下降15%。</w:t>
                  </w:r>
                </w:p>
                <w:p>
                  <w:pPr>
                    <w:pStyle w:val="18"/>
                    <w:bidi w:val="0"/>
                    <w:jc w:val="left"/>
                    <w:rPr>
                      <w:sz w:val="24"/>
                      <w:szCs w:val="24"/>
                    </w:rPr>
                  </w:pPr>
                  <w:r>
                    <w:rPr>
                      <w:sz w:val="24"/>
                      <w:szCs w:val="24"/>
                    </w:rPr>
                    <w:t>（4.2）水资源：强化工业节水，重点开展食品等高耗水工业节水技术改造，大力推广工业水循环利用，推进节水型企业、节水型园区建设。到2020年，花垣县万元国内生产总值用水量比2015年下降27.4%，万元工业增加值用水量比2015年下降26.7%。</w:t>
                  </w:r>
                </w:p>
                <w:p>
                  <w:pPr>
                    <w:pStyle w:val="18"/>
                    <w:bidi w:val="0"/>
                    <w:jc w:val="left"/>
                    <w:rPr>
                      <w:sz w:val="24"/>
                      <w:szCs w:val="24"/>
                    </w:rPr>
                  </w:pPr>
                  <w:r>
                    <w:rPr>
                      <w:sz w:val="24"/>
                      <w:szCs w:val="24"/>
                    </w:rPr>
                    <w:t>（4.3）土地资源：新增建设用地指标优先保障承接产业转移项目建设，必须满足重大产业项目发展需要。优先保障主动进入园区的涉矿加工企业用地。到2025年，园区工业固定资产投资强度不低于150万元/亩。</w:t>
                  </w:r>
                </w:p>
              </w:tc>
              <w:tc>
                <w:tcPr>
                  <w:tcW w:w="827" w:type="pct"/>
                  <w:noWrap w:val="0"/>
                  <w:vAlign w:val="center"/>
                </w:tcPr>
                <w:p>
                  <w:pPr>
                    <w:pStyle w:val="18"/>
                    <w:bidi w:val="0"/>
                    <w:jc w:val="center"/>
                    <w:rPr>
                      <w:rFonts w:hint="default" w:eastAsia="宋体"/>
                      <w:sz w:val="24"/>
                      <w:szCs w:val="24"/>
                      <w:lang w:val="en-US" w:eastAsia="zh-CN"/>
                    </w:rPr>
                  </w:pPr>
                  <w:r>
                    <w:rPr>
                      <w:color w:val="auto"/>
                      <w:sz w:val="24"/>
                      <w:szCs w:val="24"/>
                    </w:rPr>
                    <w:t>本项目能源使用电能</w:t>
                  </w:r>
                  <w:r>
                    <w:rPr>
                      <w:rFonts w:hint="eastAsia"/>
                      <w:color w:val="auto"/>
                      <w:sz w:val="24"/>
                      <w:szCs w:val="24"/>
                      <w:lang w:eastAsia="zh-CN"/>
                    </w:rPr>
                    <w:t>、</w:t>
                  </w:r>
                  <w:r>
                    <w:rPr>
                      <w:rFonts w:hint="eastAsia"/>
                      <w:color w:val="auto"/>
                      <w:sz w:val="24"/>
                      <w:szCs w:val="24"/>
                      <w:lang w:val="en-US" w:eastAsia="zh-CN"/>
                    </w:rPr>
                    <w:t>生物质</w:t>
                  </w:r>
                  <w:r>
                    <w:rPr>
                      <w:sz w:val="24"/>
                      <w:szCs w:val="24"/>
                    </w:rPr>
                    <w:t>等清洁能源。</w:t>
                  </w:r>
                  <w:r>
                    <w:rPr>
                      <w:rFonts w:hint="eastAsia"/>
                      <w:sz w:val="24"/>
                      <w:szCs w:val="24"/>
                      <w:lang w:val="en-US" w:eastAsia="zh-CN"/>
                    </w:rPr>
                    <w:t>生产废水不外排，全部回用。属于锰渣综合利用项目，满足重大产业发展需求。</w:t>
                  </w:r>
                </w:p>
              </w:tc>
              <w:tc>
                <w:tcPr>
                  <w:tcW w:w="396" w:type="pct"/>
                  <w:noWrap w:val="0"/>
                  <w:vAlign w:val="center"/>
                </w:tcPr>
                <w:p>
                  <w:pPr>
                    <w:pStyle w:val="18"/>
                    <w:bidi w:val="0"/>
                    <w:jc w:val="center"/>
                    <w:rPr>
                      <w:sz w:val="24"/>
                      <w:szCs w:val="24"/>
                    </w:rPr>
                  </w:pPr>
                  <w:r>
                    <w:rPr>
                      <w:sz w:val="24"/>
                      <w:szCs w:val="24"/>
                    </w:rPr>
                    <w:t>符合</w:t>
                  </w:r>
                </w:p>
              </w:tc>
            </w:tr>
          </w:tbl>
          <w:p>
            <w:pPr>
              <w:pStyle w:val="19"/>
              <w:bidi w:val="0"/>
              <w:rPr>
                <w:rFonts w:hint="eastAsia"/>
                <w:lang w:val="en-US" w:eastAsia="zh-CN"/>
              </w:rPr>
            </w:pPr>
            <w:r>
              <w:rPr>
                <w:rFonts w:hint="eastAsia"/>
                <w:lang w:val="en-US" w:eastAsia="zh-CN"/>
              </w:rPr>
              <w:t>综上所述，本项目与花垣县“三线一单”管控要求和生态环境准入要求的相符。</w:t>
            </w:r>
          </w:p>
          <w:p>
            <w:pPr>
              <w:bidi w:val="0"/>
              <w:rPr>
                <w:rFonts w:hint="eastAsia"/>
                <w:b/>
                <w:bCs/>
                <w:lang w:val="en-US" w:eastAsia="zh-CN"/>
              </w:rPr>
            </w:pPr>
            <w:r>
              <w:rPr>
                <w:rFonts w:hint="eastAsia"/>
                <w:b/>
                <w:bCs/>
                <w:lang w:val="en-US" w:eastAsia="zh-CN"/>
              </w:rPr>
              <w:t>5、与《湘西自治州“十四五”生态环境保护规划》的符合性分析</w:t>
            </w:r>
          </w:p>
          <w:p>
            <w:pPr>
              <w:pStyle w:val="19"/>
              <w:bidi w:val="0"/>
              <w:rPr>
                <w:rFonts w:hint="eastAsia"/>
                <w:lang w:val="en-US" w:eastAsia="zh-CN"/>
              </w:rPr>
            </w:pPr>
            <w:r>
              <w:rPr>
                <w:rFonts w:hint="eastAsia"/>
                <w:lang w:val="en-US" w:eastAsia="zh-CN"/>
              </w:rPr>
              <w:t>结合《湘西自治州“十四五”生态环境保护规划》中“第七章  强化风险防控严守生态环境安全底线：加强重金属污染防治。继续推进锰锌行业整治整合，加快淘汰散小落后产能，引导企业向园区集聚，实行重点监管和集中治污。严格实行重金属排污总量控制和许可制度，将年度总量控制指标分解落实到县市和企业，督促县市制定落实年度削减计划，在锰污染超标的花垣河流域推行特别排放限值。加强对重点企业监管，强制推行在线监控和清洁生产审核，督促其按照规范要求按期开展自行监测并公布监测结果，并根据监测结果情况对环境隐患情况开展排查整改。定期开展现场检查和监督性监测，确保企业污染治理设施正常运转。着力解决历史遗留污染问题，多渠道筹措资金，“十四五”期内所有无主尾矿（渣）实现规范闭库及矿山生态修复。</w:t>
            </w:r>
          </w:p>
          <w:p>
            <w:pPr>
              <w:pStyle w:val="19"/>
              <w:bidi w:val="0"/>
              <w:rPr>
                <w:rFonts w:hint="eastAsia"/>
                <w:lang w:val="en-US" w:eastAsia="zh-CN"/>
              </w:rPr>
            </w:pPr>
            <w:r>
              <w:rPr>
                <w:rFonts w:hint="eastAsia"/>
                <w:lang w:val="en-US" w:eastAsia="zh-CN"/>
              </w:rPr>
              <w:t>本项目位于花垣县产业开发区内。项目污染物在采取相关防治措施能够达到排放限值要求。并开展了环境隐患排查。项目建设符合《湘西自治州“十四五”生态环境保护规划》中的相关规定要求。</w:t>
            </w:r>
          </w:p>
          <w:p>
            <w:pPr>
              <w:bidi w:val="0"/>
              <w:rPr>
                <w:rFonts w:hint="eastAsia"/>
                <w:b/>
                <w:bCs/>
                <w:lang w:val="en-US" w:eastAsia="zh-CN"/>
              </w:rPr>
            </w:pPr>
            <w:r>
              <w:rPr>
                <w:rFonts w:hint="eastAsia"/>
                <w:b/>
                <w:bCs/>
                <w:lang w:val="en-US" w:eastAsia="zh-CN"/>
              </w:rPr>
              <w:t>6、“关于“十四五”大宗固体废弃物综合利用的指导意见（发改环资〔2021381 号）”符合性分析</w:t>
            </w:r>
          </w:p>
          <w:p>
            <w:pPr>
              <w:bidi w:val="0"/>
              <w:ind w:firstLine="480" w:firstLineChars="200"/>
              <w:rPr>
                <w:rFonts w:hint="eastAsia"/>
                <w:lang w:val="en-US" w:eastAsia="zh-CN"/>
              </w:rPr>
            </w:pPr>
            <w:r>
              <w:rPr>
                <w:rFonts w:hint="eastAsia"/>
                <w:lang w:val="en-US" w:eastAsia="zh-CN"/>
              </w:rPr>
              <w:t>《关于“十四五”大宗固体废弃物综合利用的指导意见》指出：到 2025 年，煤矸石、粉煤灰、尾矿（共伴生矿）、冶炼渣、工业副产石膏、建筑垃圾、农作物秸秆等大宗固废的综合利用能力显著提升，利用规模不断扩大，新增大宗固废综合利用率达到 60%，存量大宗固废有序减少。锰电解废渣是典型的冶金固废，是锰冶金行业的主要固废，加强锰电解废渣的无害化处置、助力实现资源化利用是发展环境友好型锰冶炼技术的关键举措。本项目属于锰渣综合利用项目符合上述指导意见要求。</w:t>
            </w:r>
          </w:p>
          <w:p>
            <w:pPr>
              <w:keepNext w:val="0"/>
              <w:keepLines w:val="0"/>
              <w:widowControl/>
              <w:suppressLineNumbers w:val="0"/>
              <w:jc w:val="left"/>
              <w:rPr>
                <w:b/>
                <w:bCs/>
              </w:rPr>
            </w:pPr>
            <w:r>
              <w:rPr>
                <w:rFonts w:hint="eastAsia"/>
                <w:b/>
                <w:bCs/>
                <w:lang w:val="en-US" w:eastAsia="zh-CN"/>
              </w:rPr>
              <w:t>7、</w:t>
            </w:r>
            <w:r>
              <w:rPr>
                <w:rFonts w:hint="eastAsia" w:ascii="宋体" w:hAnsi="宋体" w:eastAsia="宋体" w:cs="宋体"/>
                <w:b/>
                <w:bCs/>
                <w:color w:val="000000"/>
                <w:kern w:val="0"/>
                <w:sz w:val="24"/>
                <w:szCs w:val="24"/>
                <w:lang w:val="en-US" w:eastAsia="zh-CN" w:bidi="ar"/>
              </w:rPr>
              <w:t>与《湖南省</w:t>
            </w:r>
            <w:r>
              <w:rPr>
                <w:rFonts w:hint="default" w:ascii="Times New Roman" w:hAnsi="Times New Roman" w:eastAsia="宋体" w:cs="Times New Roman"/>
                <w:b/>
                <w:bCs/>
                <w:color w:val="000000"/>
                <w:kern w:val="0"/>
                <w:sz w:val="24"/>
                <w:szCs w:val="24"/>
                <w:lang w:val="en-US" w:eastAsia="zh-CN" w:bidi="ar"/>
              </w:rPr>
              <w:t>“</w:t>
            </w:r>
            <w:r>
              <w:rPr>
                <w:rFonts w:hint="eastAsia" w:ascii="宋体" w:hAnsi="宋体" w:eastAsia="宋体" w:cs="宋体"/>
                <w:b/>
                <w:bCs/>
                <w:color w:val="000000"/>
                <w:kern w:val="0"/>
                <w:sz w:val="24"/>
                <w:szCs w:val="24"/>
                <w:lang w:val="en-US" w:eastAsia="zh-CN" w:bidi="ar"/>
              </w:rPr>
              <w:t>十四五</w:t>
            </w:r>
            <w:r>
              <w:rPr>
                <w:rFonts w:hint="default" w:ascii="Times New Roman" w:hAnsi="Times New Roman" w:eastAsia="宋体" w:cs="Times New Roman"/>
                <w:b/>
                <w:bCs/>
                <w:color w:val="000000"/>
                <w:kern w:val="0"/>
                <w:sz w:val="24"/>
                <w:szCs w:val="24"/>
                <w:lang w:val="en-US" w:eastAsia="zh-CN" w:bidi="ar"/>
              </w:rPr>
              <w:t>”</w:t>
            </w:r>
            <w:r>
              <w:rPr>
                <w:rFonts w:hint="eastAsia" w:ascii="宋体" w:hAnsi="宋体" w:eastAsia="宋体" w:cs="宋体"/>
                <w:b/>
                <w:bCs/>
                <w:color w:val="000000"/>
                <w:kern w:val="0"/>
                <w:sz w:val="24"/>
                <w:szCs w:val="24"/>
                <w:lang w:val="en-US" w:eastAsia="zh-CN" w:bidi="ar"/>
              </w:rPr>
              <w:t>固体废物环境管理规划》符合性分析</w:t>
            </w:r>
          </w:p>
          <w:p>
            <w:pPr>
              <w:pStyle w:val="19"/>
              <w:bidi w:val="0"/>
              <w:rPr>
                <w:rFonts w:hint="eastAsia"/>
                <w:lang w:val="en-US" w:eastAsia="zh-CN"/>
              </w:rPr>
            </w:pPr>
            <w:r>
              <w:rPr>
                <w:rFonts w:hint="default"/>
                <w:lang w:val="en-US" w:eastAsia="zh-CN"/>
              </w:rPr>
              <w:t>规划指出：</w:t>
            </w:r>
            <w:r>
              <w:rPr>
                <w:rFonts w:hint="eastAsia" w:ascii="宋体" w:hAnsi="宋体" w:eastAsia="宋体" w:cs="宋体"/>
                <w:lang w:val="en-US" w:eastAsia="zh-CN"/>
              </w:rPr>
              <w:t>……</w:t>
            </w:r>
            <w:r>
              <w:rPr>
                <w:rFonts w:hint="eastAsia" w:ascii="宋体" w:hAnsi="宋体" w:eastAsia="宋体" w:cs="宋体"/>
                <w:lang w:val="en-US" w:eastAsia="zh-CN"/>
              </w:rPr>
              <w:t>“</w:t>
            </w:r>
            <w:r>
              <w:rPr>
                <w:rFonts w:hint="default"/>
                <w:lang w:val="en-US" w:eastAsia="zh-CN"/>
              </w:rPr>
              <w:t>十四五</w:t>
            </w:r>
            <w:r>
              <w:rPr>
                <w:rFonts w:hint="eastAsia" w:ascii="宋体" w:hAnsi="宋体" w:eastAsia="宋体" w:cs="宋体"/>
                <w:lang w:val="en-US" w:eastAsia="zh-CN"/>
              </w:rPr>
              <w:t>”</w:t>
            </w:r>
            <w:r>
              <w:rPr>
                <w:rFonts w:hint="default"/>
                <w:lang w:val="en-US" w:eastAsia="zh-CN"/>
              </w:rPr>
              <w:t>期间，我省继续以改善环境质量为核心，以有效防范环境风险为目标，紧盯固体废物污染防治重点领域和关键环节，集中力量攻克老百姓身边的突出生态环境问题，以固体废物环境监管能力、利用处置能力、风险防范能力建设等为主要任务。到 2025 年，固体废物环境管理制度进一步完善，机构队伍建设得到加强，管理基础能力大幅提升。全面掌握一般工业固体废物和危险废物的产生、贮存、利用和处置情况。</w:t>
            </w:r>
            <w:r>
              <w:rPr>
                <w:rFonts w:hint="eastAsia" w:ascii="宋体" w:hAnsi="宋体" w:eastAsia="宋体" w:cs="宋体"/>
                <w:lang w:val="en-US" w:eastAsia="zh-CN"/>
              </w:rPr>
              <w:t>……</w:t>
            </w:r>
            <w:r>
              <w:rPr>
                <w:rFonts w:hint="default"/>
                <w:lang w:val="en-US" w:eastAsia="zh-CN"/>
              </w:rPr>
              <w:t>大宗工业固体废物综合利用率≧60%</w:t>
            </w:r>
            <w:r>
              <w:rPr>
                <w:rFonts w:hint="eastAsia" w:ascii="宋体" w:hAnsi="宋体" w:eastAsia="宋体" w:cs="宋体"/>
                <w:lang w:val="en-US" w:eastAsia="zh-CN"/>
              </w:rPr>
              <w:t>……</w:t>
            </w:r>
            <w:r>
              <w:rPr>
                <w:rFonts w:hint="default"/>
                <w:lang w:val="en-US" w:eastAsia="zh-CN"/>
              </w:rPr>
              <w:t>促进一般工业固体废物资源综合利用产业规范化、绿色化、规模化、高技术化发展。充分利用工业窑炉、水泥窑等设施消纳尾矿、粉煤灰、煤矸石、炉渣、冶炼废渣、脱硫石膏等一般工业固体废物，构建以水泥、建材、冶金等行业为核心的一般工业固体废物综合利用系统，提高一般工业固体废物综合利用率。</w:t>
            </w:r>
            <w:r>
              <w:rPr>
                <w:rFonts w:hint="eastAsia"/>
                <w:lang w:val="en-US" w:eastAsia="zh-CN"/>
              </w:rPr>
              <w:t>本项目通过无害化工艺将电解锰渣浸出锰和铵根离子，使电解锰渣处理为无害化锰渣，并由第II类工业一般固体废物转化为第I类一般工业固体废物；通过资源化工艺将无害化锰渣加工成隔墙板。项目属于大宗工业固体废物的综合利用，契合《湖南省“十四五”固体废物环境管理规划》。</w:t>
            </w:r>
          </w:p>
          <w:p>
            <w:pPr>
              <w:bidi w:val="0"/>
              <w:rPr>
                <w:b/>
                <w:bCs/>
              </w:rPr>
            </w:pPr>
            <w:r>
              <w:rPr>
                <w:rFonts w:hint="eastAsia"/>
                <w:b/>
                <w:bCs/>
                <w:lang w:val="en-US" w:eastAsia="zh-CN"/>
              </w:rPr>
              <w:t>8、与《关于印发加快推动工业资源综合利用实施方案的通知》（工信部联节〔</w:t>
            </w:r>
            <w:r>
              <w:rPr>
                <w:rFonts w:hint="default"/>
                <w:b/>
                <w:bCs/>
                <w:lang w:val="en-US" w:eastAsia="zh-CN"/>
              </w:rPr>
              <w:t>2022</w:t>
            </w:r>
            <w:r>
              <w:rPr>
                <w:rFonts w:hint="eastAsia"/>
                <w:b/>
                <w:bCs/>
                <w:lang w:val="en-US" w:eastAsia="zh-CN"/>
              </w:rPr>
              <w:t>〕</w:t>
            </w:r>
            <w:r>
              <w:rPr>
                <w:rFonts w:hint="default"/>
                <w:b/>
                <w:bCs/>
                <w:lang w:val="en-US" w:eastAsia="zh-CN"/>
              </w:rPr>
              <w:t>9</w:t>
            </w:r>
            <w:r>
              <w:rPr>
                <w:rFonts w:hint="eastAsia"/>
                <w:b/>
                <w:bCs/>
                <w:lang w:val="en-US" w:eastAsia="zh-CN"/>
              </w:rPr>
              <w:t>号）符合性分析</w:t>
            </w:r>
          </w:p>
          <w:p>
            <w:pPr>
              <w:pStyle w:val="19"/>
              <w:bidi w:val="0"/>
              <w:rPr>
                <w:rFonts w:hint="eastAsia"/>
                <w:lang w:val="en-US" w:eastAsia="zh-CN"/>
              </w:rPr>
            </w:pPr>
            <w:r>
              <w:rPr>
                <w:rFonts w:hint="default"/>
                <w:lang w:val="en-US" w:eastAsia="zh-CN"/>
              </w:rPr>
              <w:t>工信部联节〔2022〕9号指出：针对部分固废成分复杂、有害物质含量多、性质不稳定等问题，分类施策，稳步提高综合利用能力。积极开展钢渣分级分质利用，扩大钢渣在低碳水泥等绿色建材和路基材料中的应用，提升钢渣综合利用规模。加快推动锰渣、镁渣综合利用，鼓励建设锰渣生产活性微粉等规模化利用项目。</w:t>
            </w:r>
            <w:r>
              <w:rPr>
                <w:rFonts w:hint="eastAsia"/>
                <w:lang w:val="en-US" w:eastAsia="zh-CN"/>
              </w:rPr>
              <w:t>本项目通过专利的无害化技术和资源化技术对锰渣进行综合利用，产出锰铵合格电解液和隔墙板，项目建设符合工信部联节〔2022〕9号文件的相关要求。</w:t>
            </w:r>
          </w:p>
          <w:p>
            <w:pPr>
              <w:pStyle w:val="19"/>
              <w:bidi w:val="0"/>
              <w:ind w:left="0" w:leftChars="0" w:firstLine="0" w:firstLineChars="0"/>
              <w:jc w:val="left"/>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bCs/>
                <w:kern w:val="2"/>
                <w:sz w:val="24"/>
                <w:szCs w:val="24"/>
                <w:lang w:val="en-US" w:eastAsia="zh-CN" w:bidi="ar-SA"/>
              </w:rPr>
              <w:t>9、与《锰渣污染控制技术规范》（HJ 1241—2022）符合性分析</w:t>
            </w:r>
          </w:p>
          <w:p>
            <w:pPr>
              <w:pStyle w:val="19"/>
              <w:bidi w:val="0"/>
              <w:rPr>
                <w:rFonts w:hint="default"/>
                <w:lang w:val="en-US" w:eastAsia="zh-CN"/>
              </w:rPr>
            </w:pPr>
            <w:r>
              <w:rPr>
                <w:rFonts w:hint="eastAsia"/>
                <w:lang w:val="en-US" w:eastAsia="zh-CN"/>
              </w:rPr>
              <w:t>为贯彻《中华人民共和国环境保护法》《中华人民共和国固体废物污染环境防治法》等法律法规，防治环境污染，改善生态环境质量，规范和指导锰渣的环境管理，国家制定了《锰渣污染控制技术规范》（HJ 1241—2022），参照规范中总体要求与项目符合性分析见表1-4。</w:t>
            </w:r>
          </w:p>
          <w:p>
            <w:pPr>
              <w:bidi w:val="0"/>
              <w:jc w:val="center"/>
              <w:rPr>
                <w:rFonts w:hint="default"/>
                <w:b/>
                <w:bCs/>
                <w:lang w:val="en-US" w:eastAsia="zh-CN"/>
              </w:rPr>
            </w:pPr>
            <w:r>
              <w:rPr>
                <w:rFonts w:hint="eastAsia"/>
                <w:b/>
                <w:bCs/>
                <w:lang w:val="en-US" w:eastAsia="zh-CN"/>
              </w:rPr>
              <w:t>表1-4  项目与《锰渣污染控制技术规范》（HJ 1241—2022）符合性</w:t>
            </w:r>
          </w:p>
          <w:tbl>
            <w:tblPr>
              <w:tblStyle w:val="1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48"/>
              <w:gridCol w:w="3732"/>
              <w:gridCol w:w="3349"/>
              <w:gridCol w:w="6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30"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序号</w:t>
                  </w:r>
                </w:p>
              </w:tc>
              <w:tc>
                <w:tcPr>
                  <w:tcW w:w="2251"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要求</w:t>
                  </w:r>
                </w:p>
              </w:tc>
              <w:tc>
                <w:tcPr>
                  <w:tcW w:w="2020" w:type="pct"/>
                  <w:noWrap w:val="0"/>
                  <w:vAlign w:val="center"/>
                </w:tcPr>
                <w:p>
                  <w:pPr>
                    <w:pStyle w:val="18"/>
                    <w:bidi w:val="0"/>
                    <w:jc w:val="center"/>
                    <w:rPr>
                      <w:rFonts w:hint="default" w:eastAsia="宋体"/>
                      <w:sz w:val="24"/>
                      <w:szCs w:val="24"/>
                      <w:lang w:val="en-US" w:eastAsia="zh-CN"/>
                    </w:rPr>
                  </w:pPr>
                  <w:r>
                    <w:rPr>
                      <w:rFonts w:hint="eastAsia"/>
                      <w:sz w:val="24"/>
                      <w:szCs w:val="24"/>
                      <w:lang w:val="en-US" w:eastAsia="zh-CN"/>
                    </w:rPr>
                    <w:t>本工程情况</w:t>
                  </w:r>
                </w:p>
              </w:tc>
              <w:tc>
                <w:tcPr>
                  <w:tcW w:w="396"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符合性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0"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1</w:t>
                  </w:r>
                </w:p>
              </w:tc>
              <w:tc>
                <w:tcPr>
                  <w:tcW w:w="2251" w:type="pct"/>
                  <w:noWrap w:val="0"/>
                  <w:vAlign w:val="center"/>
                </w:tcPr>
                <w:p>
                  <w:pPr>
                    <w:pStyle w:val="18"/>
                    <w:bidi w:val="0"/>
                    <w:jc w:val="left"/>
                    <w:rPr>
                      <w:sz w:val="24"/>
                      <w:szCs w:val="24"/>
                    </w:rPr>
                  </w:pPr>
                  <w:r>
                    <w:rPr>
                      <w:rFonts w:hint="eastAsia"/>
                      <w:sz w:val="24"/>
                      <w:szCs w:val="24"/>
                    </w:rPr>
                    <w:t>锰渣污染环境防治应坚持减量化、资源化和无害化原则，采取措施减少锰渣产生量，尽可能对锰渣进行综合利用，最大限度降低锰渣的填埋量，控制环境风险。</w:t>
                  </w:r>
                </w:p>
              </w:tc>
              <w:tc>
                <w:tcPr>
                  <w:tcW w:w="2020" w:type="pct"/>
                  <w:noWrap w:val="0"/>
                  <w:vAlign w:val="center"/>
                </w:tcPr>
                <w:p>
                  <w:pPr>
                    <w:pStyle w:val="18"/>
                    <w:bidi w:val="0"/>
                    <w:jc w:val="center"/>
                    <w:rPr>
                      <w:rFonts w:hint="default" w:eastAsia="宋体"/>
                      <w:sz w:val="24"/>
                      <w:szCs w:val="24"/>
                      <w:lang w:val="en-US" w:eastAsia="zh-CN"/>
                    </w:rPr>
                  </w:pPr>
                  <w:r>
                    <w:rPr>
                      <w:rFonts w:hint="eastAsia"/>
                      <w:sz w:val="24"/>
                      <w:szCs w:val="24"/>
                      <w:lang w:val="en-US" w:eastAsia="zh-CN"/>
                    </w:rPr>
                    <w:t>本项目利用公司的专利技术对锰渣进行无害化处理，并将无害化后的锰渣进行资源化加工，既降低了锰渣的填埋量又对锰渣进行了综合利用，符合总体要求。</w:t>
                  </w:r>
                </w:p>
              </w:tc>
              <w:tc>
                <w:tcPr>
                  <w:tcW w:w="396"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0"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2</w:t>
                  </w:r>
                </w:p>
              </w:tc>
              <w:tc>
                <w:tcPr>
                  <w:tcW w:w="2251" w:type="pct"/>
                  <w:noWrap w:val="0"/>
                  <w:vAlign w:val="center"/>
                </w:tcPr>
                <w:p>
                  <w:pPr>
                    <w:pStyle w:val="18"/>
                    <w:bidi w:val="0"/>
                    <w:jc w:val="left"/>
                    <w:rPr>
                      <w:sz w:val="24"/>
                      <w:szCs w:val="24"/>
                    </w:rPr>
                  </w:pPr>
                  <w:r>
                    <w:rPr>
                      <w:rFonts w:hint="eastAsia"/>
                      <w:sz w:val="24"/>
                      <w:szCs w:val="24"/>
                    </w:rPr>
                    <w:t>锰渣收集、贮存、预处理、利用、充填、回填和填埋过程中产生的废水、废气等各种污染物的排放应符合国家发布的污染物排放标准及限值要求；地方污染物排放标准、环境影响评价批复文件或排污许可证有更严格要求的，从其规定。</w:t>
                  </w:r>
                </w:p>
              </w:tc>
              <w:tc>
                <w:tcPr>
                  <w:tcW w:w="2020" w:type="pct"/>
                  <w:noWrap w:val="0"/>
                  <w:vAlign w:val="center"/>
                </w:tcPr>
                <w:p>
                  <w:pPr>
                    <w:pStyle w:val="18"/>
                    <w:bidi w:val="0"/>
                    <w:jc w:val="center"/>
                    <w:rPr>
                      <w:rFonts w:hint="default" w:eastAsia="宋体"/>
                      <w:sz w:val="24"/>
                      <w:szCs w:val="24"/>
                      <w:lang w:val="en-US" w:eastAsia="zh-CN"/>
                    </w:rPr>
                  </w:pPr>
                  <w:r>
                    <w:rPr>
                      <w:rFonts w:hint="eastAsia"/>
                      <w:sz w:val="24"/>
                      <w:szCs w:val="24"/>
                      <w:lang w:val="en-US" w:eastAsia="zh-CN"/>
                    </w:rPr>
                    <w:t>项目在锰渣的无害化过程中产生的废水回用于生产不外排，废气符合污染物排放标准限值，符合总体要求</w:t>
                  </w:r>
                </w:p>
              </w:tc>
              <w:tc>
                <w:tcPr>
                  <w:tcW w:w="396"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0"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3</w:t>
                  </w:r>
                </w:p>
              </w:tc>
              <w:tc>
                <w:tcPr>
                  <w:tcW w:w="2251" w:type="pct"/>
                  <w:noWrap w:val="0"/>
                  <w:vAlign w:val="center"/>
                </w:tcPr>
                <w:p>
                  <w:pPr>
                    <w:pStyle w:val="18"/>
                    <w:bidi w:val="0"/>
                    <w:jc w:val="left"/>
                    <w:rPr>
                      <w:sz w:val="24"/>
                      <w:szCs w:val="24"/>
                    </w:rPr>
                  </w:pPr>
                  <w:r>
                    <w:rPr>
                      <w:rFonts w:hint="eastAsia"/>
                      <w:sz w:val="24"/>
                      <w:szCs w:val="24"/>
                    </w:rPr>
                    <w:t>锰渣及其预处理产物作为替代原料生产的产品应符合国家、地方制定或行业通行的产品质量标准。</w:t>
                  </w:r>
                </w:p>
              </w:tc>
              <w:tc>
                <w:tcPr>
                  <w:tcW w:w="2020" w:type="pct"/>
                  <w:noWrap w:val="0"/>
                  <w:vAlign w:val="center"/>
                </w:tcPr>
                <w:p>
                  <w:pPr>
                    <w:pStyle w:val="18"/>
                    <w:bidi w:val="0"/>
                    <w:jc w:val="center"/>
                    <w:rPr>
                      <w:rFonts w:hint="default" w:eastAsia="宋体"/>
                      <w:sz w:val="24"/>
                      <w:szCs w:val="24"/>
                      <w:lang w:val="en-US" w:eastAsia="zh-CN"/>
                    </w:rPr>
                  </w:pPr>
                  <w:r>
                    <w:rPr>
                      <w:rFonts w:hint="eastAsia"/>
                      <w:sz w:val="24"/>
                      <w:szCs w:val="24"/>
                      <w:lang w:val="en-US" w:eastAsia="zh-CN"/>
                    </w:rPr>
                    <w:t>本项目产生的锰铵合格液未有行业产品质量标准，但符合电解锰企业的生产需求，是电解锰行业的合格电解液；生产的隔墙板满足国家《建筑用轻质隔板墙》（GB/T23451-2009）质量标准。</w:t>
                  </w:r>
                </w:p>
              </w:tc>
              <w:tc>
                <w:tcPr>
                  <w:tcW w:w="396"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0"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4</w:t>
                  </w:r>
                </w:p>
              </w:tc>
              <w:tc>
                <w:tcPr>
                  <w:tcW w:w="2251" w:type="pct"/>
                  <w:noWrap w:val="0"/>
                  <w:vAlign w:val="center"/>
                </w:tcPr>
                <w:p>
                  <w:pPr>
                    <w:pStyle w:val="18"/>
                    <w:bidi w:val="0"/>
                    <w:jc w:val="left"/>
                    <w:rPr>
                      <w:sz w:val="24"/>
                      <w:szCs w:val="24"/>
                    </w:rPr>
                  </w:pPr>
                  <w:r>
                    <w:rPr>
                      <w:rFonts w:hint="eastAsia"/>
                      <w:sz w:val="24"/>
                      <w:szCs w:val="24"/>
                    </w:rPr>
                    <w:t>锰渣收集、贮存、预处理、利用、充填、回填和填埋过程应满足环境保护相关要求。国家安全生产、职业健康、交通运输、消防等法律法规标准另有规定的，适用其规定。</w:t>
                  </w:r>
                </w:p>
              </w:tc>
              <w:tc>
                <w:tcPr>
                  <w:tcW w:w="2020" w:type="pct"/>
                  <w:noWrap w:val="0"/>
                  <w:vAlign w:val="center"/>
                </w:tcPr>
                <w:p>
                  <w:pPr>
                    <w:pStyle w:val="18"/>
                    <w:bidi w:val="0"/>
                    <w:jc w:val="center"/>
                    <w:rPr>
                      <w:rFonts w:hint="default" w:eastAsia="宋体"/>
                      <w:sz w:val="24"/>
                      <w:szCs w:val="24"/>
                      <w:lang w:val="en-US" w:eastAsia="zh-CN"/>
                    </w:rPr>
                  </w:pPr>
                  <w:r>
                    <w:rPr>
                      <w:rFonts w:hint="eastAsia"/>
                      <w:sz w:val="24"/>
                      <w:szCs w:val="24"/>
                      <w:lang w:val="en-US" w:eastAsia="zh-CN"/>
                    </w:rPr>
                    <w:t>项目锰渣贮存、无害化和资源化均按照环境保护相关要求进行建设和设计，满足环境保护相关要求。</w:t>
                  </w:r>
                </w:p>
              </w:tc>
              <w:tc>
                <w:tcPr>
                  <w:tcW w:w="396" w:type="pct"/>
                  <w:noWrap w:val="0"/>
                  <w:vAlign w:val="center"/>
                </w:tcPr>
                <w:p>
                  <w:pPr>
                    <w:pStyle w:val="18"/>
                    <w:bidi w:val="0"/>
                    <w:jc w:val="center"/>
                    <w:rPr>
                      <w:rFonts w:hint="eastAsia" w:eastAsia="宋体"/>
                      <w:sz w:val="24"/>
                      <w:szCs w:val="24"/>
                      <w:lang w:val="en-US" w:eastAsia="zh-CN"/>
                    </w:rPr>
                  </w:pPr>
                  <w:r>
                    <w:rPr>
                      <w:rFonts w:hint="eastAsia"/>
                      <w:sz w:val="24"/>
                      <w:szCs w:val="24"/>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0" w:type="pct"/>
                  <w:noWrap w:val="0"/>
                  <w:vAlign w:val="center"/>
                </w:tcPr>
                <w:p>
                  <w:pPr>
                    <w:pStyle w:val="18"/>
                    <w:bidi w:val="0"/>
                    <w:jc w:val="center"/>
                    <w:rPr>
                      <w:rFonts w:hint="default"/>
                      <w:sz w:val="24"/>
                      <w:szCs w:val="24"/>
                      <w:lang w:val="en-US" w:eastAsia="zh-CN"/>
                    </w:rPr>
                  </w:pPr>
                  <w:r>
                    <w:rPr>
                      <w:rFonts w:hint="eastAsia"/>
                      <w:sz w:val="24"/>
                      <w:szCs w:val="24"/>
                      <w:lang w:val="en-US" w:eastAsia="zh-CN"/>
                    </w:rPr>
                    <w:t>5</w:t>
                  </w:r>
                </w:p>
              </w:tc>
              <w:tc>
                <w:tcPr>
                  <w:tcW w:w="2251" w:type="pct"/>
                  <w:noWrap w:val="0"/>
                  <w:vAlign w:val="center"/>
                </w:tcPr>
                <w:p>
                  <w:pPr>
                    <w:pStyle w:val="18"/>
                    <w:bidi w:val="0"/>
                    <w:jc w:val="left"/>
                    <w:rPr>
                      <w:rFonts w:hint="eastAsia" w:eastAsia="宋体"/>
                      <w:sz w:val="24"/>
                      <w:szCs w:val="24"/>
                      <w:lang w:eastAsia="zh-CN"/>
                    </w:rPr>
                  </w:pPr>
                  <w:r>
                    <w:rPr>
                      <w:rFonts w:hint="eastAsia"/>
                      <w:sz w:val="24"/>
                      <w:szCs w:val="24"/>
                    </w:rPr>
                    <w:t>锰渣的收集和贮存设施应具有防扬散、防流失、防渗漏等措施</w:t>
                  </w:r>
                  <w:r>
                    <w:rPr>
                      <w:rFonts w:hint="eastAsia"/>
                      <w:sz w:val="24"/>
                      <w:szCs w:val="24"/>
                      <w:lang w:eastAsia="zh-CN"/>
                    </w:rPr>
                    <w:t>；</w:t>
                  </w:r>
                </w:p>
                <w:p>
                  <w:pPr>
                    <w:pStyle w:val="18"/>
                    <w:bidi w:val="0"/>
                    <w:jc w:val="left"/>
                    <w:rPr>
                      <w:rFonts w:hint="eastAsia" w:eastAsia="宋体"/>
                      <w:sz w:val="24"/>
                      <w:szCs w:val="24"/>
                      <w:lang w:eastAsia="zh-CN"/>
                    </w:rPr>
                  </w:pPr>
                  <w:r>
                    <w:rPr>
                      <w:rFonts w:hint="eastAsia"/>
                      <w:sz w:val="24"/>
                      <w:szCs w:val="24"/>
                    </w:rPr>
                    <w:t>锰渣的运输工具（包括传送带，运输车辆等）应具有防雨、防渗漏、防遗撒等措施，防止运输过程对环境造成二次污染</w:t>
                  </w:r>
                  <w:r>
                    <w:rPr>
                      <w:rFonts w:hint="eastAsia"/>
                      <w:sz w:val="24"/>
                      <w:szCs w:val="24"/>
                      <w:lang w:eastAsia="zh-CN"/>
                    </w:rPr>
                    <w:t>；</w:t>
                  </w:r>
                </w:p>
                <w:p>
                  <w:pPr>
                    <w:pStyle w:val="18"/>
                    <w:bidi w:val="0"/>
                    <w:jc w:val="left"/>
                    <w:rPr>
                      <w:rFonts w:hint="eastAsia" w:eastAsia="宋体"/>
                      <w:sz w:val="24"/>
                      <w:szCs w:val="24"/>
                      <w:lang w:eastAsia="zh-CN"/>
                    </w:rPr>
                  </w:pPr>
                  <w:r>
                    <w:rPr>
                      <w:rFonts w:hint="eastAsia"/>
                      <w:sz w:val="24"/>
                      <w:szCs w:val="24"/>
                    </w:rPr>
                    <w:t>锰渣的收集和贮存过程产生的无组织排放废气中氨气应符合 GB 14554 规定的排放限值要求，其他污染物应符合 GB 16297 规定的排放限值要求</w:t>
                  </w:r>
                  <w:r>
                    <w:rPr>
                      <w:rFonts w:hint="eastAsia"/>
                      <w:sz w:val="24"/>
                      <w:szCs w:val="24"/>
                      <w:lang w:eastAsia="zh-CN"/>
                    </w:rPr>
                    <w:t>；</w:t>
                  </w:r>
                </w:p>
                <w:p>
                  <w:pPr>
                    <w:pStyle w:val="18"/>
                    <w:bidi w:val="0"/>
                    <w:jc w:val="left"/>
                    <w:rPr>
                      <w:rFonts w:hint="eastAsia"/>
                      <w:sz w:val="24"/>
                      <w:szCs w:val="24"/>
                    </w:rPr>
                  </w:pPr>
                  <w:r>
                    <w:rPr>
                      <w:rFonts w:hint="eastAsia"/>
                      <w:sz w:val="24"/>
                      <w:szCs w:val="24"/>
                    </w:rPr>
                    <w:t>锰渣不应与阳极泥、含铬污泥及其他可能影响锰渣理化性质的固体废物混合收集、贮存和运输。</w:t>
                  </w:r>
                </w:p>
              </w:tc>
              <w:tc>
                <w:tcPr>
                  <w:tcW w:w="2020" w:type="pct"/>
                  <w:noWrap w:val="0"/>
                  <w:vAlign w:val="center"/>
                </w:tcPr>
                <w:p>
                  <w:pPr>
                    <w:pStyle w:val="18"/>
                    <w:bidi w:val="0"/>
                    <w:jc w:val="center"/>
                    <w:rPr>
                      <w:rFonts w:hint="default" w:eastAsia="宋体"/>
                      <w:sz w:val="24"/>
                      <w:szCs w:val="24"/>
                      <w:lang w:val="en-US" w:eastAsia="zh-CN"/>
                    </w:rPr>
                  </w:pPr>
                  <w:r>
                    <w:rPr>
                      <w:rFonts w:hint="eastAsia"/>
                      <w:sz w:val="24"/>
                      <w:szCs w:val="24"/>
                      <w:lang w:val="en-US" w:eastAsia="zh-CN"/>
                    </w:rPr>
                    <w:t>锰渣仓库为独立的厂房，具有防腐、防渗措施；运输锰渣的车辆采用全封闭的方式进行运输；项目产生的氨气施行</w:t>
                  </w:r>
                  <w:r>
                    <w:rPr>
                      <w:rFonts w:hint="eastAsia"/>
                      <w:sz w:val="24"/>
                      <w:szCs w:val="24"/>
                    </w:rPr>
                    <w:t>GB 14554 规定的排放限值要求</w:t>
                  </w:r>
                  <w:r>
                    <w:rPr>
                      <w:rFonts w:hint="eastAsia"/>
                      <w:sz w:val="24"/>
                      <w:szCs w:val="24"/>
                      <w:lang w:eastAsia="zh-CN"/>
                    </w:rPr>
                    <w:t>，</w:t>
                  </w:r>
                  <w:r>
                    <w:rPr>
                      <w:rFonts w:hint="eastAsia"/>
                      <w:sz w:val="24"/>
                      <w:szCs w:val="24"/>
                    </w:rPr>
                    <w:t>其他污染物</w:t>
                  </w:r>
                  <w:r>
                    <w:rPr>
                      <w:rFonts w:hint="eastAsia"/>
                      <w:sz w:val="24"/>
                      <w:szCs w:val="24"/>
                      <w:lang w:val="en-US" w:eastAsia="zh-CN"/>
                    </w:rPr>
                    <w:t>施行</w:t>
                  </w:r>
                  <w:r>
                    <w:rPr>
                      <w:rFonts w:hint="eastAsia"/>
                      <w:sz w:val="24"/>
                      <w:szCs w:val="24"/>
                    </w:rPr>
                    <w:t xml:space="preserve"> GB 16297 规定的排放限值要求</w:t>
                  </w:r>
                  <w:r>
                    <w:rPr>
                      <w:rFonts w:hint="eastAsia"/>
                      <w:sz w:val="24"/>
                      <w:szCs w:val="24"/>
                      <w:lang w:eastAsia="zh-CN"/>
                    </w:rPr>
                    <w:t>；</w:t>
                  </w:r>
                  <w:r>
                    <w:rPr>
                      <w:rFonts w:hint="eastAsia"/>
                      <w:sz w:val="24"/>
                      <w:szCs w:val="24"/>
                      <w:lang w:val="en-US" w:eastAsia="zh-CN"/>
                    </w:rPr>
                    <w:t>锰渣不与</w:t>
                  </w:r>
                  <w:r>
                    <w:rPr>
                      <w:rFonts w:hint="eastAsia"/>
                      <w:sz w:val="24"/>
                      <w:szCs w:val="24"/>
                    </w:rPr>
                    <w:t>阳极泥、含铬污泥</w:t>
                  </w:r>
                  <w:r>
                    <w:rPr>
                      <w:rFonts w:hint="eastAsia"/>
                      <w:sz w:val="24"/>
                      <w:szCs w:val="24"/>
                      <w:lang w:val="en-US" w:eastAsia="zh-CN"/>
                    </w:rPr>
                    <w:t>及其他影响锰渣理化性质的固体废物混合。</w:t>
                  </w:r>
                </w:p>
              </w:tc>
              <w:tc>
                <w:tcPr>
                  <w:tcW w:w="396" w:type="pct"/>
                  <w:noWrap w:val="0"/>
                  <w:vAlign w:val="center"/>
                </w:tcPr>
                <w:p>
                  <w:pPr>
                    <w:pStyle w:val="18"/>
                    <w:bidi w:val="0"/>
                    <w:jc w:val="center"/>
                    <w:rPr>
                      <w:rFonts w:hint="default"/>
                      <w:sz w:val="24"/>
                      <w:szCs w:val="24"/>
                      <w:lang w:val="en-US" w:eastAsia="zh-CN"/>
                    </w:rPr>
                  </w:pPr>
                  <w:r>
                    <w:rPr>
                      <w:rFonts w:hint="eastAsia"/>
                      <w:sz w:val="24"/>
                      <w:szCs w:val="24"/>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0" w:type="pct"/>
                  <w:noWrap w:val="0"/>
                  <w:vAlign w:val="center"/>
                </w:tcPr>
                <w:p>
                  <w:pPr>
                    <w:pStyle w:val="18"/>
                    <w:bidi w:val="0"/>
                    <w:jc w:val="center"/>
                    <w:rPr>
                      <w:rFonts w:hint="default"/>
                      <w:sz w:val="24"/>
                      <w:szCs w:val="24"/>
                      <w:lang w:val="en-US" w:eastAsia="zh-CN"/>
                    </w:rPr>
                  </w:pPr>
                  <w:r>
                    <w:rPr>
                      <w:rFonts w:hint="eastAsia"/>
                      <w:sz w:val="24"/>
                      <w:szCs w:val="24"/>
                      <w:lang w:val="en-US" w:eastAsia="zh-CN"/>
                    </w:rPr>
                    <w:t>6</w:t>
                  </w:r>
                </w:p>
              </w:tc>
              <w:tc>
                <w:tcPr>
                  <w:tcW w:w="2251" w:type="pct"/>
                  <w:noWrap w:val="0"/>
                  <w:vAlign w:val="center"/>
                </w:tcPr>
                <w:p>
                  <w:pPr>
                    <w:pStyle w:val="18"/>
                    <w:bidi w:val="0"/>
                    <w:jc w:val="left"/>
                    <w:rPr>
                      <w:rFonts w:hint="eastAsia" w:eastAsia="宋体"/>
                      <w:sz w:val="24"/>
                      <w:szCs w:val="24"/>
                      <w:lang w:eastAsia="zh-CN"/>
                    </w:rPr>
                  </w:pPr>
                  <w:r>
                    <w:rPr>
                      <w:rFonts w:hint="eastAsia"/>
                      <w:sz w:val="24"/>
                      <w:szCs w:val="24"/>
                    </w:rPr>
                    <w:t>应根据锰渣利用、充填、回填和填埋方式对污染控制的要求，选择适当的预处理技术降低锰渣的危害性，控制环境风险</w:t>
                  </w:r>
                  <w:r>
                    <w:rPr>
                      <w:rFonts w:hint="eastAsia"/>
                      <w:sz w:val="24"/>
                      <w:szCs w:val="24"/>
                      <w:lang w:eastAsia="zh-CN"/>
                    </w:rPr>
                    <w:t>；</w:t>
                  </w:r>
                </w:p>
                <w:p>
                  <w:pPr>
                    <w:pStyle w:val="18"/>
                    <w:bidi w:val="0"/>
                    <w:jc w:val="left"/>
                    <w:rPr>
                      <w:rFonts w:hint="eastAsia" w:eastAsia="宋体"/>
                      <w:sz w:val="24"/>
                      <w:szCs w:val="24"/>
                      <w:lang w:eastAsia="zh-CN"/>
                    </w:rPr>
                  </w:pPr>
                  <w:r>
                    <w:rPr>
                      <w:rFonts w:hint="eastAsia"/>
                      <w:sz w:val="24"/>
                      <w:szCs w:val="24"/>
                    </w:rPr>
                    <w:t>锰渣预处理产物中重金属、氨氮等污染物的含量和浸出浓度，含水率、水溶性盐含量等指标应满足锰渣利用、充填、回填和填埋的要求</w:t>
                  </w:r>
                  <w:r>
                    <w:rPr>
                      <w:rFonts w:hint="eastAsia"/>
                      <w:sz w:val="24"/>
                      <w:szCs w:val="24"/>
                      <w:lang w:eastAsia="zh-CN"/>
                    </w:rPr>
                    <w:t>；</w:t>
                  </w:r>
                </w:p>
                <w:p>
                  <w:pPr>
                    <w:pStyle w:val="18"/>
                    <w:bidi w:val="0"/>
                    <w:jc w:val="left"/>
                    <w:rPr>
                      <w:rFonts w:hint="eastAsia" w:eastAsia="宋体"/>
                      <w:sz w:val="24"/>
                      <w:szCs w:val="24"/>
                      <w:lang w:eastAsia="zh-CN"/>
                    </w:rPr>
                  </w:pPr>
                  <w:r>
                    <w:rPr>
                      <w:rFonts w:hint="eastAsia"/>
                      <w:sz w:val="24"/>
                      <w:szCs w:val="24"/>
                    </w:rPr>
                    <w:t>锰渣预处理设施宜具备对进料量、投加速率、处理时间等运行参数的自动控制功能</w:t>
                  </w:r>
                  <w:r>
                    <w:rPr>
                      <w:rFonts w:hint="eastAsia"/>
                      <w:sz w:val="24"/>
                      <w:szCs w:val="24"/>
                      <w:lang w:eastAsia="zh-CN"/>
                    </w:rPr>
                    <w:t>；</w:t>
                  </w:r>
                </w:p>
                <w:p>
                  <w:pPr>
                    <w:pStyle w:val="18"/>
                    <w:bidi w:val="0"/>
                    <w:jc w:val="left"/>
                    <w:rPr>
                      <w:rFonts w:hint="eastAsia" w:eastAsia="宋体"/>
                      <w:sz w:val="24"/>
                      <w:szCs w:val="24"/>
                      <w:lang w:eastAsia="zh-CN"/>
                    </w:rPr>
                  </w:pPr>
                  <w:r>
                    <w:rPr>
                      <w:rFonts w:hint="eastAsia"/>
                      <w:sz w:val="24"/>
                      <w:szCs w:val="24"/>
                    </w:rPr>
                    <w:t>锰渣预处理设施应设置不合格处理产物的处理系统或者返料再处理装置</w:t>
                  </w:r>
                  <w:r>
                    <w:rPr>
                      <w:rFonts w:hint="eastAsia"/>
                      <w:sz w:val="24"/>
                      <w:szCs w:val="24"/>
                      <w:lang w:eastAsia="zh-CN"/>
                    </w:rPr>
                    <w:t>；</w:t>
                  </w:r>
                </w:p>
                <w:p>
                  <w:pPr>
                    <w:pStyle w:val="18"/>
                    <w:bidi w:val="0"/>
                    <w:jc w:val="left"/>
                    <w:rPr>
                      <w:rFonts w:hint="eastAsia" w:eastAsia="宋体"/>
                      <w:sz w:val="24"/>
                      <w:szCs w:val="24"/>
                      <w:lang w:eastAsia="zh-CN"/>
                    </w:rPr>
                  </w:pPr>
                  <w:r>
                    <w:rPr>
                      <w:rFonts w:hint="eastAsia"/>
                      <w:sz w:val="24"/>
                      <w:szCs w:val="24"/>
                    </w:rPr>
                    <w:t>在锰渣预处理过程中，因装卸、设备故障及检修等原因造成撒落的锰渣应及时收集，并返回锰渣贮存设施或预处理工艺过程</w:t>
                  </w:r>
                  <w:r>
                    <w:rPr>
                      <w:rFonts w:hint="eastAsia"/>
                      <w:sz w:val="24"/>
                      <w:szCs w:val="24"/>
                      <w:lang w:eastAsia="zh-CN"/>
                    </w:rPr>
                    <w:t>；</w:t>
                  </w:r>
                </w:p>
                <w:p>
                  <w:pPr>
                    <w:pStyle w:val="18"/>
                    <w:bidi w:val="0"/>
                    <w:jc w:val="left"/>
                    <w:rPr>
                      <w:rFonts w:hint="eastAsia"/>
                      <w:sz w:val="24"/>
                      <w:szCs w:val="24"/>
                    </w:rPr>
                  </w:pPr>
                  <w:r>
                    <w:rPr>
                      <w:rFonts w:hint="eastAsia"/>
                      <w:sz w:val="24"/>
                      <w:szCs w:val="24"/>
                    </w:rPr>
                    <w:t>对锰渣预处理过程排放废气应收集处理，达标排放；对废气中有价值的成分应尽可能进行回收利用。</w:t>
                  </w:r>
                </w:p>
              </w:tc>
              <w:tc>
                <w:tcPr>
                  <w:tcW w:w="2020" w:type="pct"/>
                  <w:noWrap w:val="0"/>
                  <w:vAlign w:val="center"/>
                </w:tcPr>
                <w:p>
                  <w:pPr>
                    <w:pStyle w:val="18"/>
                    <w:bidi w:val="0"/>
                    <w:jc w:val="center"/>
                    <w:rPr>
                      <w:rFonts w:hint="default"/>
                      <w:sz w:val="24"/>
                      <w:szCs w:val="24"/>
                      <w:lang w:val="en-US" w:eastAsia="zh-CN"/>
                    </w:rPr>
                  </w:pPr>
                  <w:r>
                    <w:rPr>
                      <w:rFonts w:hint="eastAsia"/>
                      <w:sz w:val="24"/>
                      <w:szCs w:val="24"/>
                      <w:lang w:val="en-US" w:eastAsia="zh-CN"/>
                    </w:rPr>
                    <w:t>项目通过无害化专利技术将锰渣由II类工业一般固体废物转化为I类工业一般固体废物，降低了锰渣的环境危害性；项目采用专利的自动处理系统对锰渣进行处理；系统对锰渣进行多次处理直至成为合格的无害化锰渣；处理过程中散落的锰渣返回工艺过程；本项目无害化处理过程无废气的排放，锅炉废气排放低于标准限值。</w:t>
                  </w:r>
                </w:p>
              </w:tc>
              <w:tc>
                <w:tcPr>
                  <w:tcW w:w="396" w:type="pct"/>
                  <w:noWrap w:val="0"/>
                  <w:vAlign w:val="center"/>
                </w:tcPr>
                <w:p>
                  <w:pPr>
                    <w:pStyle w:val="18"/>
                    <w:bidi w:val="0"/>
                    <w:jc w:val="center"/>
                    <w:rPr>
                      <w:rFonts w:hint="default"/>
                      <w:sz w:val="24"/>
                      <w:szCs w:val="24"/>
                      <w:lang w:val="en-US" w:eastAsia="zh-CN"/>
                    </w:rPr>
                  </w:pPr>
                  <w:r>
                    <w:rPr>
                      <w:rFonts w:hint="eastAsia"/>
                      <w:sz w:val="24"/>
                      <w:szCs w:val="24"/>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0" w:type="pct"/>
                  <w:noWrap w:val="0"/>
                  <w:vAlign w:val="center"/>
                </w:tcPr>
                <w:p>
                  <w:pPr>
                    <w:pStyle w:val="18"/>
                    <w:bidi w:val="0"/>
                    <w:jc w:val="center"/>
                    <w:rPr>
                      <w:rFonts w:hint="default"/>
                      <w:sz w:val="24"/>
                      <w:szCs w:val="24"/>
                      <w:lang w:val="en-US" w:eastAsia="zh-CN"/>
                    </w:rPr>
                  </w:pPr>
                  <w:r>
                    <w:rPr>
                      <w:rFonts w:hint="eastAsia"/>
                      <w:sz w:val="24"/>
                      <w:szCs w:val="24"/>
                      <w:lang w:val="en-US" w:eastAsia="zh-CN"/>
                    </w:rPr>
                    <w:t>7</w:t>
                  </w:r>
                </w:p>
              </w:tc>
              <w:tc>
                <w:tcPr>
                  <w:tcW w:w="2251" w:type="pct"/>
                  <w:noWrap w:val="0"/>
                  <w:vAlign w:val="center"/>
                </w:tcPr>
                <w:p>
                  <w:pPr>
                    <w:pStyle w:val="18"/>
                    <w:bidi w:val="0"/>
                    <w:jc w:val="left"/>
                    <w:rPr>
                      <w:rFonts w:hint="eastAsia" w:eastAsia="宋体"/>
                      <w:sz w:val="24"/>
                      <w:szCs w:val="24"/>
                      <w:lang w:eastAsia="zh-CN"/>
                    </w:rPr>
                  </w:pPr>
                  <w:r>
                    <w:rPr>
                      <w:rFonts w:hint="eastAsia"/>
                      <w:sz w:val="24"/>
                      <w:szCs w:val="24"/>
                    </w:rPr>
                    <w:t>水洗过程产生的废水应尽量返回工艺过程进行循环使用。废水排放应符合 GB 8978 规定的排放限值要求</w:t>
                  </w:r>
                  <w:r>
                    <w:rPr>
                      <w:rFonts w:hint="eastAsia"/>
                      <w:sz w:val="24"/>
                      <w:szCs w:val="24"/>
                      <w:lang w:eastAsia="zh-CN"/>
                    </w:rPr>
                    <w:t>；</w:t>
                  </w:r>
                </w:p>
                <w:p>
                  <w:pPr>
                    <w:pStyle w:val="18"/>
                    <w:bidi w:val="0"/>
                    <w:jc w:val="left"/>
                    <w:rPr>
                      <w:rFonts w:hint="eastAsia" w:eastAsia="宋体"/>
                      <w:sz w:val="24"/>
                      <w:szCs w:val="24"/>
                      <w:lang w:eastAsia="zh-CN"/>
                    </w:rPr>
                  </w:pPr>
                  <w:r>
                    <w:rPr>
                      <w:rFonts w:hint="eastAsia"/>
                      <w:sz w:val="24"/>
                      <w:szCs w:val="24"/>
                    </w:rPr>
                    <w:t>水洗、固化稳定化过程排放废气中颗粒物应符合 GB 16297 规定的排放限值要求，氨气应符合GB 14554 规定的排放限值要求</w:t>
                  </w:r>
                  <w:r>
                    <w:rPr>
                      <w:rFonts w:hint="eastAsia"/>
                      <w:sz w:val="24"/>
                      <w:szCs w:val="24"/>
                      <w:lang w:eastAsia="zh-CN"/>
                    </w:rPr>
                    <w:t>。</w:t>
                  </w:r>
                </w:p>
              </w:tc>
              <w:tc>
                <w:tcPr>
                  <w:tcW w:w="2020" w:type="pct"/>
                  <w:noWrap w:val="0"/>
                  <w:vAlign w:val="center"/>
                </w:tcPr>
                <w:p>
                  <w:pPr>
                    <w:pStyle w:val="18"/>
                    <w:bidi w:val="0"/>
                    <w:jc w:val="center"/>
                    <w:rPr>
                      <w:rFonts w:hint="default"/>
                      <w:sz w:val="24"/>
                      <w:szCs w:val="24"/>
                      <w:lang w:val="en-US" w:eastAsia="zh-CN"/>
                    </w:rPr>
                  </w:pPr>
                  <w:r>
                    <w:rPr>
                      <w:rFonts w:hint="eastAsia"/>
                      <w:sz w:val="24"/>
                      <w:szCs w:val="24"/>
                      <w:lang w:val="en-US" w:eastAsia="zh-CN"/>
                    </w:rPr>
                    <w:t>项目通过专利湿法技术对锰渣进行处理，无害化过程中产生的废水全部回用不外排，且无废气的产生。</w:t>
                  </w:r>
                </w:p>
              </w:tc>
              <w:tc>
                <w:tcPr>
                  <w:tcW w:w="396" w:type="pct"/>
                  <w:noWrap w:val="0"/>
                  <w:vAlign w:val="center"/>
                </w:tcPr>
                <w:p>
                  <w:pPr>
                    <w:pStyle w:val="18"/>
                    <w:bidi w:val="0"/>
                    <w:jc w:val="center"/>
                    <w:rPr>
                      <w:rFonts w:hint="default"/>
                      <w:sz w:val="24"/>
                      <w:szCs w:val="24"/>
                      <w:lang w:val="en-US" w:eastAsia="zh-CN"/>
                    </w:rPr>
                  </w:pPr>
                  <w:r>
                    <w:rPr>
                      <w:rFonts w:hint="eastAsia"/>
                      <w:sz w:val="24"/>
                      <w:szCs w:val="24"/>
                      <w:lang w:val="en-US" w:eastAsia="zh-CN"/>
                    </w:rPr>
                    <w:t>符合</w:t>
                  </w:r>
                </w:p>
              </w:tc>
            </w:tr>
          </w:tbl>
          <w:p>
            <w:pPr>
              <w:pStyle w:val="19"/>
              <w:bidi w:val="0"/>
              <w:rPr>
                <w:rFonts w:hint="default"/>
                <w:lang w:val="en-US" w:eastAsia="zh-CN"/>
              </w:rPr>
            </w:pPr>
            <w:r>
              <w:rPr>
                <w:rFonts w:hint="eastAsia"/>
                <w:lang w:val="en-US" w:eastAsia="zh-CN"/>
              </w:rPr>
              <w:t>项目满足《锰渣污染控制技术规范》（HJ 1241—2022）的相关要求。</w:t>
            </w: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eastAsia"/>
                <w:lang w:val="en-US" w:eastAsia="zh-CN"/>
              </w:rPr>
            </w:pPr>
          </w:p>
          <w:p>
            <w:pPr>
              <w:pStyle w:val="19"/>
              <w:bidi w:val="0"/>
              <w:rPr>
                <w:rFonts w:hint="default"/>
                <w:lang w:val="en-US" w:eastAsia="zh-CN"/>
              </w:rPr>
            </w:pPr>
          </w:p>
        </w:tc>
      </w:tr>
    </w:tbl>
    <w:p>
      <w:r>
        <w:br w:type="page"/>
      </w:r>
    </w:p>
    <w:p>
      <w:pPr>
        <w:pStyle w:val="3"/>
        <w:numPr>
          <w:ilvl w:val="0"/>
          <w:numId w:val="1"/>
        </w:numPr>
        <w:bidi w:val="0"/>
        <w:jc w:val="center"/>
        <w:rPr>
          <w:rFonts w:hint="eastAsia"/>
          <w:lang w:val="en-US" w:eastAsia="zh-CN"/>
        </w:rPr>
      </w:pPr>
      <w:bookmarkStart w:id="8" w:name="_Toc7368"/>
      <w:bookmarkStart w:id="9" w:name="_Toc20254"/>
      <w:r>
        <w:rPr>
          <w:rFonts w:hint="eastAsia"/>
          <w:lang w:val="en-US" w:eastAsia="zh-CN"/>
        </w:rPr>
        <w:t>建设项目工程分析</w:t>
      </w:r>
      <w:bookmarkEnd w:id="8"/>
      <w:bookmarkEnd w:id="9"/>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1134"/>
        <w:gridCol w:w="6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462" w:type="dxa"/>
            <w:vAlign w:val="center"/>
          </w:tcPr>
          <w:p>
            <w:pPr>
              <w:numPr>
                <w:ilvl w:val="0"/>
                <w:numId w:val="0"/>
              </w:numPr>
              <w:ind w:right="40" w:rightChars="0"/>
              <w:jc w:val="center"/>
              <w:rPr>
                <w:rFonts w:hint="default"/>
                <w:vertAlign w:val="baseline"/>
                <w:lang w:val="en-US" w:eastAsia="zh-CN"/>
              </w:rPr>
            </w:pPr>
            <w:r>
              <w:rPr>
                <w:rFonts w:hint="eastAsia"/>
                <w:vertAlign w:val="baseline"/>
                <w:lang w:val="en-US" w:eastAsia="zh-CN"/>
              </w:rPr>
              <w:t>建设内容</w:t>
            </w:r>
          </w:p>
        </w:tc>
        <w:tc>
          <w:tcPr>
            <w:tcW w:w="8060" w:type="dxa"/>
            <w:gridSpan w:val="2"/>
          </w:tcPr>
          <w:p>
            <w:pPr>
              <w:pStyle w:val="4"/>
              <w:numPr>
                <w:ilvl w:val="0"/>
                <w:numId w:val="2"/>
              </w:numPr>
              <w:bidi w:val="0"/>
              <w:rPr>
                <w:rFonts w:hint="eastAsia"/>
                <w:lang w:val="en-US" w:eastAsia="zh-CN"/>
              </w:rPr>
            </w:pPr>
            <w:bookmarkStart w:id="10" w:name="_Toc17848"/>
            <w:bookmarkStart w:id="11" w:name="_Toc6972"/>
            <w:r>
              <w:rPr>
                <w:rFonts w:hint="eastAsia"/>
                <w:lang w:val="en-US" w:eastAsia="zh-CN"/>
              </w:rPr>
              <w:t>项目背景</w:t>
            </w:r>
            <w:bookmarkEnd w:id="10"/>
            <w:bookmarkEnd w:id="11"/>
          </w:p>
          <w:p>
            <w:pPr>
              <w:bidi w:val="0"/>
              <w:ind w:firstLine="480" w:firstLineChars="200"/>
              <w:rPr>
                <w:rFonts w:hint="default"/>
                <w:lang w:val="en-US" w:eastAsia="zh-CN"/>
              </w:rPr>
            </w:pPr>
            <w:r>
              <w:rPr>
                <w:rFonts w:hint="eastAsia"/>
                <w:lang w:val="en-US" w:eastAsia="zh-CN"/>
              </w:rPr>
              <w:t>吾道</w:t>
            </w:r>
            <w:r>
              <w:rPr>
                <w:rFonts w:hint="default"/>
                <w:lang w:val="en-US" w:eastAsia="zh-CN"/>
              </w:rPr>
              <w:t>环保科技公司（以下简称“吾道环保”）总部位于四川成都，是一家专业从事危废、固废综合治理技术研发及综合利用的科技型公司。吾道环保以无害化处理有毒有害锰渣及固废综合利用解决方案的专有技术为依托，以推广应用电解固废无害化处理技术及资源化利用等一站式服务为核心，以打造电解固废环境污染治理行业标兵和固废循环利用经济生态体系为</w:t>
            </w:r>
            <w:r>
              <w:rPr>
                <w:rFonts w:hint="eastAsia"/>
                <w:lang w:val="en-US" w:eastAsia="zh-CN"/>
              </w:rPr>
              <w:t>己任</w:t>
            </w:r>
            <w:r>
              <w:rPr>
                <w:rFonts w:hint="default"/>
                <w:lang w:val="en-US" w:eastAsia="zh-CN"/>
              </w:rPr>
              <w:t>，并力争成为国家乃至全球固废污染治理与固废绿色环保循环经济体系标准化䢖设的贡献者和参与者。公司创业团队持续投入3000多万元研发经费，与国家级固废处理研究机构合作，通过8年多时间深入研究和大量基础实验，在历经艰辛并克服各种困难研发出了利用物理、化学的技术对电解锰渣进行无害化处理技术，此技术属于国内独家、行业首创，其处理物完全达到国家技术规范的标准和其他各项国家和行业技术参数要求。</w:t>
            </w:r>
          </w:p>
          <w:p>
            <w:pPr>
              <w:bidi w:val="0"/>
              <w:ind w:firstLine="480" w:firstLineChars="200"/>
              <w:rPr>
                <w:rFonts w:hint="default"/>
                <w:lang w:val="en-US" w:eastAsia="zh-CN"/>
              </w:rPr>
            </w:pPr>
            <w:r>
              <w:rPr>
                <w:rFonts w:hint="default"/>
                <w:lang w:val="en-US" w:eastAsia="zh-CN"/>
              </w:rPr>
              <w:t>2018年，吾道环保在花垣县工业集中园及文华旧厂内完成了锰渣无害化处理项目中试（处理电解锰渣1000吨）及放大规模生产。产</w:t>
            </w:r>
            <w:r>
              <w:rPr>
                <w:rFonts w:hint="eastAsia"/>
                <w:lang w:val="en-US" w:eastAsia="zh-CN"/>
              </w:rPr>
              <w:t>品</w:t>
            </w:r>
            <w:r>
              <w:rPr>
                <w:rFonts w:hint="default"/>
                <w:lang w:val="en-US" w:eastAsia="zh-CN"/>
              </w:rPr>
              <w:t>通过中国检验认证集团湖南有限公司检验，满足国家标准，检验报告完整、齐全，其锰渣循环利用制成的水利砖已经实践应用于花垣县水利工程。</w:t>
            </w:r>
          </w:p>
          <w:p>
            <w:pPr>
              <w:bidi w:val="0"/>
              <w:ind w:firstLine="480" w:firstLineChars="200"/>
              <w:rPr>
                <w:rFonts w:hint="default"/>
                <w:lang w:val="en-US" w:eastAsia="zh-CN"/>
              </w:rPr>
            </w:pPr>
            <w:r>
              <w:rPr>
                <w:rFonts w:hint="default"/>
                <w:lang w:val="en-US" w:eastAsia="zh-CN"/>
              </w:rPr>
              <w:t>中试检验结果表明：</w:t>
            </w:r>
          </w:p>
          <w:p>
            <w:pPr>
              <w:bidi w:val="0"/>
              <w:ind w:firstLine="480" w:firstLineChars="200"/>
              <w:rPr>
                <w:rFonts w:hint="default"/>
                <w:lang w:val="en-US" w:eastAsia="zh-CN"/>
              </w:rPr>
            </w:pPr>
            <w:r>
              <w:rPr>
                <w:rFonts w:hint="default"/>
                <w:lang w:val="en-US" w:eastAsia="zh-CN"/>
              </w:rPr>
              <w:t>（1）无害化处理技术</w:t>
            </w:r>
            <w:r>
              <w:rPr>
                <w:rFonts w:hint="eastAsia"/>
                <w:lang w:val="en-US" w:eastAsia="zh-CN"/>
              </w:rPr>
              <w:t>可行有效，</w:t>
            </w:r>
            <w:r>
              <w:rPr>
                <w:rFonts w:hint="default"/>
                <w:lang w:val="en-US" w:eastAsia="zh-CN"/>
              </w:rPr>
              <w:t>按照《固体废物浸出毒性浸出方法》&lt;GB5086-1997&gt;规定方法进行浸出实验而获得的浸出液中，任何一种污染物的浓度均低于《污水综合排放标准》&lt;GB8978-1996&gt;中的一级标准限值。</w:t>
            </w:r>
          </w:p>
          <w:p>
            <w:pPr>
              <w:bidi w:val="0"/>
              <w:ind w:firstLine="480" w:firstLineChars="200"/>
              <w:rPr>
                <w:rFonts w:hint="default"/>
                <w:lang w:val="en-US" w:eastAsia="zh-CN"/>
              </w:rPr>
            </w:pPr>
            <w:r>
              <w:rPr>
                <w:rFonts w:hint="default"/>
                <w:lang w:val="en-US" w:eastAsia="zh-CN"/>
              </w:rPr>
              <w:t>（2）</w:t>
            </w:r>
            <w:r>
              <w:rPr>
                <w:rFonts w:hint="eastAsia"/>
                <w:lang w:val="en-US" w:eastAsia="zh-CN"/>
              </w:rPr>
              <w:t>利用无害化锰渣制成</w:t>
            </w:r>
            <w:r>
              <w:rPr>
                <w:rFonts w:hint="default"/>
                <w:lang w:val="en-US" w:eastAsia="zh-CN"/>
              </w:rPr>
              <w:t>的产品符合国家《建筑用轻质隔板墙》(GB/T23451-2009)及《公路路基设计规范》（JTGD30-2015）标准要求。</w:t>
            </w:r>
          </w:p>
          <w:p>
            <w:pPr>
              <w:bidi w:val="0"/>
              <w:ind w:firstLine="480" w:firstLineChars="200"/>
              <w:rPr>
                <w:rFonts w:hint="default"/>
                <w:lang w:val="en-US" w:eastAsia="zh-CN"/>
              </w:rPr>
            </w:pPr>
            <w:r>
              <w:rPr>
                <w:rFonts w:hint="default"/>
                <w:lang w:val="en-US" w:eastAsia="zh-CN"/>
              </w:rPr>
              <w:t>（3）其他产品符合国家行业标准要求。</w:t>
            </w:r>
          </w:p>
          <w:p>
            <w:pPr>
              <w:bidi w:val="0"/>
              <w:ind w:firstLine="480" w:firstLineChars="200"/>
              <w:rPr>
                <w:rFonts w:hint="default"/>
                <w:lang w:val="en-US" w:eastAsia="zh-CN"/>
              </w:rPr>
            </w:pPr>
            <w:r>
              <w:rPr>
                <w:rFonts w:hint="eastAsia"/>
                <w:lang w:val="en-US" w:eastAsia="zh-CN"/>
              </w:rPr>
              <w:t>2022年，</w:t>
            </w:r>
            <w:r>
              <w:rPr>
                <w:rFonts w:hint="default"/>
                <w:lang w:val="en-US" w:eastAsia="zh-CN"/>
              </w:rPr>
              <w:t>由吾道环保提供技术方案，投资配套的专用设备、药剂及生产工艺，由泸溪金瑞冶化有限责任公司提供现有的电解锰生产场地、压滤等配套设备，双方在泸溪县共同建设电解锰渣综合治理展示生产线，生产处理能力为5万吨/年，向泸溪电解锰企业展示吾道的专利技术和处理工艺。</w:t>
            </w:r>
          </w:p>
          <w:p>
            <w:pPr>
              <w:bidi w:val="0"/>
              <w:ind w:firstLine="480" w:firstLineChars="200"/>
              <w:rPr>
                <w:rFonts w:hint="default"/>
                <w:lang w:val="en-US" w:eastAsia="zh-CN"/>
              </w:rPr>
            </w:pPr>
            <w:r>
              <w:rPr>
                <w:rFonts w:hint="default"/>
                <w:lang w:val="en-US" w:eastAsia="zh-CN"/>
              </w:rPr>
              <w:t>泸溪县电解锰渣综合治理展示生产线于2022年8</w:t>
            </w:r>
            <w:r>
              <w:rPr>
                <w:rFonts w:hint="eastAsia"/>
                <w:lang w:val="en-US" w:eastAsia="zh-CN"/>
              </w:rPr>
              <w:t xml:space="preserve"> </w:t>
            </w:r>
            <w:r>
              <w:rPr>
                <w:rFonts w:hint="default"/>
                <w:lang w:val="en-US" w:eastAsia="zh-CN"/>
              </w:rPr>
              <w:t>~</w:t>
            </w:r>
            <w:r>
              <w:rPr>
                <w:rFonts w:hint="eastAsia"/>
                <w:lang w:val="en-US" w:eastAsia="zh-CN"/>
              </w:rPr>
              <w:t xml:space="preserve"> </w:t>
            </w:r>
            <w:r>
              <w:rPr>
                <w:rFonts w:hint="default"/>
                <w:lang w:val="en-US" w:eastAsia="zh-CN"/>
              </w:rPr>
              <w:t>12月正式运行（后因泸溪金瑞冶化有限责任公司拟恢复工厂电解锰生产，且考虑到示范生产的展示目标已经实现，故停止运行）。正常生产期间，电解锰企业主、技术负责人、生产管理负责人等对整个生产线的生产过程进行核查和验证，正式运行期间累计处理约5000吨电解锰渣，日处理量为130吨，整个生产过程安全、稳定，生产工艺先进且能耗较低。经由泸溪电解锰企（泸溪金瑞冶化有限责任公司）按照《工业固体废弃物采样制样技术规范》HJ/T20-1998 采样制样，送往中国检验认证集团湖南有限公司检测，锰渣经过吾道环保示范生产线处理后，完全符合国家生态环境部下发的HJ1241规范要求的处理标准。</w:t>
            </w:r>
          </w:p>
          <w:p>
            <w:pPr>
              <w:keepNext w:val="0"/>
              <w:keepLines w:val="0"/>
              <w:widowControl/>
              <w:suppressLineNumbers w:val="0"/>
              <w:ind w:firstLine="480" w:firstLineChars="200"/>
              <w:jc w:val="left"/>
              <w:rPr>
                <w:rFonts w:hint="eastAsia" w:ascii="宋体" w:hAnsi="宋体" w:eastAsia="宋体" w:cs="宋体"/>
                <w:color w:val="000000"/>
                <w:kern w:val="0"/>
                <w:sz w:val="24"/>
                <w:szCs w:val="24"/>
                <w:lang w:val="en-US" w:eastAsia="zh-CN" w:bidi="ar"/>
              </w:rPr>
            </w:pPr>
            <w:r>
              <w:rPr>
                <w:rFonts w:hint="eastAsia"/>
                <w:lang w:val="en-US" w:eastAsia="zh-CN"/>
              </w:rPr>
              <w:t>因此吾道环保科技公司拟投资</w:t>
            </w:r>
            <w:r>
              <w:rPr>
                <w:rFonts w:hint="default"/>
                <w:lang w:val="en-US" w:eastAsia="zh-CN"/>
              </w:rPr>
              <w:t>1</w:t>
            </w:r>
            <w:r>
              <w:rPr>
                <w:rFonts w:hint="eastAsia"/>
                <w:lang w:val="en-US" w:eastAsia="zh-CN"/>
              </w:rPr>
              <w:t>.</w:t>
            </w:r>
            <w:r>
              <w:rPr>
                <w:rFonts w:hint="default"/>
                <w:lang w:val="en-US" w:eastAsia="zh-CN"/>
              </w:rPr>
              <w:t>6</w:t>
            </w:r>
            <w:r>
              <w:rPr>
                <w:rFonts w:hint="eastAsia"/>
                <w:lang w:val="en-US" w:eastAsia="zh-CN"/>
              </w:rPr>
              <w:t>亿元在花垣县产业开发区建设30万吨/年锰渣无害化及综合利用项目。</w:t>
            </w:r>
            <w:r>
              <w:rPr>
                <w:rFonts w:hint="eastAsia" w:ascii="宋体" w:hAnsi="宋体" w:eastAsia="宋体" w:cs="宋体"/>
                <w:color w:val="000000"/>
                <w:kern w:val="0"/>
                <w:sz w:val="24"/>
                <w:szCs w:val="24"/>
                <w:lang w:val="en-US" w:eastAsia="zh-CN" w:bidi="ar"/>
              </w:rPr>
              <w:t>根据《中华人民共和国环境保护法》（</w:t>
            </w:r>
            <w:r>
              <w:rPr>
                <w:rFonts w:hint="default" w:ascii="Times New Roman" w:hAnsi="Times New Roman" w:eastAsia="宋体" w:cs="Times New Roman"/>
                <w:color w:val="000000"/>
                <w:kern w:val="0"/>
                <w:sz w:val="24"/>
                <w:szCs w:val="24"/>
                <w:lang w:val="en-US" w:eastAsia="zh-CN" w:bidi="ar"/>
              </w:rPr>
              <w:t>2015</w:t>
            </w:r>
            <w:r>
              <w:rPr>
                <w:rFonts w:hint="eastAsia" w:ascii="宋体" w:hAnsi="宋体" w:eastAsia="宋体" w:cs="宋体"/>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日）、《中华人民共和国环境影响评价法》（</w:t>
            </w:r>
            <w:r>
              <w:rPr>
                <w:rFonts w:hint="default" w:ascii="Times New Roman" w:hAnsi="Times New Roman" w:eastAsia="宋体" w:cs="Times New Roman"/>
                <w:color w:val="000000"/>
                <w:kern w:val="0"/>
                <w:sz w:val="24"/>
                <w:szCs w:val="24"/>
                <w:lang w:val="en-US" w:eastAsia="zh-CN" w:bidi="ar"/>
              </w:rPr>
              <w:t>2018</w:t>
            </w:r>
            <w:r>
              <w:rPr>
                <w:rFonts w:hint="eastAsia" w:ascii="宋体" w:hAnsi="宋体" w:eastAsia="宋体" w:cs="宋体"/>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12</w:t>
            </w:r>
            <w:r>
              <w:rPr>
                <w:rFonts w:hint="eastAsia" w:ascii="宋体" w:hAnsi="宋体" w:eastAsia="宋体" w:cs="宋体"/>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29</w:t>
            </w:r>
            <w:r>
              <w:rPr>
                <w:rFonts w:hint="eastAsia" w:ascii="宋体" w:hAnsi="宋体" w:eastAsia="宋体" w:cs="宋体"/>
                <w:color w:val="000000"/>
                <w:kern w:val="0"/>
                <w:sz w:val="24"/>
                <w:szCs w:val="24"/>
                <w:lang w:val="en-US" w:eastAsia="zh-CN" w:bidi="ar"/>
              </w:rPr>
              <w:t>日）、《建设项目环境保护管理条例》（</w:t>
            </w:r>
            <w:r>
              <w:rPr>
                <w:rFonts w:hint="default" w:ascii="Times New Roman" w:hAnsi="Times New Roman" w:eastAsia="宋体" w:cs="Times New Roman"/>
                <w:color w:val="000000"/>
                <w:kern w:val="0"/>
                <w:sz w:val="24"/>
                <w:szCs w:val="24"/>
                <w:lang w:val="en-US" w:eastAsia="zh-CN" w:bidi="ar"/>
              </w:rPr>
              <w:t>2017</w:t>
            </w:r>
            <w:r>
              <w:rPr>
                <w:rFonts w:hint="eastAsia" w:ascii="宋体" w:hAnsi="宋体" w:eastAsia="宋体" w:cs="宋体"/>
                <w:color w:val="000000"/>
                <w:kern w:val="0"/>
                <w:sz w:val="24"/>
                <w:szCs w:val="24"/>
                <w:lang w:val="en-US" w:eastAsia="zh-CN" w:bidi="ar"/>
              </w:rPr>
              <w:t>年</w:t>
            </w:r>
            <w:r>
              <w:rPr>
                <w:rFonts w:hint="default" w:ascii="Times New Roman" w:hAnsi="Times New Roman" w:eastAsia="宋体" w:cs="Times New Roman"/>
                <w:color w:val="000000"/>
                <w:kern w:val="0"/>
                <w:sz w:val="24"/>
                <w:szCs w:val="24"/>
                <w:lang w:val="en-US" w:eastAsia="zh-CN" w:bidi="ar"/>
              </w:rPr>
              <w:t>6</w:t>
            </w:r>
            <w:r>
              <w:rPr>
                <w:rFonts w:hint="eastAsia" w:ascii="宋体" w:hAnsi="宋体" w:eastAsia="宋体" w:cs="宋体"/>
                <w:color w:val="000000"/>
                <w:kern w:val="0"/>
                <w:sz w:val="24"/>
                <w:szCs w:val="24"/>
                <w:lang w:val="en-US" w:eastAsia="zh-CN" w:bidi="ar"/>
              </w:rPr>
              <w:t>月</w:t>
            </w:r>
            <w:r>
              <w:rPr>
                <w:rFonts w:hint="default" w:ascii="Times New Roman" w:hAnsi="Times New Roman" w:eastAsia="宋体" w:cs="Times New Roman"/>
                <w:color w:val="000000"/>
                <w:kern w:val="0"/>
                <w:sz w:val="24"/>
                <w:szCs w:val="24"/>
                <w:lang w:val="en-US" w:eastAsia="zh-CN" w:bidi="ar"/>
              </w:rPr>
              <w:t>21</w:t>
            </w:r>
            <w:r>
              <w:rPr>
                <w:rFonts w:hint="eastAsia" w:ascii="宋体" w:hAnsi="宋体" w:eastAsia="宋体" w:cs="宋体"/>
                <w:color w:val="000000"/>
                <w:kern w:val="0"/>
                <w:sz w:val="24"/>
                <w:szCs w:val="24"/>
                <w:lang w:val="en-US" w:eastAsia="zh-CN" w:bidi="ar"/>
              </w:rPr>
              <w:t>日修订），第四十七类“生态保护和环境治理业”中的“</w:t>
            </w:r>
            <w:r>
              <w:rPr>
                <w:rFonts w:hint="eastAsia"/>
                <w:lang w:val="en-US" w:eastAsia="zh-CN"/>
              </w:rPr>
              <w:t>103</w:t>
            </w:r>
            <w:r>
              <w:rPr>
                <w:rFonts w:hint="eastAsia" w:ascii="宋体" w:hAnsi="宋体" w:eastAsia="宋体" w:cs="宋体"/>
                <w:color w:val="000000"/>
                <w:kern w:val="0"/>
                <w:sz w:val="24"/>
                <w:szCs w:val="24"/>
                <w:lang w:val="en-US" w:eastAsia="zh-CN" w:bidi="ar"/>
              </w:rPr>
              <w:t>、一般工业固体废物（含污水处理污泥）、建筑施工废弃物处置及综合利用”中的“其他类”，应编制环境影响报告表。</w:t>
            </w:r>
            <w:r>
              <w:rPr>
                <w:rFonts w:hint="eastAsia" w:ascii="宋体" w:hAnsi="宋体" w:cs="宋体"/>
                <w:color w:val="000000"/>
                <w:kern w:val="0"/>
                <w:sz w:val="24"/>
                <w:szCs w:val="24"/>
                <w:lang w:val="en-US" w:eastAsia="zh-CN" w:bidi="ar"/>
              </w:rPr>
              <w:t>吾道环保科技</w:t>
            </w:r>
            <w:r>
              <w:rPr>
                <w:rFonts w:hint="eastAsia" w:ascii="宋体" w:hAnsi="宋体" w:eastAsia="宋体" w:cs="宋体"/>
                <w:color w:val="000000"/>
                <w:kern w:val="0"/>
                <w:sz w:val="24"/>
                <w:szCs w:val="24"/>
                <w:lang w:val="en-US" w:eastAsia="zh-CN" w:bidi="ar"/>
              </w:rPr>
              <w:t>公司委托湖南</w:t>
            </w:r>
            <w:r>
              <w:rPr>
                <w:rFonts w:hint="eastAsia" w:ascii="宋体" w:hAnsi="宋体" w:cs="宋体"/>
                <w:color w:val="000000"/>
                <w:kern w:val="0"/>
                <w:sz w:val="24"/>
                <w:szCs w:val="24"/>
                <w:lang w:val="en-US" w:eastAsia="zh-CN" w:bidi="ar"/>
              </w:rPr>
              <w:t>有色金属研究院有</w:t>
            </w:r>
            <w:r>
              <w:rPr>
                <w:rFonts w:hint="eastAsia" w:ascii="宋体" w:hAnsi="宋体" w:eastAsia="宋体" w:cs="宋体"/>
                <w:color w:val="000000"/>
                <w:kern w:val="0"/>
                <w:sz w:val="24"/>
                <w:szCs w:val="24"/>
                <w:lang w:val="en-US" w:eastAsia="zh-CN" w:bidi="ar"/>
              </w:rPr>
              <w:t>限</w:t>
            </w:r>
            <w:r>
              <w:rPr>
                <w:rFonts w:hint="eastAsia" w:ascii="宋体" w:hAnsi="宋体" w:cs="宋体"/>
                <w:color w:val="000000"/>
                <w:kern w:val="0"/>
                <w:sz w:val="24"/>
                <w:szCs w:val="24"/>
                <w:lang w:val="en-US" w:eastAsia="zh-CN" w:bidi="ar"/>
              </w:rPr>
              <w:t>责任</w:t>
            </w:r>
            <w:r>
              <w:rPr>
                <w:rFonts w:hint="eastAsia" w:ascii="宋体" w:hAnsi="宋体" w:eastAsia="宋体" w:cs="宋体"/>
                <w:color w:val="000000"/>
                <w:kern w:val="0"/>
                <w:sz w:val="24"/>
                <w:szCs w:val="24"/>
                <w:lang w:val="en-US" w:eastAsia="zh-CN" w:bidi="ar"/>
              </w:rPr>
              <w:t>公司承担该项目的环境影响评价工作；我公司组织相关技术人员进行了现场踏勘、类比调查、收集了相关资料，在此基础上，按照国家对建设项目环境影响评价的有关规定和相关环保政策、技术规范，编制完成了该项目的环境影响报告表。</w:t>
            </w:r>
          </w:p>
          <w:p>
            <w:pPr>
              <w:pStyle w:val="4"/>
              <w:numPr>
                <w:ilvl w:val="0"/>
                <w:numId w:val="2"/>
              </w:numPr>
              <w:bidi w:val="0"/>
              <w:ind w:left="0" w:leftChars="0" w:firstLine="0" w:firstLineChars="0"/>
              <w:rPr>
                <w:rFonts w:hint="eastAsia"/>
                <w:lang w:val="en-US" w:eastAsia="zh-CN"/>
              </w:rPr>
            </w:pPr>
            <w:bookmarkStart w:id="12" w:name="_Toc9054"/>
            <w:bookmarkStart w:id="13" w:name="_Toc11813"/>
            <w:r>
              <w:rPr>
                <w:rFonts w:hint="eastAsia"/>
                <w:lang w:val="en-US" w:eastAsia="zh-CN"/>
              </w:rPr>
              <w:t>工程概况</w:t>
            </w:r>
            <w:bookmarkEnd w:id="12"/>
            <w:bookmarkEnd w:id="13"/>
          </w:p>
          <w:p>
            <w:pPr>
              <w:numPr>
                <w:ilvl w:val="0"/>
                <w:numId w:val="0"/>
              </w:numPr>
              <w:ind w:leftChars="0" w:right="40" w:rightChars="0" w:firstLine="480" w:firstLineChars="200"/>
              <w:rPr>
                <w:rFonts w:hint="eastAsia"/>
                <w:lang w:val="en-US" w:eastAsia="zh-CN"/>
              </w:rPr>
            </w:pPr>
            <w:r>
              <w:rPr>
                <w:rFonts w:hint="eastAsia"/>
                <w:lang w:val="en-US" w:eastAsia="zh-CN"/>
              </w:rPr>
              <w:t>项目名称：花垣吾道环保科技有限公司30万吨/年锰渣无害化及综合利用项目；</w:t>
            </w:r>
          </w:p>
          <w:p>
            <w:pPr>
              <w:numPr>
                <w:ilvl w:val="0"/>
                <w:numId w:val="0"/>
              </w:numPr>
              <w:ind w:leftChars="0" w:right="40" w:rightChars="0" w:firstLine="480" w:firstLineChars="200"/>
              <w:rPr>
                <w:rFonts w:hint="eastAsia" w:cs="Times New Roman"/>
                <w:color w:val="000000" w:themeColor="text1"/>
                <w:sz w:val="24"/>
                <w:lang w:eastAsia="zh-CN"/>
                <w14:textFill>
                  <w14:solidFill>
                    <w14:schemeClr w14:val="tx1"/>
                  </w14:solidFill>
                </w14:textFill>
              </w:rPr>
            </w:pPr>
            <w:r>
              <w:rPr>
                <w:rFonts w:hint="eastAsia"/>
                <w:lang w:val="en-US" w:eastAsia="zh-CN"/>
              </w:rPr>
              <w:t>项目地点：</w:t>
            </w:r>
            <w:r>
              <w:rPr>
                <w:rFonts w:ascii="Times New Roman" w:hAnsi="Times New Roman" w:cs="Times New Roman"/>
                <w:color w:val="000000" w:themeColor="text1"/>
                <w:sz w:val="24"/>
                <w14:textFill>
                  <w14:solidFill>
                    <w14:schemeClr w14:val="tx1"/>
                  </w14:solidFill>
                </w14:textFill>
              </w:rPr>
              <w:t>花垣</w:t>
            </w:r>
            <w:r>
              <w:rPr>
                <w:rFonts w:hint="eastAsia" w:cs="Times New Roman"/>
                <w:color w:val="000000" w:themeColor="text1"/>
                <w:sz w:val="24"/>
                <w:lang w:val="en-US" w:eastAsia="zh-CN"/>
                <w14:textFill>
                  <w14:solidFill>
                    <w14:schemeClr w14:val="tx1"/>
                  </w14:solidFill>
                </w14:textFill>
              </w:rPr>
              <w:t>县</w:t>
            </w:r>
            <w:r>
              <w:rPr>
                <w:rFonts w:ascii="Times New Roman" w:hAnsi="Times New Roman" w:cs="Times New Roman"/>
                <w:color w:val="000000" w:themeColor="text1"/>
                <w:sz w:val="24"/>
                <w14:textFill>
                  <w14:solidFill>
                    <w14:schemeClr w14:val="tx1"/>
                  </w14:solidFill>
                </w14:textFill>
              </w:rPr>
              <w:t>产业开发区</w:t>
            </w:r>
            <w:r>
              <w:rPr>
                <w:rFonts w:hint="eastAsia" w:cs="Times New Roman"/>
                <w:color w:val="000000" w:themeColor="text1"/>
                <w:sz w:val="24"/>
                <w:lang w:eastAsia="zh-CN"/>
                <w14:textFill>
                  <w14:solidFill>
                    <w14:schemeClr w14:val="tx1"/>
                  </w14:solidFill>
                </w14:textFill>
              </w:rPr>
              <w:t>；</w:t>
            </w:r>
          </w:p>
          <w:p>
            <w:pPr>
              <w:numPr>
                <w:ilvl w:val="0"/>
                <w:numId w:val="0"/>
              </w:numPr>
              <w:ind w:leftChars="0" w:right="40" w:rightChars="0" w:firstLine="480" w:firstLineChars="200"/>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建设性质：新建；</w:t>
            </w:r>
          </w:p>
          <w:p>
            <w:pPr>
              <w:numPr>
                <w:ilvl w:val="0"/>
                <w:numId w:val="0"/>
              </w:numPr>
              <w:ind w:leftChars="0" w:right="40" w:rightChars="0" w:firstLine="480" w:firstLineChars="200"/>
              <w:rPr>
                <w:rFonts w:hint="eastAsia"/>
                <w:lang w:val="en-US" w:eastAsia="zh-CN"/>
              </w:rPr>
            </w:pPr>
            <w:r>
              <w:rPr>
                <w:rFonts w:hint="eastAsia" w:cs="Times New Roman"/>
                <w:color w:val="000000" w:themeColor="text1"/>
                <w:sz w:val="24"/>
                <w:lang w:val="en-US" w:eastAsia="zh-CN"/>
                <w14:textFill>
                  <w14:solidFill>
                    <w14:schemeClr w14:val="tx1"/>
                  </w14:solidFill>
                </w14:textFill>
              </w:rPr>
              <w:t>项目投资：</w:t>
            </w:r>
            <w:r>
              <w:rPr>
                <w:rFonts w:hint="default"/>
                <w:lang w:val="en-US" w:eastAsia="zh-CN"/>
              </w:rPr>
              <w:t>16173.8</w:t>
            </w:r>
            <w:r>
              <w:rPr>
                <w:rFonts w:hint="eastAsia"/>
                <w:lang w:val="en-US" w:eastAsia="zh-CN"/>
              </w:rPr>
              <w:t>万元；</w:t>
            </w:r>
          </w:p>
          <w:p>
            <w:pPr>
              <w:numPr>
                <w:ilvl w:val="0"/>
                <w:numId w:val="0"/>
              </w:numPr>
              <w:ind w:leftChars="0" w:right="40" w:rightChars="0" w:firstLine="480" w:firstLineChars="200"/>
              <w:rPr>
                <w:rFonts w:hint="eastAsia"/>
                <w:lang w:val="en-US" w:eastAsia="zh-CN"/>
              </w:rPr>
            </w:pPr>
            <w:r>
              <w:rPr>
                <w:rFonts w:hint="eastAsia"/>
                <w:lang w:val="en-US" w:eastAsia="zh-CN"/>
              </w:rPr>
              <w:t>建设内容：（1）30万t/a规模锰渣无害化生产线。（2）</w:t>
            </w:r>
            <w:r>
              <w:rPr>
                <w:rFonts w:hint="eastAsia"/>
                <w:color w:val="auto"/>
                <w:lang w:val="en-US" w:eastAsia="zh-CN"/>
              </w:rPr>
              <w:t>27万t</w:t>
            </w:r>
            <w:r>
              <w:rPr>
                <w:rFonts w:hint="eastAsia"/>
                <w:lang w:val="en-US" w:eastAsia="zh-CN"/>
              </w:rPr>
              <w:t>/a规模资源化综合利用生产线，即建筑用轻质隔墙板建设。（3）生产公辅设施，包括办公楼、停车场、供水系统、电力系统、供热系统、初期雨水池、事故水池、机修车间等。（4）项目无害化和装配式建材展览区等。</w:t>
            </w:r>
          </w:p>
          <w:p>
            <w:pPr>
              <w:numPr>
                <w:ilvl w:val="0"/>
                <w:numId w:val="0"/>
              </w:numPr>
              <w:ind w:leftChars="0" w:right="40" w:rightChars="0" w:firstLine="480" w:firstLineChars="200"/>
              <w:rPr>
                <w:rFonts w:hint="default"/>
                <w:color w:val="C00000"/>
                <w:lang w:val="en-US" w:eastAsia="zh-CN"/>
              </w:rPr>
            </w:pPr>
            <w:r>
              <w:rPr>
                <w:rFonts w:hint="default"/>
                <w:lang w:val="en-US" w:eastAsia="zh-CN"/>
              </w:rPr>
              <w:t>本项目建设用地位于花垣</w:t>
            </w:r>
            <w:r>
              <w:rPr>
                <w:rFonts w:hint="eastAsia"/>
                <w:lang w:val="en-US" w:eastAsia="zh-CN"/>
              </w:rPr>
              <w:t>县</w:t>
            </w:r>
            <w:r>
              <w:rPr>
                <w:rFonts w:hint="default"/>
                <w:lang w:val="en-US" w:eastAsia="zh-CN"/>
              </w:rPr>
              <w:t>产业开发区，</w:t>
            </w:r>
            <w:r>
              <w:rPr>
                <w:rFonts w:hint="eastAsia"/>
                <w:lang w:val="en-US" w:eastAsia="zh-CN"/>
              </w:rPr>
              <w:t>新增</w:t>
            </w:r>
            <w:r>
              <w:rPr>
                <w:rFonts w:hint="default"/>
                <w:lang w:val="en-US" w:eastAsia="zh-CN"/>
              </w:rPr>
              <w:t>建设用地</w:t>
            </w:r>
            <w:r>
              <w:rPr>
                <w:rFonts w:hint="eastAsia"/>
                <w:color w:val="auto"/>
                <w:lang w:val="en-US" w:eastAsia="zh-CN"/>
              </w:rPr>
              <w:t>75亩。目前建设用地为空地，根据《花垣县国土空间总体规划（2021-2035年）》建设用地属于二类工业用地。</w:t>
            </w:r>
          </w:p>
          <w:p>
            <w:pPr>
              <w:numPr>
                <w:ilvl w:val="0"/>
                <w:numId w:val="0"/>
              </w:numPr>
              <w:ind w:leftChars="0" w:right="40" w:rightChars="0" w:firstLine="480" w:firstLineChars="200"/>
              <w:rPr>
                <w:rFonts w:hint="eastAsia"/>
                <w:lang w:val="en-US" w:eastAsia="zh-CN"/>
              </w:rPr>
            </w:pPr>
            <w:r>
              <w:rPr>
                <w:rFonts w:hint="eastAsia"/>
                <w:lang w:val="en-US" w:eastAsia="zh-CN"/>
              </w:rPr>
              <w:t>项目详细建设内容如下：</w:t>
            </w:r>
          </w:p>
          <w:p>
            <w:pPr>
              <w:numPr>
                <w:ilvl w:val="0"/>
                <w:numId w:val="0"/>
              </w:numPr>
              <w:ind w:right="40" w:rightChars="0"/>
              <w:jc w:val="center"/>
              <w:rPr>
                <w:rFonts w:hint="default"/>
                <w:b/>
                <w:bCs/>
                <w:lang w:val="en-US" w:eastAsia="zh-CN"/>
              </w:rPr>
            </w:pPr>
            <w:r>
              <w:rPr>
                <w:rFonts w:hint="eastAsia"/>
                <w:b/>
                <w:bCs/>
                <w:lang w:val="en-US" w:eastAsia="zh-CN"/>
              </w:rPr>
              <w:t>表2-1  建设主要内容一览表</w:t>
            </w:r>
          </w:p>
          <w:tbl>
            <w:tblPr>
              <w:tblStyle w:val="15"/>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12"/>
              <w:gridCol w:w="1026"/>
              <w:gridCol w:w="5160"/>
              <w:gridCol w:w="98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noWrap w:val="0"/>
                  <w:vAlign w:val="center"/>
                </w:tcPr>
                <w:p>
                  <w:pPr>
                    <w:pStyle w:val="18"/>
                    <w:bidi w:val="0"/>
                    <w:jc w:val="center"/>
                    <w:rPr>
                      <w:b/>
                      <w:bCs/>
                    </w:rPr>
                  </w:pPr>
                  <w:r>
                    <w:rPr>
                      <w:b/>
                      <w:bCs/>
                    </w:rPr>
                    <w:t>类别</w:t>
                  </w:r>
                </w:p>
              </w:tc>
              <w:tc>
                <w:tcPr>
                  <w:tcW w:w="659" w:type="pct"/>
                  <w:noWrap w:val="0"/>
                  <w:vAlign w:val="center"/>
                </w:tcPr>
                <w:p>
                  <w:pPr>
                    <w:pStyle w:val="18"/>
                    <w:bidi w:val="0"/>
                    <w:jc w:val="center"/>
                    <w:rPr>
                      <w:b/>
                      <w:bCs/>
                    </w:rPr>
                  </w:pPr>
                  <w:r>
                    <w:rPr>
                      <w:b/>
                      <w:bCs/>
                    </w:rPr>
                    <w:t>项目名称</w:t>
                  </w:r>
                </w:p>
              </w:tc>
              <w:tc>
                <w:tcPr>
                  <w:tcW w:w="3314" w:type="pct"/>
                  <w:noWrap w:val="0"/>
                  <w:vAlign w:val="center"/>
                </w:tcPr>
                <w:p>
                  <w:pPr>
                    <w:pStyle w:val="18"/>
                    <w:bidi w:val="0"/>
                    <w:jc w:val="center"/>
                    <w:rPr>
                      <w:b/>
                      <w:bCs/>
                    </w:rPr>
                  </w:pPr>
                  <w:r>
                    <w:rPr>
                      <w:b/>
                      <w:bCs/>
                    </w:rPr>
                    <w:t>建设规模</w:t>
                  </w:r>
                </w:p>
              </w:tc>
              <w:tc>
                <w:tcPr>
                  <w:tcW w:w="632" w:type="pct"/>
                  <w:noWrap w:val="0"/>
                  <w:vAlign w:val="center"/>
                </w:tcPr>
                <w:p>
                  <w:pPr>
                    <w:pStyle w:val="18"/>
                    <w:bidi w:val="0"/>
                    <w:jc w:val="center"/>
                    <w:rPr>
                      <w:b/>
                      <w:bCs/>
                    </w:rPr>
                  </w:pPr>
                  <w:r>
                    <w:rPr>
                      <w:b/>
                      <w:bCs/>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restart"/>
                  <w:noWrap w:val="0"/>
                  <w:vAlign w:val="center"/>
                </w:tcPr>
                <w:p>
                  <w:pPr>
                    <w:pStyle w:val="18"/>
                    <w:bidi w:val="0"/>
                    <w:jc w:val="center"/>
                  </w:pPr>
                  <w:r>
                    <w:t>主体</w:t>
                  </w:r>
                </w:p>
                <w:p>
                  <w:pPr>
                    <w:pStyle w:val="18"/>
                    <w:bidi w:val="0"/>
                    <w:jc w:val="center"/>
                  </w:pPr>
                  <w:r>
                    <w:t>工程</w:t>
                  </w:r>
                </w:p>
              </w:tc>
              <w:tc>
                <w:tcPr>
                  <w:tcW w:w="659" w:type="pct"/>
                  <w:noWrap w:val="0"/>
                  <w:vAlign w:val="center"/>
                </w:tcPr>
                <w:p>
                  <w:pPr>
                    <w:pStyle w:val="18"/>
                    <w:bidi w:val="0"/>
                    <w:jc w:val="center"/>
                  </w:pPr>
                  <w:r>
                    <w:rPr>
                      <w:rFonts w:hint="eastAsia"/>
                      <w:lang w:val="en-US" w:eastAsia="zh-CN"/>
                    </w:rPr>
                    <w:t>无害化</w:t>
                  </w:r>
                  <w:r>
                    <w:t>车间</w:t>
                  </w:r>
                </w:p>
              </w:tc>
              <w:tc>
                <w:tcPr>
                  <w:tcW w:w="3314" w:type="pct"/>
                  <w:noWrap w:val="0"/>
                  <w:vAlign w:val="center"/>
                </w:tcPr>
                <w:p>
                  <w:pPr>
                    <w:pStyle w:val="18"/>
                    <w:bidi w:val="0"/>
                    <w:jc w:val="center"/>
                  </w:pPr>
                  <w:r>
                    <w:t>占地面积</w:t>
                  </w:r>
                  <w:r>
                    <w:rPr>
                      <w:rFonts w:hint="eastAsia"/>
                      <w:lang w:val="en-US" w:eastAsia="zh-CN"/>
                    </w:rPr>
                    <w:t>3645</w:t>
                  </w:r>
                  <w:r>
                    <w:t>m</w:t>
                  </w:r>
                  <w:r>
                    <w:rPr>
                      <w:vertAlign w:val="superscript"/>
                    </w:rPr>
                    <w:t>2</w:t>
                  </w:r>
                  <w:r>
                    <w:t>，</w:t>
                  </w:r>
                  <w:r>
                    <w:rPr>
                      <w:rFonts w:hint="eastAsia"/>
                      <w:lang w:val="en-US" w:eastAsia="zh-CN"/>
                    </w:rPr>
                    <w:t>长81m，宽45m，为框架结构，</w:t>
                  </w:r>
                  <w:r>
                    <w:t>车间内购置</w:t>
                  </w:r>
                  <w:r>
                    <w:rPr>
                      <w:rFonts w:hint="eastAsia"/>
                      <w:lang w:val="en-US" w:eastAsia="zh-CN"/>
                    </w:rPr>
                    <w:t>制浆机、化合桶、渣浆泵</w:t>
                  </w:r>
                  <w:r>
                    <w:t>等设备。</w:t>
                  </w:r>
                </w:p>
              </w:tc>
              <w:tc>
                <w:tcPr>
                  <w:tcW w:w="632" w:type="pct"/>
                  <w:noWrap w:val="0"/>
                  <w:vAlign w:val="center"/>
                </w:tcPr>
                <w:p>
                  <w:pPr>
                    <w:pStyle w:val="18"/>
                    <w:bidi w:val="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eastAsia="宋体"/>
                      <w:lang w:val="en-US" w:eastAsia="zh-CN"/>
                    </w:rPr>
                  </w:pPr>
                  <w:r>
                    <w:rPr>
                      <w:rFonts w:hint="eastAsia"/>
                      <w:lang w:val="en-US" w:eastAsia="zh-CN"/>
                    </w:rPr>
                    <w:t>无害化中试车间</w:t>
                  </w:r>
                </w:p>
              </w:tc>
              <w:tc>
                <w:tcPr>
                  <w:tcW w:w="3314" w:type="pct"/>
                  <w:noWrap w:val="0"/>
                  <w:vAlign w:val="center"/>
                </w:tcPr>
                <w:p>
                  <w:pPr>
                    <w:pStyle w:val="18"/>
                    <w:bidi w:val="0"/>
                    <w:jc w:val="center"/>
                    <w:rPr>
                      <w:rFonts w:hint="default" w:eastAsia="宋体"/>
                      <w:lang w:val="en-US" w:eastAsia="zh-CN"/>
                    </w:rPr>
                  </w:pPr>
                  <w:r>
                    <w:rPr>
                      <w:rFonts w:hint="eastAsia"/>
                      <w:lang w:val="en-US" w:eastAsia="zh-CN"/>
                    </w:rPr>
                    <w:t>占地面积2808m</w:t>
                  </w:r>
                  <w:r>
                    <w:rPr>
                      <w:rFonts w:hint="eastAsia"/>
                      <w:vertAlign w:val="superscript"/>
                      <w:lang w:val="en-US" w:eastAsia="zh-CN"/>
                    </w:rPr>
                    <w:t>2</w:t>
                  </w:r>
                  <w:r>
                    <w:rPr>
                      <w:rFonts w:hint="eastAsia"/>
                      <w:lang w:val="en-US" w:eastAsia="zh-CN"/>
                    </w:rPr>
                    <w:t>，长78m，宽36m，为框架结构，车间设备与无害化车间一致。</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lang w:val="en-US" w:eastAsia="zh-CN"/>
                    </w:rPr>
                  </w:pPr>
                  <w:r>
                    <w:rPr>
                      <w:rFonts w:hint="eastAsia"/>
                      <w:lang w:val="en-US" w:eastAsia="zh-CN"/>
                    </w:rPr>
                    <w:t>资源化车间</w:t>
                  </w:r>
                </w:p>
              </w:tc>
              <w:tc>
                <w:tcPr>
                  <w:tcW w:w="3314" w:type="pct"/>
                  <w:noWrap w:val="0"/>
                  <w:vAlign w:val="center"/>
                </w:tcPr>
                <w:p>
                  <w:pPr>
                    <w:pStyle w:val="18"/>
                    <w:bidi w:val="0"/>
                    <w:jc w:val="center"/>
                    <w:rPr>
                      <w:rFonts w:hint="default" w:eastAsia="宋体"/>
                      <w:lang w:val="en-US" w:eastAsia="zh-CN"/>
                    </w:rPr>
                  </w:pPr>
                  <w:r>
                    <w:rPr>
                      <w:rFonts w:hint="eastAsia"/>
                      <w:lang w:val="en-US" w:eastAsia="zh-CN"/>
                    </w:rPr>
                    <w:t>占地面积1296m</w:t>
                  </w:r>
                  <w:r>
                    <w:rPr>
                      <w:rFonts w:hint="eastAsia"/>
                      <w:vertAlign w:val="superscript"/>
                      <w:lang w:val="en-US" w:eastAsia="zh-CN"/>
                    </w:rPr>
                    <w:t>2</w:t>
                  </w:r>
                  <w:r>
                    <w:rPr>
                      <w:rFonts w:hint="eastAsia"/>
                      <w:lang w:val="en-US" w:eastAsia="zh-CN"/>
                    </w:rPr>
                    <w:t>，长48m，宽27m，为框架结构，车间购置第三代液压抽芯机、自动布料机、上面成型抹面机、振动消泡机、布料机等设备</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lang w:val="en-US" w:eastAsia="zh-CN"/>
                    </w:rPr>
                  </w:pPr>
                  <w:r>
                    <w:rPr>
                      <w:rFonts w:hint="eastAsia"/>
                      <w:lang w:val="en-US" w:eastAsia="zh-CN"/>
                    </w:rPr>
                    <w:t>MVR车间</w:t>
                  </w:r>
                </w:p>
              </w:tc>
              <w:tc>
                <w:tcPr>
                  <w:tcW w:w="3314" w:type="pct"/>
                  <w:noWrap w:val="0"/>
                  <w:vAlign w:val="center"/>
                </w:tcPr>
                <w:p>
                  <w:pPr>
                    <w:pStyle w:val="18"/>
                    <w:bidi w:val="0"/>
                    <w:jc w:val="center"/>
                    <w:rPr>
                      <w:rFonts w:hint="default"/>
                      <w:lang w:val="en-US" w:eastAsia="zh-CN"/>
                    </w:rPr>
                  </w:pPr>
                  <w:r>
                    <w:rPr>
                      <w:rFonts w:hint="eastAsia"/>
                      <w:lang w:val="en-US" w:eastAsia="zh-CN"/>
                    </w:rPr>
                    <w:t>占地面积360m</w:t>
                  </w:r>
                  <w:r>
                    <w:rPr>
                      <w:rFonts w:hint="eastAsia"/>
                      <w:vertAlign w:val="superscript"/>
                      <w:lang w:val="en-US" w:eastAsia="zh-CN"/>
                    </w:rPr>
                    <w:t>2</w:t>
                  </w:r>
                  <w:r>
                    <w:rPr>
                      <w:rFonts w:hint="eastAsia"/>
                      <w:lang w:val="en-US" w:eastAsia="zh-CN"/>
                    </w:rPr>
                    <w:t>，长24m，宽15m，为框架结构，车间购置MVR装置。</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restart"/>
                  <w:noWrap w:val="0"/>
                  <w:vAlign w:val="center"/>
                </w:tcPr>
                <w:p>
                  <w:pPr>
                    <w:pStyle w:val="18"/>
                    <w:bidi w:val="0"/>
                    <w:jc w:val="center"/>
                  </w:pPr>
                  <w:r>
                    <w:t>储运</w:t>
                  </w:r>
                </w:p>
                <w:p>
                  <w:pPr>
                    <w:pStyle w:val="18"/>
                    <w:bidi w:val="0"/>
                    <w:jc w:val="center"/>
                  </w:pPr>
                  <w:r>
                    <w:t>工程</w:t>
                  </w:r>
                </w:p>
              </w:tc>
              <w:tc>
                <w:tcPr>
                  <w:tcW w:w="659" w:type="pct"/>
                  <w:noWrap w:val="0"/>
                  <w:vAlign w:val="center"/>
                </w:tcPr>
                <w:p>
                  <w:pPr>
                    <w:pStyle w:val="18"/>
                    <w:bidi w:val="0"/>
                    <w:jc w:val="center"/>
                    <w:rPr>
                      <w:rFonts w:hint="default" w:eastAsia="宋体"/>
                      <w:lang w:val="en-US" w:eastAsia="zh-CN"/>
                    </w:rPr>
                  </w:pPr>
                  <w:r>
                    <w:rPr>
                      <w:rFonts w:hint="eastAsia"/>
                      <w:lang w:val="en-US" w:eastAsia="zh-CN"/>
                    </w:rPr>
                    <w:t>原料仓库</w:t>
                  </w:r>
                </w:p>
              </w:tc>
              <w:tc>
                <w:tcPr>
                  <w:tcW w:w="3314" w:type="pct"/>
                  <w:noWrap w:val="0"/>
                  <w:vAlign w:val="center"/>
                </w:tcPr>
                <w:p>
                  <w:pPr>
                    <w:pStyle w:val="18"/>
                    <w:bidi w:val="0"/>
                    <w:jc w:val="center"/>
                    <w:rPr>
                      <w:rFonts w:hint="default" w:eastAsia="宋体"/>
                      <w:lang w:val="en-US" w:eastAsia="zh-CN"/>
                    </w:rPr>
                  </w:pPr>
                  <w:r>
                    <w:rPr>
                      <w:rFonts w:hint="eastAsia"/>
                      <w:lang w:val="en-US" w:eastAsia="zh-CN"/>
                    </w:rPr>
                    <w:t>占地面积2160m</w:t>
                  </w:r>
                  <w:r>
                    <w:rPr>
                      <w:rFonts w:hint="eastAsia"/>
                      <w:vertAlign w:val="superscript"/>
                      <w:lang w:val="en-US" w:eastAsia="zh-CN"/>
                    </w:rPr>
                    <w:t>2</w:t>
                  </w:r>
                  <w:r>
                    <w:rPr>
                      <w:rFonts w:hint="eastAsia"/>
                      <w:vertAlign w:val="baseline"/>
                      <w:lang w:val="en-US" w:eastAsia="zh-CN"/>
                    </w:rPr>
                    <w:t>，长72m，宽30m，为框架结构，按照危险废物贮存污染控制标准GB18597-2023的要求进行防渗处理。</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eastAsia="宋体"/>
                      <w:lang w:val="en-US" w:eastAsia="zh-CN"/>
                    </w:rPr>
                  </w:pPr>
                  <w:r>
                    <w:rPr>
                      <w:rFonts w:hint="eastAsia"/>
                      <w:lang w:val="en-US" w:eastAsia="zh-CN"/>
                    </w:rPr>
                    <w:t>无害化渣仓库</w:t>
                  </w:r>
                </w:p>
              </w:tc>
              <w:tc>
                <w:tcPr>
                  <w:tcW w:w="3314" w:type="pct"/>
                  <w:noWrap w:val="0"/>
                  <w:vAlign w:val="center"/>
                </w:tcPr>
                <w:p>
                  <w:pPr>
                    <w:pStyle w:val="18"/>
                    <w:bidi w:val="0"/>
                    <w:jc w:val="center"/>
                    <w:rPr>
                      <w:rFonts w:hint="default"/>
                      <w:lang w:val="en-US"/>
                    </w:rPr>
                  </w:pPr>
                  <w:r>
                    <w:rPr>
                      <w:rFonts w:hint="eastAsia"/>
                      <w:lang w:val="en-US" w:eastAsia="zh-CN"/>
                    </w:rPr>
                    <w:t>占地面积3645m</w:t>
                  </w:r>
                  <w:r>
                    <w:rPr>
                      <w:rFonts w:hint="eastAsia"/>
                      <w:vertAlign w:val="superscript"/>
                      <w:lang w:val="en-US" w:eastAsia="zh-CN"/>
                    </w:rPr>
                    <w:t>2</w:t>
                  </w:r>
                  <w:r>
                    <w:rPr>
                      <w:rFonts w:hint="eastAsia"/>
                      <w:vertAlign w:val="baseline"/>
                      <w:lang w:val="en-US" w:eastAsia="zh-CN"/>
                    </w:rPr>
                    <w:t>，长81m，宽45m，为框架结构。</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eastAsia="宋体"/>
                      <w:lang w:val="en-US" w:eastAsia="zh-CN"/>
                    </w:rPr>
                  </w:pPr>
                  <w:r>
                    <w:rPr>
                      <w:rFonts w:hint="eastAsia"/>
                      <w:lang w:val="en-US" w:eastAsia="zh-CN"/>
                    </w:rPr>
                    <w:t>石膏仓</w:t>
                  </w:r>
                </w:p>
              </w:tc>
              <w:tc>
                <w:tcPr>
                  <w:tcW w:w="3314" w:type="pct"/>
                  <w:noWrap w:val="0"/>
                  <w:vAlign w:val="center"/>
                </w:tcPr>
                <w:p>
                  <w:pPr>
                    <w:pStyle w:val="18"/>
                    <w:bidi w:val="0"/>
                    <w:jc w:val="center"/>
                    <w:rPr>
                      <w:rFonts w:hint="default" w:eastAsia="宋体"/>
                      <w:lang w:val="en-US" w:eastAsia="zh-CN"/>
                    </w:rPr>
                  </w:pPr>
                  <w:r>
                    <w:rPr>
                      <w:rFonts w:hint="eastAsia"/>
                      <w:lang w:val="en-US" w:eastAsia="zh-CN"/>
                    </w:rPr>
                    <w:t>总占地面积254.34m</w:t>
                  </w:r>
                  <w:r>
                    <w:rPr>
                      <w:rFonts w:hint="eastAsia"/>
                      <w:vertAlign w:val="superscript"/>
                      <w:lang w:val="en-US" w:eastAsia="zh-CN"/>
                    </w:rPr>
                    <w:t>2</w:t>
                  </w:r>
                  <w:r>
                    <w:rPr>
                      <w:rFonts w:hint="eastAsia"/>
                      <w:vertAlign w:val="baseline"/>
                      <w:lang w:val="en-US" w:eastAsia="zh-CN"/>
                    </w:rPr>
                    <w:t>，直径9m，高8m，建设四座石膏仓。</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lang w:val="en-US" w:eastAsia="zh-CN"/>
                    </w:rPr>
                  </w:pPr>
                  <w:r>
                    <w:rPr>
                      <w:rFonts w:hint="eastAsia"/>
                      <w:lang w:val="en-US" w:eastAsia="zh-CN"/>
                    </w:rPr>
                    <w:t>资源化产品仓库</w:t>
                  </w:r>
                </w:p>
              </w:tc>
              <w:tc>
                <w:tcPr>
                  <w:tcW w:w="3314" w:type="pct"/>
                  <w:noWrap w:val="0"/>
                  <w:vAlign w:val="center"/>
                </w:tcPr>
                <w:p>
                  <w:pPr>
                    <w:pStyle w:val="18"/>
                    <w:bidi w:val="0"/>
                    <w:jc w:val="center"/>
                    <w:rPr>
                      <w:rFonts w:hint="default" w:eastAsia="宋体"/>
                      <w:lang w:val="en-US" w:eastAsia="zh-CN"/>
                    </w:rPr>
                  </w:pPr>
                  <w:r>
                    <w:rPr>
                      <w:rFonts w:hint="eastAsia"/>
                      <w:lang w:val="en-US" w:eastAsia="zh-CN"/>
                    </w:rPr>
                    <w:t>占地面积1512m</w:t>
                  </w:r>
                  <w:r>
                    <w:rPr>
                      <w:rFonts w:hint="eastAsia"/>
                      <w:vertAlign w:val="superscript"/>
                      <w:lang w:val="en-US" w:eastAsia="zh-CN"/>
                    </w:rPr>
                    <w:t>2</w:t>
                  </w:r>
                  <w:r>
                    <w:rPr>
                      <w:rFonts w:hint="eastAsia"/>
                      <w:vertAlign w:val="baseline"/>
                      <w:lang w:val="en-US" w:eastAsia="zh-CN"/>
                    </w:rPr>
                    <w:t>，长42m，宽36m，为框架结构。</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lang w:val="en-US" w:eastAsia="zh-CN"/>
                    </w:rPr>
                  </w:pPr>
                  <w:r>
                    <w:rPr>
                      <w:rFonts w:hint="eastAsia"/>
                      <w:lang w:val="en-US" w:eastAsia="zh-CN"/>
                    </w:rPr>
                    <w:t>滤液储槽</w:t>
                  </w:r>
                </w:p>
              </w:tc>
              <w:tc>
                <w:tcPr>
                  <w:tcW w:w="3314" w:type="pct"/>
                  <w:noWrap w:val="0"/>
                  <w:vAlign w:val="center"/>
                </w:tcPr>
                <w:p>
                  <w:pPr>
                    <w:pStyle w:val="18"/>
                    <w:bidi w:val="0"/>
                    <w:jc w:val="center"/>
                    <w:rPr>
                      <w:rFonts w:hint="default"/>
                      <w:lang w:val="en-US" w:eastAsia="zh-CN"/>
                    </w:rPr>
                  </w:pPr>
                  <w:r>
                    <w:rPr>
                      <w:rFonts w:hint="eastAsia"/>
                      <w:lang w:val="en-US" w:eastAsia="zh-CN"/>
                    </w:rPr>
                    <w:t>总占地面积9600m</w:t>
                  </w:r>
                  <w:r>
                    <w:rPr>
                      <w:rFonts w:hint="eastAsia"/>
                      <w:vertAlign w:val="superscript"/>
                      <w:lang w:val="en-US" w:eastAsia="zh-CN"/>
                    </w:rPr>
                    <w:t>2</w:t>
                  </w:r>
                  <w:r>
                    <w:rPr>
                      <w:rFonts w:hint="eastAsia"/>
                      <w:lang w:val="en-US" w:eastAsia="zh-CN"/>
                    </w:rPr>
                    <w:t>，单个储槽直径10.4m，高9.4m，建设12个滤液储槽。</w:t>
                  </w:r>
                </w:p>
              </w:tc>
              <w:tc>
                <w:tcPr>
                  <w:tcW w:w="632" w:type="pct"/>
                  <w:noWrap w:val="0"/>
                  <w:vAlign w:val="center"/>
                </w:tcPr>
                <w:p>
                  <w:pPr>
                    <w:bidi w:val="0"/>
                    <w:ind w:left="40" w:leftChars="0" w:right="40" w:rightChars="0"/>
                    <w:jc w:val="center"/>
                    <w:rPr>
                      <w:rFonts w:ascii="Times New Roman" w:hAnsi="Times New Roman" w:eastAsia="宋体" w:cs="Times New Roman"/>
                      <w:kern w:val="2"/>
                      <w:sz w:val="24"/>
                      <w:szCs w:val="24"/>
                      <w:lang w:val="en-US" w:eastAsia="zh-CN" w:bidi="ar-SA"/>
                    </w:rP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lang w:val="en-US" w:eastAsia="zh-CN"/>
                    </w:rPr>
                  </w:pPr>
                  <w:r>
                    <w:rPr>
                      <w:rFonts w:hint="eastAsia"/>
                      <w:lang w:val="en-US" w:eastAsia="zh-CN"/>
                    </w:rPr>
                    <w:t>锰铵溶液储槽</w:t>
                  </w:r>
                </w:p>
              </w:tc>
              <w:tc>
                <w:tcPr>
                  <w:tcW w:w="3314" w:type="pct"/>
                  <w:noWrap w:val="0"/>
                  <w:vAlign w:val="center"/>
                </w:tcPr>
                <w:p>
                  <w:pPr>
                    <w:pStyle w:val="18"/>
                    <w:bidi w:val="0"/>
                    <w:jc w:val="center"/>
                    <w:rPr>
                      <w:rFonts w:hint="default"/>
                      <w:lang w:val="en-US" w:eastAsia="zh-CN"/>
                    </w:rPr>
                  </w:pPr>
                  <w:r>
                    <w:rPr>
                      <w:rFonts w:hint="eastAsia"/>
                      <w:lang w:val="en-US" w:eastAsia="zh-CN"/>
                    </w:rPr>
                    <w:t>总占地面积3200m</w:t>
                  </w:r>
                  <w:r>
                    <w:rPr>
                      <w:rFonts w:hint="eastAsia"/>
                      <w:vertAlign w:val="superscript"/>
                      <w:lang w:val="en-US" w:eastAsia="zh-CN"/>
                    </w:rPr>
                    <w:t>2</w:t>
                  </w:r>
                  <w:r>
                    <w:rPr>
                      <w:rFonts w:hint="eastAsia"/>
                      <w:lang w:val="en-US" w:eastAsia="zh-CN"/>
                    </w:rPr>
                    <w:t>，单个储槽直径10.4m，高9.4m，建设4个锰铵溶液储槽（用三备一）。</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restart"/>
                  <w:noWrap w:val="0"/>
                  <w:vAlign w:val="center"/>
                </w:tcPr>
                <w:p>
                  <w:pPr>
                    <w:pStyle w:val="18"/>
                    <w:bidi w:val="0"/>
                    <w:jc w:val="center"/>
                  </w:pPr>
                  <w:r>
                    <w:t>公用</w:t>
                  </w:r>
                </w:p>
                <w:p>
                  <w:pPr>
                    <w:pStyle w:val="18"/>
                    <w:bidi w:val="0"/>
                    <w:jc w:val="center"/>
                  </w:pPr>
                  <w:r>
                    <w:t>工程</w:t>
                  </w:r>
                </w:p>
              </w:tc>
              <w:tc>
                <w:tcPr>
                  <w:tcW w:w="659" w:type="pct"/>
                  <w:noWrap w:val="0"/>
                  <w:vAlign w:val="center"/>
                </w:tcPr>
                <w:p>
                  <w:pPr>
                    <w:pStyle w:val="18"/>
                    <w:bidi w:val="0"/>
                    <w:jc w:val="center"/>
                    <w:rPr>
                      <w:rFonts w:hint="eastAsia" w:eastAsia="宋体"/>
                      <w:lang w:eastAsia="zh-CN"/>
                    </w:rPr>
                  </w:pPr>
                  <w:r>
                    <w:t>办公</w:t>
                  </w:r>
                  <w:r>
                    <w:rPr>
                      <w:rFonts w:hint="eastAsia"/>
                      <w:lang w:val="en-US" w:eastAsia="zh-CN"/>
                    </w:rPr>
                    <w:t>楼</w:t>
                  </w:r>
                </w:p>
              </w:tc>
              <w:tc>
                <w:tcPr>
                  <w:tcW w:w="3314" w:type="pct"/>
                  <w:noWrap w:val="0"/>
                  <w:vAlign w:val="center"/>
                </w:tcPr>
                <w:p>
                  <w:pPr>
                    <w:pStyle w:val="18"/>
                    <w:bidi w:val="0"/>
                    <w:jc w:val="center"/>
                    <w:rPr>
                      <w:rFonts w:hint="default" w:eastAsia="宋体"/>
                      <w:lang w:val="en-US" w:eastAsia="zh-CN"/>
                    </w:rPr>
                  </w:pPr>
                  <w:r>
                    <w:rPr>
                      <w:rFonts w:hint="eastAsia"/>
                      <w:lang w:val="en-US" w:eastAsia="zh-CN"/>
                    </w:rPr>
                    <w:t>占地面积810m</w:t>
                  </w:r>
                  <w:r>
                    <w:rPr>
                      <w:rFonts w:hint="eastAsia"/>
                      <w:vertAlign w:val="superscript"/>
                      <w:lang w:val="en-US" w:eastAsia="zh-CN"/>
                    </w:rPr>
                    <w:t>2</w:t>
                  </w:r>
                  <w:r>
                    <w:rPr>
                      <w:rFonts w:hint="eastAsia"/>
                      <w:vertAlign w:val="baseline"/>
                      <w:lang w:val="en-US" w:eastAsia="zh-CN"/>
                    </w:rPr>
                    <w:t>，长45m，宽18m，高10.9m，分为三层，为砖混结构。其中一楼设置为食堂。</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eastAsia" w:eastAsia="宋体"/>
                      <w:lang w:val="en-US" w:eastAsia="zh-CN"/>
                    </w:rPr>
                  </w:pPr>
                  <w:r>
                    <w:rPr>
                      <w:rFonts w:hint="eastAsia"/>
                      <w:lang w:val="en-US" w:eastAsia="zh-CN"/>
                    </w:rPr>
                    <w:t>传达室</w:t>
                  </w:r>
                </w:p>
              </w:tc>
              <w:tc>
                <w:tcPr>
                  <w:tcW w:w="3314" w:type="pct"/>
                  <w:noWrap w:val="0"/>
                  <w:vAlign w:val="center"/>
                </w:tcPr>
                <w:p>
                  <w:pPr>
                    <w:pStyle w:val="18"/>
                    <w:bidi w:val="0"/>
                    <w:jc w:val="center"/>
                    <w:rPr>
                      <w:rFonts w:hint="default"/>
                      <w:lang w:val="en-US" w:eastAsia="zh-CN"/>
                    </w:rPr>
                  </w:pPr>
                  <w:r>
                    <w:rPr>
                      <w:rFonts w:hint="eastAsia"/>
                      <w:lang w:val="en-US" w:eastAsia="zh-CN"/>
                    </w:rPr>
                    <w:t>占地面积63m</w:t>
                  </w:r>
                  <w:r>
                    <w:rPr>
                      <w:rFonts w:hint="eastAsia"/>
                      <w:vertAlign w:val="superscript"/>
                      <w:lang w:val="en-US" w:eastAsia="zh-CN"/>
                    </w:rPr>
                    <w:t>2</w:t>
                  </w:r>
                  <w:r>
                    <w:rPr>
                      <w:rFonts w:hint="eastAsia"/>
                      <w:lang w:val="en-US" w:eastAsia="zh-CN"/>
                    </w:rPr>
                    <w:t>，长6m，宽3.5m，高4.2m，共一层，为砖混结构。</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lang w:val="en-US" w:eastAsia="zh-CN"/>
                    </w:rPr>
                  </w:pPr>
                  <w:r>
                    <w:rPr>
                      <w:rFonts w:hint="eastAsia"/>
                      <w:lang w:val="en-US" w:eastAsia="zh-CN"/>
                    </w:rPr>
                    <w:t>产品展示中心</w:t>
                  </w:r>
                </w:p>
              </w:tc>
              <w:tc>
                <w:tcPr>
                  <w:tcW w:w="3314" w:type="pct"/>
                  <w:noWrap w:val="0"/>
                  <w:vAlign w:val="center"/>
                </w:tcPr>
                <w:p>
                  <w:pPr>
                    <w:pStyle w:val="18"/>
                    <w:bidi w:val="0"/>
                    <w:jc w:val="center"/>
                    <w:rPr>
                      <w:rFonts w:hint="default"/>
                      <w:lang w:val="en-US" w:eastAsia="zh-CN"/>
                    </w:rPr>
                  </w:pPr>
                  <w:r>
                    <w:rPr>
                      <w:rFonts w:hint="eastAsia"/>
                      <w:lang w:val="en-US" w:eastAsia="zh-CN"/>
                    </w:rPr>
                    <w:t>占地面积1080m</w:t>
                  </w:r>
                  <w:r>
                    <w:rPr>
                      <w:rFonts w:hint="eastAsia"/>
                      <w:vertAlign w:val="superscript"/>
                      <w:lang w:val="en-US" w:eastAsia="zh-CN"/>
                    </w:rPr>
                    <w:t>2</w:t>
                  </w:r>
                  <w:r>
                    <w:rPr>
                      <w:rFonts w:hint="eastAsia"/>
                      <w:lang w:val="en-US" w:eastAsia="zh-CN"/>
                    </w:rPr>
                    <w:t>，长45m，宽24m，高8.5m，共两层，为砖混结构。</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lang w:val="en-US" w:eastAsia="zh-CN"/>
                    </w:rPr>
                  </w:pPr>
                  <w:r>
                    <w:rPr>
                      <w:rFonts w:hint="eastAsia"/>
                      <w:lang w:val="en-US" w:eastAsia="zh-CN"/>
                    </w:rPr>
                    <w:t>锅炉房</w:t>
                  </w:r>
                </w:p>
              </w:tc>
              <w:tc>
                <w:tcPr>
                  <w:tcW w:w="3314" w:type="pct"/>
                  <w:noWrap w:val="0"/>
                  <w:vAlign w:val="center"/>
                </w:tcPr>
                <w:p>
                  <w:pPr>
                    <w:pStyle w:val="18"/>
                    <w:bidi w:val="0"/>
                    <w:jc w:val="center"/>
                    <w:rPr>
                      <w:rFonts w:hint="default"/>
                      <w:lang w:val="en-US" w:eastAsia="zh-CN"/>
                    </w:rPr>
                  </w:pPr>
                  <w:r>
                    <w:rPr>
                      <w:rFonts w:hint="eastAsia"/>
                      <w:lang w:val="en-US" w:eastAsia="zh-CN"/>
                    </w:rPr>
                    <w:t>占地面积360m</w:t>
                  </w:r>
                  <w:r>
                    <w:rPr>
                      <w:rFonts w:hint="eastAsia"/>
                      <w:vertAlign w:val="superscript"/>
                      <w:lang w:val="en-US" w:eastAsia="zh-CN"/>
                    </w:rPr>
                    <w:t>2</w:t>
                  </w:r>
                  <w:r>
                    <w:rPr>
                      <w:rFonts w:hint="eastAsia"/>
                      <w:lang w:val="en-US" w:eastAsia="zh-CN"/>
                    </w:rPr>
                    <w:t>，长24m，宽15m，为框架结构，配置两台生物质锅炉（用一备一），采用层燃燃烧方式。</w:t>
                  </w:r>
                </w:p>
              </w:tc>
              <w:tc>
                <w:tcPr>
                  <w:tcW w:w="632" w:type="pct"/>
                  <w:noWrap w:val="0"/>
                  <w:vAlign w:val="center"/>
                </w:tcPr>
                <w:p>
                  <w:pPr>
                    <w:bidi w:val="0"/>
                    <w:ind w:left="40" w:leftChars="0" w:right="40" w:rightChars="0"/>
                    <w:jc w:val="center"/>
                  </w:pPr>
                  <w:r>
                    <w:t>新建</w:t>
                  </w:r>
                  <w:bookmarkStart w:id="231" w:name="_GoBack"/>
                  <w:bookmarkEnd w:id="231"/>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lang w:val="en-US" w:eastAsia="zh-CN"/>
                    </w:rPr>
                  </w:pPr>
                  <w:r>
                    <w:rPr>
                      <w:rFonts w:hint="eastAsia"/>
                      <w:lang w:val="en-US" w:eastAsia="zh-CN"/>
                    </w:rPr>
                    <w:t>分析检测室</w:t>
                  </w:r>
                </w:p>
              </w:tc>
              <w:tc>
                <w:tcPr>
                  <w:tcW w:w="3314" w:type="pct"/>
                  <w:noWrap w:val="0"/>
                  <w:vAlign w:val="center"/>
                </w:tcPr>
                <w:p>
                  <w:pPr>
                    <w:pStyle w:val="18"/>
                    <w:bidi w:val="0"/>
                    <w:jc w:val="center"/>
                    <w:rPr>
                      <w:rFonts w:hint="default"/>
                      <w:lang w:val="en-US" w:eastAsia="zh-CN"/>
                    </w:rPr>
                  </w:pPr>
                  <w:r>
                    <w:rPr>
                      <w:rFonts w:hint="eastAsia"/>
                      <w:lang w:val="en-US" w:eastAsia="zh-CN"/>
                    </w:rPr>
                    <w:t>位于项目无害化中试车间内，配备分析仪器。</w:t>
                  </w:r>
                </w:p>
              </w:tc>
              <w:tc>
                <w:tcPr>
                  <w:tcW w:w="632" w:type="pct"/>
                  <w:noWrap w:val="0"/>
                  <w:vAlign w:val="center"/>
                </w:tcPr>
                <w:p>
                  <w:pPr>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rPr>
                      <w:rFonts w:hint="default"/>
                      <w:lang w:val="en-US" w:eastAsia="zh-CN"/>
                    </w:rPr>
                  </w:pPr>
                  <w:r>
                    <w:rPr>
                      <w:rFonts w:hint="eastAsia"/>
                      <w:lang w:val="en-US" w:eastAsia="zh-CN"/>
                    </w:rPr>
                    <w:t>食堂</w:t>
                  </w:r>
                </w:p>
              </w:tc>
              <w:tc>
                <w:tcPr>
                  <w:tcW w:w="3314" w:type="pct"/>
                  <w:noWrap w:val="0"/>
                  <w:vAlign w:val="center"/>
                </w:tcPr>
                <w:p>
                  <w:pPr>
                    <w:pStyle w:val="18"/>
                    <w:bidi w:val="0"/>
                    <w:jc w:val="center"/>
                    <w:rPr>
                      <w:rFonts w:hint="default"/>
                      <w:lang w:val="en-US" w:eastAsia="zh-CN"/>
                    </w:rPr>
                  </w:pPr>
                  <w:r>
                    <w:rPr>
                      <w:rFonts w:hint="eastAsia"/>
                      <w:lang w:val="en-US" w:eastAsia="zh-CN"/>
                    </w:rPr>
                    <w:t>位于办公楼一楼，配备相应厨房设施。</w:t>
                  </w:r>
                </w:p>
              </w:tc>
              <w:tc>
                <w:tcPr>
                  <w:tcW w:w="632" w:type="pct"/>
                  <w:noWrap w:val="0"/>
                  <w:vAlign w:val="center"/>
                </w:tcPr>
                <w:p>
                  <w:pPr>
                    <w:bidi w:val="0"/>
                    <w:ind w:left="40" w:leftChars="0" w:right="40" w:rightChars="0"/>
                    <w:jc w:val="center"/>
                    <w:rPr>
                      <w:rFonts w:hint="eastAsia" w:eastAsia="宋体"/>
                      <w:lang w:val="en-US" w:eastAsia="zh-CN"/>
                    </w:rPr>
                  </w:pPr>
                  <w:r>
                    <w:rPr>
                      <w:rFonts w:hint="eastAsia"/>
                      <w:lang w:val="en-US" w:eastAsia="zh-CN"/>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pPr>
                  <w:r>
                    <w:t>给水</w:t>
                  </w:r>
                </w:p>
              </w:tc>
              <w:tc>
                <w:tcPr>
                  <w:tcW w:w="3314" w:type="pct"/>
                  <w:noWrap w:val="0"/>
                  <w:vAlign w:val="center"/>
                </w:tcPr>
                <w:p>
                  <w:pPr>
                    <w:pStyle w:val="18"/>
                    <w:bidi w:val="0"/>
                    <w:jc w:val="center"/>
                  </w:pPr>
                  <w:r>
                    <w:rPr>
                      <w:szCs w:val="21"/>
                    </w:rPr>
                    <w:t>市政供水管网</w:t>
                  </w:r>
                </w:p>
              </w:tc>
              <w:tc>
                <w:tcPr>
                  <w:tcW w:w="632" w:type="pct"/>
                  <w:noWrap w:val="0"/>
                  <w:vAlign w:val="center"/>
                </w:tcPr>
                <w:p>
                  <w:pPr>
                    <w:pStyle w:val="18"/>
                    <w:bidi w:val="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pPr>
                  <w:r>
                    <w:t>排水</w:t>
                  </w:r>
                </w:p>
              </w:tc>
              <w:tc>
                <w:tcPr>
                  <w:tcW w:w="3314" w:type="pct"/>
                  <w:noWrap w:val="0"/>
                  <w:vAlign w:val="center"/>
                </w:tcPr>
                <w:p>
                  <w:pPr>
                    <w:pStyle w:val="18"/>
                    <w:bidi w:val="0"/>
                    <w:jc w:val="center"/>
                  </w:pPr>
                  <w:r>
                    <w:rPr>
                      <w:szCs w:val="21"/>
                    </w:rPr>
                    <w:t>生活废水经化粪池处理后，排入</w:t>
                  </w:r>
                  <w:r>
                    <w:rPr>
                      <w:bCs/>
                      <w:szCs w:val="21"/>
                    </w:rPr>
                    <w:t>花垣县工业园污水处理厂</w:t>
                  </w:r>
                </w:p>
              </w:tc>
              <w:tc>
                <w:tcPr>
                  <w:tcW w:w="632" w:type="pct"/>
                  <w:noWrap w:val="0"/>
                  <w:vAlign w:val="center"/>
                </w:tcPr>
                <w:p>
                  <w:pPr>
                    <w:pStyle w:val="18"/>
                    <w:bidi w:val="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pPr>
                  <w:r>
                    <w:t>供电</w:t>
                  </w:r>
                </w:p>
              </w:tc>
              <w:tc>
                <w:tcPr>
                  <w:tcW w:w="3314" w:type="pct"/>
                  <w:noWrap w:val="0"/>
                  <w:vAlign w:val="center"/>
                </w:tcPr>
                <w:p>
                  <w:pPr>
                    <w:pStyle w:val="18"/>
                    <w:bidi w:val="0"/>
                    <w:jc w:val="center"/>
                    <w:rPr>
                      <w:rFonts w:hint="default" w:eastAsia="宋体"/>
                      <w:lang w:val="en-US" w:eastAsia="zh-CN"/>
                    </w:rPr>
                  </w:pPr>
                  <w:r>
                    <w:rPr>
                      <w:szCs w:val="21"/>
                    </w:rPr>
                    <w:t>市政供电电网</w:t>
                  </w:r>
                  <w:r>
                    <w:rPr>
                      <w:rFonts w:hint="eastAsia"/>
                      <w:szCs w:val="21"/>
                      <w:lang w:eastAsia="zh-CN"/>
                    </w:rPr>
                    <w:t>，</w:t>
                  </w:r>
                  <w:r>
                    <w:rPr>
                      <w:rFonts w:hint="eastAsia"/>
                      <w:szCs w:val="21"/>
                      <w:lang w:val="en-US" w:eastAsia="zh-CN"/>
                    </w:rPr>
                    <w:t>建设变电站和发电机房。</w:t>
                  </w:r>
                </w:p>
              </w:tc>
              <w:tc>
                <w:tcPr>
                  <w:tcW w:w="632" w:type="pct"/>
                  <w:noWrap w:val="0"/>
                  <w:vAlign w:val="center"/>
                </w:tcPr>
                <w:p>
                  <w:pPr>
                    <w:pStyle w:val="18"/>
                    <w:bidi w:val="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restart"/>
                  <w:noWrap w:val="0"/>
                  <w:vAlign w:val="center"/>
                </w:tcPr>
                <w:p>
                  <w:pPr>
                    <w:pStyle w:val="18"/>
                    <w:bidi w:val="0"/>
                    <w:jc w:val="center"/>
                  </w:pPr>
                  <w:r>
                    <w:t>环保</w:t>
                  </w:r>
                </w:p>
                <w:p>
                  <w:pPr>
                    <w:pStyle w:val="18"/>
                    <w:bidi w:val="0"/>
                    <w:jc w:val="center"/>
                  </w:pPr>
                  <w:r>
                    <w:t>工程</w:t>
                  </w:r>
                </w:p>
              </w:tc>
              <w:tc>
                <w:tcPr>
                  <w:tcW w:w="659" w:type="pct"/>
                  <w:noWrap w:val="0"/>
                  <w:vAlign w:val="center"/>
                </w:tcPr>
                <w:p>
                  <w:pPr>
                    <w:pStyle w:val="18"/>
                    <w:bidi w:val="0"/>
                    <w:jc w:val="center"/>
                  </w:pPr>
                  <w:r>
                    <w:t>废气</w:t>
                  </w:r>
                </w:p>
              </w:tc>
              <w:tc>
                <w:tcPr>
                  <w:tcW w:w="3314" w:type="pct"/>
                  <w:noWrap w:val="0"/>
                  <w:vAlign w:val="center"/>
                </w:tcPr>
                <w:p>
                  <w:pPr>
                    <w:pStyle w:val="18"/>
                    <w:bidi w:val="0"/>
                    <w:jc w:val="center"/>
                    <w:rPr>
                      <w:rFonts w:hint="default" w:eastAsia="宋体"/>
                      <w:lang w:val="en-US" w:eastAsia="zh-CN"/>
                    </w:rPr>
                  </w:pPr>
                  <w:r>
                    <w:rPr>
                      <w:rFonts w:hint="eastAsia"/>
                      <w:lang w:val="en-US" w:eastAsia="zh-CN"/>
                    </w:rPr>
                    <w:t>锅炉废气采用“</w:t>
                  </w:r>
                  <w:r>
                    <w:rPr>
                      <w:kern w:val="10"/>
                      <w:szCs w:val="21"/>
                    </w:rPr>
                    <w:t>布袋收尘→15m排气筒”处理</w:t>
                  </w:r>
                </w:p>
              </w:tc>
              <w:tc>
                <w:tcPr>
                  <w:tcW w:w="632" w:type="pct"/>
                  <w:noWrap w:val="0"/>
                  <w:vAlign w:val="center"/>
                </w:tcPr>
                <w:p>
                  <w:pPr>
                    <w:pStyle w:val="18"/>
                    <w:bidi w:val="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2" w:hRule="atLeast"/>
                <w:jc w:val="center"/>
              </w:trPr>
              <w:tc>
                <w:tcPr>
                  <w:tcW w:w="393" w:type="pct"/>
                  <w:vMerge w:val="continue"/>
                  <w:noWrap w:val="0"/>
                  <w:vAlign w:val="center"/>
                </w:tcPr>
                <w:p>
                  <w:pPr>
                    <w:pStyle w:val="18"/>
                    <w:bidi w:val="0"/>
                    <w:jc w:val="center"/>
                  </w:pPr>
                </w:p>
              </w:tc>
              <w:tc>
                <w:tcPr>
                  <w:tcW w:w="659" w:type="pct"/>
                  <w:vMerge w:val="restart"/>
                  <w:noWrap w:val="0"/>
                  <w:vAlign w:val="center"/>
                </w:tcPr>
                <w:p>
                  <w:pPr>
                    <w:pStyle w:val="18"/>
                    <w:bidi w:val="0"/>
                    <w:jc w:val="center"/>
                  </w:pPr>
                  <w:r>
                    <w:t>废水</w:t>
                  </w:r>
                </w:p>
              </w:tc>
              <w:tc>
                <w:tcPr>
                  <w:tcW w:w="3314" w:type="pct"/>
                  <w:noWrap w:val="0"/>
                  <w:vAlign w:val="center"/>
                </w:tcPr>
                <w:p>
                  <w:pPr>
                    <w:pStyle w:val="18"/>
                    <w:bidi w:val="0"/>
                    <w:jc w:val="center"/>
                  </w:pPr>
                  <w:r>
                    <w:rPr>
                      <w:szCs w:val="21"/>
                    </w:rPr>
                    <w:t>生产过程产生废水主要为</w:t>
                  </w:r>
                  <w:r>
                    <w:rPr>
                      <w:rFonts w:hint="eastAsia"/>
                      <w:szCs w:val="21"/>
                      <w:lang w:val="en-US" w:eastAsia="zh-CN"/>
                    </w:rPr>
                    <w:t>设备清洗水</w:t>
                  </w:r>
                  <w:r>
                    <w:rPr>
                      <w:szCs w:val="21"/>
                    </w:rPr>
                    <w:t>、地面清洁废水</w:t>
                  </w:r>
                  <w:r>
                    <w:rPr>
                      <w:rFonts w:hint="eastAsia"/>
                      <w:szCs w:val="21"/>
                      <w:lang w:eastAsia="zh-CN"/>
                    </w:rPr>
                    <w:t>、</w:t>
                  </w:r>
                  <w:r>
                    <w:rPr>
                      <w:rFonts w:hint="eastAsia"/>
                      <w:b w:val="0"/>
                      <w:bCs w:val="0"/>
                      <w:color w:val="auto"/>
                      <w:szCs w:val="21"/>
                      <w:lang w:val="en-US" w:eastAsia="zh-CN"/>
                    </w:rPr>
                    <w:t>检测中心废水</w:t>
                  </w:r>
                  <w:r>
                    <w:rPr>
                      <w:szCs w:val="21"/>
                    </w:rPr>
                    <w:t>，经收集后回用于生产。</w:t>
                  </w:r>
                </w:p>
              </w:tc>
              <w:tc>
                <w:tcPr>
                  <w:tcW w:w="632" w:type="pct"/>
                  <w:noWrap w:val="0"/>
                  <w:vAlign w:val="center"/>
                </w:tcPr>
                <w:p>
                  <w:pPr>
                    <w:pStyle w:val="18"/>
                    <w:bidi w:val="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393" w:type="pct"/>
                  <w:vMerge w:val="continue"/>
                  <w:noWrap w:val="0"/>
                  <w:vAlign w:val="center"/>
                </w:tcPr>
                <w:p>
                  <w:pPr>
                    <w:pStyle w:val="18"/>
                    <w:bidi w:val="0"/>
                    <w:jc w:val="center"/>
                  </w:pPr>
                </w:p>
              </w:tc>
              <w:tc>
                <w:tcPr>
                  <w:tcW w:w="659" w:type="pct"/>
                  <w:vMerge w:val="continue"/>
                  <w:noWrap w:val="0"/>
                  <w:vAlign w:val="center"/>
                </w:tcPr>
                <w:p>
                  <w:pPr>
                    <w:pStyle w:val="18"/>
                    <w:bidi w:val="0"/>
                    <w:jc w:val="center"/>
                  </w:pPr>
                </w:p>
              </w:tc>
              <w:tc>
                <w:tcPr>
                  <w:tcW w:w="3314" w:type="pct"/>
                  <w:noWrap w:val="0"/>
                  <w:vAlign w:val="center"/>
                </w:tcPr>
                <w:p>
                  <w:pPr>
                    <w:pStyle w:val="18"/>
                    <w:bidi w:val="0"/>
                    <w:jc w:val="center"/>
                  </w:pPr>
                  <w:r>
                    <w:rPr>
                      <w:szCs w:val="21"/>
                    </w:rPr>
                    <w:t>生活废水经化粪池处理后进入</w:t>
                  </w:r>
                  <w:r>
                    <w:rPr>
                      <w:bCs/>
                      <w:szCs w:val="21"/>
                    </w:rPr>
                    <w:t>花垣县工业园污水处理厂</w:t>
                  </w:r>
                  <w:r>
                    <w:rPr>
                      <w:szCs w:val="21"/>
                    </w:rPr>
                    <w:t>处理</w:t>
                  </w:r>
                </w:p>
              </w:tc>
              <w:tc>
                <w:tcPr>
                  <w:tcW w:w="632" w:type="pct"/>
                  <w:noWrap w:val="0"/>
                  <w:vAlign w:val="center"/>
                </w:tcPr>
                <w:p>
                  <w:pPr>
                    <w:pStyle w:val="18"/>
                    <w:bidi w:val="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pPr>
                  <w:r>
                    <w:t>噪声</w:t>
                  </w:r>
                </w:p>
              </w:tc>
              <w:tc>
                <w:tcPr>
                  <w:tcW w:w="3314" w:type="pct"/>
                  <w:noWrap w:val="0"/>
                  <w:vAlign w:val="center"/>
                </w:tcPr>
                <w:p>
                  <w:pPr>
                    <w:pStyle w:val="18"/>
                    <w:bidi w:val="0"/>
                    <w:jc w:val="center"/>
                  </w:pPr>
                  <w:r>
                    <w:rPr>
                      <w:bCs/>
                      <w:szCs w:val="21"/>
                    </w:rPr>
                    <w:t>选取低噪设备、基础减振、建筑隔声、距离衰减等措施</w:t>
                  </w:r>
                </w:p>
              </w:tc>
              <w:tc>
                <w:tcPr>
                  <w:tcW w:w="632" w:type="pct"/>
                  <w:noWrap w:val="0"/>
                  <w:vAlign w:val="center"/>
                </w:tcPr>
                <w:p>
                  <w:pPr>
                    <w:pStyle w:val="18"/>
                    <w:bidi w:val="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393" w:type="pct"/>
                  <w:vMerge w:val="continue"/>
                  <w:noWrap w:val="0"/>
                  <w:vAlign w:val="center"/>
                </w:tcPr>
                <w:p>
                  <w:pPr>
                    <w:pStyle w:val="18"/>
                    <w:bidi w:val="0"/>
                    <w:jc w:val="center"/>
                  </w:pPr>
                </w:p>
              </w:tc>
              <w:tc>
                <w:tcPr>
                  <w:tcW w:w="659" w:type="pct"/>
                  <w:noWrap w:val="0"/>
                  <w:vAlign w:val="center"/>
                </w:tcPr>
                <w:p>
                  <w:pPr>
                    <w:pStyle w:val="18"/>
                    <w:bidi w:val="0"/>
                    <w:jc w:val="center"/>
                  </w:pPr>
                  <w:r>
                    <w:t>固体废物</w:t>
                  </w:r>
                </w:p>
              </w:tc>
              <w:tc>
                <w:tcPr>
                  <w:tcW w:w="3314" w:type="pct"/>
                  <w:noWrap w:val="0"/>
                  <w:vAlign w:val="center"/>
                </w:tcPr>
                <w:p>
                  <w:pPr>
                    <w:pStyle w:val="18"/>
                    <w:bidi w:val="0"/>
                    <w:jc w:val="center"/>
                    <w:rPr>
                      <w:rFonts w:hint="eastAsia" w:eastAsia="宋体"/>
                      <w:lang w:eastAsia="zh-CN"/>
                    </w:rPr>
                  </w:pPr>
                  <w:r>
                    <w:rPr>
                      <w:szCs w:val="21"/>
                    </w:rPr>
                    <w:t>建设有</w:t>
                  </w:r>
                  <w:r>
                    <w:rPr>
                      <w:rFonts w:hint="eastAsia"/>
                      <w:szCs w:val="21"/>
                      <w:lang w:val="en-US" w:eastAsia="zh-CN"/>
                    </w:rPr>
                    <w:t>危废</w:t>
                  </w:r>
                  <w:r>
                    <w:rPr>
                      <w:rFonts w:hint="eastAsia"/>
                      <w:szCs w:val="21"/>
                    </w:rPr>
                    <w:t>间</w:t>
                  </w:r>
                  <w:r>
                    <w:rPr>
                      <w:szCs w:val="21"/>
                    </w:rPr>
                    <w:t>，占地面</w:t>
                  </w:r>
                  <w:r>
                    <w:rPr>
                      <w:color w:val="auto"/>
                      <w:szCs w:val="21"/>
                    </w:rPr>
                    <w:t>积</w:t>
                  </w:r>
                  <w:r>
                    <w:rPr>
                      <w:rFonts w:hint="eastAsia"/>
                      <w:color w:val="auto"/>
                      <w:szCs w:val="21"/>
                      <w:lang w:val="en-US" w:eastAsia="zh-CN"/>
                    </w:rPr>
                    <w:t>450</w:t>
                  </w:r>
                  <w:r>
                    <w:rPr>
                      <w:color w:val="auto"/>
                      <w:szCs w:val="21"/>
                    </w:rPr>
                    <w:t>m</w:t>
                  </w:r>
                  <w:r>
                    <w:rPr>
                      <w:szCs w:val="21"/>
                      <w:vertAlign w:val="superscript"/>
                    </w:rPr>
                    <w:t>2</w:t>
                  </w:r>
                  <w:r>
                    <w:rPr>
                      <w:szCs w:val="21"/>
                    </w:rPr>
                    <w:t>，</w:t>
                  </w:r>
                  <w:r>
                    <w:rPr>
                      <w:rFonts w:hint="eastAsia"/>
                      <w:szCs w:val="21"/>
                      <w:lang w:val="en-US" w:eastAsia="zh-CN"/>
                    </w:rPr>
                    <w:t>长30m，宽15m，为框架结构，</w:t>
                  </w:r>
                  <w:r>
                    <w:rPr>
                      <w:szCs w:val="21"/>
                    </w:rPr>
                    <w:t>按</w:t>
                  </w:r>
                  <w:r>
                    <w:rPr>
                      <w:rStyle w:val="25"/>
                      <w:rFonts w:hint="eastAsia"/>
                    </w:rPr>
                    <w:t>《</w:t>
                  </w:r>
                  <w:r>
                    <w:rPr>
                      <w:rStyle w:val="25"/>
                    </w:rPr>
                    <w:fldChar w:fldCharType="begin"/>
                  </w:r>
                  <w:r>
                    <w:rPr>
                      <w:rStyle w:val="25"/>
                    </w:rPr>
                    <w:instrText xml:space="preserve"> HYPERLINK "https://www.mee.gov.cn/ywgz/fgbz/bz/bzwb/gthw/wxfwjbffbz/202302/W020230224679408713470.pdf" </w:instrText>
                  </w:r>
                  <w:r>
                    <w:rPr>
                      <w:rStyle w:val="25"/>
                    </w:rPr>
                    <w:fldChar w:fldCharType="separate"/>
                  </w:r>
                  <w:r>
                    <w:rPr>
                      <w:rStyle w:val="25"/>
                      <w:rFonts w:hint="eastAsia"/>
                    </w:rPr>
                    <w:t>危险废物贮存污染控制标准</w:t>
                  </w:r>
                  <w:r>
                    <w:rPr>
                      <w:rStyle w:val="25"/>
                      <w:rFonts w:hint="eastAsia"/>
                      <w:lang w:eastAsia="zh-CN"/>
                    </w:rPr>
                    <w:t>》</w:t>
                  </w:r>
                  <w:r>
                    <w:rPr>
                      <w:rStyle w:val="25"/>
                      <w:rFonts w:hint="eastAsia"/>
                    </w:rPr>
                    <w:t>（GB 18597—2023</w:t>
                  </w:r>
                  <w:r>
                    <w:rPr>
                      <w:rStyle w:val="25"/>
                      <w:rFonts w:hint="eastAsia"/>
                    </w:rPr>
                    <w:fldChar w:fldCharType="end"/>
                  </w:r>
                  <w:r>
                    <w:rPr>
                      <w:rStyle w:val="25"/>
                      <w:rFonts w:hint="eastAsia"/>
                      <w:lang w:eastAsia="zh-CN"/>
                    </w:rPr>
                    <w:t>）</w:t>
                  </w:r>
                  <w:r>
                    <w:rPr>
                      <w:szCs w:val="21"/>
                    </w:rPr>
                    <w:t>建设</w:t>
                  </w:r>
                  <w:r>
                    <w:rPr>
                      <w:rFonts w:hint="eastAsia"/>
                      <w:szCs w:val="21"/>
                      <w:lang w:eastAsia="zh-CN"/>
                    </w:rPr>
                    <w:t>。</w:t>
                  </w:r>
                </w:p>
              </w:tc>
              <w:tc>
                <w:tcPr>
                  <w:tcW w:w="632" w:type="pct"/>
                  <w:noWrap w:val="0"/>
                  <w:vAlign w:val="center"/>
                </w:tcPr>
                <w:p>
                  <w:pPr>
                    <w:pStyle w:val="18"/>
                    <w:bidi w:val="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393" w:type="pct"/>
                  <w:vMerge w:val="restart"/>
                  <w:noWrap w:val="0"/>
                  <w:vAlign w:val="center"/>
                </w:tcPr>
                <w:p>
                  <w:pPr>
                    <w:pStyle w:val="18"/>
                    <w:bidi w:val="0"/>
                    <w:jc w:val="center"/>
                    <w:rPr>
                      <w:rFonts w:hint="eastAsia" w:eastAsia="宋体"/>
                      <w:lang w:val="en-US" w:eastAsia="zh-CN"/>
                    </w:rPr>
                  </w:pPr>
                  <w:r>
                    <w:rPr>
                      <w:rFonts w:hint="eastAsia"/>
                      <w:lang w:val="en-US" w:eastAsia="zh-CN"/>
                    </w:rPr>
                    <w:t>其他</w:t>
                  </w:r>
                </w:p>
              </w:tc>
              <w:tc>
                <w:tcPr>
                  <w:tcW w:w="659" w:type="pct"/>
                  <w:noWrap w:val="0"/>
                  <w:vAlign w:val="center"/>
                </w:tcPr>
                <w:p>
                  <w:pPr>
                    <w:pStyle w:val="18"/>
                    <w:bidi w:val="0"/>
                    <w:jc w:val="center"/>
                    <w:rPr>
                      <w:rFonts w:hint="default" w:eastAsia="宋体"/>
                      <w:lang w:val="en-US" w:eastAsia="zh-CN"/>
                    </w:rPr>
                  </w:pPr>
                  <w:r>
                    <w:rPr>
                      <w:rFonts w:hint="eastAsia"/>
                      <w:lang w:val="en-US" w:eastAsia="zh-CN"/>
                    </w:rPr>
                    <w:t>事故应急池</w:t>
                  </w:r>
                </w:p>
              </w:tc>
              <w:tc>
                <w:tcPr>
                  <w:tcW w:w="3314" w:type="pct"/>
                  <w:noWrap w:val="0"/>
                  <w:vAlign w:val="center"/>
                </w:tcPr>
                <w:p>
                  <w:pPr>
                    <w:pStyle w:val="18"/>
                    <w:bidi w:val="0"/>
                    <w:jc w:val="center"/>
                    <w:rPr>
                      <w:rFonts w:hint="default" w:eastAsia="宋体"/>
                      <w:szCs w:val="21"/>
                      <w:lang w:val="en-US" w:eastAsia="zh-CN"/>
                    </w:rPr>
                  </w:pPr>
                  <w:r>
                    <w:rPr>
                      <w:rFonts w:hint="eastAsia"/>
                      <w:szCs w:val="21"/>
                      <w:lang w:val="en-US" w:eastAsia="zh-CN"/>
                    </w:rPr>
                    <w:t>占地面积300m</w:t>
                  </w:r>
                  <w:r>
                    <w:rPr>
                      <w:rFonts w:hint="eastAsia"/>
                      <w:szCs w:val="21"/>
                      <w:vertAlign w:val="superscript"/>
                      <w:lang w:val="en-US" w:eastAsia="zh-CN"/>
                    </w:rPr>
                    <w:t>2</w:t>
                  </w:r>
                  <w:r>
                    <w:rPr>
                      <w:rFonts w:hint="eastAsia"/>
                      <w:szCs w:val="21"/>
                      <w:lang w:val="en-US" w:eastAsia="zh-CN"/>
                    </w:rPr>
                    <w:t>，建设一座事故应急池</w:t>
                  </w:r>
                </w:p>
              </w:tc>
              <w:tc>
                <w:tcPr>
                  <w:tcW w:w="632" w:type="pct"/>
                  <w:noWrap w:val="0"/>
                  <w:vAlign w:val="center"/>
                </w:tcPr>
                <w:p>
                  <w:pPr>
                    <w:pStyle w:val="18"/>
                    <w:bidi w:val="0"/>
                    <w:ind w:left="40" w:leftChars="0" w:right="40" w:rightChars="0"/>
                    <w:jc w:val="center"/>
                  </w:pPr>
                  <w: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393" w:type="pct"/>
                  <w:vMerge w:val="continue"/>
                  <w:noWrap w:val="0"/>
                  <w:vAlign w:val="center"/>
                </w:tcPr>
                <w:p>
                  <w:pPr>
                    <w:pStyle w:val="18"/>
                    <w:bidi w:val="0"/>
                    <w:jc w:val="center"/>
                    <w:rPr>
                      <w:rFonts w:hint="eastAsia"/>
                      <w:lang w:val="en-US" w:eastAsia="zh-CN"/>
                    </w:rPr>
                  </w:pPr>
                </w:p>
              </w:tc>
              <w:tc>
                <w:tcPr>
                  <w:tcW w:w="659" w:type="pct"/>
                  <w:noWrap w:val="0"/>
                  <w:vAlign w:val="center"/>
                </w:tcPr>
                <w:p>
                  <w:pPr>
                    <w:pStyle w:val="18"/>
                    <w:bidi w:val="0"/>
                    <w:jc w:val="center"/>
                    <w:rPr>
                      <w:rFonts w:hint="default"/>
                      <w:lang w:val="en-US" w:eastAsia="zh-CN"/>
                    </w:rPr>
                  </w:pPr>
                  <w:r>
                    <w:rPr>
                      <w:rFonts w:hint="eastAsia"/>
                      <w:lang w:val="en-US" w:eastAsia="zh-CN"/>
                    </w:rPr>
                    <w:t>初期雨水池</w:t>
                  </w:r>
                </w:p>
              </w:tc>
              <w:tc>
                <w:tcPr>
                  <w:tcW w:w="3314" w:type="pct"/>
                  <w:noWrap w:val="0"/>
                  <w:vAlign w:val="center"/>
                </w:tcPr>
                <w:p>
                  <w:pPr>
                    <w:pStyle w:val="18"/>
                    <w:bidi w:val="0"/>
                    <w:jc w:val="center"/>
                    <w:rPr>
                      <w:rFonts w:hint="default"/>
                      <w:szCs w:val="21"/>
                      <w:lang w:val="en-US" w:eastAsia="zh-CN"/>
                    </w:rPr>
                  </w:pPr>
                  <w:r>
                    <w:rPr>
                      <w:rFonts w:hint="eastAsia"/>
                      <w:szCs w:val="21"/>
                      <w:lang w:val="en-US" w:eastAsia="zh-CN"/>
                    </w:rPr>
                    <w:t>占地面积347.38m</w:t>
                  </w:r>
                  <w:r>
                    <w:rPr>
                      <w:rFonts w:hint="eastAsia"/>
                      <w:szCs w:val="21"/>
                      <w:vertAlign w:val="superscript"/>
                      <w:lang w:val="en-US" w:eastAsia="zh-CN"/>
                    </w:rPr>
                    <w:t>2</w:t>
                  </w:r>
                  <w:r>
                    <w:rPr>
                      <w:rFonts w:hint="eastAsia"/>
                      <w:szCs w:val="21"/>
                      <w:lang w:val="en-US" w:eastAsia="zh-CN"/>
                    </w:rPr>
                    <w:t>，建设一座初期雨水池</w:t>
                  </w:r>
                </w:p>
              </w:tc>
              <w:tc>
                <w:tcPr>
                  <w:tcW w:w="632" w:type="pct"/>
                  <w:noWrap w:val="0"/>
                  <w:vAlign w:val="center"/>
                </w:tcPr>
                <w:p>
                  <w:pPr>
                    <w:pStyle w:val="18"/>
                    <w:bidi w:val="0"/>
                    <w:ind w:left="40" w:leftChars="0" w:right="40" w:rightChars="0"/>
                    <w:jc w:val="center"/>
                  </w:pPr>
                  <w:r>
                    <w:t>新建</w:t>
                  </w:r>
                </w:p>
              </w:tc>
            </w:tr>
          </w:tbl>
          <w:p>
            <w:pPr>
              <w:bidi w:val="0"/>
              <w:rPr>
                <w:rFonts w:hint="default"/>
                <w:lang w:val="en-US" w:eastAsia="zh-CN"/>
              </w:rPr>
            </w:pPr>
            <w:r>
              <w:rPr>
                <w:rFonts w:hint="eastAsia"/>
                <w:lang w:val="en-US" w:eastAsia="zh-CN"/>
              </w:rPr>
              <w:t>备注：无害化中试车间用于调试无害化工艺中制剂比例以及设备参数，产生的废水、固废与无害化车间合并处理。</w:t>
            </w:r>
          </w:p>
          <w:p>
            <w:pPr>
              <w:pStyle w:val="4"/>
              <w:bidi w:val="0"/>
              <w:rPr>
                <w:rFonts w:hint="default"/>
                <w:lang w:val="en-US" w:eastAsia="zh-CN"/>
              </w:rPr>
            </w:pPr>
            <w:bookmarkStart w:id="14" w:name="_Toc7822"/>
            <w:bookmarkStart w:id="15" w:name="_Toc13692"/>
            <w:r>
              <w:rPr>
                <w:rFonts w:hint="eastAsia"/>
                <w:lang w:val="en-US" w:eastAsia="zh-CN"/>
              </w:rPr>
              <w:t>3、主要生产设备</w:t>
            </w:r>
            <w:bookmarkEnd w:id="14"/>
            <w:bookmarkEnd w:id="15"/>
          </w:p>
          <w:p>
            <w:pPr>
              <w:numPr>
                <w:ilvl w:val="0"/>
                <w:numId w:val="0"/>
              </w:numPr>
              <w:ind w:leftChars="0" w:right="40" w:rightChars="0" w:firstLine="480" w:firstLineChars="200"/>
              <w:rPr>
                <w:rFonts w:hint="default"/>
                <w:lang w:val="en-US" w:eastAsia="zh-CN"/>
              </w:rPr>
            </w:pPr>
            <w:r>
              <w:rPr>
                <w:rFonts w:hint="eastAsia"/>
                <w:lang w:val="en-US" w:eastAsia="zh-CN"/>
              </w:rPr>
              <w:t>主要设施及配套设备见表2-2。</w:t>
            </w:r>
          </w:p>
          <w:p>
            <w:pPr>
              <w:numPr>
                <w:ilvl w:val="0"/>
                <w:numId w:val="0"/>
              </w:numPr>
              <w:ind w:right="40" w:rightChars="0"/>
              <w:jc w:val="center"/>
              <w:rPr>
                <w:rFonts w:hint="default"/>
                <w:b/>
                <w:bCs/>
                <w:lang w:val="en-US" w:eastAsia="zh-CN"/>
              </w:rPr>
            </w:pPr>
            <w:r>
              <w:rPr>
                <w:rFonts w:hint="eastAsia"/>
                <w:b/>
                <w:bCs/>
                <w:lang w:val="en-US" w:eastAsia="zh-CN"/>
              </w:rPr>
              <w:t>表2-2  主要设备表</w:t>
            </w:r>
          </w:p>
          <w:tbl>
            <w:tblPr>
              <w:tblStyle w:val="15"/>
              <w:tblW w:w="500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6"/>
              <w:gridCol w:w="2575"/>
              <w:gridCol w:w="2291"/>
              <w:gridCol w:w="1481"/>
              <w:gridCol w:w="7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序号</w:t>
                  </w:r>
                </w:p>
              </w:tc>
              <w:tc>
                <w:tcPr>
                  <w:tcW w:w="1654" w:type="pct"/>
                  <w:tcBorders>
                    <w:tl2br w:val="nil"/>
                    <w:tr2bl w:val="nil"/>
                  </w:tcBorders>
                  <w:shd w:val="clear" w:color="auto" w:fill="auto"/>
                  <w:vAlign w:val="center"/>
                </w:tcPr>
                <w:p>
                  <w:pPr>
                    <w:pStyle w:val="18"/>
                    <w:bidi w:val="0"/>
                    <w:jc w:val="center"/>
                  </w:pPr>
                  <w:r>
                    <w:t>设备</w:t>
                  </w:r>
                </w:p>
              </w:tc>
              <w:tc>
                <w:tcPr>
                  <w:tcW w:w="1471" w:type="pct"/>
                  <w:tcBorders>
                    <w:tl2br w:val="nil"/>
                    <w:tr2bl w:val="nil"/>
                  </w:tcBorders>
                  <w:shd w:val="clear" w:color="auto" w:fill="auto"/>
                  <w:vAlign w:val="center"/>
                </w:tcPr>
                <w:p>
                  <w:pPr>
                    <w:pStyle w:val="18"/>
                    <w:bidi w:val="0"/>
                    <w:jc w:val="center"/>
                  </w:pPr>
                  <w:r>
                    <w:t>尺寸/规格</w:t>
                  </w:r>
                </w:p>
              </w:tc>
              <w:tc>
                <w:tcPr>
                  <w:tcW w:w="951" w:type="pct"/>
                  <w:tcBorders>
                    <w:tl2br w:val="nil"/>
                    <w:tr2bl w:val="nil"/>
                  </w:tcBorders>
                  <w:shd w:val="clear" w:color="auto" w:fill="auto"/>
                  <w:vAlign w:val="center"/>
                </w:tcPr>
                <w:p>
                  <w:pPr>
                    <w:pStyle w:val="18"/>
                    <w:bidi w:val="0"/>
                    <w:jc w:val="center"/>
                  </w:pPr>
                  <w:r>
                    <w:t>功率（kw）</w:t>
                  </w:r>
                </w:p>
              </w:tc>
              <w:tc>
                <w:tcPr>
                  <w:tcW w:w="450" w:type="pct"/>
                  <w:tcBorders>
                    <w:tl2br w:val="nil"/>
                    <w:tr2bl w:val="nil"/>
                  </w:tcBorders>
                  <w:shd w:val="clear" w:color="auto" w:fill="auto"/>
                  <w:vAlign w:val="center"/>
                </w:tcPr>
                <w:p>
                  <w:pPr>
                    <w:pStyle w:val="18"/>
                    <w:bidi w:val="0"/>
                    <w:jc w:val="center"/>
                  </w:pPr>
                  <w: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一</w:t>
                  </w:r>
                </w:p>
              </w:tc>
              <w:tc>
                <w:tcPr>
                  <w:tcW w:w="4527" w:type="pct"/>
                  <w:gridSpan w:val="4"/>
                  <w:tcBorders>
                    <w:tl2br w:val="nil"/>
                    <w:tr2bl w:val="nil"/>
                  </w:tcBorders>
                  <w:shd w:val="clear" w:color="auto" w:fill="auto"/>
                  <w:vAlign w:val="center"/>
                </w:tcPr>
                <w:p>
                  <w:pPr>
                    <w:pStyle w:val="18"/>
                    <w:bidi w:val="0"/>
                    <w:jc w:val="center"/>
                  </w:pPr>
                  <w:r>
                    <w:t>无害化系统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w:t>
                  </w:r>
                </w:p>
              </w:tc>
              <w:tc>
                <w:tcPr>
                  <w:tcW w:w="1654" w:type="pct"/>
                  <w:tcBorders>
                    <w:tl2br w:val="nil"/>
                    <w:tr2bl w:val="nil"/>
                  </w:tcBorders>
                  <w:shd w:val="clear" w:color="auto" w:fill="auto"/>
                  <w:vAlign w:val="center"/>
                </w:tcPr>
                <w:p>
                  <w:pPr>
                    <w:pStyle w:val="18"/>
                    <w:bidi w:val="0"/>
                    <w:jc w:val="center"/>
                  </w:pPr>
                  <w:r>
                    <w:t>制浆机1</w:t>
                  </w:r>
                </w:p>
              </w:tc>
              <w:tc>
                <w:tcPr>
                  <w:tcW w:w="1471" w:type="pct"/>
                  <w:tcBorders>
                    <w:tl2br w:val="nil"/>
                    <w:tr2bl w:val="nil"/>
                  </w:tcBorders>
                  <w:shd w:val="clear" w:color="auto" w:fill="auto"/>
                  <w:vAlign w:val="center"/>
                </w:tcPr>
                <w:p>
                  <w:pPr>
                    <w:pStyle w:val="18"/>
                    <w:bidi w:val="0"/>
                    <w:jc w:val="center"/>
                  </w:pPr>
                  <w:r>
                    <w:t>2400*1800*2200mm</w:t>
                  </w:r>
                </w:p>
              </w:tc>
              <w:tc>
                <w:tcPr>
                  <w:tcW w:w="951" w:type="pct"/>
                  <w:tcBorders>
                    <w:tl2br w:val="nil"/>
                    <w:tr2bl w:val="nil"/>
                  </w:tcBorders>
                  <w:shd w:val="clear" w:color="auto" w:fill="auto"/>
                  <w:vAlign w:val="center"/>
                </w:tcPr>
                <w:p>
                  <w:pPr>
                    <w:pStyle w:val="18"/>
                    <w:bidi w:val="0"/>
                    <w:jc w:val="center"/>
                  </w:pPr>
                  <w:r>
                    <w:t>55</w:t>
                  </w:r>
                </w:p>
              </w:tc>
              <w:tc>
                <w:tcPr>
                  <w:tcW w:w="450" w:type="pct"/>
                  <w:tcBorders>
                    <w:tl2br w:val="nil"/>
                    <w:tr2bl w:val="nil"/>
                  </w:tcBorders>
                  <w:shd w:val="clear" w:color="auto" w:fill="auto"/>
                  <w:vAlign w:val="center"/>
                </w:tcPr>
                <w:p>
                  <w:pPr>
                    <w:pStyle w:val="18"/>
                    <w:bidi w:val="0"/>
                    <w:jc w:val="center"/>
                  </w:pPr>
                  <w: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2</w:t>
                  </w:r>
                </w:p>
              </w:tc>
              <w:tc>
                <w:tcPr>
                  <w:tcW w:w="1654" w:type="pct"/>
                  <w:tcBorders>
                    <w:tl2br w:val="nil"/>
                    <w:tr2bl w:val="nil"/>
                  </w:tcBorders>
                  <w:shd w:val="clear" w:color="auto" w:fill="auto"/>
                  <w:vAlign w:val="center"/>
                </w:tcPr>
                <w:p>
                  <w:pPr>
                    <w:pStyle w:val="18"/>
                    <w:bidi w:val="0"/>
                    <w:jc w:val="center"/>
                  </w:pPr>
                  <w:r>
                    <w:t>制浆机2</w:t>
                  </w:r>
                </w:p>
              </w:tc>
              <w:tc>
                <w:tcPr>
                  <w:tcW w:w="1471" w:type="pct"/>
                  <w:tcBorders>
                    <w:tl2br w:val="nil"/>
                    <w:tr2bl w:val="nil"/>
                  </w:tcBorders>
                  <w:shd w:val="clear" w:color="auto" w:fill="auto"/>
                  <w:vAlign w:val="center"/>
                </w:tcPr>
                <w:p>
                  <w:pPr>
                    <w:pStyle w:val="18"/>
                    <w:bidi w:val="0"/>
                    <w:jc w:val="center"/>
                  </w:pPr>
                  <w:r>
                    <w:t>3500*2200*2400mm</w:t>
                  </w:r>
                </w:p>
              </w:tc>
              <w:tc>
                <w:tcPr>
                  <w:tcW w:w="951" w:type="pct"/>
                  <w:tcBorders>
                    <w:tl2br w:val="nil"/>
                    <w:tr2bl w:val="nil"/>
                  </w:tcBorders>
                  <w:shd w:val="clear" w:color="auto" w:fill="auto"/>
                  <w:vAlign w:val="center"/>
                </w:tcPr>
                <w:p>
                  <w:pPr>
                    <w:pStyle w:val="18"/>
                    <w:bidi w:val="0"/>
                    <w:jc w:val="center"/>
                  </w:pPr>
                  <w:r>
                    <w:t>37</w:t>
                  </w:r>
                </w:p>
              </w:tc>
              <w:tc>
                <w:tcPr>
                  <w:tcW w:w="450" w:type="pct"/>
                  <w:tcBorders>
                    <w:tl2br w:val="nil"/>
                    <w:tr2bl w:val="nil"/>
                  </w:tcBorders>
                  <w:shd w:val="clear" w:color="auto" w:fill="auto"/>
                  <w:vAlign w:val="center"/>
                </w:tcPr>
                <w:p>
                  <w:pPr>
                    <w:pStyle w:val="18"/>
                    <w:bidi w:val="0"/>
                    <w:jc w:val="center"/>
                  </w:pPr>
                  <w: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3</w:t>
                  </w:r>
                </w:p>
              </w:tc>
              <w:tc>
                <w:tcPr>
                  <w:tcW w:w="1654" w:type="pct"/>
                  <w:tcBorders>
                    <w:tl2br w:val="nil"/>
                    <w:tr2bl w:val="nil"/>
                  </w:tcBorders>
                  <w:shd w:val="clear" w:color="auto" w:fill="auto"/>
                  <w:vAlign w:val="center"/>
                </w:tcPr>
                <w:p>
                  <w:pPr>
                    <w:pStyle w:val="18"/>
                    <w:bidi w:val="0"/>
                    <w:jc w:val="center"/>
                  </w:pPr>
                  <w:r>
                    <w:t>水池1</w:t>
                  </w:r>
                </w:p>
              </w:tc>
              <w:tc>
                <w:tcPr>
                  <w:tcW w:w="1471" w:type="pct"/>
                  <w:tcBorders>
                    <w:tl2br w:val="nil"/>
                    <w:tr2bl w:val="nil"/>
                  </w:tcBorders>
                  <w:shd w:val="clear" w:color="auto" w:fill="auto"/>
                  <w:vAlign w:val="center"/>
                </w:tcPr>
                <w:p>
                  <w:pPr>
                    <w:pStyle w:val="18"/>
                    <w:bidi w:val="0"/>
                    <w:jc w:val="center"/>
                  </w:pPr>
                  <w:r>
                    <w:t>700立方</w:t>
                  </w:r>
                </w:p>
              </w:tc>
              <w:tc>
                <w:tcPr>
                  <w:tcW w:w="951" w:type="pct"/>
                  <w:tcBorders>
                    <w:tl2br w:val="nil"/>
                    <w:tr2bl w:val="nil"/>
                  </w:tcBorders>
                  <w:shd w:val="clear" w:color="auto" w:fill="auto"/>
                  <w:vAlign w:val="center"/>
                </w:tcPr>
                <w:p>
                  <w:pPr>
                    <w:pStyle w:val="18"/>
                    <w:bidi w:val="0"/>
                    <w:jc w:val="center"/>
                  </w:pPr>
                </w:p>
              </w:tc>
              <w:tc>
                <w:tcPr>
                  <w:tcW w:w="450" w:type="pct"/>
                  <w:tcBorders>
                    <w:tl2br w:val="nil"/>
                    <w:tr2bl w:val="nil"/>
                  </w:tcBorders>
                  <w:shd w:val="clear" w:color="auto" w:fill="auto"/>
                  <w:vAlign w:val="center"/>
                </w:tcPr>
                <w:p>
                  <w:pPr>
                    <w:pStyle w:val="18"/>
                    <w:bidi w:val="0"/>
                    <w:jc w:val="center"/>
                  </w:pPr>
                  <w: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4</w:t>
                  </w:r>
                </w:p>
              </w:tc>
              <w:tc>
                <w:tcPr>
                  <w:tcW w:w="1654" w:type="pct"/>
                  <w:tcBorders>
                    <w:tl2br w:val="nil"/>
                    <w:tr2bl w:val="nil"/>
                  </w:tcBorders>
                  <w:shd w:val="clear" w:color="auto" w:fill="auto"/>
                  <w:vAlign w:val="center"/>
                </w:tcPr>
                <w:p>
                  <w:pPr>
                    <w:pStyle w:val="18"/>
                    <w:bidi w:val="0"/>
                    <w:jc w:val="center"/>
                  </w:pPr>
                  <w:r>
                    <w:t>水池2</w:t>
                  </w:r>
                </w:p>
              </w:tc>
              <w:tc>
                <w:tcPr>
                  <w:tcW w:w="1471" w:type="pct"/>
                  <w:tcBorders>
                    <w:tl2br w:val="nil"/>
                    <w:tr2bl w:val="nil"/>
                  </w:tcBorders>
                  <w:shd w:val="clear" w:color="auto" w:fill="auto"/>
                  <w:vAlign w:val="center"/>
                </w:tcPr>
                <w:p>
                  <w:pPr>
                    <w:pStyle w:val="18"/>
                    <w:bidi w:val="0"/>
                    <w:jc w:val="center"/>
                  </w:pPr>
                  <w:r>
                    <w:t>400立方</w:t>
                  </w:r>
                </w:p>
              </w:tc>
              <w:tc>
                <w:tcPr>
                  <w:tcW w:w="951" w:type="pct"/>
                  <w:tcBorders>
                    <w:tl2br w:val="nil"/>
                    <w:tr2bl w:val="nil"/>
                  </w:tcBorders>
                  <w:shd w:val="clear" w:color="auto" w:fill="auto"/>
                  <w:vAlign w:val="center"/>
                </w:tcPr>
                <w:p>
                  <w:pPr>
                    <w:pStyle w:val="18"/>
                    <w:bidi w:val="0"/>
                    <w:jc w:val="center"/>
                  </w:pPr>
                </w:p>
              </w:tc>
              <w:tc>
                <w:tcPr>
                  <w:tcW w:w="450" w:type="pct"/>
                  <w:tcBorders>
                    <w:tl2br w:val="nil"/>
                    <w:tr2bl w:val="nil"/>
                  </w:tcBorders>
                  <w:shd w:val="clear" w:color="auto" w:fill="auto"/>
                  <w:vAlign w:val="center"/>
                </w:tcPr>
                <w:p>
                  <w:pPr>
                    <w:pStyle w:val="18"/>
                    <w:bidi w:val="0"/>
                    <w:jc w:val="center"/>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5</w:t>
                  </w:r>
                </w:p>
              </w:tc>
              <w:tc>
                <w:tcPr>
                  <w:tcW w:w="1654" w:type="pct"/>
                  <w:tcBorders>
                    <w:tl2br w:val="nil"/>
                    <w:tr2bl w:val="nil"/>
                  </w:tcBorders>
                  <w:shd w:val="clear" w:color="auto" w:fill="auto"/>
                  <w:vAlign w:val="center"/>
                </w:tcPr>
                <w:p>
                  <w:pPr>
                    <w:pStyle w:val="18"/>
                    <w:bidi w:val="0"/>
                    <w:jc w:val="center"/>
                  </w:pPr>
                  <w:r>
                    <w:t>化合桶1</w:t>
                  </w:r>
                </w:p>
              </w:tc>
              <w:tc>
                <w:tcPr>
                  <w:tcW w:w="1471" w:type="pct"/>
                  <w:tcBorders>
                    <w:tl2br w:val="nil"/>
                    <w:tr2bl w:val="nil"/>
                  </w:tcBorders>
                  <w:shd w:val="clear" w:color="auto" w:fill="auto"/>
                  <w:vAlign w:val="center"/>
                </w:tcPr>
                <w:p>
                  <w:pPr>
                    <w:pStyle w:val="18"/>
                    <w:bidi w:val="0"/>
                    <w:jc w:val="center"/>
                  </w:pPr>
                  <w:r>
                    <w:t>200立方</w:t>
                  </w:r>
                </w:p>
              </w:tc>
              <w:tc>
                <w:tcPr>
                  <w:tcW w:w="951" w:type="pct"/>
                  <w:tcBorders>
                    <w:tl2br w:val="nil"/>
                    <w:tr2bl w:val="nil"/>
                  </w:tcBorders>
                  <w:shd w:val="clear" w:color="auto" w:fill="auto"/>
                  <w:vAlign w:val="center"/>
                </w:tcPr>
                <w:p>
                  <w:pPr>
                    <w:pStyle w:val="18"/>
                    <w:bidi w:val="0"/>
                    <w:jc w:val="center"/>
                  </w:pPr>
                </w:p>
              </w:tc>
              <w:tc>
                <w:tcPr>
                  <w:tcW w:w="450" w:type="pct"/>
                  <w:tcBorders>
                    <w:tl2br w:val="nil"/>
                    <w:tr2bl w:val="nil"/>
                  </w:tcBorders>
                  <w:shd w:val="clear" w:color="auto" w:fill="auto"/>
                  <w:vAlign w:val="center"/>
                </w:tcPr>
                <w:p>
                  <w:pPr>
                    <w:pStyle w:val="18"/>
                    <w:bidi w:val="0"/>
                    <w:jc w:val="center"/>
                  </w:pPr>
                  <w: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6</w:t>
                  </w:r>
                </w:p>
              </w:tc>
              <w:tc>
                <w:tcPr>
                  <w:tcW w:w="1654" w:type="pct"/>
                  <w:tcBorders>
                    <w:tl2br w:val="nil"/>
                    <w:tr2bl w:val="nil"/>
                  </w:tcBorders>
                  <w:shd w:val="clear" w:color="auto" w:fill="auto"/>
                  <w:vAlign w:val="center"/>
                </w:tcPr>
                <w:p>
                  <w:pPr>
                    <w:pStyle w:val="18"/>
                    <w:bidi w:val="0"/>
                    <w:jc w:val="center"/>
                  </w:pPr>
                  <w:r>
                    <w:t>化合桶2</w:t>
                  </w:r>
                </w:p>
              </w:tc>
              <w:tc>
                <w:tcPr>
                  <w:tcW w:w="1471" w:type="pct"/>
                  <w:tcBorders>
                    <w:tl2br w:val="nil"/>
                    <w:tr2bl w:val="nil"/>
                  </w:tcBorders>
                  <w:shd w:val="clear" w:color="auto" w:fill="auto"/>
                  <w:vAlign w:val="center"/>
                </w:tcPr>
                <w:p>
                  <w:pPr>
                    <w:pStyle w:val="18"/>
                    <w:bidi w:val="0"/>
                    <w:jc w:val="center"/>
                  </w:pPr>
                  <w:r>
                    <w:t>150立方</w:t>
                  </w:r>
                </w:p>
              </w:tc>
              <w:tc>
                <w:tcPr>
                  <w:tcW w:w="951" w:type="pct"/>
                  <w:tcBorders>
                    <w:tl2br w:val="nil"/>
                    <w:tr2bl w:val="nil"/>
                  </w:tcBorders>
                  <w:shd w:val="clear" w:color="auto" w:fill="auto"/>
                  <w:vAlign w:val="center"/>
                </w:tcPr>
                <w:p>
                  <w:pPr>
                    <w:pStyle w:val="18"/>
                    <w:bidi w:val="0"/>
                    <w:jc w:val="center"/>
                  </w:pPr>
                </w:p>
              </w:tc>
              <w:tc>
                <w:tcPr>
                  <w:tcW w:w="450" w:type="pct"/>
                  <w:tcBorders>
                    <w:tl2br w:val="nil"/>
                    <w:tr2bl w:val="nil"/>
                  </w:tcBorders>
                  <w:shd w:val="clear" w:color="auto" w:fill="auto"/>
                  <w:vAlign w:val="center"/>
                </w:tcPr>
                <w:p>
                  <w:pPr>
                    <w:pStyle w:val="18"/>
                    <w:bidi w:val="0"/>
                    <w:jc w:val="center"/>
                  </w:pPr>
                  <w: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7</w:t>
                  </w:r>
                </w:p>
              </w:tc>
              <w:tc>
                <w:tcPr>
                  <w:tcW w:w="1654" w:type="pct"/>
                  <w:tcBorders>
                    <w:tl2br w:val="nil"/>
                    <w:tr2bl w:val="nil"/>
                  </w:tcBorders>
                  <w:shd w:val="clear" w:color="auto" w:fill="auto"/>
                  <w:vAlign w:val="center"/>
                </w:tcPr>
                <w:p>
                  <w:pPr>
                    <w:pStyle w:val="18"/>
                    <w:bidi w:val="0"/>
                    <w:jc w:val="center"/>
                  </w:pPr>
                  <w:r>
                    <w:t>渣浆泵</w:t>
                  </w:r>
                </w:p>
              </w:tc>
              <w:tc>
                <w:tcPr>
                  <w:tcW w:w="1471" w:type="pct"/>
                  <w:tcBorders>
                    <w:tl2br w:val="nil"/>
                    <w:tr2bl w:val="nil"/>
                  </w:tcBorders>
                  <w:shd w:val="clear" w:color="auto" w:fill="auto"/>
                  <w:vAlign w:val="center"/>
                </w:tcPr>
                <w:p>
                  <w:pPr>
                    <w:pStyle w:val="18"/>
                    <w:bidi w:val="0"/>
                    <w:jc w:val="center"/>
                  </w:pPr>
                  <w:r>
                    <w:t>2500*1500*2000mm</w:t>
                  </w:r>
                </w:p>
              </w:tc>
              <w:tc>
                <w:tcPr>
                  <w:tcW w:w="951" w:type="pct"/>
                  <w:tcBorders>
                    <w:tl2br w:val="nil"/>
                    <w:tr2bl w:val="nil"/>
                  </w:tcBorders>
                  <w:shd w:val="clear" w:color="auto" w:fill="auto"/>
                  <w:vAlign w:val="center"/>
                </w:tcPr>
                <w:p>
                  <w:pPr>
                    <w:pStyle w:val="18"/>
                    <w:bidi w:val="0"/>
                    <w:jc w:val="center"/>
                  </w:pPr>
                  <w:r>
                    <w:t>22</w:t>
                  </w:r>
                </w:p>
              </w:tc>
              <w:tc>
                <w:tcPr>
                  <w:tcW w:w="450" w:type="pct"/>
                  <w:tcBorders>
                    <w:tl2br w:val="nil"/>
                    <w:tr2bl w:val="nil"/>
                  </w:tcBorders>
                  <w:shd w:val="clear" w:color="auto" w:fill="auto"/>
                  <w:vAlign w:val="center"/>
                </w:tcPr>
                <w:p>
                  <w:pPr>
                    <w:pStyle w:val="18"/>
                    <w:bidi w:val="0"/>
                    <w:jc w:val="center"/>
                  </w:pPr>
                  <w: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8</w:t>
                  </w:r>
                </w:p>
              </w:tc>
              <w:tc>
                <w:tcPr>
                  <w:tcW w:w="1654" w:type="pct"/>
                  <w:tcBorders>
                    <w:tl2br w:val="nil"/>
                    <w:tr2bl w:val="nil"/>
                  </w:tcBorders>
                  <w:shd w:val="clear" w:color="auto" w:fill="auto"/>
                  <w:vAlign w:val="center"/>
                </w:tcPr>
                <w:p>
                  <w:pPr>
                    <w:pStyle w:val="18"/>
                    <w:bidi w:val="0"/>
                    <w:jc w:val="center"/>
                  </w:pPr>
                  <w:r>
                    <w:t>压滤机</w:t>
                  </w:r>
                </w:p>
              </w:tc>
              <w:tc>
                <w:tcPr>
                  <w:tcW w:w="1471" w:type="pct"/>
                  <w:tcBorders>
                    <w:tl2br w:val="nil"/>
                    <w:tr2bl w:val="nil"/>
                  </w:tcBorders>
                  <w:shd w:val="clear" w:color="auto" w:fill="auto"/>
                  <w:vAlign w:val="center"/>
                </w:tcPr>
                <w:p>
                  <w:pPr>
                    <w:pStyle w:val="18"/>
                    <w:bidi w:val="0"/>
                    <w:jc w:val="center"/>
                  </w:pPr>
                  <w:r>
                    <w:t>13.5*3.1*1.8m</w:t>
                  </w:r>
                </w:p>
              </w:tc>
              <w:tc>
                <w:tcPr>
                  <w:tcW w:w="951" w:type="pct"/>
                  <w:tcBorders>
                    <w:tl2br w:val="nil"/>
                    <w:tr2bl w:val="nil"/>
                  </w:tcBorders>
                  <w:shd w:val="clear" w:color="auto" w:fill="auto"/>
                  <w:vAlign w:val="center"/>
                </w:tcPr>
                <w:p>
                  <w:pPr>
                    <w:pStyle w:val="18"/>
                    <w:bidi w:val="0"/>
                    <w:jc w:val="center"/>
                  </w:pPr>
                  <w:r>
                    <w:t>13</w:t>
                  </w:r>
                </w:p>
              </w:tc>
              <w:tc>
                <w:tcPr>
                  <w:tcW w:w="450" w:type="pct"/>
                  <w:tcBorders>
                    <w:tl2br w:val="nil"/>
                    <w:tr2bl w:val="nil"/>
                  </w:tcBorders>
                  <w:shd w:val="clear" w:color="auto" w:fill="auto"/>
                  <w:vAlign w:val="center"/>
                </w:tcPr>
                <w:p>
                  <w:pPr>
                    <w:pStyle w:val="18"/>
                    <w:bidi w:val="0"/>
                    <w:jc w:val="center"/>
                  </w:pPr>
                  <w: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9</w:t>
                  </w:r>
                </w:p>
              </w:tc>
              <w:tc>
                <w:tcPr>
                  <w:tcW w:w="1654" w:type="pct"/>
                  <w:tcBorders>
                    <w:tl2br w:val="nil"/>
                    <w:tr2bl w:val="nil"/>
                  </w:tcBorders>
                  <w:shd w:val="clear" w:color="auto" w:fill="auto"/>
                  <w:vAlign w:val="center"/>
                </w:tcPr>
                <w:p>
                  <w:pPr>
                    <w:pStyle w:val="18"/>
                    <w:bidi w:val="0"/>
                    <w:jc w:val="center"/>
                    <w:rPr>
                      <w:rFonts w:hint="default" w:eastAsia="宋体"/>
                      <w:lang w:val="en-US" w:eastAsia="zh-CN"/>
                    </w:rPr>
                  </w:pPr>
                  <w:r>
                    <w:rPr>
                      <w:rFonts w:hint="eastAsia"/>
                      <w:lang w:val="en-US" w:eastAsia="zh-CN"/>
                    </w:rPr>
                    <w:t>生物质蒸汽发生器</w:t>
                  </w:r>
                </w:p>
              </w:tc>
              <w:tc>
                <w:tcPr>
                  <w:tcW w:w="1471" w:type="pct"/>
                  <w:tcBorders>
                    <w:tl2br w:val="nil"/>
                    <w:tr2bl w:val="nil"/>
                  </w:tcBorders>
                  <w:shd w:val="clear" w:color="auto" w:fill="auto"/>
                  <w:vAlign w:val="center"/>
                </w:tcPr>
                <w:p>
                  <w:pPr>
                    <w:pStyle w:val="18"/>
                    <w:bidi w:val="0"/>
                    <w:jc w:val="center"/>
                  </w:pPr>
                  <w:r>
                    <w:t>4240*2100*2500mm</w:t>
                  </w:r>
                </w:p>
              </w:tc>
              <w:tc>
                <w:tcPr>
                  <w:tcW w:w="951" w:type="pct"/>
                  <w:tcBorders>
                    <w:tl2br w:val="nil"/>
                    <w:tr2bl w:val="nil"/>
                  </w:tcBorders>
                  <w:shd w:val="clear" w:color="auto" w:fill="auto"/>
                  <w:vAlign w:val="center"/>
                </w:tcPr>
                <w:p>
                  <w:pPr>
                    <w:pStyle w:val="18"/>
                    <w:bidi w:val="0"/>
                    <w:jc w:val="center"/>
                  </w:pPr>
                </w:p>
              </w:tc>
              <w:tc>
                <w:tcPr>
                  <w:tcW w:w="450" w:type="pct"/>
                  <w:tcBorders>
                    <w:tl2br w:val="nil"/>
                    <w:tr2bl w:val="nil"/>
                  </w:tcBorders>
                  <w:shd w:val="clear" w:color="auto" w:fill="auto"/>
                  <w:vAlign w:val="center"/>
                </w:tcPr>
                <w:p>
                  <w:pPr>
                    <w:pStyle w:val="18"/>
                    <w:bidi w:val="0"/>
                    <w:jc w:val="center"/>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10</w:t>
                  </w:r>
                </w:p>
              </w:tc>
              <w:tc>
                <w:tcPr>
                  <w:tcW w:w="1654" w:type="pct"/>
                  <w:tcBorders>
                    <w:tl2br w:val="nil"/>
                    <w:tr2bl w:val="nil"/>
                  </w:tcBorders>
                  <w:shd w:val="clear" w:color="auto" w:fill="auto"/>
                  <w:vAlign w:val="center"/>
                </w:tcPr>
                <w:p>
                  <w:pPr>
                    <w:pStyle w:val="18"/>
                    <w:bidi w:val="0"/>
                    <w:jc w:val="center"/>
                  </w:pPr>
                  <w:r>
                    <w:t>MVR</w:t>
                  </w:r>
                </w:p>
              </w:tc>
              <w:tc>
                <w:tcPr>
                  <w:tcW w:w="1471" w:type="pct"/>
                  <w:tcBorders>
                    <w:tl2br w:val="nil"/>
                    <w:tr2bl w:val="nil"/>
                  </w:tcBorders>
                  <w:shd w:val="clear" w:color="auto" w:fill="auto"/>
                  <w:vAlign w:val="center"/>
                </w:tcPr>
                <w:p>
                  <w:pPr>
                    <w:pStyle w:val="18"/>
                    <w:bidi w:val="0"/>
                    <w:jc w:val="center"/>
                    <w:rPr>
                      <w:rFonts w:hint="default" w:eastAsia="宋体"/>
                      <w:lang w:val="en-US" w:eastAsia="zh-CN"/>
                    </w:rPr>
                  </w:pPr>
                  <w:r>
                    <w:rPr>
                      <w:rFonts w:hint="eastAsia"/>
                      <w:lang w:val="en-US" w:eastAsia="zh-CN"/>
                    </w:rPr>
                    <w:t>520m</w:t>
                  </w:r>
                  <w:r>
                    <w:rPr>
                      <w:rFonts w:hint="eastAsia"/>
                      <w:vertAlign w:val="superscript"/>
                      <w:lang w:val="en-US" w:eastAsia="zh-CN"/>
                    </w:rPr>
                    <w:t>3</w:t>
                  </w:r>
                  <w:r>
                    <w:rPr>
                      <w:rFonts w:hint="eastAsia"/>
                      <w:lang w:val="en-US" w:eastAsia="zh-CN"/>
                    </w:rPr>
                    <w:t>/d</w:t>
                  </w:r>
                </w:p>
              </w:tc>
              <w:tc>
                <w:tcPr>
                  <w:tcW w:w="951" w:type="pct"/>
                  <w:tcBorders>
                    <w:tl2br w:val="nil"/>
                    <w:tr2bl w:val="nil"/>
                  </w:tcBorders>
                  <w:shd w:val="clear" w:color="auto" w:fill="auto"/>
                  <w:vAlign w:val="center"/>
                </w:tcPr>
                <w:p>
                  <w:pPr>
                    <w:pStyle w:val="18"/>
                    <w:bidi w:val="0"/>
                    <w:jc w:val="center"/>
                  </w:pPr>
                </w:p>
              </w:tc>
              <w:tc>
                <w:tcPr>
                  <w:tcW w:w="450" w:type="pct"/>
                  <w:tcBorders>
                    <w:tl2br w:val="nil"/>
                    <w:tr2bl w:val="nil"/>
                  </w:tcBorders>
                  <w:shd w:val="clear" w:color="auto" w:fill="auto"/>
                  <w:vAlign w:val="center"/>
                </w:tcPr>
                <w:p>
                  <w:pPr>
                    <w:pStyle w:val="18"/>
                    <w:bidi w:val="0"/>
                    <w:jc w:val="center"/>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二</w:t>
                  </w:r>
                </w:p>
              </w:tc>
              <w:tc>
                <w:tcPr>
                  <w:tcW w:w="4527" w:type="pct"/>
                  <w:gridSpan w:val="4"/>
                  <w:tcBorders>
                    <w:tl2br w:val="nil"/>
                    <w:tr2bl w:val="nil"/>
                  </w:tcBorders>
                  <w:shd w:val="clear" w:color="auto" w:fill="auto"/>
                  <w:vAlign w:val="center"/>
                </w:tcPr>
                <w:p>
                  <w:pPr>
                    <w:pStyle w:val="18"/>
                    <w:bidi w:val="0"/>
                    <w:jc w:val="center"/>
                  </w:pPr>
                  <w:r>
                    <w:t>资源化系统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w:t>
                  </w:r>
                </w:p>
              </w:tc>
              <w:tc>
                <w:tcPr>
                  <w:tcW w:w="1654" w:type="pct"/>
                  <w:tcBorders>
                    <w:tl2br w:val="nil"/>
                    <w:tr2bl w:val="nil"/>
                  </w:tcBorders>
                  <w:shd w:val="clear" w:color="auto" w:fill="auto"/>
                  <w:vAlign w:val="center"/>
                </w:tcPr>
                <w:p>
                  <w:pPr>
                    <w:pStyle w:val="18"/>
                    <w:bidi w:val="0"/>
                    <w:jc w:val="center"/>
                  </w:pPr>
                  <w:r>
                    <w:t>第三代成组立模</w:t>
                  </w:r>
                </w:p>
              </w:tc>
              <w:tc>
                <w:tcPr>
                  <w:tcW w:w="1471" w:type="pct"/>
                  <w:tcBorders>
                    <w:tl2br w:val="nil"/>
                    <w:tr2bl w:val="nil"/>
                  </w:tcBorders>
                  <w:shd w:val="clear" w:color="auto" w:fill="auto"/>
                  <w:vAlign w:val="center"/>
                </w:tcPr>
                <w:p>
                  <w:pPr>
                    <w:pStyle w:val="18"/>
                    <w:bidi w:val="0"/>
                    <w:jc w:val="center"/>
                  </w:pPr>
                  <w:r>
                    <w:t>3600×3200×1230</w:t>
                  </w:r>
                </w:p>
              </w:tc>
              <w:tc>
                <w:tcPr>
                  <w:tcW w:w="951" w:type="pct"/>
                  <w:tcBorders>
                    <w:tl2br w:val="nil"/>
                    <w:tr2bl w:val="nil"/>
                  </w:tcBorders>
                  <w:shd w:val="clear" w:color="auto" w:fill="auto"/>
                  <w:vAlign w:val="center"/>
                </w:tcPr>
                <w:p>
                  <w:pPr>
                    <w:pStyle w:val="18"/>
                    <w:bidi w:val="0"/>
                    <w:jc w:val="center"/>
                  </w:pPr>
                  <w:r>
                    <w:t>9.9</w:t>
                  </w:r>
                </w:p>
              </w:tc>
              <w:tc>
                <w:tcPr>
                  <w:tcW w:w="450" w:type="pct"/>
                  <w:tcBorders>
                    <w:tl2br w:val="nil"/>
                    <w:tr2bl w:val="nil"/>
                  </w:tcBorders>
                  <w:shd w:val="clear" w:color="auto" w:fill="auto"/>
                  <w:vAlign w:val="center"/>
                </w:tcPr>
                <w:p>
                  <w:pPr>
                    <w:pStyle w:val="18"/>
                    <w:bidi w:val="0"/>
                    <w:jc w:val="center"/>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2</w:t>
                  </w:r>
                </w:p>
              </w:tc>
              <w:tc>
                <w:tcPr>
                  <w:tcW w:w="1654" w:type="pct"/>
                  <w:tcBorders>
                    <w:tl2br w:val="nil"/>
                    <w:tr2bl w:val="nil"/>
                  </w:tcBorders>
                  <w:shd w:val="clear" w:color="auto" w:fill="auto"/>
                  <w:vAlign w:val="center"/>
                </w:tcPr>
                <w:p>
                  <w:pPr>
                    <w:pStyle w:val="18"/>
                    <w:bidi w:val="0"/>
                    <w:jc w:val="center"/>
                  </w:pPr>
                  <w:r>
                    <w:t>第三代液压抽芯机</w:t>
                  </w:r>
                </w:p>
              </w:tc>
              <w:tc>
                <w:tcPr>
                  <w:tcW w:w="1471" w:type="pct"/>
                  <w:tcBorders>
                    <w:tl2br w:val="nil"/>
                    <w:tr2bl w:val="nil"/>
                  </w:tcBorders>
                  <w:shd w:val="clear" w:color="auto" w:fill="auto"/>
                  <w:vAlign w:val="center"/>
                </w:tcPr>
                <w:p>
                  <w:pPr>
                    <w:pStyle w:val="18"/>
                    <w:bidi w:val="0"/>
                    <w:jc w:val="center"/>
                  </w:pPr>
                  <w:r>
                    <w:t>8000×3200×1600</w:t>
                  </w:r>
                </w:p>
              </w:tc>
              <w:tc>
                <w:tcPr>
                  <w:tcW w:w="951" w:type="pct"/>
                  <w:tcBorders>
                    <w:tl2br w:val="nil"/>
                    <w:tr2bl w:val="nil"/>
                  </w:tcBorders>
                  <w:shd w:val="clear" w:color="auto" w:fill="auto"/>
                  <w:vAlign w:val="center"/>
                </w:tcPr>
                <w:p>
                  <w:pPr>
                    <w:pStyle w:val="18"/>
                    <w:bidi w:val="0"/>
                    <w:jc w:val="center"/>
                  </w:pPr>
                  <w:r>
                    <w:t>20.7</w:t>
                  </w:r>
                </w:p>
              </w:tc>
              <w:tc>
                <w:tcPr>
                  <w:tcW w:w="450" w:type="pct"/>
                  <w:tcBorders>
                    <w:tl2br w:val="nil"/>
                    <w:tr2bl w:val="nil"/>
                  </w:tcBorders>
                  <w:shd w:val="clear" w:color="auto" w:fill="auto"/>
                  <w:vAlign w:val="center"/>
                </w:tcPr>
                <w:p>
                  <w:pPr>
                    <w:pStyle w:val="18"/>
                    <w:bidi w:val="0"/>
                    <w:jc w:val="center"/>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3</w:t>
                  </w:r>
                </w:p>
              </w:tc>
              <w:tc>
                <w:tcPr>
                  <w:tcW w:w="1654" w:type="pct"/>
                  <w:tcBorders>
                    <w:tl2br w:val="nil"/>
                    <w:tr2bl w:val="nil"/>
                  </w:tcBorders>
                  <w:shd w:val="clear" w:color="auto" w:fill="auto"/>
                  <w:vAlign w:val="center"/>
                </w:tcPr>
                <w:p>
                  <w:pPr>
                    <w:pStyle w:val="18"/>
                    <w:bidi w:val="0"/>
                    <w:jc w:val="center"/>
                  </w:pPr>
                  <w:r>
                    <w:t>自动布料机</w:t>
                  </w:r>
                </w:p>
              </w:tc>
              <w:tc>
                <w:tcPr>
                  <w:tcW w:w="1471" w:type="pct"/>
                  <w:tcBorders>
                    <w:tl2br w:val="nil"/>
                    <w:tr2bl w:val="nil"/>
                  </w:tcBorders>
                  <w:shd w:val="clear" w:color="auto" w:fill="auto"/>
                  <w:vAlign w:val="center"/>
                </w:tcPr>
                <w:p>
                  <w:pPr>
                    <w:pStyle w:val="18"/>
                    <w:bidi w:val="0"/>
                    <w:jc w:val="center"/>
                  </w:pPr>
                  <w:r>
                    <w:t>5000×3190×2983</w:t>
                  </w:r>
                </w:p>
              </w:tc>
              <w:tc>
                <w:tcPr>
                  <w:tcW w:w="951" w:type="pct"/>
                  <w:tcBorders>
                    <w:tl2br w:val="nil"/>
                    <w:tr2bl w:val="nil"/>
                  </w:tcBorders>
                  <w:shd w:val="clear" w:color="auto" w:fill="auto"/>
                  <w:vAlign w:val="center"/>
                </w:tcPr>
                <w:p>
                  <w:pPr>
                    <w:pStyle w:val="18"/>
                    <w:bidi w:val="0"/>
                    <w:jc w:val="center"/>
                  </w:pPr>
                  <w:r>
                    <w:t>5.5</w:t>
                  </w:r>
                </w:p>
              </w:tc>
              <w:tc>
                <w:tcPr>
                  <w:tcW w:w="450" w:type="pct"/>
                  <w:tcBorders>
                    <w:tl2br w:val="nil"/>
                    <w:tr2bl w:val="nil"/>
                  </w:tcBorders>
                  <w:shd w:val="clear" w:color="auto" w:fill="auto"/>
                  <w:vAlign w:val="center"/>
                </w:tcPr>
                <w:p>
                  <w:pPr>
                    <w:pStyle w:val="18"/>
                    <w:bidi w:val="0"/>
                    <w:jc w:val="center"/>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4</w:t>
                  </w:r>
                </w:p>
              </w:tc>
              <w:tc>
                <w:tcPr>
                  <w:tcW w:w="1654" w:type="pct"/>
                  <w:tcBorders>
                    <w:tl2br w:val="nil"/>
                    <w:tr2bl w:val="nil"/>
                  </w:tcBorders>
                  <w:shd w:val="clear" w:color="auto" w:fill="auto"/>
                  <w:vAlign w:val="center"/>
                </w:tcPr>
                <w:p>
                  <w:pPr>
                    <w:pStyle w:val="18"/>
                    <w:bidi w:val="0"/>
                    <w:jc w:val="center"/>
                  </w:pPr>
                  <w:r>
                    <w:t>上成型定位机构</w:t>
                  </w:r>
                </w:p>
              </w:tc>
              <w:tc>
                <w:tcPr>
                  <w:tcW w:w="1471" w:type="pct"/>
                  <w:tcBorders>
                    <w:tl2br w:val="nil"/>
                    <w:tr2bl w:val="nil"/>
                  </w:tcBorders>
                  <w:shd w:val="clear" w:color="auto" w:fill="auto"/>
                  <w:vAlign w:val="center"/>
                </w:tcPr>
                <w:p>
                  <w:pPr>
                    <w:pStyle w:val="18"/>
                    <w:bidi w:val="0"/>
                    <w:jc w:val="center"/>
                  </w:pPr>
                  <w:r>
                    <w:t>3600×3200×3170</w:t>
                  </w:r>
                </w:p>
              </w:tc>
              <w:tc>
                <w:tcPr>
                  <w:tcW w:w="951" w:type="pct"/>
                  <w:tcBorders>
                    <w:tl2br w:val="nil"/>
                    <w:tr2bl w:val="nil"/>
                  </w:tcBorders>
                  <w:shd w:val="clear" w:color="auto" w:fill="auto"/>
                  <w:vAlign w:val="center"/>
                </w:tcPr>
                <w:p>
                  <w:pPr>
                    <w:pStyle w:val="18"/>
                    <w:bidi w:val="0"/>
                    <w:jc w:val="center"/>
                  </w:pPr>
                  <w:r>
                    <w:t>40</w:t>
                  </w:r>
                </w:p>
              </w:tc>
              <w:tc>
                <w:tcPr>
                  <w:tcW w:w="450" w:type="pct"/>
                  <w:tcBorders>
                    <w:tl2br w:val="nil"/>
                    <w:tr2bl w:val="nil"/>
                  </w:tcBorders>
                  <w:shd w:val="clear" w:color="auto" w:fill="auto"/>
                  <w:vAlign w:val="center"/>
                </w:tcPr>
                <w:p>
                  <w:pPr>
                    <w:pStyle w:val="18"/>
                    <w:bidi w:val="0"/>
                    <w:jc w:val="center"/>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5</w:t>
                  </w:r>
                </w:p>
              </w:tc>
              <w:tc>
                <w:tcPr>
                  <w:tcW w:w="1654" w:type="pct"/>
                  <w:tcBorders>
                    <w:tl2br w:val="nil"/>
                    <w:tr2bl w:val="nil"/>
                  </w:tcBorders>
                  <w:shd w:val="clear" w:color="auto" w:fill="auto"/>
                  <w:vAlign w:val="center"/>
                </w:tcPr>
                <w:p>
                  <w:pPr>
                    <w:pStyle w:val="18"/>
                    <w:bidi w:val="0"/>
                    <w:jc w:val="center"/>
                  </w:pPr>
                  <w:r>
                    <w:t>推板机构</w:t>
                  </w:r>
                </w:p>
              </w:tc>
              <w:tc>
                <w:tcPr>
                  <w:tcW w:w="1471" w:type="pct"/>
                  <w:tcBorders>
                    <w:tl2br w:val="nil"/>
                    <w:tr2bl w:val="nil"/>
                  </w:tcBorders>
                  <w:shd w:val="clear" w:color="auto" w:fill="auto"/>
                  <w:vAlign w:val="center"/>
                </w:tcPr>
                <w:p>
                  <w:pPr>
                    <w:pStyle w:val="18"/>
                    <w:bidi w:val="0"/>
                    <w:jc w:val="center"/>
                  </w:pPr>
                  <w:r>
                    <w:t>7600×3200×2676</w:t>
                  </w:r>
                </w:p>
              </w:tc>
              <w:tc>
                <w:tcPr>
                  <w:tcW w:w="951" w:type="pct"/>
                  <w:tcBorders>
                    <w:tl2br w:val="nil"/>
                    <w:tr2bl w:val="nil"/>
                  </w:tcBorders>
                  <w:shd w:val="clear" w:color="auto" w:fill="auto"/>
                  <w:vAlign w:val="center"/>
                </w:tcPr>
                <w:p>
                  <w:pPr>
                    <w:pStyle w:val="18"/>
                    <w:bidi w:val="0"/>
                    <w:jc w:val="center"/>
                  </w:pPr>
                  <w:r>
                    <w:t>6</w:t>
                  </w:r>
                </w:p>
              </w:tc>
              <w:tc>
                <w:tcPr>
                  <w:tcW w:w="450" w:type="pct"/>
                  <w:tcBorders>
                    <w:tl2br w:val="nil"/>
                    <w:tr2bl w:val="nil"/>
                  </w:tcBorders>
                  <w:shd w:val="clear" w:color="auto" w:fill="auto"/>
                  <w:vAlign w:val="center"/>
                </w:tcPr>
                <w:p>
                  <w:pPr>
                    <w:pStyle w:val="18"/>
                    <w:bidi w:val="0"/>
                    <w:jc w:val="center"/>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6</w:t>
                  </w:r>
                </w:p>
              </w:tc>
              <w:tc>
                <w:tcPr>
                  <w:tcW w:w="1654" w:type="pct"/>
                  <w:tcBorders>
                    <w:tl2br w:val="nil"/>
                    <w:tr2bl w:val="nil"/>
                  </w:tcBorders>
                  <w:shd w:val="clear" w:color="auto" w:fill="auto"/>
                  <w:vAlign w:val="center"/>
                </w:tcPr>
                <w:p>
                  <w:pPr>
                    <w:pStyle w:val="18"/>
                    <w:bidi w:val="0"/>
                    <w:jc w:val="center"/>
                  </w:pPr>
                  <w:r>
                    <w:t>合板翻板机构</w:t>
                  </w:r>
                </w:p>
              </w:tc>
              <w:tc>
                <w:tcPr>
                  <w:tcW w:w="1471" w:type="pct"/>
                  <w:tcBorders>
                    <w:tl2br w:val="nil"/>
                    <w:tr2bl w:val="nil"/>
                  </w:tcBorders>
                  <w:shd w:val="clear" w:color="auto" w:fill="auto"/>
                  <w:vAlign w:val="center"/>
                </w:tcPr>
                <w:p>
                  <w:pPr>
                    <w:pStyle w:val="18"/>
                    <w:bidi w:val="0"/>
                    <w:jc w:val="center"/>
                  </w:pPr>
                  <w:r>
                    <w:t>3200×2700×2100</w:t>
                  </w:r>
                </w:p>
              </w:tc>
              <w:tc>
                <w:tcPr>
                  <w:tcW w:w="951" w:type="pct"/>
                  <w:tcBorders>
                    <w:tl2br w:val="nil"/>
                    <w:tr2bl w:val="nil"/>
                  </w:tcBorders>
                  <w:shd w:val="clear" w:color="auto" w:fill="auto"/>
                  <w:vAlign w:val="center"/>
                </w:tcPr>
                <w:p>
                  <w:pPr>
                    <w:pStyle w:val="18"/>
                    <w:bidi w:val="0"/>
                    <w:jc w:val="center"/>
                  </w:pPr>
                  <w:r>
                    <w:t>5.5</w:t>
                  </w:r>
                </w:p>
              </w:tc>
              <w:tc>
                <w:tcPr>
                  <w:tcW w:w="450" w:type="pct"/>
                  <w:tcBorders>
                    <w:tl2br w:val="nil"/>
                    <w:tr2bl w:val="nil"/>
                  </w:tcBorders>
                  <w:shd w:val="clear" w:color="auto" w:fill="auto"/>
                  <w:vAlign w:val="center"/>
                </w:tcPr>
                <w:p>
                  <w:pPr>
                    <w:pStyle w:val="18"/>
                    <w:bidi w:val="0"/>
                    <w:jc w:val="center"/>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7</w:t>
                  </w:r>
                </w:p>
              </w:tc>
              <w:tc>
                <w:tcPr>
                  <w:tcW w:w="1654" w:type="pct"/>
                  <w:tcBorders>
                    <w:tl2br w:val="nil"/>
                    <w:tr2bl w:val="nil"/>
                  </w:tcBorders>
                  <w:shd w:val="clear" w:color="auto" w:fill="auto"/>
                  <w:vAlign w:val="center"/>
                </w:tcPr>
                <w:p>
                  <w:pPr>
                    <w:pStyle w:val="18"/>
                    <w:bidi w:val="0"/>
                    <w:jc w:val="center"/>
                  </w:pPr>
                  <w:r>
                    <w:t>摆渡车</w:t>
                  </w:r>
                </w:p>
              </w:tc>
              <w:tc>
                <w:tcPr>
                  <w:tcW w:w="1471" w:type="pct"/>
                  <w:tcBorders>
                    <w:tl2br w:val="nil"/>
                    <w:tr2bl w:val="nil"/>
                  </w:tcBorders>
                  <w:shd w:val="clear" w:color="auto" w:fill="auto"/>
                  <w:vAlign w:val="center"/>
                </w:tcPr>
                <w:p>
                  <w:pPr>
                    <w:pStyle w:val="18"/>
                    <w:bidi w:val="0"/>
                    <w:jc w:val="center"/>
                  </w:pPr>
                  <w:r>
                    <w:t>3600×3200×681</w:t>
                  </w:r>
                </w:p>
              </w:tc>
              <w:tc>
                <w:tcPr>
                  <w:tcW w:w="951" w:type="pct"/>
                  <w:tcBorders>
                    <w:tl2br w:val="nil"/>
                    <w:tr2bl w:val="nil"/>
                  </w:tcBorders>
                  <w:shd w:val="clear" w:color="auto" w:fill="auto"/>
                  <w:vAlign w:val="center"/>
                </w:tcPr>
                <w:p>
                  <w:pPr>
                    <w:pStyle w:val="18"/>
                    <w:bidi w:val="0"/>
                    <w:jc w:val="center"/>
                  </w:pPr>
                  <w:r>
                    <w:t>9.9</w:t>
                  </w:r>
                </w:p>
              </w:tc>
              <w:tc>
                <w:tcPr>
                  <w:tcW w:w="450" w:type="pct"/>
                  <w:tcBorders>
                    <w:tl2br w:val="nil"/>
                    <w:tr2bl w:val="nil"/>
                  </w:tcBorders>
                  <w:shd w:val="clear" w:color="auto" w:fill="auto"/>
                  <w:vAlign w:val="center"/>
                </w:tcPr>
                <w:p>
                  <w:pPr>
                    <w:pStyle w:val="18"/>
                    <w:bidi w:val="0"/>
                    <w:jc w:val="center"/>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8</w:t>
                  </w:r>
                </w:p>
              </w:tc>
              <w:tc>
                <w:tcPr>
                  <w:tcW w:w="1654" w:type="pct"/>
                  <w:tcBorders>
                    <w:tl2br w:val="nil"/>
                    <w:tr2bl w:val="nil"/>
                  </w:tcBorders>
                  <w:shd w:val="clear" w:color="auto" w:fill="auto"/>
                  <w:vAlign w:val="center"/>
                </w:tcPr>
                <w:p>
                  <w:pPr>
                    <w:pStyle w:val="18"/>
                    <w:bidi w:val="0"/>
                    <w:jc w:val="center"/>
                  </w:pPr>
                  <w:r>
                    <w:t>M09不漏浆成组立模</w:t>
                  </w:r>
                </w:p>
              </w:tc>
              <w:tc>
                <w:tcPr>
                  <w:tcW w:w="1471" w:type="pct"/>
                  <w:tcBorders>
                    <w:tl2br w:val="nil"/>
                    <w:tr2bl w:val="nil"/>
                  </w:tcBorders>
                  <w:shd w:val="clear" w:color="auto" w:fill="auto"/>
                  <w:vAlign w:val="center"/>
                </w:tcPr>
                <w:p>
                  <w:pPr>
                    <w:pStyle w:val="18"/>
                    <w:bidi w:val="0"/>
                    <w:jc w:val="center"/>
                  </w:pPr>
                  <w:r>
                    <w:t>90mm</w:t>
                  </w:r>
                </w:p>
              </w:tc>
              <w:tc>
                <w:tcPr>
                  <w:tcW w:w="951" w:type="pct"/>
                  <w:tcBorders>
                    <w:tl2br w:val="nil"/>
                    <w:tr2bl w:val="nil"/>
                  </w:tcBorders>
                  <w:shd w:val="clear" w:color="auto" w:fill="auto"/>
                  <w:vAlign w:val="center"/>
                </w:tcPr>
                <w:p>
                  <w:pPr>
                    <w:pStyle w:val="18"/>
                    <w:bidi w:val="0"/>
                    <w:jc w:val="center"/>
                  </w:pPr>
                  <w:r>
                    <w:t>9.9</w:t>
                  </w:r>
                </w:p>
              </w:tc>
              <w:tc>
                <w:tcPr>
                  <w:tcW w:w="450" w:type="pct"/>
                  <w:tcBorders>
                    <w:tl2br w:val="nil"/>
                    <w:tr2bl w:val="nil"/>
                  </w:tcBorders>
                  <w:shd w:val="clear" w:color="auto" w:fill="auto"/>
                  <w:vAlign w:val="center"/>
                </w:tcPr>
                <w:p>
                  <w:pPr>
                    <w:pStyle w:val="18"/>
                    <w:bidi w:val="0"/>
                    <w:jc w:val="center"/>
                  </w:pPr>
                  <w:r>
                    <w:t>180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9</w:t>
                  </w:r>
                </w:p>
              </w:tc>
              <w:tc>
                <w:tcPr>
                  <w:tcW w:w="1654" w:type="pct"/>
                  <w:tcBorders>
                    <w:tl2br w:val="nil"/>
                    <w:tr2bl w:val="nil"/>
                  </w:tcBorders>
                  <w:shd w:val="clear" w:color="auto" w:fill="auto"/>
                  <w:vAlign w:val="center"/>
                </w:tcPr>
                <w:p>
                  <w:pPr>
                    <w:pStyle w:val="18"/>
                    <w:bidi w:val="0"/>
                    <w:jc w:val="center"/>
                  </w:pPr>
                  <w:r>
                    <w:t>成型芯管</w:t>
                  </w:r>
                </w:p>
              </w:tc>
              <w:tc>
                <w:tcPr>
                  <w:tcW w:w="1471" w:type="pct"/>
                  <w:tcBorders>
                    <w:tl2br w:val="nil"/>
                    <w:tr2bl w:val="nil"/>
                  </w:tcBorders>
                  <w:shd w:val="clear" w:color="auto" w:fill="auto"/>
                  <w:vAlign w:val="center"/>
                </w:tcPr>
                <w:p>
                  <w:pPr>
                    <w:pStyle w:val="18"/>
                    <w:bidi w:val="0"/>
                    <w:jc w:val="center"/>
                  </w:pPr>
                  <w:r>
                    <w:t>M09-XG</w:t>
                  </w:r>
                </w:p>
              </w:tc>
              <w:tc>
                <w:tcPr>
                  <w:tcW w:w="951" w:type="pct"/>
                  <w:tcBorders>
                    <w:tl2br w:val="nil"/>
                    <w:tr2bl w:val="nil"/>
                  </w:tcBorders>
                  <w:shd w:val="clear" w:color="auto" w:fill="auto"/>
                  <w:vAlign w:val="center"/>
                </w:tcPr>
                <w:p>
                  <w:pPr>
                    <w:pStyle w:val="18"/>
                    <w:bidi w:val="0"/>
                    <w:jc w:val="center"/>
                  </w:pPr>
                </w:p>
              </w:tc>
              <w:tc>
                <w:tcPr>
                  <w:tcW w:w="450" w:type="pct"/>
                  <w:tcBorders>
                    <w:tl2br w:val="nil"/>
                    <w:tr2bl w:val="nil"/>
                  </w:tcBorders>
                  <w:shd w:val="clear" w:color="auto" w:fill="auto"/>
                  <w:vAlign w:val="center"/>
                </w:tcPr>
                <w:p>
                  <w:pPr>
                    <w:pStyle w:val="18"/>
                    <w:bidi w:val="0"/>
                    <w:jc w:val="center"/>
                  </w:pPr>
                  <w:r>
                    <w:t>180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10</w:t>
                  </w:r>
                </w:p>
              </w:tc>
              <w:tc>
                <w:tcPr>
                  <w:tcW w:w="1654" w:type="pct"/>
                  <w:tcBorders>
                    <w:tl2br w:val="nil"/>
                    <w:tr2bl w:val="nil"/>
                  </w:tcBorders>
                  <w:shd w:val="clear" w:color="auto" w:fill="auto"/>
                  <w:vAlign w:val="center"/>
                </w:tcPr>
                <w:p>
                  <w:pPr>
                    <w:pStyle w:val="18"/>
                    <w:bidi w:val="0"/>
                    <w:jc w:val="center"/>
                  </w:pPr>
                  <w:r>
                    <w:t>M09液压定位抽芯一体机</w:t>
                  </w:r>
                </w:p>
              </w:tc>
              <w:tc>
                <w:tcPr>
                  <w:tcW w:w="1471" w:type="pct"/>
                  <w:tcBorders>
                    <w:tl2br w:val="nil"/>
                    <w:tr2bl w:val="nil"/>
                  </w:tcBorders>
                  <w:shd w:val="clear" w:color="auto" w:fill="auto"/>
                  <w:vAlign w:val="center"/>
                </w:tcPr>
                <w:p>
                  <w:pPr>
                    <w:pStyle w:val="18"/>
                    <w:bidi w:val="0"/>
                    <w:jc w:val="center"/>
                  </w:pPr>
                  <w:r>
                    <w:t>M09-CX</w:t>
                  </w:r>
                </w:p>
              </w:tc>
              <w:tc>
                <w:tcPr>
                  <w:tcW w:w="951" w:type="pct"/>
                  <w:tcBorders>
                    <w:tl2br w:val="nil"/>
                    <w:tr2bl w:val="nil"/>
                  </w:tcBorders>
                  <w:shd w:val="clear" w:color="auto" w:fill="auto"/>
                  <w:vAlign w:val="center"/>
                </w:tcPr>
                <w:p>
                  <w:pPr>
                    <w:pStyle w:val="18"/>
                    <w:bidi w:val="0"/>
                    <w:jc w:val="center"/>
                  </w:pPr>
                  <w:r>
                    <w:t>20.7</w:t>
                  </w:r>
                </w:p>
              </w:tc>
              <w:tc>
                <w:tcPr>
                  <w:tcW w:w="450" w:type="pct"/>
                  <w:tcBorders>
                    <w:tl2br w:val="nil"/>
                    <w:tr2bl w:val="nil"/>
                  </w:tcBorders>
                  <w:shd w:val="clear" w:color="auto" w:fill="auto"/>
                  <w:vAlign w:val="center"/>
                </w:tcPr>
                <w:p>
                  <w:pPr>
                    <w:pStyle w:val="18"/>
                    <w:bidi w:val="0"/>
                    <w:jc w:val="center"/>
                  </w:pPr>
                  <w: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11</w:t>
                  </w:r>
                </w:p>
              </w:tc>
              <w:tc>
                <w:tcPr>
                  <w:tcW w:w="1654" w:type="pct"/>
                  <w:tcBorders>
                    <w:tl2br w:val="nil"/>
                    <w:tr2bl w:val="nil"/>
                  </w:tcBorders>
                  <w:shd w:val="clear" w:color="auto" w:fill="auto"/>
                  <w:vAlign w:val="center"/>
                </w:tcPr>
                <w:p>
                  <w:pPr>
                    <w:pStyle w:val="18"/>
                    <w:bidi w:val="0"/>
                    <w:jc w:val="center"/>
                  </w:pPr>
                  <w:r>
                    <w:t>上面成型抹面机</w:t>
                  </w:r>
                </w:p>
              </w:tc>
              <w:tc>
                <w:tcPr>
                  <w:tcW w:w="1471" w:type="pct"/>
                  <w:tcBorders>
                    <w:tl2br w:val="nil"/>
                    <w:tr2bl w:val="nil"/>
                  </w:tcBorders>
                  <w:shd w:val="clear" w:color="auto" w:fill="auto"/>
                  <w:vAlign w:val="center"/>
                </w:tcPr>
                <w:p>
                  <w:pPr>
                    <w:pStyle w:val="18"/>
                    <w:bidi w:val="0"/>
                    <w:jc w:val="center"/>
                  </w:pPr>
                  <w:r>
                    <w:t>M09-SCX</w:t>
                  </w:r>
                </w:p>
              </w:tc>
              <w:tc>
                <w:tcPr>
                  <w:tcW w:w="951" w:type="pct"/>
                  <w:tcBorders>
                    <w:tl2br w:val="nil"/>
                    <w:tr2bl w:val="nil"/>
                  </w:tcBorders>
                  <w:shd w:val="clear" w:color="auto" w:fill="auto"/>
                  <w:vAlign w:val="center"/>
                </w:tcPr>
                <w:p>
                  <w:pPr>
                    <w:pStyle w:val="18"/>
                    <w:bidi w:val="0"/>
                    <w:jc w:val="center"/>
                  </w:pPr>
                  <w:r>
                    <w:t>15.9</w:t>
                  </w:r>
                </w:p>
              </w:tc>
              <w:tc>
                <w:tcPr>
                  <w:tcW w:w="450" w:type="pct"/>
                  <w:tcBorders>
                    <w:tl2br w:val="nil"/>
                    <w:tr2bl w:val="nil"/>
                  </w:tcBorders>
                  <w:shd w:val="clear" w:color="auto" w:fill="auto"/>
                  <w:vAlign w:val="center"/>
                </w:tcPr>
                <w:p>
                  <w:pPr>
                    <w:pStyle w:val="18"/>
                    <w:bidi w:val="0"/>
                    <w:jc w:val="center"/>
                  </w:pPr>
                  <w: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12</w:t>
                  </w:r>
                </w:p>
              </w:tc>
              <w:tc>
                <w:tcPr>
                  <w:tcW w:w="1654" w:type="pct"/>
                  <w:tcBorders>
                    <w:tl2br w:val="nil"/>
                    <w:tr2bl w:val="nil"/>
                  </w:tcBorders>
                  <w:shd w:val="clear" w:color="auto" w:fill="auto"/>
                  <w:vAlign w:val="center"/>
                </w:tcPr>
                <w:p>
                  <w:pPr>
                    <w:pStyle w:val="18"/>
                    <w:bidi w:val="0"/>
                    <w:jc w:val="center"/>
                  </w:pPr>
                  <w:r>
                    <w:t>振动消泡机</w:t>
                  </w:r>
                </w:p>
              </w:tc>
              <w:tc>
                <w:tcPr>
                  <w:tcW w:w="1471" w:type="pct"/>
                  <w:tcBorders>
                    <w:tl2br w:val="nil"/>
                    <w:tr2bl w:val="nil"/>
                  </w:tcBorders>
                  <w:shd w:val="clear" w:color="auto" w:fill="auto"/>
                  <w:vAlign w:val="center"/>
                </w:tcPr>
                <w:p>
                  <w:pPr>
                    <w:pStyle w:val="18"/>
                    <w:bidi w:val="0"/>
                    <w:jc w:val="center"/>
                  </w:pPr>
                  <w:r>
                    <w:t>M09-ZD</w:t>
                  </w:r>
                </w:p>
              </w:tc>
              <w:tc>
                <w:tcPr>
                  <w:tcW w:w="951" w:type="pct"/>
                  <w:tcBorders>
                    <w:tl2br w:val="nil"/>
                    <w:tr2bl w:val="nil"/>
                  </w:tcBorders>
                  <w:shd w:val="clear" w:color="auto" w:fill="auto"/>
                  <w:vAlign w:val="center"/>
                </w:tcPr>
                <w:p>
                  <w:pPr>
                    <w:pStyle w:val="18"/>
                    <w:bidi w:val="0"/>
                    <w:jc w:val="center"/>
                  </w:pPr>
                  <w:r>
                    <w:t>24.2</w:t>
                  </w:r>
                </w:p>
              </w:tc>
              <w:tc>
                <w:tcPr>
                  <w:tcW w:w="450" w:type="pct"/>
                  <w:tcBorders>
                    <w:tl2br w:val="nil"/>
                    <w:tr2bl w:val="nil"/>
                  </w:tcBorders>
                  <w:shd w:val="clear" w:color="auto" w:fill="auto"/>
                  <w:vAlign w:val="center"/>
                </w:tcPr>
                <w:p>
                  <w:pPr>
                    <w:pStyle w:val="18"/>
                    <w:bidi w:val="0"/>
                    <w:jc w:val="center"/>
                  </w:pPr>
                  <w: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13</w:t>
                  </w:r>
                </w:p>
              </w:tc>
              <w:tc>
                <w:tcPr>
                  <w:tcW w:w="1654" w:type="pct"/>
                  <w:tcBorders>
                    <w:tl2br w:val="nil"/>
                    <w:tr2bl w:val="nil"/>
                  </w:tcBorders>
                  <w:shd w:val="clear" w:color="auto" w:fill="auto"/>
                  <w:vAlign w:val="center"/>
                </w:tcPr>
                <w:p>
                  <w:pPr>
                    <w:pStyle w:val="18"/>
                    <w:bidi w:val="0"/>
                    <w:jc w:val="center"/>
                  </w:pPr>
                  <w:r>
                    <w:t>布料机</w:t>
                  </w:r>
                </w:p>
              </w:tc>
              <w:tc>
                <w:tcPr>
                  <w:tcW w:w="1471" w:type="pct"/>
                  <w:tcBorders>
                    <w:tl2br w:val="nil"/>
                    <w:tr2bl w:val="nil"/>
                  </w:tcBorders>
                  <w:shd w:val="clear" w:color="auto" w:fill="auto"/>
                  <w:vAlign w:val="center"/>
                </w:tcPr>
                <w:p>
                  <w:pPr>
                    <w:pStyle w:val="18"/>
                    <w:bidi w:val="0"/>
                    <w:jc w:val="center"/>
                  </w:pPr>
                  <w:r>
                    <w:t>M09-BLJ</w:t>
                  </w:r>
                </w:p>
              </w:tc>
              <w:tc>
                <w:tcPr>
                  <w:tcW w:w="951" w:type="pct"/>
                  <w:tcBorders>
                    <w:tl2br w:val="nil"/>
                    <w:tr2bl w:val="nil"/>
                  </w:tcBorders>
                  <w:shd w:val="clear" w:color="auto" w:fill="auto"/>
                  <w:vAlign w:val="center"/>
                </w:tcPr>
                <w:p>
                  <w:pPr>
                    <w:pStyle w:val="18"/>
                    <w:bidi w:val="0"/>
                    <w:jc w:val="center"/>
                  </w:pPr>
                  <w:r>
                    <w:t>5.5</w:t>
                  </w:r>
                </w:p>
              </w:tc>
              <w:tc>
                <w:tcPr>
                  <w:tcW w:w="450" w:type="pct"/>
                  <w:tcBorders>
                    <w:tl2br w:val="nil"/>
                    <w:tr2bl w:val="nil"/>
                  </w:tcBorders>
                  <w:shd w:val="clear" w:color="auto" w:fill="auto"/>
                  <w:vAlign w:val="center"/>
                </w:tcPr>
                <w:p>
                  <w:pPr>
                    <w:pStyle w:val="18"/>
                    <w:bidi w:val="0"/>
                    <w:jc w:val="center"/>
                  </w:pPr>
                  <w: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14</w:t>
                  </w:r>
                </w:p>
              </w:tc>
              <w:tc>
                <w:tcPr>
                  <w:tcW w:w="1654" w:type="pct"/>
                  <w:tcBorders>
                    <w:tl2br w:val="nil"/>
                    <w:tr2bl w:val="nil"/>
                  </w:tcBorders>
                  <w:shd w:val="clear" w:color="auto" w:fill="auto"/>
                  <w:vAlign w:val="center"/>
                </w:tcPr>
                <w:p>
                  <w:pPr>
                    <w:pStyle w:val="18"/>
                    <w:bidi w:val="0"/>
                    <w:jc w:val="center"/>
                  </w:pPr>
                  <w:r>
                    <w:t>定位推板、清模一体机</w:t>
                  </w:r>
                </w:p>
              </w:tc>
              <w:tc>
                <w:tcPr>
                  <w:tcW w:w="1471" w:type="pct"/>
                  <w:tcBorders>
                    <w:tl2br w:val="nil"/>
                    <w:tr2bl w:val="nil"/>
                  </w:tcBorders>
                  <w:shd w:val="clear" w:color="auto" w:fill="auto"/>
                  <w:vAlign w:val="center"/>
                </w:tcPr>
                <w:p>
                  <w:pPr>
                    <w:pStyle w:val="18"/>
                    <w:bidi w:val="0"/>
                    <w:jc w:val="center"/>
                  </w:pPr>
                  <w:r>
                    <w:t>M09-TB</w:t>
                  </w:r>
                </w:p>
              </w:tc>
              <w:tc>
                <w:tcPr>
                  <w:tcW w:w="951" w:type="pct"/>
                  <w:tcBorders>
                    <w:tl2br w:val="nil"/>
                    <w:tr2bl w:val="nil"/>
                  </w:tcBorders>
                  <w:shd w:val="clear" w:color="auto" w:fill="auto"/>
                  <w:vAlign w:val="center"/>
                </w:tcPr>
                <w:p>
                  <w:pPr>
                    <w:pStyle w:val="18"/>
                    <w:bidi w:val="0"/>
                    <w:jc w:val="center"/>
                  </w:pPr>
                  <w:r>
                    <w:t>6</w:t>
                  </w:r>
                </w:p>
              </w:tc>
              <w:tc>
                <w:tcPr>
                  <w:tcW w:w="450" w:type="pct"/>
                  <w:tcBorders>
                    <w:tl2br w:val="nil"/>
                    <w:tr2bl w:val="nil"/>
                  </w:tcBorders>
                  <w:shd w:val="clear" w:color="auto" w:fill="auto"/>
                  <w:vAlign w:val="center"/>
                </w:tcPr>
                <w:p>
                  <w:pPr>
                    <w:pStyle w:val="18"/>
                    <w:bidi w:val="0"/>
                    <w:jc w:val="center"/>
                  </w:pPr>
                  <w: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15</w:t>
                  </w:r>
                </w:p>
              </w:tc>
              <w:tc>
                <w:tcPr>
                  <w:tcW w:w="1654" w:type="pct"/>
                  <w:tcBorders>
                    <w:tl2br w:val="nil"/>
                    <w:tr2bl w:val="nil"/>
                  </w:tcBorders>
                  <w:shd w:val="clear" w:color="auto" w:fill="auto"/>
                  <w:vAlign w:val="center"/>
                </w:tcPr>
                <w:p>
                  <w:pPr>
                    <w:pStyle w:val="18"/>
                    <w:bidi w:val="0"/>
                    <w:jc w:val="center"/>
                  </w:pPr>
                  <w:r>
                    <w:t>合板翻板机</w:t>
                  </w:r>
                </w:p>
              </w:tc>
              <w:tc>
                <w:tcPr>
                  <w:tcW w:w="1471" w:type="pct"/>
                  <w:tcBorders>
                    <w:tl2br w:val="nil"/>
                    <w:tr2bl w:val="nil"/>
                  </w:tcBorders>
                  <w:shd w:val="clear" w:color="auto" w:fill="auto"/>
                  <w:vAlign w:val="center"/>
                </w:tcPr>
                <w:p>
                  <w:pPr>
                    <w:pStyle w:val="18"/>
                    <w:bidi w:val="0"/>
                    <w:jc w:val="center"/>
                  </w:pPr>
                  <w:r>
                    <w:t>M09-FB</w:t>
                  </w:r>
                </w:p>
              </w:tc>
              <w:tc>
                <w:tcPr>
                  <w:tcW w:w="951" w:type="pct"/>
                  <w:tcBorders>
                    <w:tl2br w:val="nil"/>
                    <w:tr2bl w:val="nil"/>
                  </w:tcBorders>
                  <w:shd w:val="clear" w:color="auto" w:fill="auto"/>
                  <w:vAlign w:val="center"/>
                </w:tcPr>
                <w:p>
                  <w:pPr>
                    <w:pStyle w:val="18"/>
                    <w:bidi w:val="0"/>
                    <w:jc w:val="center"/>
                  </w:pPr>
                  <w:r>
                    <w:t>5.5</w:t>
                  </w:r>
                </w:p>
              </w:tc>
              <w:tc>
                <w:tcPr>
                  <w:tcW w:w="450" w:type="pct"/>
                  <w:tcBorders>
                    <w:tl2br w:val="nil"/>
                    <w:tr2bl w:val="nil"/>
                  </w:tcBorders>
                  <w:shd w:val="clear" w:color="auto" w:fill="auto"/>
                  <w:vAlign w:val="center"/>
                </w:tcPr>
                <w:p>
                  <w:pPr>
                    <w:pStyle w:val="18"/>
                    <w:bidi w:val="0"/>
                    <w:jc w:val="center"/>
                  </w:pPr>
                  <w: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472" w:type="pct"/>
                  <w:tcBorders>
                    <w:tl2br w:val="nil"/>
                    <w:tr2bl w:val="nil"/>
                  </w:tcBorders>
                  <w:shd w:val="clear" w:color="auto" w:fill="auto"/>
                  <w:noWrap/>
                  <w:vAlign w:val="center"/>
                </w:tcPr>
                <w:p>
                  <w:pPr>
                    <w:pStyle w:val="18"/>
                    <w:bidi w:val="0"/>
                    <w:jc w:val="center"/>
                  </w:pPr>
                  <w:r>
                    <w:t>16</w:t>
                  </w:r>
                </w:p>
              </w:tc>
              <w:tc>
                <w:tcPr>
                  <w:tcW w:w="1654" w:type="pct"/>
                  <w:tcBorders>
                    <w:tl2br w:val="nil"/>
                    <w:tr2bl w:val="nil"/>
                  </w:tcBorders>
                  <w:shd w:val="clear" w:color="auto" w:fill="auto"/>
                  <w:vAlign w:val="center"/>
                </w:tcPr>
                <w:p>
                  <w:pPr>
                    <w:pStyle w:val="18"/>
                    <w:bidi w:val="0"/>
                    <w:jc w:val="center"/>
                  </w:pPr>
                  <w:r>
                    <w:t>摆渡车</w:t>
                  </w:r>
                </w:p>
              </w:tc>
              <w:tc>
                <w:tcPr>
                  <w:tcW w:w="1471" w:type="pct"/>
                  <w:tcBorders>
                    <w:tl2br w:val="nil"/>
                    <w:tr2bl w:val="nil"/>
                  </w:tcBorders>
                  <w:shd w:val="clear" w:color="auto" w:fill="auto"/>
                  <w:vAlign w:val="center"/>
                </w:tcPr>
                <w:p>
                  <w:pPr>
                    <w:pStyle w:val="18"/>
                    <w:bidi w:val="0"/>
                    <w:jc w:val="center"/>
                  </w:pPr>
                </w:p>
              </w:tc>
              <w:tc>
                <w:tcPr>
                  <w:tcW w:w="951" w:type="pct"/>
                  <w:tcBorders>
                    <w:tl2br w:val="nil"/>
                    <w:tr2bl w:val="nil"/>
                  </w:tcBorders>
                  <w:shd w:val="clear" w:color="auto" w:fill="auto"/>
                  <w:vAlign w:val="center"/>
                </w:tcPr>
                <w:p>
                  <w:pPr>
                    <w:pStyle w:val="18"/>
                    <w:bidi w:val="0"/>
                    <w:jc w:val="center"/>
                  </w:pPr>
                  <w:r>
                    <w:t>9.9</w:t>
                  </w:r>
                </w:p>
              </w:tc>
              <w:tc>
                <w:tcPr>
                  <w:tcW w:w="450" w:type="pct"/>
                  <w:tcBorders>
                    <w:tl2br w:val="nil"/>
                    <w:tr2bl w:val="nil"/>
                  </w:tcBorders>
                  <w:shd w:val="clear" w:color="auto" w:fill="auto"/>
                  <w:vAlign w:val="center"/>
                </w:tcPr>
                <w:p>
                  <w:pPr>
                    <w:pStyle w:val="18"/>
                    <w:bidi w:val="0"/>
                    <w:jc w:val="center"/>
                  </w:pPr>
                  <w:r>
                    <w:t>24</w:t>
                  </w:r>
                </w:p>
              </w:tc>
            </w:tr>
          </w:tbl>
          <w:p>
            <w:pPr>
              <w:pStyle w:val="4"/>
              <w:numPr>
                <w:ilvl w:val="0"/>
                <w:numId w:val="0"/>
              </w:numPr>
              <w:bidi w:val="0"/>
              <w:ind w:leftChars="0" w:right="0" w:rightChars="0"/>
              <w:rPr>
                <w:rFonts w:hint="eastAsia"/>
                <w:lang w:val="en-US" w:eastAsia="zh-CN"/>
              </w:rPr>
            </w:pPr>
            <w:bookmarkStart w:id="16" w:name="_Toc5655"/>
            <w:bookmarkStart w:id="17" w:name="_Toc28577"/>
            <w:r>
              <w:rPr>
                <w:rFonts w:hint="eastAsia"/>
                <w:lang w:val="en-US" w:eastAsia="zh-CN"/>
              </w:rPr>
              <w:t>4、产品方案</w:t>
            </w:r>
            <w:bookmarkEnd w:id="16"/>
            <w:bookmarkEnd w:id="17"/>
          </w:p>
          <w:p>
            <w:pPr>
              <w:bidi w:val="0"/>
              <w:ind w:left="0" w:leftChars="0" w:firstLine="480" w:firstLineChars="200"/>
              <w:rPr>
                <w:rFonts w:hint="default"/>
                <w:lang w:val="en-US" w:eastAsia="zh-CN"/>
              </w:rPr>
            </w:pPr>
            <w:r>
              <w:t>项目主要产品为</w:t>
            </w:r>
            <w:r>
              <w:rPr>
                <w:rFonts w:hint="eastAsia"/>
                <w:lang w:val="en-US" w:eastAsia="zh-CN"/>
              </w:rPr>
              <w:t>锰铵合格液</w:t>
            </w:r>
            <w:r>
              <w:t>和</w:t>
            </w:r>
            <w:r>
              <w:rPr>
                <w:rFonts w:hint="eastAsia"/>
                <w:lang w:val="en-US" w:eastAsia="zh-CN"/>
              </w:rPr>
              <w:t>隔墙板</w:t>
            </w:r>
            <w:r>
              <w:t>等</w:t>
            </w:r>
            <w:r>
              <w:rPr>
                <w:rFonts w:hint="eastAsia"/>
                <w:lang w:eastAsia="zh-CN"/>
              </w:rPr>
              <w:t>，</w:t>
            </w:r>
            <w:r>
              <w:rPr>
                <w:rFonts w:hint="eastAsia"/>
                <w:lang w:val="en-US" w:eastAsia="zh-CN"/>
              </w:rPr>
              <w:t>具体见表2-3。</w:t>
            </w:r>
          </w:p>
          <w:p>
            <w:pPr>
              <w:bidi w:val="0"/>
              <w:jc w:val="center"/>
              <w:rPr>
                <w:rFonts w:hint="default"/>
                <w:b/>
                <w:bCs/>
                <w:lang w:val="en-US" w:eastAsia="zh-CN"/>
              </w:rPr>
            </w:pPr>
            <w:r>
              <w:rPr>
                <w:rFonts w:hint="eastAsia"/>
                <w:b/>
                <w:bCs/>
                <w:lang w:val="en-US" w:eastAsia="zh-CN"/>
              </w:rPr>
              <w:t>表2-3  产品情况一览表</w:t>
            </w:r>
          </w:p>
          <w:tbl>
            <w:tblPr>
              <w:tblStyle w:val="1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3"/>
              <w:gridCol w:w="1405"/>
              <w:gridCol w:w="1547"/>
              <w:gridCol w:w="40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22" w:type="pct"/>
                  <w:tcBorders>
                    <w:tl2br w:val="nil"/>
                    <w:tr2bl w:val="nil"/>
                  </w:tcBorders>
                  <w:vAlign w:val="center"/>
                </w:tcPr>
                <w:p>
                  <w:pPr>
                    <w:pStyle w:val="18"/>
                    <w:bidi w:val="0"/>
                    <w:jc w:val="center"/>
                  </w:pPr>
                  <w:r>
                    <w:t>序号</w:t>
                  </w:r>
                </w:p>
              </w:tc>
              <w:tc>
                <w:tcPr>
                  <w:tcW w:w="902" w:type="pct"/>
                  <w:tcBorders>
                    <w:tl2br w:val="nil"/>
                    <w:tr2bl w:val="nil"/>
                  </w:tcBorders>
                  <w:vAlign w:val="center"/>
                </w:tcPr>
                <w:p>
                  <w:pPr>
                    <w:pStyle w:val="18"/>
                    <w:bidi w:val="0"/>
                    <w:jc w:val="center"/>
                  </w:pPr>
                  <w:r>
                    <w:t>名称</w:t>
                  </w:r>
                </w:p>
              </w:tc>
              <w:tc>
                <w:tcPr>
                  <w:tcW w:w="993" w:type="pct"/>
                  <w:tcBorders>
                    <w:tl2br w:val="nil"/>
                    <w:tr2bl w:val="nil"/>
                  </w:tcBorders>
                  <w:vAlign w:val="center"/>
                </w:tcPr>
                <w:p>
                  <w:pPr>
                    <w:pStyle w:val="18"/>
                    <w:bidi w:val="0"/>
                    <w:jc w:val="center"/>
                  </w:pPr>
                  <w:r>
                    <w:t>数量</w:t>
                  </w:r>
                </w:p>
              </w:tc>
              <w:tc>
                <w:tcPr>
                  <w:tcW w:w="2580" w:type="pct"/>
                  <w:tcBorders>
                    <w:tl2br w:val="nil"/>
                    <w:tr2bl w:val="nil"/>
                  </w:tcBorders>
                  <w:vAlign w:val="center"/>
                </w:tcPr>
                <w:p>
                  <w:pPr>
                    <w:pStyle w:val="18"/>
                    <w:bidi w:val="0"/>
                    <w:jc w:val="center"/>
                  </w:pPr>
                  <w: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22" w:type="pct"/>
                  <w:tcBorders>
                    <w:tl2br w:val="nil"/>
                    <w:tr2bl w:val="nil"/>
                  </w:tcBorders>
                  <w:vAlign w:val="center"/>
                </w:tcPr>
                <w:p>
                  <w:pPr>
                    <w:pStyle w:val="18"/>
                    <w:bidi w:val="0"/>
                    <w:jc w:val="center"/>
                  </w:pPr>
                  <w:r>
                    <w:t>1</w:t>
                  </w:r>
                </w:p>
              </w:tc>
              <w:tc>
                <w:tcPr>
                  <w:tcW w:w="902" w:type="pct"/>
                  <w:tcBorders>
                    <w:tl2br w:val="nil"/>
                    <w:tr2bl w:val="nil"/>
                  </w:tcBorders>
                  <w:vAlign w:val="center"/>
                </w:tcPr>
                <w:p>
                  <w:pPr>
                    <w:pStyle w:val="18"/>
                    <w:bidi w:val="0"/>
                    <w:jc w:val="center"/>
                  </w:pPr>
                  <w:r>
                    <w:rPr>
                      <w:rFonts w:hint="eastAsia"/>
                      <w:lang w:val="en-US" w:eastAsia="zh-CN"/>
                    </w:rPr>
                    <w:t>锰铵合格</w:t>
                  </w:r>
                  <w:r>
                    <w:t>液</w:t>
                  </w:r>
                </w:p>
              </w:tc>
              <w:tc>
                <w:tcPr>
                  <w:tcW w:w="993" w:type="pct"/>
                  <w:tcBorders>
                    <w:tl2br w:val="nil"/>
                    <w:tr2bl w:val="nil"/>
                  </w:tcBorders>
                  <w:vAlign w:val="center"/>
                </w:tcPr>
                <w:p>
                  <w:pPr>
                    <w:pStyle w:val="18"/>
                    <w:bidi w:val="0"/>
                    <w:jc w:val="center"/>
                  </w:pPr>
                  <w:r>
                    <w:rPr>
                      <w:rFonts w:hint="eastAsia"/>
                      <w:lang w:val="en-US" w:eastAsia="zh-CN"/>
                    </w:rPr>
                    <w:t>45000</w:t>
                  </w:r>
                  <w:r>
                    <w:t>t/a</w:t>
                  </w:r>
                </w:p>
              </w:tc>
              <w:tc>
                <w:tcPr>
                  <w:tcW w:w="2580" w:type="pct"/>
                  <w:tcBorders>
                    <w:tl2br w:val="nil"/>
                    <w:tr2bl w:val="nil"/>
                  </w:tcBorders>
                  <w:vAlign w:val="center"/>
                </w:tcPr>
                <w:p>
                  <w:pPr>
                    <w:pStyle w:val="18"/>
                    <w:bidi w:val="0"/>
                    <w:jc w:val="center"/>
                    <w:rPr>
                      <w:rFonts w:hint="default" w:eastAsia="宋体"/>
                      <w:lang w:val="en-US" w:eastAsia="zh-CN"/>
                    </w:rPr>
                  </w:pPr>
                  <w:r>
                    <w:rPr>
                      <w:rFonts w:hint="eastAsia"/>
                      <w:lang w:val="en-US" w:eastAsia="zh-CN"/>
                    </w:rPr>
                    <w:t>满足电解锰企业的电解液要求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22" w:type="pct"/>
                  <w:tcBorders>
                    <w:tl2br w:val="nil"/>
                    <w:tr2bl w:val="nil"/>
                  </w:tcBorders>
                  <w:vAlign w:val="center"/>
                </w:tcPr>
                <w:p>
                  <w:pPr>
                    <w:pStyle w:val="18"/>
                    <w:bidi w:val="0"/>
                    <w:jc w:val="center"/>
                  </w:pPr>
                  <w:r>
                    <w:rPr>
                      <w:rFonts w:hint="eastAsia"/>
                    </w:rPr>
                    <w:t>2</w:t>
                  </w:r>
                </w:p>
              </w:tc>
              <w:tc>
                <w:tcPr>
                  <w:tcW w:w="902" w:type="pct"/>
                  <w:tcBorders>
                    <w:tl2br w:val="nil"/>
                    <w:tr2bl w:val="nil"/>
                  </w:tcBorders>
                  <w:vAlign w:val="center"/>
                </w:tcPr>
                <w:p>
                  <w:pPr>
                    <w:pStyle w:val="18"/>
                    <w:bidi w:val="0"/>
                    <w:jc w:val="center"/>
                    <w:rPr>
                      <w:rFonts w:hint="eastAsia" w:eastAsia="宋体"/>
                      <w:lang w:eastAsia="zh-CN"/>
                    </w:rPr>
                  </w:pPr>
                  <w:r>
                    <w:rPr>
                      <w:rFonts w:hint="eastAsia"/>
                      <w:lang w:val="en-US" w:eastAsia="zh-CN"/>
                    </w:rPr>
                    <w:t>隔墙板</w:t>
                  </w:r>
                </w:p>
              </w:tc>
              <w:tc>
                <w:tcPr>
                  <w:tcW w:w="993" w:type="pct"/>
                  <w:tcBorders>
                    <w:tl2br w:val="nil"/>
                    <w:tr2bl w:val="nil"/>
                  </w:tcBorders>
                  <w:vAlign w:val="center"/>
                </w:tcPr>
                <w:p>
                  <w:pPr>
                    <w:pStyle w:val="18"/>
                    <w:bidi w:val="0"/>
                    <w:jc w:val="center"/>
                    <w:rPr>
                      <w:rFonts w:hint="default" w:eastAsia="宋体"/>
                      <w:lang w:val="en-US" w:eastAsia="zh-CN"/>
                    </w:rPr>
                  </w:pPr>
                  <w:r>
                    <w:rPr>
                      <w:rFonts w:hint="eastAsia"/>
                      <w:lang w:val="en-US" w:eastAsia="zh-CN"/>
                    </w:rPr>
                    <w:t>270000t/a</w:t>
                  </w:r>
                </w:p>
              </w:tc>
              <w:tc>
                <w:tcPr>
                  <w:tcW w:w="2580" w:type="pct"/>
                  <w:tcBorders>
                    <w:tl2br w:val="nil"/>
                    <w:tr2bl w:val="nil"/>
                  </w:tcBorders>
                  <w:vAlign w:val="center"/>
                </w:tcPr>
                <w:p>
                  <w:pPr>
                    <w:pStyle w:val="18"/>
                    <w:bidi w:val="0"/>
                    <w:jc w:val="center"/>
                  </w:pPr>
                  <w:r>
                    <w:t>《建筑用轻质隔墙</w:t>
                  </w:r>
                  <w:r>
                    <w:rPr>
                      <w:rFonts w:hint="eastAsia"/>
                      <w:lang w:val="en-US" w:eastAsia="zh-CN"/>
                    </w:rPr>
                    <w:t>条板</w:t>
                  </w:r>
                  <w:r>
                    <w:t>》GB/T23451-2009</w:t>
                  </w:r>
                </w:p>
              </w:tc>
            </w:tr>
          </w:tbl>
          <w:p>
            <w:pPr>
              <w:bidi w:val="0"/>
              <w:ind w:firstLine="480" w:firstLineChars="200"/>
              <w:rPr>
                <w:rFonts w:hint="default"/>
                <w:lang w:val="en-US" w:eastAsia="zh-CN"/>
              </w:rPr>
            </w:pPr>
            <w:r>
              <w:rPr>
                <w:rFonts w:hint="eastAsia"/>
                <w:lang w:val="en-US" w:eastAsia="zh-CN"/>
              </w:rPr>
              <w:t>锰铵合格液中锰浓度为36g/L，铵浓度为105g/L，符合电解锰行业的一般锰电解液锰浓度35-40g/L、铵浓度105-120g/L的要求，本项目生产出的锰铵合格液是电解锰行业中锰电解补充液的合格产品。吾道公司</w:t>
            </w:r>
            <w:r>
              <w:rPr>
                <w:rFonts w:hint="eastAsia"/>
                <w:color w:val="auto"/>
                <w:lang w:val="en-US" w:eastAsia="zh-CN"/>
              </w:rPr>
              <w:t>与泸溪县鑫兴冶化有限公司鑫兴电解锰厂、泸溪县金瑞冶化有限责任公司签</w:t>
            </w:r>
            <w:r>
              <w:rPr>
                <w:rFonts w:hint="eastAsia"/>
                <w:lang w:val="en-US" w:eastAsia="zh-CN"/>
              </w:rPr>
              <w:t>订了售卖协议，本项目产出的锰铵合格液作为副产品交由电解锰企业进行利用。</w:t>
            </w:r>
          </w:p>
          <w:p>
            <w:pPr>
              <w:pStyle w:val="19"/>
              <w:bidi w:val="0"/>
              <w:rPr>
                <w:rFonts w:hint="default"/>
                <w:lang w:val="en-US" w:eastAsia="zh-CN"/>
              </w:rPr>
            </w:pPr>
            <w:r>
              <w:rPr>
                <w:rFonts w:hint="eastAsia"/>
                <w:lang w:val="en-US" w:eastAsia="zh-CN"/>
              </w:rPr>
              <w:t>项目预计年产无害化锰渣27万t/a，其中约50%在项目内进行资源化利用生产隔墙板，剩下50%外售给湘西自治州天源建材有限公司、花垣县兴菊建材有限责任公司。项目利用无害化锰渣生产的隔墙板，各项的检测结果表明符合相关标准要求。本项目实现了电解锰渣的大规模消纳。</w:t>
            </w:r>
          </w:p>
          <w:p>
            <w:pPr>
              <w:pStyle w:val="4"/>
              <w:bidi w:val="0"/>
              <w:rPr>
                <w:rFonts w:hint="default"/>
                <w:lang w:val="en-US" w:eastAsia="zh-CN"/>
              </w:rPr>
            </w:pPr>
            <w:bookmarkStart w:id="18" w:name="_Toc23208"/>
            <w:bookmarkStart w:id="19" w:name="_Toc18587"/>
            <w:r>
              <w:rPr>
                <w:rFonts w:hint="eastAsia"/>
                <w:lang w:val="en-US" w:eastAsia="zh-CN"/>
              </w:rPr>
              <w:t>5、主要原辅材料</w:t>
            </w:r>
            <w:bookmarkEnd w:id="18"/>
            <w:bookmarkEnd w:id="19"/>
          </w:p>
          <w:p>
            <w:pPr>
              <w:bidi w:val="0"/>
              <w:ind w:left="0" w:leftChars="0" w:firstLine="480" w:firstLineChars="200"/>
              <w:rPr>
                <w:rFonts w:hint="default"/>
                <w:lang w:val="en-US" w:eastAsia="zh-CN"/>
              </w:rPr>
            </w:pPr>
            <w:r>
              <w:rPr>
                <w:rFonts w:hint="eastAsia"/>
                <w:lang w:val="en-US" w:eastAsia="zh-CN"/>
              </w:rPr>
              <w:t>本项目拟处理锰渣30万t/a（湿重）。锰渣主要成分见表2-4。</w:t>
            </w:r>
          </w:p>
          <w:p>
            <w:pPr>
              <w:bidi w:val="0"/>
              <w:jc w:val="center"/>
              <w:rPr>
                <w:rFonts w:hint="default"/>
                <w:b/>
                <w:bCs/>
                <w:lang w:val="en-US" w:eastAsia="zh-CN"/>
              </w:rPr>
            </w:pPr>
            <w:r>
              <w:rPr>
                <w:rFonts w:hint="eastAsia"/>
                <w:b/>
                <w:bCs/>
                <w:lang w:val="en-US" w:eastAsia="zh-CN"/>
              </w:rPr>
              <w:t>表2-4  锰渣成分表</w:t>
            </w:r>
          </w:p>
          <w:tbl>
            <w:tblPr>
              <w:tblStyle w:val="16"/>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15"/>
              <w:gridCol w:w="1112"/>
              <w:gridCol w:w="1112"/>
              <w:gridCol w:w="1112"/>
              <w:gridCol w:w="1112"/>
              <w:gridCol w:w="1112"/>
              <w:gridCol w:w="11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7" w:type="pct"/>
                  <w:tcBorders>
                    <w:tl2br w:val="nil"/>
                    <w:tr2bl w:val="nil"/>
                  </w:tcBorders>
                  <w:vAlign w:val="center"/>
                </w:tcPr>
                <w:p>
                  <w:pPr>
                    <w:pStyle w:val="18"/>
                    <w:bidi w:val="0"/>
                    <w:jc w:val="center"/>
                  </w:pPr>
                  <w:r>
                    <w:t>名称</w:t>
                  </w:r>
                </w:p>
              </w:tc>
              <w:tc>
                <w:tcPr>
                  <w:tcW w:w="714" w:type="pct"/>
                  <w:tcBorders>
                    <w:tl2br w:val="nil"/>
                    <w:tr2bl w:val="nil"/>
                  </w:tcBorders>
                  <w:vAlign w:val="center"/>
                </w:tcPr>
                <w:p>
                  <w:pPr>
                    <w:pStyle w:val="18"/>
                    <w:bidi w:val="0"/>
                    <w:jc w:val="center"/>
                  </w:pPr>
                  <w:r>
                    <w:t>SiO</w:t>
                  </w:r>
                  <w:r>
                    <w:rPr>
                      <w:vertAlign w:val="subscript"/>
                    </w:rPr>
                    <w:t>2</w:t>
                  </w:r>
                </w:p>
              </w:tc>
              <w:tc>
                <w:tcPr>
                  <w:tcW w:w="714" w:type="pct"/>
                  <w:tcBorders>
                    <w:tl2br w:val="nil"/>
                    <w:tr2bl w:val="nil"/>
                  </w:tcBorders>
                  <w:vAlign w:val="center"/>
                </w:tcPr>
                <w:p>
                  <w:pPr>
                    <w:pStyle w:val="18"/>
                    <w:bidi w:val="0"/>
                    <w:jc w:val="center"/>
                  </w:pPr>
                  <w:r>
                    <w:t>CaO</w:t>
                  </w:r>
                </w:p>
              </w:tc>
              <w:tc>
                <w:tcPr>
                  <w:tcW w:w="714" w:type="pct"/>
                  <w:tcBorders>
                    <w:tl2br w:val="nil"/>
                    <w:tr2bl w:val="nil"/>
                  </w:tcBorders>
                  <w:vAlign w:val="center"/>
                </w:tcPr>
                <w:p>
                  <w:pPr>
                    <w:pStyle w:val="18"/>
                    <w:bidi w:val="0"/>
                    <w:jc w:val="center"/>
                  </w:pPr>
                  <w:r>
                    <w:t>Al</w:t>
                  </w:r>
                  <w:r>
                    <w:rPr>
                      <w:vertAlign w:val="subscript"/>
                    </w:rPr>
                    <w:t>2</w:t>
                  </w:r>
                  <w:r>
                    <w:t>O</w:t>
                  </w:r>
                  <w:r>
                    <w:rPr>
                      <w:vertAlign w:val="subscript"/>
                    </w:rPr>
                    <w:t>3</w:t>
                  </w:r>
                </w:p>
              </w:tc>
              <w:tc>
                <w:tcPr>
                  <w:tcW w:w="714" w:type="pct"/>
                  <w:tcBorders>
                    <w:tl2br w:val="nil"/>
                    <w:tr2bl w:val="nil"/>
                  </w:tcBorders>
                  <w:vAlign w:val="center"/>
                </w:tcPr>
                <w:p>
                  <w:pPr>
                    <w:pStyle w:val="18"/>
                    <w:bidi w:val="0"/>
                    <w:jc w:val="center"/>
                  </w:pPr>
                  <w:r>
                    <w:t>Fe</w:t>
                  </w:r>
                  <w:r>
                    <w:rPr>
                      <w:vertAlign w:val="subscript"/>
                    </w:rPr>
                    <w:t>2</w:t>
                  </w:r>
                  <w:r>
                    <w:t>O</w:t>
                  </w:r>
                  <w:r>
                    <w:rPr>
                      <w:vertAlign w:val="subscript"/>
                    </w:rPr>
                    <w:t>3</w:t>
                  </w:r>
                </w:p>
              </w:tc>
              <w:tc>
                <w:tcPr>
                  <w:tcW w:w="714" w:type="pct"/>
                  <w:tcBorders>
                    <w:tl2br w:val="nil"/>
                    <w:tr2bl w:val="nil"/>
                  </w:tcBorders>
                  <w:vAlign w:val="center"/>
                </w:tcPr>
                <w:p>
                  <w:pPr>
                    <w:pStyle w:val="18"/>
                    <w:bidi w:val="0"/>
                    <w:jc w:val="center"/>
                  </w:pPr>
                  <w:r>
                    <w:t>MnO</w:t>
                  </w:r>
                </w:p>
              </w:tc>
              <w:tc>
                <w:tcPr>
                  <w:tcW w:w="713" w:type="pct"/>
                  <w:tcBorders>
                    <w:tl2br w:val="nil"/>
                    <w:tr2bl w:val="nil"/>
                  </w:tcBorders>
                  <w:vAlign w:val="center"/>
                </w:tcPr>
                <w:p>
                  <w:pPr>
                    <w:pStyle w:val="18"/>
                    <w:bidi w:val="0"/>
                    <w:jc w:val="center"/>
                  </w:pPr>
                  <w:r>
                    <w:t>P</w:t>
                  </w:r>
                  <w:r>
                    <w:rPr>
                      <w:vertAlign w:val="subscript"/>
                    </w:rPr>
                    <w:t>2</w:t>
                  </w:r>
                  <w:r>
                    <w:t>O</w:t>
                  </w:r>
                  <w:r>
                    <w:rPr>
                      <w:vertAlign w:val="subscript"/>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7" w:type="pct"/>
                  <w:tcBorders>
                    <w:tl2br w:val="nil"/>
                    <w:tr2bl w:val="nil"/>
                  </w:tcBorders>
                  <w:vAlign w:val="center"/>
                </w:tcPr>
                <w:p>
                  <w:pPr>
                    <w:pStyle w:val="18"/>
                    <w:bidi w:val="0"/>
                    <w:jc w:val="center"/>
                  </w:pPr>
                  <w:r>
                    <w:t>含量/%</w:t>
                  </w:r>
                </w:p>
              </w:tc>
              <w:tc>
                <w:tcPr>
                  <w:tcW w:w="714" w:type="pct"/>
                  <w:tcBorders>
                    <w:tl2br w:val="nil"/>
                    <w:tr2bl w:val="nil"/>
                  </w:tcBorders>
                  <w:vAlign w:val="center"/>
                </w:tcPr>
                <w:p>
                  <w:pPr>
                    <w:pStyle w:val="18"/>
                    <w:bidi w:val="0"/>
                    <w:jc w:val="center"/>
                  </w:pPr>
                  <w:r>
                    <w:t>34.2</w:t>
                  </w:r>
                </w:p>
              </w:tc>
              <w:tc>
                <w:tcPr>
                  <w:tcW w:w="714" w:type="pct"/>
                  <w:tcBorders>
                    <w:tl2br w:val="nil"/>
                    <w:tr2bl w:val="nil"/>
                  </w:tcBorders>
                  <w:vAlign w:val="center"/>
                </w:tcPr>
                <w:p>
                  <w:pPr>
                    <w:pStyle w:val="18"/>
                    <w:bidi w:val="0"/>
                    <w:jc w:val="center"/>
                  </w:pPr>
                  <w:r>
                    <w:t>12.84</w:t>
                  </w:r>
                </w:p>
              </w:tc>
              <w:tc>
                <w:tcPr>
                  <w:tcW w:w="714" w:type="pct"/>
                  <w:tcBorders>
                    <w:tl2br w:val="nil"/>
                    <w:tr2bl w:val="nil"/>
                  </w:tcBorders>
                  <w:vAlign w:val="center"/>
                </w:tcPr>
                <w:p>
                  <w:pPr>
                    <w:pStyle w:val="18"/>
                    <w:bidi w:val="0"/>
                    <w:jc w:val="center"/>
                  </w:pPr>
                  <w:r>
                    <w:t>3.86</w:t>
                  </w:r>
                </w:p>
              </w:tc>
              <w:tc>
                <w:tcPr>
                  <w:tcW w:w="714" w:type="pct"/>
                  <w:tcBorders>
                    <w:tl2br w:val="nil"/>
                    <w:tr2bl w:val="nil"/>
                  </w:tcBorders>
                  <w:vAlign w:val="center"/>
                </w:tcPr>
                <w:p>
                  <w:pPr>
                    <w:pStyle w:val="18"/>
                    <w:bidi w:val="0"/>
                    <w:jc w:val="center"/>
                  </w:pPr>
                  <w:r>
                    <w:t>4.85</w:t>
                  </w:r>
                </w:p>
              </w:tc>
              <w:tc>
                <w:tcPr>
                  <w:tcW w:w="714" w:type="pct"/>
                  <w:tcBorders>
                    <w:tl2br w:val="nil"/>
                    <w:tr2bl w:val="nil"/>
                  </w:tcBorders>
                  <w:vAlign w:val="center"/>
                </w:tcPr>
                <w:p>
                  <w:pPr>
                    <w:pStyle w:val="18"/>
                    <w:bidi w:val="0"/>
                    <w:jc w:val="center"/>
                  </w:pPr>
                  <w:r>
                    <w:t>3.2</w:t>
                  </w:r>
                </w:p>
              </w:tc>
              <w:tc>
                <w:tcPr>
                  <w:tcW w:w="713" w:type="pct"/>
                  <w:tcBorders>
                    <w:tl2br w:val="nil"/>
                    <w:tr2bl w:val="nil"/>
                  </w:tcBorders>
                  <w:vAlign w:val="center"/>
                </w:tcPr>
                <w:p>
                  <w:pPr>
                    <w:pStyle w:val="18"/>
                    <w:bidi w:val="0"/>
                    <w:jc w:val="center"/>
                  </w:pPr>
                  <w:r>
                    <w:t>0.83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7" w:type="pct"/>
                  <w:tcBorders>
                    <w:tl2br w:val="nil"/>
                    <w:tr2bl w:val="nil"/>
                  </w:tcBorders>
                  <w:vAlign w:val="center"/>
                </w:tcPr>
                <w:p>
                  <w:pPr>
                    <w:pStyle w:val="18"/>
                    <w:bidi w:val="0"/>
                    <w:jc w:val="center"/>
                  </w:pPr>
                  <w:r>
                    <w:t>名称</w:t>
                  </w:r>
                </w:p>
              </w:tc>
              <w:tc>
                <w:tcPr>
                  <w:tcW w:w="714" w:type="pct"/>
                  <w:tcBorders>
                    <w:tl2br w:val="nil"/>
                    <w:tr2bl w:val="nil"/>
                  </w:tcBorders>
                  <w:vAlign w:val="center"/>
                </w:tcPr>
                <w:p>
                  <w:pPr>
                    <w:pStyle w:val="18"/>
                    <w:bidi w:val="0"/>
                    <w:jc w:val="center"/>
                  </w:pPr>
                  <w:r>
                    <w:t>MgO</w:t>
                  </w:r>
                </w:p>
              </w:tc>
              <w:tc>
                <w:tcPr>
                  <w:tcW w:w="714" w:type="pct"/>
                  <w:tcBorders>
                    <w:tl2br w:val="nil"/>
                    <w:tr2bl w:val="nil"/>
                  </w:tcBorders>
                  <w:vAlign w:val="center"/>
                </w:tcPr>
                <w:p>
                  <w:pPr>
                    <w:pStyle w:val="18"/>
                    <w:bidi w:val="0"/>
                    <w:jc w:val="center"/>
                  </w:pPr>
                  <w:r>
                    <w:t>K</w:t>
                  </w:r>
                  <w:r>
                    <w:rPr>
                      <w:vertAlign w:val="subscript"/>
                    </w:rPr>
                    <w:t>2</w:t>
                  </w:r>
                  <w:r>
                    <w:t>O</w:t>
                  </w:r>
                </w:p>
              </w:tc>
              <w:tc>
                <w:tcPr>
                  <w:tcW w:w="714" w:type="pct"/>
                  <w:tcBorders>
                    <w:tl2br w:val="nil"/>
                    <w:tr2bl w:val="nil"/>
                  </w:tcBorders>
                  <w:vAlign w:val="center"/>
                </w:tcPr>
                <w:p>
                  <w:pPr>
                    <w:pStyle w:val="18"/>
                    <w:bidi w:val="0"/>
                    <w:jc w:val="center"/>
                  </w:pPr>
                  <w:r>
                    <w:t>Na</w:t>
                  </w:r>
                  <w:r>
                    <w:rPr>
                      <w:vertAlign w:val="subscript"/>
                    </w:rPr>
                    <w:t>2</w:t>
                  </w:r>
                  <w:r>
                    <w:t>O</w:t>
                  </w:r>
                </w:p>
              </w:tc>
              <w:tc>
                <w:tcPr>
                  <w:tcW w:w="714" w:type="pct"/>
                  <w:tcBorders>
                    <w:tl2br w:val="nil"/>
                    <w:tr2bl w:val="nil"/>
                  </w:tcBorders>
                  <w:vAlign w:val="center"/>
                </w:tcPr>
                <w:p>
                  <w:pPr>
                    <w:pStyle w:val="18"/>
                    <w:bidi w:val="0"/>
                    <w:jc w:val="center"/>
                  </w:pPr>
                  <w:r>
                    <w:t>SO</w:t>
                  </w:r>
                  <w:r>
                    <w:rPr>
                      <w:vertAlign w:val="subscript"/>
                    </w:rPr>
                    <w:t>4</w:t>
                  </w:r>
                </w:p>
              </w:tc>
              <w:tc>
                <w:tcPr>
                  <w:tcW w:w="714" w:type="pct"/>
                  <w:tcBorders>
                    <w:tl2br w:val="nil"/>
                    <w:tr2bl w:val="nil"/>
                  </w:tcBorders>
                  <w:vAlign w:val="center"/>
                </w:tcPr>
                <w:p>
                  <w:pPr>
                    <w:pStyle w:val="18"/>
                    <w:bidi w:val="0"/>
                    <w:jc w:val="center"/>
                  </w:pPr>
                  <w:r>
                    <w:t>NH</w:t>
                  </w:r>
                  <w:r>
                    <w:rPr>
                      <w:vertAlign w:val="subscript"/>
                    </w:rPr>
                    <w:t>4</w:t>
                  </w:r>
                </w:p>
              </w:tc>
              <w:tc>
                <w:tcPr>
                  <w:tcW w:w="713" w:type="pct"/>
                  <w:tcBorders>
                    <w:tl2br w:val="nil"/>
                    <w:tr2bl w:val="nil"/>
                  </w:tcBorders>
                  <w:vAlign w:val="center"/>
                </w:tcPr>
                <w:p>
                  <w:pPr>
                    <w:pStyle w:val="18"/>
                    <w:bidi w:val="0"/>
                    <w:jc w:val="center"/>
                  </w:pPr>
                  <w:r>
                    <w:t>Cl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7" w:type="pct"/>
                  <w:tcBorders>
                    <w:tl2br w:val="nil"/>
                    <w:tr2bl w:val="nil"/>
                  </w:tcBorders>
                  <w:vAlign w:val="center"/>
                </w:tcPr>
                <w:p>
                  <w:pPr>
                    <w:pStyle w:val="18"/>
                    <w:bidi w:val="0"/>
                    <w:jc w:val="center"/>
                  </w:pPr>
                  <w:r>
                    <w:t>含量/%</w:t>
                  </w:r>
                </w:p>
              </w:tc>
              <w:tc>
                <w:tcPr>
                  <w:tcW w:w="714" w:type="pct"/>
                  <w:tcBorders>
                    <w:tl2br w:val="nil"/>
                    <w:tr2bl w:val="nil"/>
                  </w:tcBorders>
                  <w:vAlign w:val="center"/>
                </w:tcPr>
                <w:p>
                  <w:pPr>
                    <w:pStyle w:val="18"/>
                    <w:bidi w:val="0"/>
                    <w:jc w:val="center"/>
                  </w:pPr>
                  <w:r>
                    <w:t>3.92</w:t>
                  </w:r>
                </w:p>
              </w:tc>
              <w:tc>
                <w:tcPr>
                  <w:tcW w:w="714" w:type="pct"/>
                  <w:tcBorders>
                    <w:tl2br w:val="nil"/>
                    <w:tr2bl w:val="nil"/>
                  </w:tcBorders>
                  <w:vAlign w:val="center"/>
                </w:tcPr>
                <w:p>
                  <w:pPr>
                    <w:pStyle w:val="18"/>
                    <w:bidi w:val="0"/>
                    <w:jc w:val="center"/>
                  </w:pPr>
                  <w:r>
                    <w:t>0.78</w:t>
                  </w:r>
                </w:p>
              </w:tc>
              <w:tc>
                <w:tcPr>
                  <w:tcW w:w="714" w:type="pct"/>
                  <w:tcBorders>
                    <w:tl2br w:val="nil"/>
                    <w:tr2bl w:val="nil"/>
                  </w:tcBorders>
                  <w:vAlign w:val="center"/>
                </w:tcPr>
                <w:p>
                  <w:pPr>
                    <w:pStyle w:val="18"/>
                    <w:bidi w:val="0"/>
                    <w:jc w:val="center"/>
                  </w:pPr>
                  <w:r>
                    <w:t>0.83</w:t>
                  </w:r>
                </w:p>
              </w:tc>
              <w:tc>
                <w:tcPr>
                  <w:tcW w:w="714" w:type="pct"/>
                  <w:tcBorders>
                    <w:tl2br w:val="nil"/>
                    <w:tr2bl w:val="nil"/>
                  </w:tcBorders>
                  <w:vAlign w:val="center"/>
                </w:tcPr>
                <w:p>
                  <w:pPr>
                    <w:pStyle w:val="18"/>
                    <w:bidi w:val="0"/>
                    <w:jc w:val="center"/>
                  </w:pPr>
                  <w:r>
                    <w:t>31.8</w:t>
                  </w:r>
                </w:p>
              </w:tc>
              <w:tc>
                <w:tcPr>
                  <w:tcW w:w="714" w:type="pct"/>
                  <w:tcBorders>
                    <w:tl2br w:val="nil"/>
                    <w:tr2bl w:val="nil"/>
                  </w:tcBorders>
                  <w:vAlign w:val="center"/>
                </w:tcPr>
                <w:p>
                  <w:pPr>
                    <w:pStyle w:val="18"/>
                    <w:bidi w:val="0"/>
                    <w:jc w:val="center"/>
                  </w:pPr>
                  <w:r>
                    <w:t>1.03</w:t>
                  </w:r>
                </w:p>
              </w:tc>
              <w:tc>
                <w:tcPr>
                  <w:tcW w:w="713" w:type="pct"/>
                  <w:tcBorders>
                    <w:tl2br w:val="nil"/>
                    <w:tr2bl w:val="nil"/>
                  </w:tcBorders>
                  <w:vAlign w:val="center"/>
                </w:tcPr>
                <w:p>
                  <w:pPr>
                    <w:pStyle w:val="18"/>
                    <w:bidi w:val="0"/>
                    <w:jc w:val="center"/>
                  </w:pPr>
                  <w:r>
                    <w:t>0.015</w:t>
                  </w:r>
                </w:p>
              </w:tc>
            </w:tr>
          </w:tbl>
          <w:p>
            <w:pPr>
              <w:bidi w:val="0"/>
              <w:ind w:left="0" w:leftChars="0" w:firstLine="480" w:firstLineChars="200"/>
              <w:rPr>
                <w:rFonts w:hint="default"/>
                <w:lang w:val="en-US" w:eastAsia="zh-CN"/>
              </w:rPr>
            </w:pPr>
            <w:r>
              <w:rPr>
                <w:rFonts w:hint="eastAsia"/>
                <w:lang w:val="en-US" w:eastAsia="zh-CN"/>
              </w:rPr>
              <w:t>由表可知，锰渣中主要成分为</w:t>
            </w:r>
            <w:r>
              <w:t>SiO</w:t>
            </w:r>
            <w:r>
              <w:rPr>
                <w:vertAlign w:val="subscript"/>
              </w:rPr>
              <w:t>2</w:t>
            </w:r>
            <w:r>
              <w:rPr>
                <w:rFonts w:hint="eastAsia"/>
                <w:vertAlign w:val="baseline"/>
                <w:lang w:eastAsia="zh-CN"/>
              </w:rPr>
              <w:t>、</w:t>
            </w:r>
            <w:r>
              <w:t>CaO</w:t>
            </w:r>
            <w:r>
              <w:rPr>
                <w:rFonts w:hint="eastAsia"/>
                <w:lang w:eastAsia="zh-CN"/>
              </w:rPr>
              <w:t>、</w:t>
            </w:r>
            <w:r>
              <w:rPr>
                <w:rFonts w:hint="eastAsia"/>
                <w:lang w:val="en-US" w:eastAsia="zh-CN"/>
              </w:rPr>
              <w:t>MnO、Fe</w:t>
            </w:r>
            <w:r>
              <w:rPr>
                <w:rFonts w:hint="eastAsia"/>
                <w:vertAlign w:val="subscript"/>
                <w:lang w:val="en-US" w:eastAsia="zh-CN"/>
              </w:rPr>
              <w:t>2</w:t>
            </w:r>
            <w:r>
              <w:rPr>
                <w:rFonts w:hint="eastAsia"/>
                <w:lang w:val="en-US" w:eastAsia="zh-CN"/>
              </w:rPr>
              <w:t>O</w:t>
            </w:r>
            <w:r>
              <w:rPr>
                <w:rFonts w:hint="eastAsia"/>
                <w:vertAlign w:val="subscript"/>
                <w:lang w:val="en-US" w:eastAsia="zh-CN"/>
              </w:rPr>
              <w:t>3</w:t>
            </w:r>
            <w:r>
              <w:rPr>
                <w:rFonts w:hint="eastAsia"/>
                <w:lang w:val="en-US" w:eastAsia="zh-CN"/>
              </w:rPr>
              <w:t>、Al</w:t>
            </w:r>
            <w:r>
              <w:rPr>
                <w:rFonts w:hint="eastAsia"/>
                <w:vertAlign w:val="subscript"/>
                <w:lang w:val="en-US" w:eastAsia="zh-CN"/>
              </w:rPr>
              <w:t>2</w:t>
            </w:r>
            <w:r>
              <w:rPr>
                <w:rFonts w:hint="eastAsia"/>
                <w:lang w:val="en-US" w:eastAsia="zh-CN"/>
              </w:rPr>
              <w:t>O</w:t>
            </w:r>
            <w:r>
              <w:rPr>
                <w:rFonts w:hint="eastAsia"/>
                <w:vertAlign w:val="subscript"/>
                <w:lang w:val="en-US" w:eastAsia="zh-CN"/>
              </w:rPr>
              <w:t>3</w:t>
            </w:r>
            <w:r>
              <w:rPr>
                <w:rFonts w:hint="eastAsia"/>
                <w:lang w:val="en-US" w:eastAsia="zh-CN"/>
              </w:rPr>
              <w:t>等。本项目处置的电解锰渣来自湖南东方矿业有限责任公司5万吨/a电解锰生产线产出锰渣（酸浸渣），不含电解锰企业</w:t>
            </w:r>
            <w:r>
              <w:rPr>
                <w:rFonts w:ascii="宋体" w:hAnsi="宋体" w:eastAsia="宋体" w:cs="宋体"/>
                <w:sz w:val="24"/>
                <w:szCs w:val="24"/>
              </w:rPr>
              <w:t>生产和污染处理过程中产生的电解阳极泥、生产废水处理污泥、含铬污泥等</w:t>
            </w:r>
            <w:r>
              <w:rPr>
                <w:rFonts w:hint="eastAsia"/>
                <w:lang w:val="en-US" w:eastAsia="zh-CN"/>
              </w:rPr>
              <w:t>。根据检测报告，锰渣浸出毒性远低于《危险废物鉴别标准 浸出毒性》限值要求，不属于危险废弃物，为第Ⅱ类一般工业固体废物，其中锰和铵盐超过GB 8978 最高允许排放浓度。锰渣经过吾道公司独有的无害化处理技术后电解锰渣已经转化为第I类一般工业固体废物（以下简称“无害化锰渣”），吾道环保采用专利技术对无害化锰渣继续进行资源化利用：将无害化锰渣作为原材料，添加石膏、网格布、聚丙烯纤维、石膏缓凝剂和可分散乳胶将其生产为轻质隔墙板。经国家建筑材料测试中心检验，吾道环保用尾渣生产的隔墙板符合《建筑用轻质隔墙条板》（GB/T23451-2009）的各项检验指标。</w:t>
            </w:r>
          </w:p>
          <w:p>
            <w:pPr>
              <w:bidi w:val="0"/>
              <w:ind w:left="0" w:leftChars="0" w:firstLine="480" w:firstLineChars="200"/>
              <w:rPr>
                <w:rFonts w:hint="default"/>
                <w:lang w:val="en-US" w:eastAsia="zh-CN"/>
              </w:rPr>
            </w:pPr>
            <w:r>
              <w:rPr>
                <w:rFonts w:hint="default"/>
                <w:lang w:val="en-US" w:eastAsia="zh-CN"/>
              </w:rPr>
              <w:t>本项目主要辅助材料及燃料动力见表</w:t>
            </w:r>
            <w:r>
              <w:rPr>
                <w:rFonts w:hint="eastAsia"/>
                <w:lang w:val="en-US" w:eastAsia="zh-CN"/>
              </w:rPr>
              <w:t>2-5。</w:t>
            </w:r>
          </w:p>
          <w:p>
            <w:pPr>
              <w:bidi w:val="0"/>
              <w:jc w:val="center"/>
              <w:rPr>
                <w:rFonts w:hint="default"/>
                <w:b/>
                <w:bCs/>
                <w:lang w:val="en-US" w:eastAsia="zh-CN"/>
              </w:rPr>
            </w:pPr>
            <w:r>
              <w:rPr>
                <w:rFonts w:hint="eastAsia"/>
                <w:b/>
                <w:bCs/>
                <w:lang w:val="en-US" w:eastAsia="zh-CN"/>
              </w:rPr>
              <w:t xml:space="preserve">表2-5  </w:t>
            </w:r>
            <w:r>
              <w:rPr>
                <w:rFonts w:hint="default"/>
                <w:b/>
                <w:bCs/>
                <w:lang w:val="en-US" w:eastAsia="zh-CN"/>
              </w:rPr>
              <w:t>辅助材料及燃料动力</w:t>
            </w:r>
            <w:r>
              <w:rPr>
                <w:rFonts w:hint="eastAsia"/>
                <w:b/>
                <w:bCs/>
                <w:lang w:val="en-US" w:eastAsia="zh-CN"/>
              </w:rPr>
              <w:t>一览表</w:t>
            </w:r>
          </w:p>
          <w:tbl>
            <w:tblPr>
              <w:tblStyle w:val="15"/>
              <w:tblW w:w="4998"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2639"/>
              <w:gridCol w:w="1957"/>
              <w:gridCol w:w="19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序号</w:t>
                  </w:r>
                </w:p>
              </w:tc>
              <w:tc>
                <w:tcPr>
                  <w:tcW w:w="1695" w:type="pct"/>
                  <w:tcBorders>
                    <w:tl2br w:val="nil"/>
                    <w:tr2bl w:val="nil"/>
                  </w:tcBorders>
                  <w:shd w:val="clear" w:color="auto" w:fill="auto"/>
                  <w:noWrap/>
                  <w:vAlign w:val="center"/>
                </w:tcPr>
                <w:p>
                  <w:pPr>
                    <w:pStyle w:val="18"/>
                    <w:bidi w:val="0"/>
                    <w:jc w:val="center"/>
                  </w:pPr>
                  <w:r>
                    <w:t>名称</w:t>
                  </w:r>
                </w:p>
              </w:tc>
              <w:tc>
                <w:tcPr>
                  <w:tcW w:w="1257" w:type="pct"/>
                  <w:tcBorders>
                    <w:tl2br w:val="nil"/>
                    <w:tr2bl w:val="nil"/>
                  </w:tcBorders>
                  <w:shd w:val="clear" w:color="auto" w:fill="auto"/>
                  <w:noWrap/>
                  <w:vAlign w:val="center"/>
                </w:tcPr>
                <w:p>
                  <w:pPr>
                    <w:pStyle w:val="18"/>
                    <w:bidi w:val="0"/>
                    <w:jc w:val="center"/>
                  </w:pPr>
                  <w:r>
                    <w:t>单位</w:t>
                  </w:r>
                </w:p>
              </w:tc>
              <w:tc>
                <w:tcPr>
                  <w:tcW w:w="1227" w:type="pct"/>
                  <w:tcBorders>
                    <w:tl2br w:val="nil"/>
                    <w:tr2bl w:val="nil"/>
                  </w:tcBorders>
                  <w:shd w:val="clear" w:color="auto" w:fill="auto"/>
                  <w:noWrap/>
                  <w:vAlign w:val="center"/>
                </w:tcPr>
                <w:p>
                  <w:pPr>
                    <w:pStyle w:val="18"/>
                    <w:bidi w:val="0"/>
                    <w:jc w:val="center"/>
                  </w:pPr>
                  <w: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1</w:t>
                  </w:r>
                </w:p>
              </w:tc>
              <w:tc>
                <w:tcPr>
                  <w:tcW w:w="1695" w:type="pct"/>
                  <w:tcBorders>
                    <w:tl2br w:val="nil"/>
                    <w:tr2bl w:val="nil"/>
                  </w:tcBorders>
                  <w:shd w:val="clear" w:color="auto" w:fill="auto"/>
                  <w:noWrap/>
                  <w:vAlign w:val="center"/>
                </w:tcPr>
                <w:p>
                  <w:pPr>
                    <w:pStyle w:val="18"/>
                    <w:bidi w:val="0"/>
                    <w:jc w:val="center"/>
                  </w:pPr>
                  <w:r>
                    <w:t>WDZY-01</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t>3000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2</w:t>
                  </w:r>
                </w:p>
              </w:tc>
              <w:tc>
                <w:tcPr>
                  <w:tcW w:w="1695" w:type="pct"/>
                  <w:tcBorders>
                    <w:tl2br w:val="nil"/>
                    <w:tr2bl w:val="nil"/>
                  </w:tcBorders>
                  <w:shd w:val="clear" w:color="auto" w:fill="auto"/>
                  <w:noWrap/>
                  <w:vAlign w:val="center"/>
                </w:tcPr>
                <w:p>
                  <w:pPr>
                    <w:pStyle w:val="18"/>
                    <w:bidi w:val="0"/>
                    <w:jc w:val="center"/>
                  </w:pPr>
                  <w:r>
                    <w:t>WDZY-02</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3</w:t>
                  </w:r>
                </w:p>
              </w:tc>
              <w:tc>
                <w:tcPr>
                  <w:tcW w:w="1695" w:type="pct"/>
                  <w:tcBorders>
                    <w:tl2br w:val="nil"/>
                    <w:tr2bl w:val="nil"/>
                  </w:tcBorders>
                  <w:shd w:val="clear" w:color="auto" w:fill="auto"/>
                  <w:noWrap/>
                  <w:vAlign w:val="center"/>
                </w:tcPr>
                <w:p>
                  <w:pPr>
                    <w:pStyle w:val="18"/>
                    <w:bidi w:val="0"/>
                    <w:jc w:val="center"/>
                  </w:pPr>
                  <w:r>
                    <w:t>石膏</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rPr>
                      <w:rFonts w:hint="eastAsia"/>
                      <w:lang w:val="en-US" w:eastAsia="zh-CN"/>
                    </w:rPr>
                    <w:t>12</w:t>
                  </w:r>
                  <w:r>
                    <w:t>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4</w:t>
                  </w:r>
                </w:p>
              </w:tc>
              <w:tc>
                <w:tcPr>
                  <w:tcW w:w="1695" w:type="pct"/>
                  <w:tcBorders>
                    <w:tl2br w:val="nil"/>
                    <w:tr2bl w:val="nil"/>
                  </w:tcBorders>
                  <w:shd w:val="clear" w:color="auto" w:fill="auto"/>
                  <w:noWrap/>
                  <w:vAlign w:val="center"/>
                </w:tcPr>
                <w:p>
                  <w:pPr>
                    <w:pStyle w:val="18"/>
                    <w:bidi w:val="0"/>
                    <w:jc w:val="center"/>
                  </w:pPr>
                  <w:r>
                    <w:t>网格布</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5</w:t>
                  </w:r>
                </w:p>
              </w:tc>
              <w:tc>
                <w:tcPr>
                  <w:tcW w:w="1695" w:type="pct"/>
                  <w:tcBorders>
                    <w:tl2br w:val="nil"/>
                    <w:tr2bl w:val="nil"/>
                  </w:tcBorders>
                  <w:shd w:val="clear" w:color="auto" w:fill="auto"/>
                  <w:noWrap/>
                  <w:vAlign w:val="center"/>
                </w:tcPr>
                <w:p>
                  <w:pPr>
                    <w:pStyle w:val="18"/>
                    <w:bidi w:val="0"/>
                    <w:jc w:val="center"/>
                  </w:pPr>
                  <w:r>
                    <w:rPr>
                      <w:rFonts w:hint="eastAsia"/>
                      <w:lang w:val="en-US" w:eastAsia="zh-CN"/>
                    </w:rPr>
                    <w:t>发泡</w:t>
                  </w:r>
                  <w:r>
                    <w:t>剂</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6</w:t>
                  </w:r>
                </w:p>
              </w:tc>
              <w:tc>
                <w:tcPr>
                  <w:tcW w:w="1695" w:type="pct"/>
                  <w:tcBorders>
                    <w:tl2br w:val="nil"/>
                    <w:tr2bl w:val="nil"/>
                  </w:tcBorders>
                  <w:shd w:val="clear" w:color="auto" w:fill="auto"/>
                  <w:noWrap/>
                  <w:vAlign w:val="center"/>
                </w:tcPr>
                <w:p>
                  <w:pPr>
                    <w:pStyle w:val="18"/>
                    <w:bidi w:val="0"/>
                    <w:jc w:val="center"/>
                  </w:pPr>
                  <w:r>
                    <w:rPr>
                      <w:rFonts w:hint="eastAsia"/>
                      <w:lang w:val="en-US" w:eastAsia="zh-CN"/>
                    </w:rPr>
                    <w:t>调节</w:t>
                  </w:r>
                  <w:r>
                    <w:t>剂</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7</w:t>
                  </w:r>
                </w:p>
              </w:tc>
              <w:tc>
                <w:tcPr>
                  <w:tcW w:w="1695" w:type="pct"/>
                  <w:tcBorders>
                    <w:tl2br w:val="nil"/>
                    <w:tr2bl w:val="nil"/>
                  </w:tcBorders>
                  <w:shd w:val="clear" w:color="auto" w:fill="auto"/>
                  <w:noWrap/>
                  <w:vAlign w:val="center"/>
                </w:tcPr>
                <w:p>
                  <w:pPr>
                    <w:pStyle w:val="18"/>
                    <w:bidi w:val="0"/>
                    <w:jc w:val="center"/>
                  </w:pPr>
                  <w:r>
                    <w:t>聚丙烯纤维</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t>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8</w:t>
                  </w:r>
                </w:p>
              </w:tc>
              <w:tc>
                <w:tcPr>
                  <w:tcW w:w="1695" w:type="pct"/>
                  <w:tcBorders>
                    <w:tl2br w:val="nil"/>
                    <w:tr2bl w:val="nil"/>
                  </w:tcBorders>
                  <w:shd w:val="clear" w:color="auto" w:fill="auto"/>
                  <w:noWrap/>
                  <w:vAlign w:val="center"/>
                </w:tcPr>
                <w:p>
                  <w:pPr>
                    <w:pStyle w:val="18"/>
                    <w:bidi w:val="0"/>
                    <w:jc w:val="center"/>
                  </w:pPr>
                  <w:r>
                    <w:t>石膏缓凝剂</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9</w:t>
                  </w:r>
                </w:p>
              </w:tc>
              <w:tc>
                <w:tcPr>
                  <w:tcW w:w="1695" w:type="pct"/>
                  <w:tcBorders>
                    <w:tl2br w:val="nil"/>
                    <w:tr2bl w:val="nil"/>
                  </w:tcBorders>
                  <w:shd w:val="clear" w:color="auto" w:fill="auto"/>
                  <w:noWrap/>
                  <w:vAlign w:val="center"/>
                </w:tcPr>
                <w:p>
                  <w:pPr>
                    <w:pStyle w:val="18"/>
                    <w:bidi w:val="0"/>
                    <w:jc w:val="center"/>
                  </w:pPr>
                  <w:r>
                    <w:t>可分散乳胶</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t>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10</w:t>
                  </w:r>
                </w:p>
              </w:tc>
              <w:tc>
                <w:tcPr>
                  <w:tcW w:w="1695" w:type="pct"/>
                  <w:tcBorders>
                    <w:tl2br w:val="nil"/>
                    <w:tr2bl w:val="nil"/>
                  </w:tcBorders>
                  <w:shd w:val="clear" w:color="auto" w:fill="auto"/>
                  <w:noWrap/>
                  <w:vAlign w:val="center"/>
                </w:tcPr>
                <w:p>
                  <w:pPr>
                    <w:pStyle w:val="18"/>
                    <w:bidi w:val="0"/>
                    <w:jc w:val="center"/>
                  </w:pPr>
                  <w:r>
                    <w:t>生物质</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pPr>
                  <w:r>
                    <w:t>1152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11</w:t>
                  </w:r>
                </w:p>
              </w:tc>
              <w:tc>
                <w:tcPr>
                  <w:tcW w:w="1695" w:type="pct"/>
                  <w:tcBorders>
                    <w:tl2br w:val="nil"/>
                    <w:tr2bl w:val="nil"/>
                  </w:tcBorders>
                  <w:shd w:val="clear" w:color="auto" w:fill="auto"/>
                  <w:noWrap/>
                  <w:vAlign w:val="center"/>
                </w:tcPr>
                <w:p>
                  <w:pPr>
                    <w:pStyle w:val="18"/>
                    <w:bidi w:val="0"/>
                    <w:jc w:val="center"/>
                  </w:pPr>
                  <w:r>
                    <w:t>电</w:t>
                  </w:r>
                </w:p>
              </w:tc>
              <w:tc>
                <w:tcPr>
                  <w:tcW w:w="1257" w:type="pct"/>
                  <w:tcBorders>
                    <w:tl2br w:val="nil"/>
                    <w:tr2bl w:val="nil"/>
                  </w:tcBorders>
                  <w:shd w:val="clear" w:color="auto" w:fill="auto"/>
                  <w:noWrap/>
                  <w:vAlign w:val="center"/>
                </w:tcPr>
                <w:p>
                  <w:pPr>
                    <w:pStyle w:val="18"/>
                    <w:bidi w:val="0"/>
                    <w:jc w:val="center"/>
                  </w:pPr>
                  <w:r>
                    <w:rPr>
                      <w:rFonts w:hint="eastAsia"/>
                      <w:lang w:val="en-US" w:eastAsia="zh-CN"/>
                    </w:rPr>
                    <w:t>k</w:t>
                  </w:r>
                  <w:r>
                    <w:t>-</w:t>
                  </w:r>
                  <w:r>
                    <w:rPr>
                      <w:rFonts w:hint="eastAsia"/>
                      <w:lang w:val="en-US" w:eastAsia="zh-CN"/>
                    </w:rPr>
                    <w:t>kW</w:t>
                  </w:r>
                  <w:r>
                    <w:t>h</w:t>
                  </w:r>
                </w:p>
              </w:tc>
              <w:tc>
                <w:tcPr>
                  <w:tcW w:w="1227" w:type="pct"/>
                  <w:tcBorders>
                    <w:tl2br w:val="nil"/>
                    <w:tr2bl w:val="nil"/>
                  </w:tcBorders>
                  <w:shd w:val="clear" w:color="auto" w:fill="auto"/>
                  <w:noWrap/>
                  <w:vAlign w:val="center"/>
                </w:tcPr>
                <w:p>
                  <w:pPr>
                    <w:pStyle w:val="18"/>
                    <w:bidi w:val="0"/>
                    <w:jc w:val="center"/>
                  </w:pPr>
                  <w:r>
                    <w:t>25669.1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20" w:type="pct"/>
                  <w:tcBorders>
                    <w:tl2br w:val="nil"/>
                    <w:tr2bl w:val="nil"/>
                  </w:tcBorders>
                  <w:shd w:val="clear" w:color="auto" w:fill="auto"/>
                  <w:noWrap/>
                  <w:vAlign w:val="center"/>
                </w:tcPr>
                <w:p>
                  <w:pPr>
                    <w:pStyle w:val="18"/>
                    <w:bidi w:val="0"/>
                    <w:jc w:val="center"/>
                  </w:pPr>
                  <w:r>
                    <w:t>12</w:t>
                  </w:r>
                </w:p>
              </w:tc>
              <w:tc>
                <w:tcPr>
                  <w:tcW w:w="1695" w:type="pct"/>
                  <w:tcBorders>
                    <w:tl2br w:val="nil"/>
                    <w:tr2bl w:val="nil"/>
                  </w:tcBorders>
                  <w:shd w:val="clear" w:color="auto" w:fill="auto"/>
                  <w:noWrap/>
                  <w:vAlign w:val="center"/>
                </w:tcPr>
                <w:p>
                  <w:pPr>
                    <w:pStyle w:val="18"/>
                    <w:bidi w:val="0"/>
                    <w:jc w:val="center"/>
                  </w:pPr>
                  <w:r>
                    <w:t>水</w:t>
                  </w:r>
                </w:p>
              </w:tc>
              <w:tc>
                <w:tcPr>
                  <w:tcW w:w="1257" w:type="pct"/>
                  <w:tcBorders>
                    <w:tl2br w:val="nil"/>
                    <w:tr2bl w:val="nil"/>
                  </w:tcBorders>
                  <w:shd w:val="clear" w:color="auto" w:fill="auto"/>
                  <w:noWrap/>
                  <w:vAlign w:val="center"/>
                </w:tcPr>
                <w:p>
                  <w:pPr>
                    <w:pStyle w:val="18"/>
                    <w:bidi w:val="0"/>
                    <w:jc w:val="center"/>
                  </w:pPr>
                  <w:r>
                    <w:t>t/a</w:t>
                  </w:r>
                </w:p>
              </w:tc>
              <w:tc>
                <w:tcPr>
                  <w:tcW w:w="1227" w:type="pct"/>
                  <w:tcBorders>
                    <w:tl2br w:val="nil"/>
                    <w:tr2bl w:val="nil"/>
                  </w:tcBorders>
                  <w:shd w:val="clear" w:color="auto" w:fill="auto"/>
                  <w:noWrap/>
                  <w:vAlign w:val="center"/>
                </w:tcPr>
                <w:p>
                  <w:pPr>
                    <w:pStyle w:val="18"/>
                    <w:bidi w:val="0"/>
                    <w:jc w:val="center"/>
                    <w:rPr>
                      <w:rFonts w:hint="default" w:eastAsia="宋体"/>
                      <w:lang w:val="en-US" w:eastAsia="zh-CN"/>
                    </w:rPr>
                  </w:pPr>
                  <w:r>
                    <w:rPr>
                      <w:rFonts w:hint="eastAsia"/>
                      <w:lang w:val="en-US" w:eastAsia="zh-CN"/>
                    </w:rPr>
                    <w:t>128617</w:t>
                  </w:r>
                </w:p>
              </w:tc>
            </w:tr>
          </w:tbl>
          <w:p>
            <w:pPr>
              <w:bidi w:val="0"/>
              <w:ind w:left="0" w:leftChars="0" w:firstLine="480" w:firstLineChars="200"/>
              <w:rPr>
                <w:rFonts w:hint="eastAsia"/>
                <w:lang w:val="en-US" w:eastAsia="zh-CN"/>
              </w:rPr>
            </w:pPr>
            <w:r>
              <w:rPr>
                <w:rFonts w:hint="eastAsia"/>
                <w:lang w:val="en-US" w:eastAsia="zh-CN"/>
              </w:rPr>
              <w:t>WDZY-01、WDZY-02为吾道公司开发的专利制剂，主要成分为NaOH、Na</w:t>
            </w:r>
            <w:r>
              <w:rPr>
                <w:rFonts w:hint="eastAsia"/>
                <w:vertAlign w:val="subscript"/>
                <w:lang w:val="en-US" w:eastAsia="zh-CN"/>
              </w:rPr>
              <w:t>2</w:t>
            </w:r>
            <w:r>
              <w:rPr>
                <w:rFonts w:hint="eastAsia"/>
                <w:lang w:val="en-US" w:eastAsia="zh-CN"/>
              </w:rPr>
              <w:t>CO</w:t>
            </w:r>
            <w:r>
              <w:rPr>
                <w:rFonts w:hint="eastAsia"/>
                <w:vertAlign w:val="subscript"/>
                <w:lang w:val="en-US" w:eastAsia="zh-CN"/>
              </w:rPr>
              <w:t>3</w:t>
            </w:r>
            <w:r>
              <w:rPr>
                <w:rFonts w:hint="eastAsia"/>
                <w:lang w:val="en-US" w:eastAsia="zh-CN"/>
              </w:rPr>
              <w:t>、Na</w:t>
            </w:r>
            <w:r>
              <w:rPr>
                <w:rFonts w:hint="eastAsia"/>
                <w:vertAlign w:val="subscript"/>
                <w:lang w:val="en-US" w:eastAsia="zh-CN"/>
              </w:rPr>
              <w:t>2</w:t>
            </w:r>
            <w:r>
              <w:rPr>
                <w:rFonts w:hint="eastAsia"/>
                <w:lang w:val="en-US" w:eastAsia="zh-CN"/>
              </w:rPr>
              <w:t>S和CaO。发泡剂、调节剂中主要成分是碳酸氢钠、碳酸钙和表面活性剂，辅助材料中不含锰、铅、砷、镉、铬、汞等有毒有害元素。</w:t>
            </w:r>
          </w:p>
          <w:p>
            <w:pPr>
              <w:bidi w:val="0"/>
              <w:ind w:left="0" w:leftChars="0" w:firstLine="480" w:firstLineChars="200"/>
              <w:rPr>
                <w:rFonts w:hint="default"/>
                <w:lang w:val="en-US" w:eastAsia="zh-CN"/>
              </w:rPr>
            </w:pPr>
            <w:r>
              <w:rPr>
                <w:rFonts w:hint="eastAsia"/>
                <w:lang w:val="en-US" w:eastAsia="zh-CN"/>
              </w:rPr>
              <w:t>石膏、网格布、聚丙烯纤维、石膏缓凝剂和可分散乳胶为资源化工艺中制作隔墙板的辅助材料，也是制作建材的常见材料，不会引入新的污染物。</w:t>
            </w:r>
          </w:p>
          <w:p>
            <w:pPr>
              <w:pStyle w:val="4"/>
              <w:bidi w:val="0"/>
              <w:rPr>
                <w:rFonts w:hint="default"/>
                <w:lang w:val="en-US" w:eastAsia="zh-CN"/>
              </w:rPr>
            </w:pPr>
            <w:bookmarkStart w:id="20" w:name="_Toc19301"/>
            <w:bookmarkStart w:id="21" w:name="_Toc19552"/>
            <w:r>
              <w:rPr>
                <w:rFonts w:hint="eastAsia"/>
                <w:lang w:val="en-US" w:eastAsia="zh-CN"/>
              </w:rPr>
              <w:t>6、公用工程</w:t>
            </w:r>
            <w:bookmarkEnd w:id="20"/>
            <w:bookmarkEnd w:id="21"/>
          </w:p>
          <w:p>
            <w:pPr>
              <w:pStyle w:val="19"/>
              <w:bidi w:val="0"/>
              <w:rPr>
                <w:rFonts w:hint="eastAsia"/>
                <w:lang w:val="en-US" w:eastAsia="zh-CN"/>
              </w:rPr>
            </w:pPr>
            <w:r>
              <w:rPr>
                <w:rFonts w:hint="eastAsia"/>
                <w:lang w:val="en-US" w:eastAsia="zh-CN"/>
              </w:rPr>
              <w:t>（1）给水</w:t>
            </w:r>
          </w:p>
          <w:p>
            <w:pPr>
              <w:pStyle w:val="19"/>
              <w:bidi w:val="0"/>
            </w:pPr>
            <w:r>
              <w:t>生产补充用水来源于工业园区市政给水，由企业西南侧接入，供水量根据生产需要，完全可以满足生产最大用水量，计量以水表计量，生活用水由工业园区提供的自来水，园区供水能力完全可</w:t>
            </w:r>
            <w:r>
              <w:rPr>
                <w:rFonts w:hint="eastAsia"/>
                <w:lang w:val="en-US" w:eastAsia="zh-CN"/>
              </w:rPr>
              <w:t>以</w:t>
            </w:r>
            <w:r>
              <w:t>满足本项目生产生活的需要。厂区生活用水由工业园区自来水管网接管供给。</w:t>
            </w:r>
          </w:p>
          <w:p>
            <w:pPr>
              <w:bidi w:val="0"/>
              <w:ind w:left="0" w:leftChars="0" w:firstLine="480" w:firstLineChars="200"/>
              <w:rPr>
                <w:rFonts w:hint="default"/>
                <w:lang w:val="en-US" w:eastAsia="zh-CN"/>
              </w:rPr>
            </w:pPr>
            <w:r>
              <w:rPr>
                <w:rFonts w:hint="default"/>
                <w:lang w:val="en-US" w:eastAsia="zh-CN"/>
              </w:rPr>
              <w:t>该项目全年新水用量</w:t>
            </w:r>
            <w:r>
              <w:rPr>
                <w:rFonts w:hint="eastAsia"/>
                <w:lang w:val="en-US" w:eastAsia="zh-CN"/>
              </w:rPr>
              <w:t>128617t</w:t>
            </w:r>
            <w:r>
              <w:rPr>
                <w:rFonts w:hint="default"/>
                <w:lang w:val="en-US" w:eastAsia="zh-CN"/>
              </w:rPr>
              <w:t>/a</w:t>
            </w:r>
            <w:r>
              <w:rPr>
                <w:rFonts w:hint="eastAsia"/>
                <w:lang w:val="en-US" w:eastAsia="zh-CN"/>
              </w:rPr>
              <w:t>；生活用水约为51.52t/d，15456t/a。</w:t>
            </w:r>
          </w:p>
          <w:p>
            <w:pPr>
              <w:numPr>
                <w:ilvl w:val="0"/>
                <w:numId w:val="3"/>
              </w:numPr>
              <w:bidi w:val="0"/>
              <w:ind w:left="0" w:leftChars="0" w:firstLine="480" w:firstLineChars="200"/>
              <w:rPr>
                <w:rFonts w:hint="eastAsia"/>
                <w:lang w:val="en-US" w:eastAsia="zh-CN"/>
              </w:rPr>
            </w:pPr>
            <w:r>
              <w:rPr>
                <w:rFonts w:hint="eastAsia"/>
                <w:lang w:val="en-US" w:eastAsia="zh-CN"/>
              </w:rPr>
              <w:t>排水</w:t>
            </w:r>
          </w:p>
          <w:p>
            <w:pPr>
              <w:bidi w:val="0"/>
              <w:ind w:firstLine="480" w:firstLineChars="200"/>
              <w:rPr>
                <w:rFonts w:hint="default"/>
                <w:lang w:val="en-US" w:eastAsia="zh-CN"/>
              </w:rPr>
            </w:pPr>
            <w:r>
              <w:rPr>
                <w:rFonts w:hint="default"/>
                <w:lang w:val="en-US" w:eastAsia="zh-CN"/>
              </w:rPr>
              <w:t>本项目</w:t>
            </w:r>
            <w:r>
              <w:rPr>
                <w:rFonts w:hint="eastAsia"/>
                <w:lang w:val="en-US" w:eastAsia="zh-CN"/>
              </w:rPr>
              <w:t>生产废水不外排，生活废水经厂内化粪池处理后通过管道送至花垣县产业开发区污水处理厂处理。</w:t>
            </w:r>
          </w:p>
          <w:p>
            <w:pPr>
              <w:pStyle w:val="19"/>
              <w:bidi w:val="0"/>
              <w:rPr>
                <w:rFonts w:hint="default"/>
                <w:lang w:val="en-US" w:eastAsia="zh-CN"/>
              </w:rPr>
            </w:pPr>
            <w:r>
              <w:rPr>
                <w:rFonts w:hint="eastAsia"/>
                <w:lang w:val="en-US" w:eastAsia="zh-CN"/>
              </w:rPr>
              <w:t>1.</w:t>
            </w:r>
            <w:r>
              <w:rPr>
                <w:rFonts w:hint="default"/>
                <w:lang w:val="en-US" w:eastAsia="zh-CN"/>
              </w:rPr>
              <w:t>生产排水系统</w:t>
            </w:r>
          </w:p>
          <w:p>
            <w:pPr>
              <w:pStyle w:val="19"/>
              <w:bidi w:val="0"/>
              <w:rPr>
                <w:rFonts w:hint="default"/>
                <w:lang w:val="en-US" w:eastAsia="zh-CN"/>
              </w:rPr>
            </w:pPr>
            <w:r>
              <w:rPr>
                <w:rFonts w:hint="default"/>
                <w:lang w:val="en-US" w:eastAsia="zh-CN"/>
              </w:rPr>
              <w:t>正常生产主要的</w:t>
            </w:r>
            <w:r>
              <w:rPr>
                <w:rFonts w:hint="eastAsia"/>
                <w:lang w:val="en-US" w:eastAsia="zh-CN"/>
              </w:rPr>
              <w:t>车间地面清洗水0.89m</w:t>
            </w:r>
            <w:r>
              <w:rPr>
                <w:rFonts w:hint="eastAsia"/>
                <w:vertAlign w:val="superscript"/>
                <w:lang w:val="en-US" w:eastAsia="zh-CN"/>
              </w:rPr>
              <w:t>3</w:t>
            </w:r>
            <w:r>
              <w:rPr>
                <w:rFonts w:hint="eastAsia"/>
                <w:lang w:val="en-US" w:eastAsia="zh-CN"/>
              </w:rPr>
              <w:t>/d、设备冲洗水0.78m</w:t>
            </w:r>
            <w:r>
              <w:rPr>
                <w:rFonts w:hint="eastAsia"/>
                <w:vertAlign w:val="superscript"/>
                <w:lang w:val="en-US" w:eastAsia="zh-CN"/>
              </w:rPr>
              <w:t>3</w:t>
            </w:r>
            <w:r>
              <w:rPr>
                <w:rFonts w:hint="eastAsia"/>
                <w:lang w:val="en-US" w:eastAsia="zh-CN"/>
              </w:rPr>
              <w:t>/d和实验室废水0.5m</w:t>
            </w:r>
            <w:r>
              <w:rPr>
                <w:rFonts w:hint="eastAsia"/>
                <w:vertAlign w:val="superscript"/>
                <w:lang w:val="en-US" w:eastAsia="zh-CN"/>
              </w:rPr>
              <w:t>3</w:t>
            </w:r>
            <w:r>
              <w:rPr>
                <w:rFonts w:hint="eastAsia"/>
                <w:lang w:val="en-US" w:eastAsia="zh-CN"/>
              </w:rPr>
              <w:t>/d</w:t>
            </w:r>
            <w:r>
              <w:rPr>
                <w:rFonts w:hint="default"/>
                <w:lang w:val="en-US" w:eastAsia="zh-CN"/>
              </w:rPr>
              <w:t>经</w:t>
            </w:r>
            <w:r>
              <w:rPr>
                <w:rFonts w:hint="eastAsia"/>
                <w:lang w:val="en-US" w:eastAsia="zh-CN"/>
              </w:rPr>
              <w:t>沉淀</w:t>
            </w:r>
            <w:r>
              <w:rPr>
                <w:rFonts w:hint="default"/>
                <w:lang w:val="en-US" w:eastAsia="zh-CN"/>
              </w:rPr>
              <w:t>后直接回用于生产车间</w:t>
            </w:r>
            <w:r>
              <w:rPr>
                <w:rFonts w:hint="eastAsia"/>
                <w:lang w:val="en-US" w:eastAsia="zh-CN"/>
              </w:rPr>
              <w:t>，不外排</w:t>
            </w:r>
            <w:r>
              <w:rPr>
                <w:rFonts w:hint="default"/>
                <w:lang w:val="en-US" w:eastAsia="zh-CN"/>
              </w:rPr>
              <w:t>。</w:t>
            </w:r>
          </w:p>
          <w:p>
            <w:pPr>
              <w:pStyle w:val="19"/>
              <w:bidi w:val="0"/>
              <w:rPr>
                <w:rFonts w:hint="default"/>
                <w:lang w:val="en-US" w:eastAsia="zh-CN"/>
              </w:rPr>
            </w:pPr>
            <w:r>
              <w:rPr>
                <w:rFonts w:hint="eastAsia"/>
                <w:lang w:val="en-US" w:eastAsia="zh-CN"/>
              </w:rPr>
              <w:t>2.</w:t>
            </w:r>
            <w:r>
              <w:rPr>
                <w:rFonts w:hint="default"/>
                <w:lang w:val="en-US" w:eastAsia="zh-CN"/>
              </w:rPr>
              <w:t>生活排水系统</w:t>
            </w:r>
          </w:p>
          <w:p>
            <w:pPr>
              <w:pStyle w:val="19"/>
              <w:bidi w:val="0"/>
              <w:rPr>
                <w:rFonts w:hint="default"/>
                <w:lang w:val="en-US" w:eastAsia="zh-CN"/>
              </w:rPr>
            </w:pPr>
            <w:r>
              <w:rPr>
                <w:rFonts w:hint="default"/>
                <w:lang w:val="en-US" w:eastAsia="zh-CN"/>
              </w:rPr>
              <w:t>生活排水量</w:t>
            </w:r>
            <w:r>
              <w:rPr>
                <w:rFonts w:hint="eastAsia"/>
                <w:lang w:val="en-US" w:eastAsia="zh-CN"/>
              </w:rPr>
              <w:t>按生活用水量的85%算，约43.79m</w:t>
            </w:r>
            <w:r>
              <w:rPr>
                <w:rFonts w:hint="eastAsia"/>
                <w:vertAlign w:val="superscript"/>
                <w:lang w:val="en-US" w:eastAsia="zh-CN"/>
              </w:rPr>
              <w:t>3</w:t>
            </w:r>
            <w:r>
              <w:rPr>
                <w:rFonts w:hint="eastAsia"/>
                <w:lang w:val="en-US" w:eastAsia="zh-CN"/>
              </w:rPr>
              <w:t>/d，13191t/a</w:t>
            </w:r>
            <w:r>
              <w:rPr>
                <w:rFonts w:hint="default"/>
                <w:lang w:val="en-US" w:eastAsia="zh-CN"/>
              </w:rPr>
              <w:t>。</w:t>
            </w:r>
          </w:p>
          <w:p>
            <w:pPr>
              <w:pStyle w:val="19"/>
              <w:bidi w:val="0"/>
              <w:rPr>
                <w:rFonts w:hint="default"/>
                <w:lang w:val="en-US" w:eastAsia="zh-CN"/>
              </w:rPr>
            </w:pPr>
            <w:r>
              <w:rPr>
                <w:rFonts w:hint="default"/>
                <w:lang w:val="en-US" w:eastAsia="zh-CN"/>
              </w:rPr>
              <w:t>生活污水经</w:t>
            </w:r>
            <w:r>
              <w:rPr>
                <w:rFonts w:hint="eastAsia"/>
                <w:lang w:val="en-US" w:eastAsia="zh-CN"/>
              </w:rPr>
              <w:t>厂区</w:t>
            </w:r>
            <w:r>
              <w:rPr>
                <w:rFonts w:hint="default"/>
                <w:lang w:val="en-US" w:eastAsia="zh-CN"/>
              </w:rPr>
              <w:t>化粪池处理后，</w:t>
            </w:r>
            <w:r>
              <w:rPr>
                <w:rFonts w:hint="eastAsia"/>
                <w:lang w:val="en-US" w:eastAsia="zh-CN"/>
              </w:rPr>
              <w:t>经园区管道送至</w:t>
            </w:r>
            <w:r>
              <w:rPr>
                <w:bCs/>
                <w:szCs w:val="21"/>
              </w:rPr>
              <w:t>花垣县工业园污水处理厂</w:t>
            </w:r>
            <w:r>
              <w:rPr>
                <w:rFonts w:hint="eastAsia"/>
                <w:lang w:val="en-US" w:eastAsia="zh-CN"/>
              </w:rPr>
              <w:t>处理达标后排放</w:t>
            </w:r>
            <w:r>
              <w:rPr>
                <w:rFonts w:hint="default"/>
                <w:lang w:val="en-US" w:eastAsia="zh-CN"/>
              </w:rPr>
              <w:t>。</w:t>
            </w:r>
          </w:p>
          <w:p>
            <w:pPr>
              <w:pStyle w:val="19"/>
              <w:bidi w:val="0"/>
              <w:rPr>
                <w:rFonts w:hint="default"/>
                <w:lang w:val="en-US" w:eastAsia="zh-CN"/>
              </w:rPr>
            </w:pPr>
            <w:r>
              <w:rPr>
                <w:rFonts w:hint="eastAsia"/>
                <w:lang w:val="en-US" w:eastAsia="zh-CN"/>
              </w:rPr>
              <w:t>3.</w:t>
            </w:r>
            <w:r>
              <w:rPr>
                <w:rFonts w:hint="default"/>
                <w:lang w:val="en-US" w:eastAsia="zh-CN"/>
              </w:rPr>
              <w:t>雨水排水系统</w:t>
            </w:r>
          </w:p>
          <w:p>
            <w:pPr>
              <w:pStyle w:val="19"/>
              <w:bidi w:val="0"/>
              <w:rPr>
                <w:rFonts w:hint="default"/>
                <w:lang w:val="en-US" w:eastAsia="zh-CN"/>
              </w:rPr>
            </w:pPr>
            <w:r>
              <w:rPr>
                <w:rFonts w:hint="default"/>
                <w:lang w:val="en-US" w:eastAsia="zh-CN"/>
              </w:rPr>
              <w:t>由于厂区初期雨水含有少量尘，为了保护环境，设置初期雨水贮水池，截留厂区的初期雨水量，然后</w:t>
            </w:r>
            <w:r>
              <w:rPr>
                <w:rFonts w:hint="eastAsia"/>
                <w:lang w:val="en-US" w:eastAsia="zh-CN"/>
              </w:rPr>
              <w:t>进行沉淀后回用于生产，不外排</w:t>
            </w:r>
            <w:r>
              <w:rPr>
                <w:rFonts w:hint="default"/>
                <w:lang w:val="en-US" w:eastAsia="zh-CN"/>
              </w:rPr>
              <w:t>。厂区雨水设置厂区雨水管道收集，初期受污染雨水由雨水管自流至初期雨水池中，</w:t>
            </w:r>
            <w:r>
              <w:rPr>
                <w:rFonts w:hint="eastAsia"/>
                <w:lang w:val="en-US" w:eastAsia="zh-CN"/>
              </w:rPr>
              <w:t>待澄清后回用</w:t>
            </w:r>
            <w:r>
              <w:rPr>
                <w:rFonts w:hint="default"/>
                <w:lang w:val="en-US" w:eastAsia="zh-CN"/>
              </w:rPr>
              <w:t>。</w:t>
            </w:r>
            <w:r>
              <w:rPr>
                <w:rFonts w:hint="eastAsia"/>
                <w:lang w:val="en-US" w:eastAsia="zh-CN"/>
              </w:rPr>
              <w:t>本项目占地共计75亩，收集15mm降水量作为初期雨水，则单次初期雨水产生量为749m</w:t>
            </w:r>
            <w:r>
              <w:rPr>
                <w:rFonts w:hint="eastAsia"/>
                <w:vertAlign w:val="superscript"/>
                <w:lang w:val="en-US" w:eastAsia="zh-CN"/>
              </w:rPr>
              <w:t>3</w:t>
            </w:r>
            <w:r>
              <w:rPr>
                <w:rFonts w:hint="eastAsia"/>
                <w:vertAlign w:val="baseline"/>
                <w:lang w:val="en-US" w:eastAsia="zh-CN"/>
              </w:rPr>
              <w:t>。</w:t>
            </w:r>
          </w:p>
          <w:p>
            <w:pPr>
              <w:pStyle w:val="19"/>
              <w:bidi w:val="0"/>
              <w:rPr>
                <w:rFonts w:hint="default"/>
                <w:lang w:val="en-US" w:eastAsia="zh-CN"/>
              </w:rPr>
            </w:pPr>
            <w:r>
              <w:rPr>
                <w:rFonts w:hint="eastAsia"/>
                <w:lang w:val="en-US" w:eastAsia="zh-CN"/>
              </w:rPr>
              <w:t>项目的水平衡见图2-1。</w:t>
            </w:r>
          </w:p>
          <w:p>
            <w:pPr>
              <w:bidi w:val="0"/>
            </w:pPr>
            <w:r>
              <w:drawing>
                <wp:inline distT="0" distB="0" distL="114300" distR="114300">
                  <wp:extent cx="4987925" cy="3969385"/>
                  <wp:effectExtent l="0" t="0" r="3175" b="254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10"/>
                          <a:stretch>
                            <a:fillRect/>
                          </a:stretch>
                        </pic:blipFill>
                        <pic:spPr>
                          <a:xfrm>
                            <a:off x="0" y="0"/>
                            <a:ext cx="4987925" cy="3969385"/>
                          </a:xfrm>
                          <a:prstGeom prst="rect">
                            <a:avLst/>
                          </a:prstGeom>
                          <a:noFill/>
                          <a:ln>
                            <a:noFill/>
                          </a:ln>
                        </pic:spPr>
                      </pic:pic>
                    </a:graphicData>
                  </a:graphic>
                </wp:inline>
              </w:drawing>
            </w:r>
          </w:p>
          <w:p>
            <w:pPr>
              <w:bidi w:val="0"/>
              <w:jc w:val="center"/>
              <w:rPr>
                <w:rFonts w:hint="default"/>
                <w:b/>
                <w:bCs/>
                <w:lang w:val="en-US" w:eastAsia="zh-CN"/>
              </w:rPr>
            </w:pPr>
            <w:r>
              <w:rPr>
                <w:rFonts w:hint="eastAsia"/>
                <w:b/>
                <w:bCs/>
                <w:lang w:val="en-US" w:eastAsia="zh-CN"/>
              </w:rPr>
              <w:t>图2-1  全厂水平衡图（t/a）</w:t>
            </w:r>
          </w:p>
          <w:p>
            <w:pPr>
              <w:pStyle w:val="4"/>
              <w:numPr>
                <w:ilvl w:val="0"/>
                <w:numId w:val="4"/>
              </w:numPr>
              <w:bidi w:val="0"/>
              <w:rPr>
                <w:rFonts w:hint="eastAsia"/>
                <w:lang w:val="en-US" w:eastAsia="zh-CN"/>
              </w:rPr>
            </w:pPr>
            <w:bookmarkStart w:id="22" w:name="_Toc8510"/>
            <w:bookmarkStart w:id="23" w:name="_Toc754"/>
            <w:r>
              <w:rPr>
                <w:rFonts w:hint="eastAsia"/>
                <w:lang w:val="en-US" w:eastAsia="zh-CN"/>
              </w:rPr>
              <w:t>劳动定员及工作制度</w:t>
            </w:r>
            <w:bookmarkEnd w:id="22"/>
            <w:bookmarkEnd w:id="23"/>
          </w:p>
          <w:p>
            <w:pPr>
              <w:pStyle w:val="19"/>
              <w:bidi w:val="0"/>
              <w:rPr>
                <w:rFonts w:hint="default"/>
                <w:lang w:val="en-US"/>
              </w:rPr>
            </w:pPr>
            <w:r>
              <w:rPr>
                <w:rFonts w:hint="default"/>
                <w:lang w:val="en-US" w:eastAsia="zh-CN"/>
              </w:rPr>
              <w:t>本项目的生产工人(含辅助工人)根据生产大纲、所采用的生产组织程序和配备设备的状态进行确定。项目劳动定员368人</w:t>
            </w:r>
            <w:r>
              <w:rPr>
                <w:rFonts w:hint="eastAsia"/>
                <w:lang w:val="en-US" w:eastAsia="zh-CN"/>
              </w:rPr>
              <w:t>，其中管理人员15人、技术工人353人，车间采用轮班制，每天三班，年生产300天。</w:t>
            </w:r>
          </w:p>
          <w:p>
            <w:pPr>
              <w:pStyle w:val="4"/>
              <w:bidi w:val="0"/>
              <w:rPr>
                <w:rFonts w:hint="default"/>
                <w:lang w:val="en-US" w:eastAsia="zh-CN"/>
              </w:rPr>
            </w:pPr>
            <w:bookmarkStart w:id="24" w:name="_Toc7489"/>
            <w:bookmarkStart w:id="25" w:name="_Toc12218"/>
            <w:r>
              <w:rPr>
                <w:rFonts w:hint="eastAsia"/>
                <w:lang w:val="en-US" w:eastAsia="zh-CN"/>
              </w:rPr>
              <w:t>8、平面布局</w:t>
            </w:r>
            <w:bookmarkEnd w:id="24"/>
            <w:bookmarkEnd w:id="25"/>
          </w:p>
          <w:p>
            <w:pPr>
              <w:pStyle w:val="19"/>
              <w:bidi w:val="0"/>
              <w:rPr>
                <w:rFonts w:hint="default"/>
                <w:lang w:val="en-US" w:eastAsia="zh-CN"/>
              </w:rPr>
            </w:pPr>
            <w:r>
              <w:rPr>
                <w:rFonts w:hint="eastAsia"/>
                <w:lang w:val="en-US" w:eastAsia="zh-CN"/>
              </w:rPr>
              <w:t>本</w:t>
            </w:r>
            <w:r>
              <w:rPr>
                <w:rFonts w:hint="eastAsia"/>
                <w:color w:val="auto"/>
                <w:lang w:val="en-US" w:eastAsia="zh-CN"/>
              </w:rPr>
              <w:t>项目位于花垣县产业开发区内，地块呈直角梯形，根据项目的工艺特点来分布生产设备。本工程土建项目主要包括原料库、成品仓库、湿法化合车间、湿法压滤车间、资源化车间、办公楼、机修车间、展示中心及其它公辅设施等。厂区南侧自西向东设置有中试车间、资源化车间、资源化产品仓库，东侧自南向北依次为办公楼、产品展示中心、事故应急池、初期雨水池、MVR车间和锅炉房，无害化车间位于厂区中间，原料仓库位于无害化车间北侧。车间物流通道连接原料仓库至资源化车间，方便锰渣的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462" w:type="dxa"/>
            <w:vAlign w:val="center"/>
          </w:tcPr>
          <w:p>
            <w:pPr>
              <w:numPr>
                <w:ilvl w:val="0"/>
                <w:numId w:val="0"/>
              </w:numPr>
              <w:ind w:right="40" w:rightChars="0"/>
              <w:jc w:val="center"/>
              <w:rPr>
                <w:rFonts w:hint="default"/>
                <w:vertAlign w:val="baseline"/>
                <w:lang w:val="en-US" w:eastAsia="zh-CN"/>
              </w:rPr>
            </w:pPr>
            <w:r>
              <w:rPr>
                <w:rFonts w:hint="eastAsia"/>
                <w:vertAlign w:val="baseline"/>
                <w:lang w:val="en-US" w:eastAsia="zh-CN"/>
              </w:rPr>
              <w:t>工艺流程及产排污环节</w:t>
            </w:r>
          </w:p>
        </w:tc>
        <w:tc>
          <w:tcPr>
            <w:tcW w:w="8060" w:type="dxa"/>
            <w:gridSpan w:val="2"/>
          </w:tcPr>
          <w:p>
            <w:pPr>
              <w:bidi w:val="0"/>
              <w:ind w:left="0" w:leftChars="0" w:firstLine="480" w:firstLineChars="200"/>
              <w:rPr>
                <w:rFonts w:hint="eastAsia"/>
                <w:lang w:val="en-US" w:eastAsia="zh-CN"/>
              </w:rPr>
            </w:pPr>
            <w:r>
              <w:rPr>
                <w:rFonts w:hint="default"/>
                <w:lang w:val="en-US" w:eastAsia="zh-CN"/>
              </w:rPr>
              <w:t>吾道环保科技有限公司30万t/a电解锰渣资源化利用建设项目工艺技术方案</w:t>
            </w:r>
            <w:r>
              <w:rPr>
                <w:rFonts w:hint="eastAsia"/>
                <w:lang w:val="en-US" w:eastAsia="zh-CN"/>
              </w:rPr>
              <w:t>包含无害化处理和资源化利用。</w:t>
            </w:r>
          </w:p>
          <w:p>
            <w:pPr>
              <w:numPr>
                <w:ilvl w:val="0"/>
                <w:numId w:val="0"/>
              </w:numPr>
              <w:bidi w:val="0"/>
              <w:ind w:leftChars="200" w:right="40" w:rightChars="0"/>
              <w:rPr>
                <w:rFonts w:hint="eastAsia"/>
                <w:lang w:val="en-US" w:eastAsia="zh-CN"/>
              </w:rPr>
            </w:pPr>
            <w:r>
              <w:rPr>
                <w:rFonts w:hint="eastAsia"/>
                <w:lang w:val="en-US" w:eastAsia="zh-CN"/>
              </w:rPr>
              <w:t>一、无害化处理工艺</w:t>
            </w:r>
          </w:p>
          <w:p>
            <w:pPr>
              <w:bidi w:val="0"/>
              <w:ind w:firstLine="480" w:firstLineChars="200"/>
              <w:jc w:val="left"/>
              <w:rPr>
                <w:rFonts w:hint="eastAsia"/>
                <w:lang w:val="en-US" w:eastAsia="zh-CN"/>
              </w:rPr>
            </w:pPr>
            <w:r>
              <w:rPr>
                <w:rFonts w:hint="eastAsia"/>
                <w:lang w:val="en-US" w:eastAsia="zh-CN"/>
              </w:rPr>
              <w:t>吾道运用自主研发的添加剂，通过可快速部署、模块化的生产工序，实现锰渣的无害化处理。</w:t>
            </w:r>
          </w:p>
          <w:p>
            <w:pPr>
              <w:pStyle w:val="19"/>
              <w:bidi w:val="0"/>
              <w:rPr>
                <w:rFonts w:hint="default"/>
                <w:lang w:val="en-US" w:eastAsia="zh-CN"/>
              </w:rPr>
            </w:pPr>
            <w:r>
              <w:rPr>
                <w:rFonts w:hint="eastAsia"/>
                <w:lang w:val="en-US" w:eastAsia="zh-CN"/>
              </w:rPr>
              <w:t>（1）制浆</w:t>
            </w:r>
          </w:p>
          <w:p>
            <w:pPr>
              <w:pStyle w:val="19"/>
              <w:bidi w:val="0"/>
              <w:rPr>
                <w:rFonts w:hint="eastAsia"/>
                <w:lang w:val="en-US" w:eastAsia="zh-CN"/>
              </w:rPr>
            </w:pPr>
            <w:r>
              <w:rPr>
                <w:rFonts w:hint="eastAsia"/>
                <w:lang w:val="en-US" w:eastAsia="zh-CN"/>
              </w:rPr>
              <w:t>电解锰渣经过货车运输或其他方式到堆料现场，倒入送料仓，通过传送带将电解锰渣送入专利制浆机，同时，水泵开始运转，按照预先设计的水灰比，将清水注入制浆机。电解锰渣和水（水灰比2：1）在制浆机中搅拌十分钟，使锰渣中可溶物质充分的溶解形成浆料，制浆机排出的浆料，由泵机输送到化合桶中。同时粉料仓计量的 WDZY- 1通过螺旋进料机送入粉料制浆器中，电解锰渣浆料和粉料仓的浆料在化合桶中反应混合。</w:t>
            </w:r>
          </w:p>
          <w:p>
            <w:pPr>
              <w:pStyle w:val="19"/>
              <w:bidi w:val="0"/>
              <w:rPr>
                <w:rFonts w:hint="default"/>
                <w:lang w:val="en-US" w:eastAsia="zh-CN"/>
              </w:rPr>
            </w:pPr>
            <w:r>
              <w:rPr>
                <w:rFonts w:hint="eastAsia"/>
                <w:lang w:val="en-US" w:eastAsia="zh-CN"/>
              </w:rPr>
              <w:t>（2）压滤</w:t>
            </w:r>
          </w:p>
          <w:p>
            <w:pPr>
              <w:pStyle w:val="19"/>
              <w:bidi w:val="0"/>
              <w:rPr>
                <w:rFonts w:hint="eastAsia"/>
                <w:lang w:val="en-US" w:eastAsia="zh-CN"/>
              </w:rPr>
            </w:pPr>
            <w:r>
              <w:rPr>
                <w:rFonts w:hint="eastAsia"/>
                <w:lang w:val="en-US" w:eastAsia="zh-CN"/>
              </w:rPr>
              <w:t>化合桶中的混合浆料导入中转泵房，通过智能陶瓷泵料泵机泵入压滤机中，压滤机安装有自动脱料系统、自动清洗系统，实现全程自动化，安排专人监管。一般情况下滤液返回制浆工序，滤液中的锰和铵随着循环次数增加而浓度不断增加，进入MVR系统进行蒸发处理得到合格的锰铵溶液，处理后的电解锰渣进入下一步。</w:t>
            </w:r>
          </w:p>
          <w:p>
            <w:pPr>
              <w:numPr>
                <w:ilvl w:val="0"/>
                <w:numId w:val="3"/>
              </w:numPr>
              <w:bidi w:val="0"/>
              <w:ind w:left="0" w:leftChars="0" w:right="40" w:rightChars="0" w:firstLine="480" w:firstLineChars="200"/>
              <w:rPr>
                <w:rFonts w:hint="eastAsia"/>
                <w:lang w:val="en-US" w:eastAsia="zh-CN"/>
              </w:rPr>
            </w:pPr>
            <w:r>
              <w:rPr>
                <w:rFonts w:hint="eastAsia"/>
                <w:lang w:val="en-US" w:eastAsia="zh-CN"/>
              </w:rPr>
              <w:t>二次制浆及压滤</w:t>
            </w:r>
          </w:p>
          <w:p>
            <w:pPr>
              <w:pStyle w:val="19"/>
              <w:bidi w:val="0"/>
              <w:rPr>
                <w:rFonts w:hint="default"/>
                <w:lang w:val="en-US" w:eastAsia="zh-CN"/>
              </w:rPr>
            </w:pPr>
            <w:r>
              <w:rPr>
                <w:rFonts w:hint="eastAsia"/>
                <w:lang w:val="en-US" w:eastAsia="zh-CN"/>
              </w:rPr>
              <w:t>将处理后的电解锰渣再次进行送入专利制浆机中，并泵入水循环系统中的制浆液，在专利制浆机中进行充分搅拌。浆料形成后泵入压滤机中，滤液再进入上一级制浆工序，处理的电解锰渣进入下一步。</w:t>
            </w:r>
          </w:p>
          <w:p>
            <w:pPr>
              <w:pStyle w:val="19"/>
              <w:bidi w:val="0"/>
              <w:rPr>
                <w:rFonts w:hint="default"/>
                <w:lang w:val="en-US" w:eastAsia="zh-CN"/>
              </w:rPr>
            </w:pPr>
            <w:r>
              <w:rPr>
                <w:rFonts w:hint="eastAsia"/>
                <w:lang w:val="en-US" w:eastAsia="zh-CN"/>
              </w:rPr>
              <w:t>（3）三次制浆及压滤</w:t>
            </w:r>
          </w:p>
          <w:p>
            <w:pPr>
              <w:pStyle w:val="19"/>
              <w:bidi w:val="0"/>
              <w:rPr>
                <w:rFonts w:hint="default"/>
                <w:lang w:val="en-US" w:eastAsia="zh-CN"/>
              </w:rPr>
            </w:pPr>
            <w:r>
              <w:rPr>
                <w:rFonts w:hint="eastAsia"/>
                <w:lang w:val="en-US" w:eastAsia="zh-CN"/>
              </w:rPr>
              <w:t>将上一轮处理的电解锰渣再次送入制浆机中，同时泵入制浆液。粉料仓计量的 WDZY- 2通过螺旋进料机送入粉料制浆器中，电解锰渣浆料和粉料仓的浆料在化合桶中充分混合，锰离子和铵根离子。混合后的浆料通过压滤机分离出滤液和处理合格的无害化锰渣，滤液进入到上一级制浆工序，处理合格的无害化锰渣进入资源化处理工艺。</w:t>
            </w:r>
          </w:p>
          <w:p>
            <w:pPr>
              <w:pStyle w:val="19"/>
              <w:bidi w:val="0"/>
              <w:rPr>
                <w:rFonts w:hint="default"/>
                <w:lang w:val="en-US" w:eastAsia="zh-CN"/>
              </w:rPr>
            </w:pPr>
            <w:r>
              <w:rPr>
                <w:rFonts w:hint="eastAsia"/>
                <w:lang w:val="en-US" w:eastAsia="zh-CN"/>
              </w:rPr>
              <w:t>（4）MVR</w:t>
            </w:r>
          </w:p>
          <w:p>
            <w:pPr>
              <w:pStyle w:val="19"/>
              <w:bidi w:val="0"/>
              <w:rPr>
                <w:rFonts w:hint="default"/>
                <w:lang w:val="en-US" w:eastAsia="zh-CN"/>
              </w:rPr>
            </w:pPr>
            <w:r>
              <w:rPr>
                <w:rFonts w:hint="default"/>
                <w:lang w:val="en-US" w:eastAsia="zh-CN"/>
              </w:rPr>
              <w:t>循环系统的中达标滤液进入到 MVR</w:t>
            </w:r>
            <w:r>
              <w:rPr>
                <w:rFonts w:hint="eastAsia"/>
                <w:lang w:val="en-US" w:eastAsia="zh-CN"/>
              </w:rPr>
              <w:t xml:space="preserve"> </w:t>
            </w:r>
            <w:r>
              <w:rPr>
                <w:rFonts w:hint="default"/>
                <w:lang w:val="en-US" w:eastAsia="zh-CN"/>
              </w:rPr>
              <w:t>蒸发器中，经过冷凝水预热器和不凝气预热器后进入 MVR 一级强制循环蒸发系统，进料流量与一级强制循环蒸发室液位联锁，使一级强制循环蒸发室液位保持恒定。当一级强制循环蒸发室达到设计液位时一级强制循环泵启动，同时启动一级转料泵向二级强制循环蒸发系统转料，当二级强制循环蒸发室达到设计液位时，启动二级强制循环泵，通</w:t>
            </w:r>
            <w:r>
              <w:rPr>
                <w:rFonts w:hint="eastAsia"/>
                <w:lang w:val="en-US" w:eastAsia="zh-CN"/>
              </w:rPr>
              <w:t>过</w:t>
            </w:r>
            <w:r>
              <w:rPr>
                <w:rFonts w:hint="default"/>
                <w:lang w:val="en-US" w:eastAsia="zh-CN"/>
              </w:rPr>
              <w:t>多级蒸发器，</w:t>
            </w:r>
            <w:r>
              <w:rPr>
                <w:rFonts w:hint="eastAsia"/>
                <w:lang w:val="en-US" w:eastAsia="zh-CN"/>
              </w:rPr>
              <w:t>产出合格的锰铵电解液</w:t>
            </w:r>
            <w:r>
              <w:rPr>
                <w:rFonts w:hint="default"/>
                <w:lang w:val="en-US" w:eastAsia="zh-CN"/>
              </w:rPr>
              <w:t>，</w:t>
            </w:r>
            <w:r>
              <w:rPr>
                <w:rFonts w:hint="eastAsia"/>
                <w:lang w:val="en-US" w:eastAsia="zh-CN"/>
              </w:rPr>
              <w:t>冷凝水</w:t>
            </w:r>
            <w:r>
              <w:rPr>
                <w:rFonts w:hint="default"/>
                <w:lang w:val="en-US" w:eastAsia="zh-CN"/>
              </w:rPr>
              <w:t>回流至水循环系统（全程实现无废水、无废气排放）。</w:t>
            </w:r>
          </w:p>
          <w:p>
            <w:pPr>
              <w:pStyle w:val="19"/>
              <w:bidi w:val="0"/>
              <w:rPr>
                <w:rFonts w:hint="default"/>
                <w:lang w:val="en-US" w:eastAsia="zh-CN"/>
              </w:rPr>
            </w:pPr>
            <w:r>
              <w:rPr>
                <w:rFonts w:hint="eastAsia"/>
                <w:lang w:val="en-US" w:eastAsia="zh-CN"/>
              </w:rPr>
              <w:t>工艺中的氨主要以的NH</w:t>
            </w:r>
            <w:r>
              <w:rPr>
                <w:rFonts w:hint="eastAsia"/>
                <w:vertAlign w:val="subscript"/>
                <w:lang w:val="en-US" w:eastAsia="zh-CN"/>
              </w:rPr>
              <w:t>4</w:t>
            </w:r>
            <w:r>
              <w:rPr>
                <w:rFonts w:hint="eastAsia"/>
                <w:vertAlign w:val="superscript"/>
                <w:lang w:val="en-US" w:eastAsia="zh-CN"/>
              </w:rPr>
              <w:t>+</w:t>
            </w:r>
            <w:r>
              <w:rPr>
                <w:rFonts w:hint="eastAsia"/>
                <w:vertAlign w:val="baseline"/>
                <w:lang w:val="en-US" w:eastAsia="zh-CN"/>
              </w:rPr>
              <w:t>的形式存在，滤液及最终的锰铵合格溶液偏中性，因此工艺中不会产生无组织排放的氨气。</w:t>
            </w:r>
          </w:p>
          <w:p>
            <w:pPr>
              <w:pStyle w:val="19"/>
              <w:bidi w:val="0"/>
              <w:ind w:left="0" w:leftChars="0" w:firstLine="0" w:firstLineChars="0"/>
              <w:jc w:val="center"/>
            </w:pPr>
            <w:r>
              <w:drawing>
                <wp:inline distT="0" distB="0" distL="114300" distR="114300">
                  <wp:extent cx="4046220" cy="5099685"/>
                  <wp:effectExtent l="0" t="0" r="1905" b="571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a:stretch>
                            <a:fillRect/>
                          </a:stretch>
                        </pic:blipFill>
                        <pic:spPr>
                          <a:xfrm>
                            <a:off x="0" y="0"/>
                            <a:ext cx="4046220" cy="5099685"/>
                          </a:xfrm>
                          <a:prstGeom prst="rect">
                            <a:avLst/>
                          </a:prstGeom>
                          <a:noFill/>
                          <a:ln>
                            <a:noFill/>
                          </a:ln>
                        </pic:spPr>
                      </pic:pic>
                    </a:graphicData>
                  </a:graphic>
                </wp:inline>
              </w:drawing>
            </w:r>
          </w:p>
          <w:p>
            <w:pPr>
              <w:pStyle w:val="19"/>
              <w:bidi w:val="0"/>
              <w:ind w:left="0" w:leftChars="0" w:firstLine="0" w:firstLineChars="0"/>
              <w:jc w:val="center"/>
              <w:rPr>
                <w:rFonts w:hint="default" w:eastAsia="宋体"/>
                <w:b/>
                <w:bCs/>
                <w:lang w:val="en-US" w:eastAsia="zh-CN"/>
              </w:rPr>
            </w:pPr>
            <w:r>
              <w:rPr>
                <w:rFonts w:hint="eastAsia"/>
                <w:b/>
                <w:bCs/>
                <w:lang w:val="en-US" w:eastAsia="zh-CN"/>
              </w:rPr>
              <w:t>图2-3  无害化工艺流程图</w:t>
            </w:r>
          </w:p>
          <w:p>
            <w:pPr>
              <w:numPr>
                <w:ilvl w:val="0"/>
                <w:numId w:val="0"/>
              </w:numPr>
              <w:bidi w:val="0"/>
              <w:ind w:left="40" w:leftChars="0" w:right="40" w:rightChars="0" w:firstLine="480" w:firstLineChars="200"/>
              <w:rPr>
                <w:rFonts w:hint="eastAsia"/>
                <w:lang w:val="en-US" w:eastAsia="zh-CN"/>
              </w:rPr>
            </w:pPr>
            <w:r>
              <w:rPr>
                <w:rFonts w:hint="eastAsia"/>
                <w:lang w:val="en-US" w:eastAsia="zh-CN"/>
              </w:rPr>
              <w:t>二、资源化处理工艺</w:t>
            </w:r>
          </w:p>
          <w:p>
            <w:pPr>
              <w:pStyle w:val="19"/>
              <w:bidi w:val="0"/>
              <w:rPr>
                <w:rFonts w:hint="eastAsia"/>
              </w:rPr>
            </w:pPr>
            <w:r>
              <w:rPr>
                <w:rFonts w:hint="eastAsia"/>
              </w:rPr>
              <w:t>本项目工艺技术与传统工艺相比，利用无害化锰渣制备轻质复合墙板，体现了废渣资源的综合利用，环境和社会效益明显，形成花垣县锰冶炼渣的资源循环利用，具有显著的环保和经济效益。主要生产工艺流程简述如下：</w:t>
            </w:r>
          </w:p>
          <w:p>
            <w:pPr>
              <w:pStyle w:val="19"/>
              <w:bidi w:val="0"/>
              <w:rPr>
                <w:rFonts w:hint="eastAsia"/>
              </w:rPr>
            </w:pPr>
            <w:r>
              <w:rPr>
                <w:rFonts w:hint="eastAsia"/>
              </w:rPr>
              <w:t>（1）搅拌、发泡</w:t>
            </w:r>
          </w:p>
          <w:p>
            <w:pPr>
              <w:pStyle w:val="19"/>
              <w:bidi w:val="0"/>
              <w:rPr>
                <w:rFonts w:hint="eastAsia" w:eastAsia="宋体"/>
                <w:lang w:eastAsia="zh-CN"/>
              </w:rPr>
            </w:pPr>
            <w:r>
              <w:rPr>
                <w:rFonts w:hint="eastAsia"/>
              </w:rPr>
              <w:t>a.将无害化锰渣、石膏、石膏缓凝剂等经搅拌机搅拌使其均匀，制成混料备用；b.取发泡剂和调节剂在小型池中或容器内加入水搅拌发泡，然后加入聚丙烯纤维、可分散乳胶进行充分均匀搅拌制成混液</w:t>
            </w:r>
            <w:r>
              <w:rPr>
                <w:rFonts w:hint="eastAsia"/>
                <w:lang w:eastAsia="zh-CN"/>
              </w:rPr>
              <w:t>。</w:t>
            </w:r>
          </w:p>
          <w:p>
            <w:pPr>
              <w:pStyle w:val="19"/>
              <w:bidi w:val="0"/>
              <w:rPr>
                <w:rFonts w:hint="eastAsia"/>
              </w:rPr>
            </w:pPr>
            <w:r>
              <w:rPr>
                <w:rFonts w:hint="eastAsia"/>
              </w:rPr>
              <w:t>（2）均化搅拌</w:t>
            </w:r>
          </w:p>
          <w:p>
            <w:pPr>
              <w:pStyle w:val="19"/>
              <w:bidi w:val="0"/>
              <w:rPr>
                <w:rFonts w:hint="eastAsia"/>
              </w:rPr>
            </w:pPr>
            <w:r>
              <w:rPr>
                <w:rFonts w:hint="eastAsia"/>
              </w:rPr>
              <w:t>将上述两种混料进行高速混合，充分搅拌混合制成</w:t>
            </w:r>
            <w:r>
              <w:rPr>
                <w:rFonts w:hint="eastAsia"/>
                <w:lang w:val="en-US" w:eastAsia="zh-CN"/>
              </w:rPr>
              <w:t>黏稠</w:t>
            </w:r>
            <w:r>
              <w:rPr>
                <w:rFonts w:hint="eastAsia"/>
              </w:rPr>
              <w:t>状混合浆料。将混合浆料在搅拌器中搅拌均匀后落料至布料机集料斗备用。</w:t>
            </w:r>
          </w:p>
          <w:p>
            <w:pPr>
              <w:pStyle w:val="19"/>
              <w:bidi w:val="0"/>
              <w:rPr>
                <w:rFonts w:hint="eastAsia"/>
              </w:rPr>
            </w:pPr>
            <w:r>
              <w:rPr>
                <w:rFonts w:hint="eastAsia"/>
              </w:rPr>
              <w:t>（3）浇注</w:t>
            </w:r>
          </w:p>
          <w:p>
            <w:pPr>
              <w:pStyle w:val="19"/>
              <w:bidi w:val="0"/>
              <w:rPr>
                <w:rFonts w:hint="eastAsia"/>
              </w:rPr>
            </w:pPr>
            <w:r>
              <w:rPr>
                <w:rFonts w:hint="eastAsia"/>
              </w:rPr>
              <w:t>组装完成的立模</w:t>
            </w:r>
            <w:r>
              <w:rPr>
                <w:rFonts w:hint="eastAsia"/>
                <w:lang w:val="en-US" w:eastAsia="zh-CN"/>
              </w:rPr>
              <w:t>移动</w:t>
            </w:r>
            <w:r>
              <w:rPr>
                <w:rFonts w:hint="eastAsia"/>
              </w:rPr>
              <w:t>至布料机工位，布料机实现对立模均匀摊铺布料，立模完成布料后进入预养护区静养护，待浆料初凝后，进入</w:t>
            </w:r>
            <w:r>
              <w:rPr>
                <w:rFonts w:hint="eastAsia"/>
                <w:lang w:val="en-US" w:eastAsia="zh-CN"/>
              </w:rPr>
              <w:t>面层处理</w:t>
            </w:r>
            <w:r>
              <w:rPr>
                <w:rFonts w:hint="eastAsia"/>
              </w:rPr>
              <w:t>工位。</w:t>
            </w:r>
          </w:p>
          <w:p>
            <w:pPr>
              <w:pStyle w:val="19"/>
              <w:bidi w:val="0"/>
              <w:rPr>
                <w:rFonts w:hint="eastAsia"/>
              </w:rPr>
            </w:pPr>
            <w:r>
              <w:rPr>
                <w:rFonts w:hint="eastAsia"/>
              </w:rPr>
              <w:t>（4）面层处理</w:t>
            </w:r>
          </w:p>
          <w:p>
            <w:pPr>
              <w:pStyle w:val="19"/>
              <w:bidi w:val="0"/>
              <w:rPr>
                <w:rFonts w:hint="eastAsia"/>
              </w:rPr>
            </w:pPr>
            <w:r>
              <w:rPr>
                <w:rFonts w:hint="eastAsia"/>
              </w:rPr>
              <w:t>立模在此工位上抹面机与其定位，上成</w:t>
            </w:r>
            <w:r>
              <w:rPr>
                <w:rFonts w:hint="eastAsia"/>
                <w:lang w:val="en-US" w:eastAsia="zh-CN"/>
              </w:rPr>
              <w:t>型</w:t>
            </w:r>
            <w:r>
              <w:rPr>
                <w:rFonts w:hint="eastAsia"/>
              </w:rPr>
              <w:t>机抹压装置完成上面的抹压成性</w:t>
            </w:r>
            <w:r>
              <w:rPr>
                <w:rFonts w:hint="eastAsia"/>
                <w:lang w:eastAsia="zh-CN"/>
              </w:rPr>
              <w:t>（</w:t>
            </w:r>
            <w:r>
              <w:rPr>
                <w:rFonts w:hint="eastAsia"/>
              </w:rPr>
              <w:t>在料浆上面往复抹面一次</w:t>
            </w:r>
            <w:r>
              <w:rPr>
                <w:rFonts w:hint="eastAsia"/>
                <w:lang w:eastAsia="zh-CN"/>
              </w:rPr>
              <w:t>）</w:t>
            </w:r>
            <w:r>
              <w:rPr>
                <w:rFonts w:hint="eastAsia"/>
              </w:rPr>
              <w:t>，随后立模</w:t>
            </w:r>
            <w:r>
              <w:rPr>
                <w:rFonts w:hint="eastAsia"/>
                <w:lang w:val="en-US" w:eastAsia="zh-CN"/>
              </w:rPr>
              <w:t>移动</w:t>
            </w:r>
            <w:r>
              <w:rPr>
                <w:rFonts w:hint="eastAsia"/>
              </w:rPr>
              <w:t>至抽芯机工位，并与之定位，抽芯机完成与芯管对接后实现抽芯。</w:t>
            </w:r>
          </w:p>
          <w:p>
            <w:pPr>
              <w:pStyle w:val="19"/>
              <w:bidi w:val="0"/>
              <w:rPr>
                <w:rFonts w:hint="eastAsia"/>
              </w:rPr>
            </w:pPr>
            <w:r>
              <w:rPr>
                <w:rFonts w:hint="eastAsia"/>
              </w:rPr>
              <w:t>（5）脱模入库养护</w:t>
            </w:r>
          </w:p>
          <w:p>
            <w:pPr>
              <w:pStyle w:val="19"/>
              <w:bidi w:val="0"/>
              <w:rPr>
                <w:rFonts w:hint="eastAsia"/>
              </w:rPr>
            </w:pPr>
            <w:r>
              <w:rPr>
                <w:rFonts w:hint="eastAsia"/>
              </w:rPr>
              <w:t>立模抽芯完成经由摆渡车进入终养护室进行养护，养护达到强度后立模经由摆渡车进入推板机工位，并与之定位，立模液压自动开模，推板机推板装置完成板材推入翻板机平台，并清理模腔，将打包好的板材，由行车、叉车或输送机输入成品库。</w:t>
            </w:r>
          </w:p>
          <w:p>
            <w:pPr>
              <w:pStyle w:val="19"/>
              <w:bidi w:val="0"/>
              <w:rPr>
                <w:rFonts w:hint="default"/>
                <w:lang w:val="en-US" w:eastAsia="zh-CN"/>
              </w:rPr>
            </w:pPr>
            <w:r>
              <w:drawing>
                <wp:inline distT="0" distB="0" distL="114300" distR="114300">
                  <wp:extent cx="3815080" cy="3865245"/>
                  <wp:effectExtent l="0" t="0" r="4445" b="190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2"/>
                          <a:stretch>
                            <a:fillRect/>
                          </a:stretch>
                        </pic:blipFill>
                        <pic:spPr>
                          <a:xfrm>
                            <a:off x="0" y="0"/>
                            <a:ext cx="3815080" cy="3865245"/>
                          </a:xfrm>
                          <a:prstGeom prst="rect">
                            <a:avLst/>
                          </a:prstGeom>
                          <a:noFill/>
                          <a:ln>
                            <a:noFill/>
                          </a:ln>
                        </pic:spPr>
                      </pic:pic>
                    </a:graphicData>
                  </a:graphic>
                </wp:inline>
              </w:drawing>
            </w:r>
          </w:p>
          <w:p>
            <w:pPr>
              <w:bidi w:val="0"/>
              <w:jc w:val="center"/>
              <w:rPr>
                <w:rFonts w:hint="default"/>
                <w:b/>
                <w:bCs/>
                <w:lang w:val="en-US" w:eastAsia="zh-CN"/>
              </w:rPr>
            </w:pPr>
            <w:r>
              <w:rPr>
                <w:rFonts w:hint="eastAsia"/>
                <w:b/>
                <w:bCs/>
                <w:lang w:val="en-US" w:eastAsia="zh-CN"/>
              </w:rPr>
              <w:t>图2-4  资源化工艺流程图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1709" w:type="dxa"/>
            <w:gridSpan w:val="2"/>
            <w:vAlign w:val="center"/>
          </w:tcPr>
          <w:p>
            <w:pPr>
              <w:bidi w:val="0"/>
              <w:jc w:val="center"/>
              <w:rPr>
                <w:rFonts w:hint="eastAsia"/>
                <w:vertAlign w:val="baseline"/>
                <w:lang w:val="en-US" w:eastAsia="zh-CN"/>
              </w:rPr>
            </w:pPr>
            <w:r>
              <w:rPr>
                <w:rFonts w:hint="eastAsia"/>
                <w:lang w:val="en-US" w:eastAsia="zh-CN"/>
              </w:rPr>
              <w:t>与项目有关的原有环境污染问题</w:t>
            </w:r>
          </w:p>
        </w:tc>
        <w:tc>
          <w:tcPr>
            <w:tcW w:w="6813" w:type="dxa"/>
          </w:tcPr>
          <w:p>
            <w:pPr>
              <w:bidi w:val="0"/>
              <w:rPr>
                <w:rFonts w:hint="default"/>
                <w:lang w:val="en-US" w:eastAsia="zh-CN"/>
              </w:rPr>
            </w:pPr>
            <w:r>
              <w:rPr>
                <w:rFonts w:hint="eastAsia"/>
                <w:lang w:val="en-US" w:eastAsia="zh-CN"/>
              </w:rPr>
              <w:t>拟建项目为新建项目，项目用地处于花垣县产业开发区内，无现有的环境问题。</w:t>
            </w:r>
          </w:p>
        </w:tc>
      </w:tr>
    </w:tbl>
    <w:p>
      <w:pPr>
        <w:rPr>
          <w:rFonts w:hint="eastAsia"/>
          <w:lang w:val="en-US" w:eastAsia="zh-CN"/>
        </w:rPr>
      </w:pPr>
      <w:r>
        <w:rPr>
          <w:rFonts w:hint="eastAsia"/>
          <w:lang w:val="en-US" w:eastAsia="zh-CN"/>
        </w:rPr>
        <w:br w:type="page"/>
      </w:r>
    </w:p>
    <w:p>
      <w:pPr>
        <w:pStyle w:val="3"/>
        <w:bidi w:val="0"/>
        <w:jc w:val="center"/>
      </w:pPr>
      <w:bookmarkStart w:id="26" w:name="_Toc3924"/>
      <w:bookmarkStart w:id="27" w:name="_Toc13702"/>
      <w:r>
        <w:rPr>
          <w:lang w:val="en-US" w:eastAsia="zh-CN"/>
        </w:rPr>
        <w:t>三、区域环境质量现状、环境保护目标及评价标准</w:t>
      </w:r>
      <w:bookmarkEnd w:id="26"/>
      <w:bookmarkEnd w:id="27"/>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80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dxa"/>
            <w:vAlign w:val="center"/>
          </w:tcPr>
          <w:p>
            <w:pPr>
              <w:numPr>
                <w:ilvl w:val="0"/>
                <w:numId w:val="0"/>
              </w:numPr>
              <w:ind w:right="40" w:rightChars="0"/>
              <w:jc w:val="center"/>
              <w:rPr>
                <w:rFonts w:hint="default"/>
                <w:vertAlign w:val="baseline"/>
                <w:lang w:val="en-US" w:eastAsia="zh-CN"/>
              </w:rPr>
            </w:pPr>
            <w:r>
              <w:rPr>
                <w:rFonts w:hint="eastAsia"/>
                <w:vertAlign w:val="baseline"/>
                <w:lang w:val="en-US" w:eastAsia="zh-CN"/>
              </w:rPr>
              <w:t>区域环境质量现状</w:t>
            </w:r>
          </w:p>
        </w:tc>
        <w:tc>
          <w:tcPr>
            <w:tcW w:w="8032" w:type="dxa"/>
          </w:tcPr>
          <w:p>
            <w:pPr>
              <w:pStyle w:val="4"/>
              <w:numPr>
                <w:ilvl w:val="0"/>
                <w:numId w:val="5"/>
              </w:numPr>
              <w:bidi w:val="0"/>
              <w:rPr>
                <w:rFonts w:hint="eastAsia"/>
                <w:lang w:val="en-US" w:eastAsia="zh-CN"/>
              </w:rPr>
            </w:pPr>
            <w:bookmarkStart w:id="28" w:name="_Toc11369"/>
            <w:bookmarkStart w:id="29" w:name="_Toc17661"/>
            <w:r>
              <w:rPr>
                <w:rFonts w:hint="eastAsia"/>
                <w:lang w:val="en-US" w:eastAsia="zh-CN"/>
              </w:rPr>
              <w:t>环境空气质量现状</w:t>
            </w:r>
            <w:bookmarkEnd w:id="28"/>
            <w:bookmarkEnd w:id="29"/>
          </w:p>
          <w:p>
            <w:pPr>
              <w:numPr>
                <w:ilvl w:val="0"/>
                <w:numId w:val="6"/>
              </w:numPr>
              <w:ind w:right="40" w:rightChars="0"/>
              <w:rPr>
                <w:rFonts w:hint="eastAsia"/>
                <w:lang w:val="en-US" w:eastAsia="zh-CN"/>
              </w:rPr>
            </w:pPr>
            <w:r>
              <w:rPr>
                <w:rFonts w:hint="eastAsia"/>
                <w:lang w:val="en-US" w:eastAsia="zh-CN"/>
              </w:rPr>
              <w:t>大气基本污染物环境质量现状及达标区判定</w:t>
            </w:r>
          </w:p>
          <w:p>
            <w:pPr>
              <w:pStyle w:val="19"/>
              <w:bidi w:val="0"/>
              <w:rPr>
                <w:rFonts w:hint="eastAsia"/>
                <w:lang w:val="en-US" w:eastAsia="zh-CN"/>
              </w:rPr>
            </w:pPr>
            <w:r>
              <w:rPr>
                <w:rFonts w:hint="default"/>
                <w:lang w:val="en-US" w:eastAsia="zh-CN"/>
              </w:rPr>
              <w:t>根据《环境影响评价技术导则—大气环境》（HJ2.2-2018）中“常规污染物引用与建设项目距离近的有效数据，包括近3年的规划环境影响评价的监测数据，国家、地方环境空气质量监测网数据或生态环境主管部门公开发布的质量数据等”。</w:t>
            </w:r>
            <w:r>
              <w:rPr>
                <w:rFonts w:hint="eastAsia"/>
                <w:lang w:val="en-US" w:eastAsia="zh-CN"/>
              </w:rPr>
              <w:t>本项目采用湘西州花垣县生态环境监测站发布的《2021年环境质量简报》。</w:t>
            </w:r>
          </w:p>
          <w:p>
            <w:pPr>
              <w:pStyle w:val="19"/>
              <w:bidi w:val="0"/>
              <w:ind w:left="0" w:leftChars="0" w:firstLine="0" w:firstLineChars="0"/>
              <w:jc w:val="center"/>
              <w:rPr>
                <w:rFonts w:hint="default"/>
                <w:b/>
                <w:bCs/>
                <w:lang w:val="en-US" w:eastAsia="zh-CN"/>
              </w:rPr>
            </w:pPr>
            <w:r>
              <w:rPr>
                <w:rFonts w:hint="eastAsia"/>
                <w:b/>
                <w:bCs/>
                <w:lang w:val="en-US" w:eastAsia="zh-CN"/>
              </w:rPr>
              <w:t>表3-1  大气评价范围内环境空气质量现状统计表</w:t>
            </w:r>
          </w:p>
          <w:tbl>
            <w:tblPr>
              <w:tblStyle w:val="1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2157"/>
              <w:gridCol w:w="1263"/>
              <w:gridCol w:w="1473"/>
              <w:gridCol w:w="986"/>
              <w:gridCol w:w="9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30" w:type="pct"/>
                  <w:tcBorders>
                    <w:tl2br w:val="nil"/>
                    <w:tr2bl w:val="nil"/>
                  </w:tcBorders>
                  <w:noWrap w:val="0"/>
                  <w:vAlign w:val="center"/>
                </w:tcPr>
                <w:p>
                  <w:pPr>
                    <w:pStyle w:val="18"/>
                    <w:bidi w:val="0"/>
                    <w:jc w:val="center"/>
                  </w:pPr>
                  <w:r>
                    <w:t>污染物</w:t>
                  </w:r>
                </w:p>
              </w:tc>
              <w:tc>
                <w:tcPr>
                  <w:tcW w:w="1398" w:type="pct"/>
                  <w:tcBorders>
                    <w:tl2br w:val="nil"/>
                    <w:tr2bl w:val="nil"/>
                  </w:tcBorders>
                  <w:noWrap w:val="0"/>
                  <w:vAlign w:val="center"/>
                </w:tcPr>
                <w:p>
                  <w:pPr>
                    <w:pStyle w:val="18"/>
                    <w:bidi w:val="0"/>
                    <w:jc w:val="center"/>
                  </w:pPr>
                  <w:r>
                    <w:t>年评价指标</w:t>
                  </w:r>
                </w:p>
              </w:tc>
              <w:tc>
                <w:tcPr>
                  <w:tcW w:w="752" w:type="pct"/>
                  <w:tcBorders>
                    <w:tl2br w:val="nil"/>
                    <w:tr2bl w:val="nil"/>
                  </w:tcBorders>
                  <w:noWrap w:val="0"/>
                  <w:vAlign w:val="center"/>
                </w:tcPr>
                <w:p>
                  <w:pPr>
                    <w:pStyle w:val="18"/>
                    <w:bidi w:val="0"/>
                    <w:jc w:val="center"/>
                  </w:pPr>
                  <w:r>
                    <w:t>现状浓度</w:t>
                  </w:r>
                </w:p>
                <w:p>
                  <w:pPr>
                    <w:pStyle w:val="18"/>
                    <w:bidi w:val="0"/>
                    <w:jc w:val="center"/>
                  </w:pPr>
                  <w:r>
                    <w:t>（μg/m³）</w:t>
                  </w:r>
                </w:p>
              </w:tc>
              <w:tc>
                <w:tcPr>
                  <w:tcW w:w="958" w:type="pct"/>
                  <w:tcBorders>
                    <w:tl2br w:val="nil"/>
                    <w:tr2bl w:val="nil"/>
                  </w:tcBorders>
                  <w:noWrap w:val="0"/>
                  <w:vAlign w:val="center"/>
                </w:tcPr>
                <w:p>
                  <w:pPr>
                    <w:pStyle w:val="18"/>
                    <w:bidi w:val="0"/>
                    <w:jc w:val="center"/>
                  </w:pPr>
                  <w:r>
                    <w:t>二级标准值</w:t>
                  </w:r>
                </w:p>
                <w:p>
                  <w:pPr>
                    <w:pStyle w:val="18"/>
                    <w:bidi w:val="0"/>
                    <w:jc w:val="center"/>
                  </w:pPr>
                  <w:r>
                    <w:t>（μg/m³）</w:t>
                  </w:r>
                </w:p>
              </w:tc>
              <w:tc>
                <w:tcPr>
                  <w:tcW w:w="645" w:type="pct"/>
                  <w:tcBorders>
                    <w:tl2br w:val="nil"/>
                    <w:tr2bl w:val="nil"/>
                  </w:tcBorders>
                  <w:noWrap w:val="0"/>
                  <w:vAlign w:val="center"/>
                </w:tcPr>
                <w:p>
                  <w:pPr>
                    <w:pStyle w:val="18"/>
                    <w:bidi w:val="0"/>
                    <w:jc w:val="center"/>
                  </w:pPr>
                  <w:r>
                    <w:t>占标率</w:t>
                  </w:r>
                </w:p>
                <w:p>
                  <w:pPr>
                    <w:pStyle w:val="18"/>
                    <w:bidi w:val="0"/>
                    <w:jc w:val="center"/>
                  </w:pPr>
                  <w:r>
                    <w:t>（%）</w:t>
                  </w:r>
                </w:p>
              </w:tc>
              <w:tc>
                <w:tcPr>
                  <w:tcW w:w="615" w:type="pct"/>
                  <w:tcBorders>
                    <w:tl2br w:val="nil"/>
                    <w:tr2bl w:val="nil"/>
                  </w:tcBorders>
                  <w:noWrap w:val="0"/>
                  <w:vAlign w:val="center"/>
                </w:tcPr>
                <w:p>
                  <w:pPr>
                    <w:pStyle w:val="18"/>
                    <w:bidi w:val="0"/>
                    <w:jc w:val="center"/>
                  </w:pPr>
                  <w: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30" w:type="pct"/>
                  <w:tcBorders>
                    <w:tl2br w:val="nil"/>
                    <w:tr2bl w:val="nil"/>
                  </w:tcBorders>
                  <w:noWrap w:val="0"/>
                  <w:vAlign w:val="center"/>
                </w:tcPr>
                <w:p>
                  <w:pPr>
                    <w:pStyle w:val="18"/>
                    <w:bidi w:val="0"/>
                    <w:jc w:val="center"/>
                  </w:pPr>
                  <w:r>
                    <w:t>区域</w:t>
                  </w:r>
                </w:p>
              </w:tc>
              <w:tc>
                <w:tcPr>
                  <w:tcW w:w="4369" w:type="pct"/>
                  <w:gridSpan w:val="5"/>
                  <w:tcBorders>
                    <w:tl2br w:val="nil"/>
                    <w:tr2bl w:val="nil"/>
                  </w:tcBorders>
                  <w:noWrap w:val="0"/>
                  <w:vAlign w:val="center"/>
                </w:tcPr>
                <w:p>
                  <w:pPr>
                    <w:pStyle w:val="18"/>
                    <w:bidi w:val="0"/>
                    <w:jc w:val="center"/>
                  </w:pPr>
                  <w:r>
                    <w:rPr>
                      <w:b/>
                      <w:bCs/>
                    </w:rPr>
                    <w:t>花垣县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30" w:type="pct"/>
                  <w:tcBorders>
                    <w:tl2br w:val="nil"/>
                    <w:tr2bl w:val="nil"/>
                  </w:tcBorders>
                  <w:noWrap w:val="0"/>
                  <w:vAlign w:val="center"/>
                </w:tcPr>
                <w:p>
                  <w:pPr>
                    <w:pStyle w:val="18"/>
                    <w:bidi w:val="0"/>
                    <w:jc w:val="center"/>
                  </w:pPr>
                  <w:r>
                    <w:t>SO</w:t>
                  </w:r>
                  <w:r>
                    <w:rPr>
                      <w:vertAlign w:val="subscript"/>
                    </w:rPr>
                    <w:t>2</w:t>
                  </w:r>
                </w:p>
              </w:tc>
              <w:tc>
                <w:tcPr>
                  <w:tcW w:w="1398" w:type="pct"/>
                  <w:tcBorders>
                    <w:tl2br w:val="nil"/>
                    <w:tr2bl w:val="nil"/>
                  </w:tcBorders>
                  <w:noWrap w:val="0"/>
                  <w:vAlign w:val="center"/>
                </w:tcPr>
                <w:p>
                  <w:pPr>
                    <w:pStyle w:val="18"/>
                    <w:bidi w:val="0"/>
                    <w:jc w:val="center"/>
                  </w:pPr>
                  <w:r>
                    <w:t>年平均质量浓度</w:t>
                  </w:r>
                </w:p>
              </w:tc>
              <w:tc>
                <w:tcPr>
                  <w:tcW w:w="1263" w:type="dxa"/>
                  <w:tcBorders>
                    <w:tl2br w:val="nil"/>
                    <w:tr2bl w:val="nil"/>
                  </w:tcBorders>
                  <w:noWrap w:val="0"/>
                  <w:vAlign w:val="center"/>
                </w:tcPr>
                <w:p>
                  <w:pPr>
                    <w:pStyle w:val="18"/>
                    <w:bidi w:val="0"/>
                    <w:jc w:val="center"/>
                  </w:pPr>
                  <w:r>
                    <w:rPr>
                      <w:rFonts w:hint="eastAsia"/>
                    </w:rPr>
                    <w:t>35</w:t>
                  </w:r>
                </w:p>
              </w:tc>
              <w:tc>
                <w:tcPr>
                  <w:tcW w:w="958" w:type="pct"/>
                  <w:tcBorders>
                    <w:tl2br w:val="nil"/>
                    <w:tr2bl w:val="nil"/>
                  </w:tcBorders>
                  <w:noWrap w:val="0"/>
                  <w:vAlign w:val="center"/>
                </w:tcPr>
                <w:p>
                  <w:pPr>
                    <w:pStyle w:val="18"/>
                    <w:bidi w:val="0"/>
                    <w:jc w:val="center"/>
                  </w:pPr>
                  <w:r>
                    <w:t>60</w:t>
                  </w:r>
                </w:p>
              </w:tc>
              <w:tc>
                <w:tcPr>
                  <w:tcW w:w="989" w:type="dxa"/>
                  <w:tcBorders>
                    <w:tl2br w:val="nil"/>
                    <w:tr2bl w:val="nil"/>
                  </w:tcBorders>
                  <w:noWrap w:val="0"/>
                  <w:vAlign w:val="center"/>
                </w:tcPr>
                <w:p>
                  <w:pPr>
                    <w:tabs>
                      <w:tab w:val="left" w:pos="1021"/>
                    </w:tabs>
                    <w:overflowPunct w:val="0"/>
                    <w:autoSpaceDE w:val="0"/>
                    <w:autoSpaceDN w:val="0"/>
                    <w:adjustRightInd w:val="0"/>
                    <w:spacing w:line="240" w:lineRule="auto"/>
                    <w:ind w:left="40" w:leftChars="0" w:right="40" w:rightChars="0"/>
                    <w:jc w:val="center"/>
                    <w:textAlignment w:val="baseline"/>
                    <w:rPr>
                      <w:rFonts w:hint="default"/>
                      <w:lang w:val="en-US" w:eastAsia="zh-CN"/>
                    </w:rPr>
                  </w:pPr>
                  <w:r>
                    <w:rPr>
                      <w:rFonts w:hint="eastAsia" w:ascii="Times New Roman"/>
                      <w:sz w:val="21"/>
                      <w:szCs w:val="21"/>
                    </w:rPr>
                    <w:t>58.3</w:t>
                  </w:r>
                </w:p>
              </w:tc>
              <w:tc>
                <w:tcPr>
                  <w:tcW w:w="615" w:type="pct"/>
                  <w:tcBorders>
                    <w:tl2br w:val="nil"/>
                    <w:tr2bl w:val="nil"/>
                  </w:tcBorders>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30" w:type="pct"/>
                  <w:tcBorders>
                    <w:tl2br w:val="nil"/>
                    <w:tr2bl w:val="nil"/>
                  </w:tcBorders>
                  <w:noWrap w:val="0"/>
                  <w:vAlign w:val="center"/>
                </w:tcPr>
                <w:p>
                  <w:pPr>
                    <w:pStyle w:val="18"/>
                    <w:bidi w:val="0"/>
                    <w:jc w:val="center"/>
                  </w:pPr>
                  <w:r>
                    <w:t>NO</w:t>
                  </w:r>
                  <w:r>
                    <w:rPr>
                      <w:vertAlign w:val="subscript"/>
                    </w:rPr>
                    <w:t>2</w:t>
                  </w:r>
                </w:p>
              </w:tc>
              <w:tc>
                <w:tcPr>
                  <w:tcW w:w="1398" w:type="pct"/>
                  <w:tcBorders>
                    <w:tl2br w:val="nil"/>
                    <w:tr2bl w:val="nil"/>
                  </w:tcBorders>
                  <w:noWrap w:val="0"/>
                  <w:vAlign w:val="center"/>
                </w:tcPr>
                <w:p>
                  <w:pPr>
                    <w:pStyle w:val="18"/>
                    <w:bidi w:val="0"/>
                    <w:jc w:val="center"/>
                  </w:pPr>
                  <w:r>
                    <w:t>年平均质量浓度</w:t>
                  </w:r>
                </w:p>
              </w:tc>
              <w:tc>
                <w:tcPr>
                  <w:tcW w:w="1263" w:type="dxa"/>
                  <w:tcBorders>
                    <w:tl2br w:val="nil"/>
                    <w:tr2bl w:val="nil"/>
                  </w:tcBorders>
                  <w:noWrap w:val="0"/>
                  <w:vAlign w:val="center"/>
                </w:tcPr>
                <w:p>
                  <w:pPr>
                    <w:pStyle w:val="18"/>
                    <w:bidi w:val="0"/>
                    <w:jc w:val="center"/>
                    <w:rPr>
                      <w:rFonts w:hint="eastAsia"/>
                      <w:lang w:eastAsia="zh-CN"/>
                    </w:rPr>
                  </w:pPr>
                  <w:r>
                    <w:rPr>
                      <w:rFonts w:hint="eastAsia"/>
                    </w:rPr>
                    <w:t>16</w:t>
                  </w:r>
                </w:p>
              </w:tc>
              <w:tc>
                <w:tcPr>
                  <w:tcW w:w="958" w:type="pct"/>
                  <w:tcBorders>
                    <w:tl2br w:val="nil"/>
                    <w:tr2bl w:val="nil"/>
                  </w:tcBorders>
                  <w:noWrap w:val="0"/>
                  <w:vAlign w:val="center"/>
                </w:tcPr>
                <w:p>
                  <w:pPr>
                    <w:pStyle w:val="18"/>
                    <w:bidi w:val="0"/>
                    <w:jc w:val="center"/>
                  </w:pPr>
                  <w:r>
                    <w:t>40</w:t>
                  </w:r>
                </w:p>
              </w:tc>
              <w:tc>
                <w:tcPr>
                  <w:tcW w:w="989" w:type="dxa"/>
                  <w:tcBorders>
                    <w:tl2br w:val="nil"/>
                    <w:tr2bl w:val="nil"/>
                  </w:tcBorders>
                  <w:noWrap w:val="0"/>
                  <w:vAlign w:val="center"/>
                </w:tcPr>
                <w:p>
                  <w:pPr>
                    <w:tabs>
                      <w:tab w:val="left" w:pos="1021"/>
                    </w:tabs>
                    <w:overflowPunct w:val="0"/>
                    <w:autoSpaceDE w:val="0"/>
                    <w:autoSpaceDN w:val="0"/>
                    <w:adjustRightInd w:val="0"/>
                    <w:spacing w:line="240" w:lineRule="auto"/>
                    <w:ind w:left="40" w:leftChars="0" w:right="40" w:rightChars="0"/>
                    <w:jc w:val="center"/>
                    <w:textAlignment w:val="baseline"/>
                    <w:rPr>
                      <w:rFonts w:hint="default"/>
                      <w:lang w:val="en-US" w:eastAsia="zh-CN"/>
                    </w:rPr>
                  </w:pPr>
                  <w:r>
                    <w:rPr>
                      <w:rFonts w:hint="eastAsia" w:ascii="Times New Roman"/>
                      <w:sz w:val="21"/>
                      <w:szCs w:val="21"/>
                    </w:rPr>
                    <w:t>40.0</w:t>
                  </w:r>
                </w:p>
              </w:tc>
              <w:tc>
                <w:tcPr>
                  <w:tcW w:w="615" w:type="pct"/>
                  <w:tcBorders>
                    <w:tl2br w:val="nil"/>
                    <w:tr2bl w:val="nil"/>
                  </w:tcBorders>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30" w:type="pct"/>
                  <w:tcBorders>
                    <w:tl2br w:val="nil"/>
                    <w:tr2bl w:val="nil"/>
                  </w:tcBorders>
                  <w:noWrap w:val="0"/>
                  <w:vAlign w:val="center"/>
                </w:tcPr>
                <w:p>
                  <w:pPr>
                    <w:pStyle w:val="18"/>
                    <w:bidi w:val="0"/>
                    <w:jc w:val="center"/>
                  </w:pPr>
                  <w:r>
                    <w:t>PM</w:t>
                  </w:r>
                  <w:r>
                    <w:rPr>
                      <w:vertAlign w:val="subscript"/>
                    </w:rPr>
                    <w:t>10</w:t>
                  </w:r>
                </w:p>
              </w:tc>
              <w:tc>
                <w:tcPr>
                  <w:tcW w:w="1398" w:type="pct"/>
                  <w:tcBorders>
                    <w:tl2br w:val="nil"/>
                    <w:tr2bl w:val="nil"/>
                  </w:tcBorders>
                  <w:noWrap w:val="0"/>
                  <w:vAlign w:val="center"/>
                </w:tcPr>
                <w:p>
                  <w:pPr>
                    <w:pStyle w:val="18"/>
                    <w:bidi w:val="0"/>
                    <w:jc w:val="center"/>
                  </w:pPr>
                  <w:r>
                    <w:t>年平均质量浓度</w:t>
                  </w:r>
                </w:p>
              </w:tc>
              <w:tc>
                <w:tcPr>
                  <w:tcW w:w="1263" w:type="dxa"/>
                  <w:tcBorders>
                    <w:tl2br w:val="nil"/>
                    <w:tr2bl w:val="nil"/>
                  </w:tcBorders>
                  <w:noWrap w:val="0"/>
                  <w:vAlign w:val="center"/>
                </w:tcPr>
                <w:p>
                  <w:pPr>
                    <w:pStyle w:val="18"/>
                    <w:bidi w:val="0"/>
                    <w:jc w:val="center"/>
                    <w:rPr>
                      <w:rFonts w:hint="default"/>
                      <w:lang w:val="en-US" w:eastAsia="zh-CN"/>
                    </w:rPr>
                  </w:pPr>
                  <w:r>
                    <w:rPr>
                      <w:rFonts w:hint="eastAsia"/>
                    </w:rPr>
                    <w:t>55</w:t>
                  </w:r>
                </w:p>
              </w:tc>
              <w:tc>
                <w:tcPr>
                  <w:tcW w:w="958" w:type="pct"/>
                  <w:tcBorders>
                    <w:tl2br w:val="nil"/>
                    <w:tr2bl w:val="nil"/>
                  </w:tcBorders>
                  <w:noWrap w:val="0"/>
                  <w:vAlign w:val="center"/>
                </w:tcPr>
                <w:p>
                  <w:pPr>
                    <w:pStyle w:val="18"/>
                    <w:bidi w:val="0"/>
                    <w:jc w:val="center"/>
                  </w:pPr>
                  <w:r>
                    <w:t>70</w:t>
                  </w:r>
                </w:p>
              </w:tc>
              <w:tc>
                <w:tcPr>
                  <w:tcW w:w="989" w:type="dxa"/>
                  <w:tcBorders>
                    <w:tl2br w:val="nil"/>
                    <w:tr2bl w:val="nil"/>
                  </w:tcBorders>
                  <w:noWrap w:val="0"/>
                  <w:vAlign w:val="center"/>
                </w:tcPr>
                <w:p>
                  <w:pPr>
                    <w:tabs>
                      <w:tab w:val="left" w:pos="1021"/>
                    </w:tabs>
                    <w:overflowPunct w:val="0"/>
                    <w:autoSpaceDE w:val="0"/>
                    <w:autoSpaceDN w:val="0"/>
                    <w:adjustRightInd w:val="0"/>
                    <w:spacing w:line="240" w:lineRule="auto"/>
                    <w:ind w:left="40" w:leftChars="0" w:right="40" w:rightChars="0"/>
                    <w:jc w:val="center"/>
                    <w:textAlignment w:val="baseline"/>
                    <w:rPr>
                      <w:rFonts w:hint="default"/>
                      <w:lang w:val="en-US" w:eastAsia="zh-CN"/>
                    </w:rPr>
                  </w:pPr>
                  <w:r>
                    <w:rPr>
                      <w:rFonts w:hint="eastAsia" w:ascii="Times New Roman"/>
                      <w:sz w:val="21"/>
                      <w:szCs w:val="21"/>
                    </w:rPr>
                    <w:t>78.6</w:t>
                  </w:r>
                </w:p>
              </w:tc>
              <w:tc>
                <w:tcPr>
                  <w:tcW w:w="615" w:type="pct"/>
                  <w:tcBorders>
                    <w:tl2br w:val="nil"/>
                    <w:tr2bl w:val="nil"/>
                  </w:tcBorders>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30" w:type="pct"/>
                  <w:tcBorders>
                    <w:tl2br w:val="nil"/>
                    <w:tr2bl w:val="nil"/>
                  </w:tcBorders>
                  <w:noWrap w:val="0"/>
                  <w:vAlign w:val="center"/>
                </w:tcPr>
                <w:p>
                  <w:pPr>
                    <w:pStyle w:val="18"/>
                    <w:bidi w:val="0"/>
                    <w:jc w:val="center"/>
                  </w:pPr>
                  <w:r>
                    <w:t>PM</w:t>
                  </w:r>
                  <w:r>
                    <w:rPr>
                      <w:vertAlign w:val="subscript"/>
                    </w:rPr>
                    <w:t>2.5</w:t>
                  </w:r>
                </w:p>
              </w:tc>
              <w:tc>
                <w:tcPr>
                  <w:tcW w:w="1398" w:type="pct"/>
                  <w:tcBorders>
                    <w:tl2br w:val="nil"/>
                    <w:tr2bl w:val="nil"/>
                  </w:tcBorders>
                  <w:noWrap w:val="0"/>
                  <w:vAlign w:val="center"/>
                </w:tcPr>
                <w:p>
                  <w:pPr>
                    <w:pStyle w:val="18"/>
                    <w:bidi w:val="0"/>
                    <w:jc w:val="center"/>
                  </w:pPr>
                  <w:r>
                    <w:t>年平均质量浓度</w:t>
                  </w:r>
                </w:p>
              </w:tc>
              <w:tc>
                <w:tcPr>
                  <w:tcW w:w="1263" w:type="dxa"/>
                  <w:tcBorders>
                    <w:tl2br w:val="nil"/>
                    <w:tr2bl w:val="nil"/>
                  </w:tcBorders>
                  <w:noWrap w:val="0"/>
                  <w:vAlign w:val="center"/>
                </w:tcPr>
                <w:p>
                  <w:pPr>
                    <w:pStyle w:val="18"/>
                    <w:bidi w:val="0"/>
                    <w:jc w:val="center"/>
                    <w:rPr>
                      <w:rFonts w:hint="default"/>
                      <w:lang w:val="en-US" w:eastAsia="zh-CN"/>
                    </w:rPr>
                  </w:pPr>
                  <w:r>
                    <w:rPr>
                      <w:rFonts w:hint="eastAsia"/>
                    </w:rPr>
                    <w:t>34</w:t>
                  </w:r>
                </w:p>
              </w:tc>
              <w:tc>
                <w:tcPr>
                  <w:tcW w:w="958" w:type="pct"/>
                  <w:tcBorders>
                    <w:tl2br w:val="nil"/>
                    <w:tr2bl w:val="nil"/>
                  </w:tcBorders>
                  <w:noWrap w:val="0"/>
                  <w:vAlign w:val="center"/>
                </w:tcPr>
                <w:p>
                  <w:pPr>
                    <w:pStyle w:val="18"/>
                    <w:bidi w:val="0"/>
                    <w:jc w:val="center"/>
                  </w:pPr>
                  <w:r>
                    <w:t>35</w:t>
                  </w:r>
                </w:p>
              </w:tc>
              <w:tc>
                <w:tcPr>
                  <w:tcW w:w="989" w:type="dxa"/>
                  <w:tcBorders>
                    <w:tl2br w:val="nil"/>
                    <w:tr2bl w:val="nil"/>
                  </w:tcBorders>
                  <w:noWrap w:val="0"/>
                  <w:vAlign w:val="center"/>
                </w:tcPr>
                <w:p>
                  <w:pPr>
                    <w:tabs>
                      <w:tab w:val="left" w:pos="1021"/>
                    </w:tabs>
                    <w:overflowPunct w:val="0"/>
                    <w:autoSpaceDE w:val="0"/>
                    <w:autoSpaceDN w:val="0"/>
                    <w:adjustRightInd w:val="0"/>
                    <w:spacing w:line="240" w:lineRule="auto"/>
                    <w:ind w:left="40" w:leftChars="0" w:right="40" w:rightChars="0"/>
                    <w:jc w:val="center"/>
                    <w:textAlignment w:val="baseline"/>
                    <w:rPr>
                      <w:rFonts w:hint="default"/>
                      <w:lang w:val="en-US" w:eastAsia="zh-CN"/>
                    </w:rPr>
                  </w:pPr>
                  <w:r>
                    <w:rPr>
                      <w:rFonts w:hint="eastAsia" w:ascii="Times New Roman"/>
                      <w:sz w:val="21"/>
                      <w:szCs w:val="21"/>
                    </w:rPr>
                    <w:t>97.1</w:t>
                  </w:r>
                </w:p>
              </w:tc>
              <w:tc>
                <w:tcPr>
                  <w:tcW w:w="615" w:type="pct"/>
                  <w:tcBorders>
                    <w:tl2br w:val="nil"/>
                    <w:tr2bl w:val="nil"/>
                  </w:tcBorders>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30" w:type="pct"/>
                  <w:tcBorders>
                    <w:tl2br w:val="nil"/>
                    <w:tr2bl w:val="nil"/>
                  </w:tcBorders>
                  <w:noWrap w:val="0"/>
                  <w:vAlign w:val="center"/>
                </w:tcPr>
                <w:p>
                  <w:pPr>
                    <w:pStyle w:val="18"/>
                    <w:bidi w:val="0"/>
                    <w:jc w:val="center"/>
                  </w:pPr>
                  <w:r>
                    <w:t>CO</w:t>
                  </w:r>
                </w:p>
              </w:tc>
              <w:tc>
                <w:tcPr>
                  <w:tcW w:w="1398" w:type="pct"/>
                  <w:tcBorders>
                    <w:tl2br w:val="nil"/>
                    <w:tr2bl w:val="nil"/>
                  </w:tcBorders>
                  <w:noWrap w:val="0"/>
                  <w:vAlign w:val="center"/>
                </w:tcPr>
                <w:p>
                  <w:pPr>
                    <w:pStyle w:val="18"/>
                    <w:bidi w:val="0"/>
                    <w:jc w:val="center"/>
                  </w:pPr>
                  <w:r>
                    <w:t>95百分位数日平均质量浓度</w:t>
                  </w:r>
                </w:p>
              </w:tc>
              <w:tc>
                <w:tcPr>
                  <w:tcW w:w="1263" w:type="dxa"/>
                  <w:tcBorders>
                    <w:tl2br w:val="nil"/>
                    <w:tr2bl w:val="nil"/>
                  </w:tcBorders>
                  <w:noWrap w:val="0"/>
                  <w:vAlign w:val="center"/>
                </w:tcPr>
                <w:p>
                  <w:pPr>
                    <w:pStyle w:val="18"/>
                    <w:bidi w:val="0"/>
                    <w:jc w:val="center"/>
                  </w:pPr>
                  <w:r>
                    <w:rPr>
                      <w:rFonts w:hint="eastAsia"/>
                    </w:rPr>
                    <w:t>1400</w:t>
                  </w:r>
                </w:p>
              </w:tc>
              <w:tc>
                <w:tcPr>
                  <w:tcW w:w="958" w:type="pct"/>
                  <w:tcBorders>
                    <w:tl2br w:val="nil"/>
                    <w:tr2bl w:val="nil"/>
                  </w:tcBorders>
                  <w:noWrap w:val="0"/>
                  <w:vAlign w:val="center"/>
                </w:tcPr>
                <w:p>
                  <w:pPr>
                    <w:pStyle w:val="18"/>
                    <w:bidi w:val="0"/>
                    <w:jc w:val="center"/>
                  </w:pPr>
                  <w:r>
                    <w:rPr>
                      <w:rFonts w:hint="eastAsia"/>
                    </w:rPr>
                    <w:t>4000</w:t>
                  </w:r>
                </w:p>
              </w:tc>
              <w:tc>
                <w:tcPr>
                  <w:tcW w:w="989" w:type="dxa"/>
                  <w:tcBorders>
                    <w:tl2br w:val="nil"/>
                    <w:tr2bl w:val="nil"/>
                  </w:tcBorders>
                  <w:noWrap w:val="0"/>
                  <w:vAlign w:val="center"/>
                </w:tcPr>
                <w:p>
                  <w:pPr>
                    <w:tabs>
                      <w:tab w:val="left" w:pos="1021"/>
                    </w:tabs>
                    <w:overflowPunct w:val="0"/>
                    <w:autoSpaceDE w:val="0"/>
                    <w:autoSpaceDN w:val="0"/>
                    <w:adjustRightInd w:val="0"/>
                    <w:spacing w:line="240" w:lineRule="auto"/>
                    <w:ind w:left="40" w:leftChars="0" w:right="40" w:rightChars="0"/>
                    <w:jc w:val="center"/>
                    <w:textAlignment w:val="baseline"/>
                  </w:pPr>
                  <w:r>
                    <w:rPr>
                      <w:rFonts w:hint="eastAsia" w:ascii="Times New Roman"/>
                      <w:sz w:val="21"/>
                      <w:szCs w:val="21"/>
                    </w:rPr>
                    <w:t>35.0</w:t>
                  </w:r>
                </w:p>
              </w:tc>
              <w:tc>
                <w:tcPr>
                  <w:tcW w:w="615" w:type="pct"/>
                  <w:tcBorders>
                    <w:tl2br w:val="nil"/>
                    <w:tr2bl w:val="nil"/>
                  </w:tcBorders>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30" w:type="pct"/>
                  <w:tcBorders>
                    <w:tl2br w:val="nil"/>
                    <w:tr2bl w:val="nil"/>
                  </w:tcBorders>
                  <w:noWrap w:val="0"/>
                  <w:vAlign w:val="center"/>
                </w:tcPr>
                <w:p>
                  <w:pPr>
                    <w:pStyle w:val="18"/>
                    <w:bidi w:val="0"/>
                    <w:jc w:val="center"/>
                  </w:pPr>
                  <w:r>
                    <w:t>O</w:t>
                  </w:r>
                  <w:r>
                    <w:rPr>
                      <w:vertAlign w:val="subscript"/>
                    </w:rPr>
                    <w:t>3</w:t>
                  </w:r>
                </w:p>
              </w:tc>
              <w:tc>
                <w:tcPr>
                  <w:tcW w:w="1398" w:type="pct"/>
                  <w:tcBorders>
                    <w:tl2br w:val="nil"/>
                    <w:tr2bl w:val="nil"/>
                  </w:tcBorders>
                  <w:noWrap w:val="0"/>
                  <w:vAlign w:val="center"/>
                </w:tcPr>
                <w:p>
                  <w:pPr>
                    <w:pStyle w:val="18"/>
                    <w:bidi w:val="0"/>
                    <w:jc w:val="center"/>
                  </w:pPr>
                  <w:r>
                    <w:t>90百分位8h平均质量浓度</w:t>
                  </w:r>
                </w:p>
              </w:tc>
              <w:tc>
                <w:tcPr>
                  <w:tcW w:w="1263" w:type="dxa"/>
                  <w:tcBorders>
                    <w:tl2br w:val="nil"/>
                    <w:tr2bl w:val="nil"/>
                  </w:tcBorders>
                  <w:noWrap w:val="0"/>
                  <w:vAlign w:val="center"/>
                </w:tcPr>
                <w:p>
                  <w:pPr>
                    <w:pStyle w:val="18"/>
                    <w:bidi w:val="0"/>
                    <w:jc w:val="center"/>
                    <w:rPr>
                      <w:rFonts w:hint="default"/>
                      <w:lang w:val="en-US" w:eastAsia="zh-CN"/>
                    </w:rPr>
                  </w:pPr>
                  <w:r>
                    <w:rPr>
                      <w:rFonts w:hint="eastAsia"/>
                    </w:rPr>
                    <w:t>100</w:t>
                  </w:r>
                </w:p>
              </w:tc>
              <w:tc>
                <w:tcPr>
                  <w:tcW w:w="958" w:type="pct"/>
                  <w:tcBorders>
                    <w:tl2br w:val="nil"/>
                    <w:tr2bl w:val="nil"/>
                  </w:tcBorders>
                  <w:noWrap w:val="0"/>
                  <w:vAlign w:val="center"/>
                </w:tcPr>
                <w:p>
                  <w:pPr>
                    <w:pStyle w:val="18"/>
                    <w:bidi w:val="0"/>
                    <w:jc w:val="center"/>
                  </w:pPr>
                  <w:r>
                    <w:t>160</w:t>
                  </w:r>
                </w:p>
              </w:tc>
              <w:tc>
                <w:tcPr>
                  <w:tcW w:w="989" w:type="dxa"/>
                  <w:tcBorders>
                    <w:tl2br w:val="nil"/>
                    <w:tr2bl w:val="nil"/>
                  </w:tcBorders>
                  <w:noWrap w:val="0"/>
                  <w:vAlign w:val="center"/>
                </w:tcPr>
                <w:p>
                  <w:pPr>
                    <w:tabs>
                      <w:tab w:val="left" w:pos="1021"/>
                    </w:tabs>
                    <w:overflowPunct w:val="0"/>
                    <w:autoSpaceDE w:val="0"/>
                    <w:autoSpaceDN w:val="0"/>
                    <w:adjustRightInd w:val="0"/>
                    <w:spacing w:line="240" w:lineRule="auto"/>
                    <w:ind w:left="40" w:leftChars="0" w:right="40" w:rightChars="0"/>
                    <w:jc w:val="center"/>
                    <w:textAlignment w:val="baseline"/>
                    <w:rPr>
                      <w:rFonts w:hint="default"/>
                      <w:lang w:val="en-US" w:eastAsia="zh-CN"/>
                    </w:rPr>
                  </w:pPr>
                  <w:r>
                    <w:rPr>
                      <w:rFonts w:hint="eastAsia" w:ascii="Times New Roman"/>
                      <w:sz w:val="21"/>
                      <w:szCs w:val="21"/>
                    </w:rPr>
                    <w:t>62.5</w:t>
                  </w:r>
                </w:p>
              </w:tc>
              <w:tc>
                <w:tcPr>
                  <w:tcW w:w="615" w:type="pct"/>
                  <w:tcBorders>
                    <w:tl2br w:val="nil"/>
                    <w:tr2bl w:val="nil"/>
                  </w:tcBorders>
                  <w:noWrap w:val="0"/>
                  <w:vAlign w:val="center"/>
                </w:tcPr>
                <w:p>
                  <w:pPr>
                    <w:pStyle w:val="18"/>
                    <w:bidi w:val="0"/>
                    <w:jc w:val="center"/>
                  </w:pPr>
                  <w:r>
                    <w:t>达标</w:t>
                  </w:r>
                </w:p>
              </w:tc>
            </w:tr>
          </w:tbl>
          <w:p>
            <w:pPr>
              <w:pStyle w:val="19"/>
              <w:bidi w:val="0"/>
              <w:rPr>
                <w:rFonts w:hint="default"/>
                <w:lang w:val="en-US" w:eastAsia="zh-CN"/>
              </w:rPr>
            </w:pPr>
            <w:r>
              <w:rPr>
                <w:rFonts w:hint="eastAsia"/>
                <w:lang w:val="en-US" w:eastAsia="zh-CN"/>
              </w:rPr>
              <w:t>由表3-1可知，花垣县2021年环境空气质量中六大基本因子均满足《环境空气质量标准》（GB3095-2012）中二级标准限值要求，属于达标区。</w:t>
            </w:r>
          </w:p>
          <w:p>
            <w:pPr>
              <w:numPr>
                <w:ilvl w:val="0"/>
                <w:numId w:val="6"/>
              </w:numPr>
              <w:bidi w:val="0"/>
              <w:ind w:left="40" w:leftChars="0" w:firstLine="0" w:firstLineChars="0"/>
              <w:rPr>
                <w:rFonts w:hint="eastAsia"/>
                <w:lang w:val="en-US" w:eastAsia="zh-CN"/>
              </w:rPr>
            </w:pPr>
            <w:r>
              <w:rPr>
                <w:rFonts w:hint="eastAsia"/>
                <w:lang w:val="en-US" w:eastAsia="zh-CN"/>
              </w:rPr>
              <w:t>特征污染物环境质量现状</w:t>
            </w:r>
          </w:p>
          <w:p>
            <w:pPr>
              <w:pStyle w:val="19"/>
              <w:bidi w:val="0"/>
              <w:rPr>
                <w:rFonts w:hint="default"/>
                <w:lang w:val="en-US" w:eastAsia="zh-CN"/>
              </w:rPr>
            </w:pPr>
            <w:r>
              <w:rPr>
                <w:rFonts w:hint="eastAsia"/>
                <w:lang w:val="en-US" w:eastAsia="zh-CN"/>
              </w:rPr>
              <w:t>根据项目特征，本项目特征污染因子有TSP、PM</w:t>
            </w:r>
            <w:r>
              <w:rPr>
                <w:rFonts w:hint="eastAsia"/>
                <w:vertAlign w:val="subscript"/>
                <w:lang w:val="en-US" w:eastAsia="zh-CN"/>
              </w:rPr>
              <w:t>10</w:t>
            </w:r>
            <w:r>
              <w:rPr>
                <w:rFonts w:hint="eastAsia"/>
                <w:lang w:val="en-US" w:eastAsia="zh-CN"/>
              </w:rPr>
              <w:t>、硫酸雾、NH</w:t>
            </w:r>
            <w:r>
              <w:rPr>
                <w:rFonts w:hint="eastAsia"/>
                <w:vertAlign w:val="subscript"/>
                <w:lang w:val="en-US" w:eastAsia="zh-CN"/>
              </w:rPr>
              <w:t>3</w:t>
            </w:r>
            <w:r>
              <w:rPr>
                <w:rFonts w:hint="eastAsia"/>
                <w:lang w:val="en-US" w:eastAsia="zh-CN"/>
              </w:rPr>
              <w:t>、锰及其化合物。本次环评引用《湖南东方矿业有限责任公司 5000t/a 电解锰阳极渣综合回收利用项目环境影响报告表》中提供的监测资料。监测点位均满足《建设项目环境影响报告表编制技术指南》中“排放国家、地方环境空气质量标准中有标准限值要求的特征污染物时，引用建设项目周边5千米范围内近3年的现有监测数据”的要求。</w:t>
            </w:r>
          </w:p>
          <w:p>
            <w:pPr>
              <w:pStyle w:val="19"/>
              <w:bidi w:val="0"/>
              <w:rPr>
                <w:rFonts w:hint="default"/>
                <w:lang w:val="en-US" w:eastAsia="zh-CN"/>
              </w:rPr>
            </w:pPr>
            <w:r>
              <w:rPr>
                <w:rFonts w:hint="eastAsia"/>
                <w:lang w:val="en-US" w:eastAsia="zh-CN"/>
              </w:rPr>
              <w:t>监测时间为2022年7月20日 ~ 2022年7月26日，监测频率为连续7天，TSP、PM</w:t>
            </w:r>
            <w:r>
              <w:rPr>
                <w:rFonts w:hint="eastAsia"/>
                <w:vertAlign w:val="subscript"/>
                <w:lang w:val="en-US" w:eastAsia="zh-CN"/>
              </w:rPr>
              <w:t>10</w:t>
            </w:r>
            <w:r>
              <w:rPr>
                <w:rFonts w:hint="eastAsia"/>
                <w:lang w:val="en-US" w:eastAsia="zh-CN"/>
              </w:rPr>
              <w:t>、锰及其化合物监测日均值，NH</w:t>
            </w:r>
            <w:r>
              <w:rPr>
                <w:rFonts w:hint="eastAsia"/>
                <w:vertAlign w:val="subscript"/>
                <w:lang w:val="en-US" w:eastAsia="zh-CN"/>
              </w:rPr>
              <w:t>3</w:t>
            </w:r>
            <w:r>
              <w:rPr>
                <w:rFonts w:hint="eastAsia"/>
                <w:lang w:val="en-US" w:eastAsia="zh-CN"/>
              </w:rPr>
              <w:t>、硫酸雾监测日均值和小时值。</w:t>
            </w:r>
          </w:p>
          <w:p>
            <w:pPr>
              <w:bidi w:val="0"/>
              <w:jc w:val="center"/>
              <w:rPr>
                <w:rFonts w:hint="default"/>
                <w:b/>
                <w:bCs/>
                <w:lang w:val="en-US" w:eastAsia="zh-CN"/>
              </w:rPr>
            </w:pPr>
            <w:r>
              <w:rPr>
                <w:rFonts w:hint="eastAsia"/>
                <w:b/>
                <w:bCs/>
                <w:lang w:val="en-US" w:eastAsia="zh-CN"/>
              </w:rPr>
              <w:t>表3-2  特征污染物环境质量现状统计表（1）单位：mg/m</w:t>
            </w:r>
            <w:r>
              <w:rPr>
                <w:rFonts w:hint="eastAsia"/>
                <w:b/>
                <w:bCs/>
                <w:vertAlign w:val="superscript"/>
                <w:lang w:val="en-US" w:eastAsia="zh-CN"/>
              </w:rPr>
              <w:t>3</w:t>
            </w:r>
          </w:p>
          <w:tbl>
            <w:tblPr>
              <w:tblStyle w:val="15"/>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58"/>
              <w:gridCol w:w="1887"/>
              <w:gridCol w:w="1193"/>
              <w:gridCol w:w="1219"/>
              <w:gridCol w:w="1410"/>
              <w:gridCol w:w="14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635" w:type="pct"/>
                  <w:gridSpan w:val="2"/>
                  <w:vMerge w:val="restart"/>
                  <w:noWrap w:val="0"/>
                  <w:vAlign w:val="center"/>
                </w:tcPr>
                <w:p>
                  <w:pPr>
                    <w:pStyle w:val="18"/>
                    <w:bidi w:val="0"/>
                  </w:pPr>
                  <w:r>
                    <w:t xml:space="preserve">           监测因子</w:t>
                  </w:r>
                </w:p>
                <w:p>
                  <w:pPr>
                    <w:pStyle w:val="18"/>
                    <w:bidi w:val="0"/>
                  </w:pPr>
                  <w:r>
                    <w:t>监测点位</w:t>
                  </w:r>
                </w:p>
              </w:tc>
              <w:tc>
                <w:tcPr>
                  <w:tcW w:w="1549" w:type="pct"/>
                  <w:gridSpan w:val="2"/>
                  <w:noWrap w:val="0"/>
                  <w:vAlign w:val="center"/>
                </w:tcPr>
                <w:p>
                  <w:pPr>
                    <w:pStyle w:val="18"/>
                    <w:bidi w:val="0"/>
                  </w:pPr>
                  <w:r>
                    <w:t>氨气</w:t>
                  </w:r>
                </w:p>
              </w:tc>
              <w:tc>
                <w:tcPr>
                  <w:tcW w:w="1815" w:type="pct"/>
                  <w:gridSpan w:val="2"/>
                  <w:noWrap w:val="0"/>
                  <w:vAlign w:val="center"/>
                </w:tcPr>
                <w:p>
                  <w:pPr>
                    <w:pStyle w:val="18"/>
                    <w:bidi w:val="0"/>
                  </w:pPr>
                  <w:r>
                    <w:t>硫酸雾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635" w:type="pct"/>
                  <w:gridSpan w:val="2"/>
                  <w:vMerge w:val="continue"/>
                  <w:noWrap w:val="0"/>
                  <w:vAlign w:val="center"/>
                </w:tcPr>
                <w:p>
                  <w:pPr>
                    <w:pStyle w:val="18"/>
                    <w:bidi w:val="0"/>
                  </w:pPr>
                </w:p>
              </w:tc>
              <w:tc>
                <w:tcPr>
                  <w:tcW w:w="766" w:type="pct"/>
                  <w:noWrap w:val="0"/>
                  <w:vAlign w:val="center"/>
                </w:tcPr>
                <w:p>
                  <w:pPr>
                    <w:pStyle w:val="18"/>
                    <w:bidi w:val="0"/>
                  </w:pPr>
                  <w:r>
                    <w:t>小时值</w:t>
                  </w:r>
                </w:p>
              </w:tc>
              <w:tc>
                <w:tcPr>
                  <w:tcW w:w="783" w:type="pct"/>
                  <w:noWrap w:val="0"/>
                  <w:vAlign w:val="center"/>
                </w:tcPr>
                <w:p>
                  <w:pPr>
                    <w:pStyle w:val="18"/>
                    <w:bidi w:val="0"/>
                  </w:pPr>
                  <w:r>
                    <w:t>日均值</w:t>
                  </w:r>
                </w:p>
              </w:tc>
              <w:tc>
                <w:tcPr>
                  <w:tcW w:w="906" w:type="pct"/>
                  <w:noWrap w:val="0"/>
                  <w:vAlign w:val="center"/>
                </w:tcPr>
                <w:p>
                  <w:pPr>
                    <w:pStyle w:val="18"/>
                    <w:bidi w:val="0"/>
                  </w:pPr>
                  <w:r>
                    <w:t>小时值</w:t>
                  </w:r>
                </w:p>
              </w:tc>
              <w:tc>
                <w:tcPr>
                  <w:tcW w:w="908" w:type="pct"/>
                  <w:noWrap w:val="0"/>
                  <w:vAlign w:val="center"/>
                </w:tcPr>
                <w:p>
                  <w:pPr>
                    <w:pStyle w:val="18"/>
                    <w:bidi w:val="0"/>
                  </w:pPr>
                  <w:r>
                    <w:t>日均值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restart"/>
                  <w:noWrap w:val="0"/>
                  <w:vAlign w:val="center"/>
                </w:tcPr>
                <w:p>
                  <w:pPr>
                    <w:pStyle w:val="18"/>
                    <w:bidi w:val="0"/>
                  </w:pPr>
                  <w:r>
                    <w:t>G1</w:t>
                  </w:r>
                </w:p>
              </w:tc>
              <w:tc>
                <w:tcPr>
                  <w:tcW w:w="1211" w:type="pct"/>
                  <w:noWrap w:val="0"/>
                  <w:vAlign w:val="center"/>
                </w:tcPr>
                <w:p>
                  <w:pPr>
                    <w:pStyle w:val="18"/>
                    <w:bidi w:val="0"/>
                  </w:pPr>
                  <w:r>
                    <w:t>监测范围</w:t>
                  </w:r>
                </w:p>
              </w:tc>
              <w:tc>
                <w:tcPr>
                  <w:tcW w:w="766" w:type="pct"/>
                  <w:noWrap w:val="0"/>
                  <w:vAlign w:val="center"/>
                </w:tcPr>
                <w:p>
                  <w:pPr>
                    <w:pStyle w:val="18"/>
                    <w:bidi w:val="0"/>
                  </w:pPr>
                  <w:r>
                    <w:t>0.05~0.09</w:t>
                  </w:r>
                </w:p>
              </w:tc>
              <w:tc>
                <w:tcPr>
                  <w:tcW w:w="783" w:type="pct"/>
                  <w:noWrap w:val="0"/>
                  <w:vAlign w:val="center"/>
                </w:tcPr>
                <w:p>
                  <w:pPr>
                    <w:pStyle w:val="18"/>
                    <w:bidi w:val="0"/>
                  </w:pPr>
                  <w:r>
                    <w:t>0.02~0.03</w:t>
                  </w:r>
                </w:p>
              </w:tc>
              <w:tc>
                <w:tcPr>
                  <w:tcW w:w="906" w:type="pct"/>
                  <w:noWrap w:val="0"/>
                  <w:vAlign w:val="center"/>
                </w:tcPr>
                <w:p>
                  <w:pPr>
                    <w:pStyle w:val="18"/>
                    <w:bidi w:val="0"/>
                  </w:pPr>
                  <w:r>
                    <w:t>0.08~0.108</w:t>
                  </w:r>
                </w:p>
              </w:tc>
              <w:tc>
                <w:tcPr>
                  <w:tcW w:w="908" w:type="pct"/>
                  <w:noWrap w:val="0"/>
                  <w:vAlign w:val="center"/>
                </w:tcPr>
                <w:p>
                  <w:pPr>
                    <w:pStyle w:val="18"/>
                    <w:bidi w:val="0"/>
                  </w:pPr>
                  <w:r>
                    <w:t>0.015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continue"/>
                  <w:noWrap w:val="0"/>
                  <w:vAlign w:val="center"/>
                </w:tcPr>
                <w:p>
                  <w:pPr>
                    <w:pStyle w:val="18"/>
                    <w:bidi w:val="0"/>
                  </w:pPr>
                </w:p>
              </w:tc>
              <w:tc>
                <w:tcPr>
                  <w:tcW w:w="1211" w:type="pct"/>
                  <w:noWrap w:val="0"/>
                  <w:vAlign w:val="center"/>
                </w:tcPr>
                <w:p>
                  <w:pPr>
                    <w:pStyle w:val="18"/>
                    <w:bidi w:val="0"/>
                  </w:pPr>
                  <w:r>
                    <w:t>最大浓度占标率(%)</w:t>
                  </w:r>
                </w:p>
              </w:tc>
              <w:tc>
                <w:tcPr>
                  <w:tcW w:w="766" w:type="pct"/>
                  <w:noWrap w:val="0"/>
                  <w:vAlign w:val="center"/>
                </w:tcPr>
                <w:p>
                  <w:pPr>
                    <w:pStyle w:val="18"/>
                    <w:bidi w:val="0"/>
                  </w:pPr>
                  <w:r>
                    <w:t>45</w:t>
                  </w:r>
                </w:p>
              </w:tc>
              <w:tc>
                <w:tcPr>
                  <w:tcW w:w="783" w:type="pct"/>
                  <w:noWrap w:val="0"/>
                  <w:vAlign w:val="center"/>
                </w:tcPr>
                <w:p>
                  <w:pPr>
                    <w:pStyle w:val="18"/>
                    <w:bidi w:val="0"/>
                  </w:pPr>
                  <w:r>
                    <w:t>44.78</w:t>
                  </w:r>
                </w:p>
              </w:tc>
              <w:tc>
                <w:tcPr>
                  <w:tcW w:w="906" w:type="pct"/>
                  <w:noWrap w:val="0"/>
                  <w:vAlign w:val="center"/>
                </w:tcPr>
                <w:p>
                  <w:pPr>
                    <w:pStyle w:val="18"/>
                    <w:bidi w:val="0"/>
                  </w:pPr>
                  <w:r>
                    <w:t>36</w:t>
                  </w:r>
                </w:p>
              </w:tc>
              <w:tc>
                <w:tcPr>
                  <w:tcW w:w="908" w:type="pct"/>
                  <w:noWrap w:val="0"/>
                  <w:vAlign w:val="center"/>
                </w:tcPr>
                <w:p>
                  <w:pPr>
                    <w:pStyle w:val="18"/>
                    <w:bidi w:val="0"/>
                  </w:pPr>
                  <w: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continue"/>
                  <w:noWrap w:val="0"/>
                  <w:vAlign w:val="center"/>
                </w:tcPr>
                <w:p>
                  <w:pPr>
                    <w:pStyle w:val="18"/>
                    <w:bidi w:val="0"/>
                  </w:pPr>
                </w:p>
              </w:tc>
              <w:tc>
                <w:tcPr>
                  <w:tcW w:w="1211" w:type="pct"/>
                  <w:noWrap w:val="0"/>
                  <w:vAlign w:val="center"/>
                </w:tcPr>
                <w:p>
                  <w:pPr>
                    <w:pStyle w:val="18"/>
                    <w:bidi w:val="0"/>
                  </w:pPr>
                  <w:r>
                    <w:t>超标率(%)</w:t>
                  </w:r>
                </w:p>
              </w:tc>
              <w:tc>
                <w:tcPr>
                  <w:tcW w:w="766" w:type="pct"/>
                  <w:noWrap w:val="0"/>
                  <w:vAlign w:val="center"/>
                </w:tcPr>
                <w:p>
                  <w:pPr>
                    <w:pStyle w:val="18"/>
                    <w:bidi w:val="0"/>
                  </w:pPr>
                  <w:r>
                    <w:t>/</w:t>
                  </w:r>
                </w:p>
              </w:tc>
              <w:tc>
                <w:tcPr>
                  <w:tcW w:w="783" w:type="pct"/>
                  <w:noWrap w:val="0"/>
                  <w:vAlign w:val="center"/>
                </w:tcPr>
                <w:p>
                  <w:pPr>
                    <w:pStyle w:val="18"/>
                    <w:bidi w:val="0"/>
                  </w:pPr>
                  <w:r>
                    <w:t>/</w:t>
                  </w:r>
                </w:p>
              </w:tc>
              <w:tc>
                <w:tcPr>
                  <w:tcW w:w="906" w:type="pct"/>
                  <w:noWrap w:val="0"/>
                  <w:vAlign w:val="center"/>
                </w:tcPr>
                <w:p>
                  <w:pPr>
                    <w:pStyle w:val="18"/>
                    <w:bidi w:val="0"/>
                  </w:pPr>
                  <w:r>
                    <w:t>/</w:t>
                  </w:r>
                </w:p>
              </w:tc>
              <w:tc>
                <w:tcPr>
                  <w:tcW w:w="908"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continue"/>
                  <w:noWrap w:val="0"/>
                  <w:vAlign w:val="center"/>
                </w:tcPr>
                <w:p>
                  <w:pPr>
                    <w:pStyle w:val="18"/>
                    <w:bidi w:val="0"/>
                  </w:pPr>
                </w:p>
              </w:tc>
              <w:tc>
                <w:tcPr>
                  <w:tcW w:w="1211" w:type="pct"/>
                  <w:noWrap w:val="0"/>
                  <w:vAlign w:val="center"/>
                </w:tcPr>
                <w:p>
                  <w:pPr>
                    <w:pStyle w:val="18"/>
                    <w:bidi w:val="0"/>
                  </w:pPr>
                  <w:r>
                    <w:t>超标倍数</w:t>
                  </w:r>
                </w:p>
              </w:tc>
              <w:tc>
                <w:tcPr>
                  <w:tcW w:w="766" w:type="pct"/>
                  <w:noWrap w:val="0"/>
                  <w:vAlign w:val="center"/>
                </w:tcPr>
                <w:p>
                  <w:pPr>
                    <w:pStyle w:val="18"/>
                    <w:bidi w:val="0"/>
                  </w:pPr>
                  <w:r>
                    <w:t>/</w:t>
                  </w:r>
                </w:p>
              </w:tc>
              <w:tc>
                <w:tcPr>
                  <w:tcW w:w="783" w:type="pct"/>
                  <w:noWrap w:val="0"/>
                  <w:vAlign w:val="center"/>
                </w:tcPr>
                <w:p>
                  <w:pPr>
                    <w:pStyle w:val="18"/>
                    <w:bidi w:val="0"/>
                  </w:pPr>
                  <w:r>
                    <w:t>/</w:t>
                  </w:r>
                </w:p>
              </w:tc>
              <w:tc>
                <w:tcPr>
                  <w:tcW w:w="906" w:type="pct"/>
                  <w:noWrap w:val="0"/>
                  <w:vAlign w:val="center"/>
                </w:tcPr>
                <w:p>
                  <w:pPr>
                    <w:pStyle w:val="18"/>
                    <w:bidi w:val="0"/>
                  </w:pPr>
                  <w:r>
                    <w:t>/</w:t>
                  </w:r>
                </w:p>
              </w:tc>
              <w:tc>
                <w:tcPr>
                  <w:tcW w:w="908"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restart"/>
                  <w:noWrap w:val="0"/>
                  <w:vAlign w:val="center"/>
                </w:tcPr>
                <w:p>
                  <w:pPr>
                    <w:pStyle w:val="18"/>
                    <w:bidi w:val="0"/>
                  </w:pPr>
                  <w:r>
                    <w:t>G2</w:t>
                  </w:r>
                </w:p>
              </w:tc>
              <w:tc>
                <w:tcPr>
                  <w:tcW w:w="1211" w:type="pct"/>
                  <w:noWrap w:val="0"/>
                  <w:vAlign w:val="center"/>
                </w:tcPr>
                <w:p>
                  <w:pPr>
                    <w:pStyle w:val="18"/>
                    <w:bidi w:val="0"/>
                  </w:pPr>
                  <w:r>
                    <w:t>监测范围</w:t>
                  </w:r>
                </w:p>
              </w:tc>
              <w:tc>
                <w:tcPr>
                  <w:tcW w:w="766" w:type="pct"/>
                  <w:noWrap w:val="0"/>
                  <w:vAlign w:val="center"/>
                </w:tcPr>
                <w:p>
                  <w:pPr>
                    <w:pStyle w:val="18"/>
                    <w:bidi w:val="0"/>
                  </w:pPr>
                  <w:r>
                    <w:t>0.04~0.09</w:t>
                  </w:r>
                </w:p>
              </w:tc>
              <w:tc>
                <w:tcPr>
                  <w:tcW w:w="783" w:type="pct"/>
                  <w:noWrap w:val="0"/>
                  <w:vAlign w:val="center"/>
                </w:tcPr>
                <w:p>
                  <w:pPr>
                    <w:pStyle w:val="18"/>
                    <w:bidi w:val="0"/>
                  </w:pPr>
                  <w:r>
                    <w:t>0.01~0.03</w:t>
                  </w:r>
                </w:p>
              </w:tc>
              <w:tc>
                <w:tcPr>
                  <w:tcW w:w="906" w:type="pct"/>
                  <w:noWrap w:val="0"/>
                  <w:vAlign w:val="center"/>
                </w:tcPr>
                <w:p>
                  <w:pPr>
                    <w:pStyle w:val="18"/>
                    <w:bidi w:val="0"/>
                  </w:pPr>
                  <w:r>
                    <w:t>0.11~0.123</w:t>
                  </w:r>
                </w:p>
              </w:tc>
              <w:tc>
                <w:tcPr>
                  <w:tcW w:w="908" w:type="pct"/>
                  <w:noWrap w:val="0"/>
                  <w:vAlign w:val="center"/>
                </w:tcPr>
                <w:p>
                  <w:pPr>
                    <w:pStyle w:val="18"/>
                    <w:bidi w:val="0"/>
                  </w:pPr>
                  <w:r>
                    <w:t>0.014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continue"/>
                  <w:noWrap w:val="0"/>
                  <w:vAlign w:val="center"/>
                </w:tcPr>
                <w:p>
                  <w:pPr>
                    <w:pStyle w:val="18"/>
                    <w:bidi w:val="0"/>
                  </w:pPr>
                </w:p>
              </w:tc>
              <w:tc>
                <w:tcPr>
                  <w:tcW w:w="1211" w:type="pct"/>
                  <w:noWrap w:val="0"/>
                  <w:vAlign w:val="center"/>
                </w:tcPr>
                <w:p>
                  <w:pPr>
                    <w:pStyle w:val="18"/>
                    <w:bidi w:val="0"/>
                  </w:pPr>
                  <w:r>
                    <w:t>最大浓度占标率(%)</w:t>
                  </w:r>
                </w:p>
              </w:tc>
              <w:tc>
                <w:tcPr>
                  <w:tcW w:w="766" w:type="pct"/>
                  <w:noWrap w:val="0"/>
                  <w:vAlign w:val="center"/>
                </w:tcPr>
                <w:p>
                  <w:pPr>
                    <w:pStyle w:val="18"/>
                    <w:bidi w:val="0"/>
                  </w:pPr>
                  <w:r>
                    <w:t>45</w:t>
                  </w:r>
                </w:p>
              </w:tc>
              <w:tc>
                <w:tcPr>
                  <w:tcW w:w="783" w:type="pct"/>
                  <w:noWrap w:val="0"/>
                  <w:vAlign w:val="center"/>
                </w:tcPr>
                <w:p>
                  <w:pPr>
                    <w:pStyle w:val="18"/>
                    <w:bidi w:val="0"/>
                  </w:pPr>
                  <w:r>
                    <w:t>44.78</w:t>
                  </w:r>
                </w:p>
              </w:tc>
              <w:tc>
                <w:tcPr>
                  <w:tcW w:w="906" w:type="pct"/>
                  <w:noWrap w:val="0"/>
                  <w:vAlign w:val="center"/>
                </w:tcPr>
                <w:p>
                  <w:pPr>
                    <w:pStyle w:val="18"/>
                    <w:bidi w:val="0"/>
                  </w:pPr>
                  <w:r>
                    <w:t>41</w:t>
                  </w:r>
                </w:p>
              </w:tc>
              <w:tc>
                <w:tcPr>
                  <w:tcW w:w="908" w:type="pct"/>
                  <w:noWrap w:val="0"/>
                  <w:vAlign w:val="center"/>
                </w:tcPr>
                <w:p>
                  <w:pPr>
                    <w:pStyle w:val="18"/>
                    <w:bidi w:val="0"/>
                  </w:pPr>
                  <w:r>
                    <w:t>4.67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continue"/>
                  <w:noWrap w:val="0"/>
                  <w:vAlign w:val="center"/>
                </w:tcPr>
                <w:p>
                  <w:pPr>
                    <w:pStyle w:val="18"/>
                    <w:bidi w:val="0"/>
                  </w:pPr>
                </w:p>
              </w:tc>
              <w:tc>
                <w:tcPr>
                  <w:tcW w:w="1211" w:type="pct"/>
                  <w:noWrap w:val="0"/>
                  <w:vAlign w:val="center"/>
                </w:tcPr>
                <w:p>
                  <w:pPr>
                    <w:pStyle w:val="18"/>
                    <w:bidi w:val="0"/>
                  </w:pPr>
                  <w:r>
                    <w:t>超标率(%)</w:t>
                  </w:r>
                </w:p>
              </w:tc>
              <w:tc>
                <w:tcPr>
                  <w:tcW w:w="766" w:type="pct"/>
                  <w:noWrap w:val="0"/>
                  <w:vAlign w:val="center"/>
                </w:tcPr>
                <w:p>
                  <w:pPr>
                    <w:pStyle w:val="18"/>
                    <w:bidi w:val="0"/>
                  </w:pPr>
                  <w:r>
                    <w:t>/</w:t>
                  </w:r>
                </w:p>
              </w:tc>
              <w:tc>
                <w:tcPr>
                  <w:tcW w:w="783" w:type="pct"/>
                  <w:noWrap w:val="0"/>
                  <w:vAlign w:val="center"/>
                </w:tcPr>
                <w:p>
                  <w:pPr>
                    <w:pStyle w:val="18"/>
                    <w:bidi w:val="0"/>
                  </w:pPr>
                  <w:r>
                    <w:t>/</w:t>
                  </w:r>
                </w:p>
              </w:tc>
              <w:tc>
                <w:tcPr>
                  <w:tcW w:w="906" w:type="pct"/>
                  <w:noWrap w:val="0"/>
                  <w:vAlign w:val="center"/>
                </w:tcPr>
                <w:p>
                  <w:pPr>
                    <w:pStyle w:val="18"/>
                    <w:bidi w:val="0"/>
                  </w:pPr>
                  <w:r>
                    <w:t>/</w:t>
                  </w:r>
                </w:p>
              </w:tc>
              <w:tc>
                <w:tcPr>
                  <w:tcW w:w="908"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continue"/>
                  <w:noWrap w:val="0"/>
                  <w:vAlign w:val="center"/>
                </w:tcPr>
                <w:p>
                  <w:pPr>
                    <w:pStyle w:val="18"/>
                    <w:bidi w:val="0"/>
                  </w:pPr>
                </w:p>
              </w:tc>
              <w:tc>
                <w:tcPr>
                  <w:tcW w:w="1211" w:type="pct"/>
                  <w:noWrap w:val="0"/>
                  <w:vAlign w:val="center"/>
                </w:tcPr>
                <w:p>
                  <w:pPr>
                    <w:pStyle w:val="18"/>
                    <w:bidi w:val="0"/>
                  </w:pPr>
                  <w:r>
                    <w:t>超标倍数</w:t>
                  </w:r>
                </w:p>
              </w:tc>
              <w:tc>
                <w:tcPr>
                  <w:tcW w:w="766" w:type="pct"/>
                  <w:noWrap w:val="0"/>
                  <w:vAlign w:val="center"/>
                </w:tcPr>
                <w:p>
                  <w:pPr>
                    <w:pStyle w:val="18"/>
                    <w:bidi w:val="0"/>
                  </w:pPr>
                  <w:r>
                    <w:t>/</w:t>
                  </w:r>
                </w:p>
              </w:tc>
              <w:tc>
                <w:tcPr>
                  <w:tcW w:w="783" w:type="pct"/>
                  <w:noWrap w:val="0"/>
                  <w:vAlign w:val="center"/>
                </w:tcPr>
                <w:p>
                  <w:pPr>
                    <w:pStyle w:val="18"/>
                    <w:bidi w:val="0"/>
                  </w:pPr>
                  <w:r>
                    <w:t>/</w:t>
                  </w:r>
                </w:p>
              </w:tc>
              <w:tc>
                <w:tcPr>
                  <w:tcW w:w="906" w:type="pct"/>
                  <w:noWrap w:val="0"/>
                  <w:vAlign w:val="center"/>
                </w:tcPr>
                <w:p>
                  <w:pPr>
                    <w:pStyle w:val="18"/>
                    <w:bidi w:val="0"/>
                  </w:pPr>
                  <w:r>
                    <w:t>/</w:t>
                  </w:r>
                </w:p>
              </w:tc>
              <w:tc>
                <w:tcPr>
                  <w:tcW w:w="908"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restart"/>
                  <w:noWrap w:val="0"/>
                  <w:vAlign w:val="center"/>
                </w:tcPr>
                <w:p>
                  <w:pPr>
                    <w:pStyle w:val="18"/>
                    <w:bidi w:val="0"/>
                  </w:pPr>
                  <w:r>
                    <w:t>G3</w:t>
                  </w:r>
                </w:p>
              </w:tc>
              <w:tc>
                <w:tcPr>
                  <w:tcW w:w="1211" w:type="pct"/>
                  <w:noWrap w:val="0"/>
                  <w:vAlign w:val="center"/>
                </w:tcPr>
                <w:p>
                  <w:pPr>
                    <w:pStyle w:val="18"/>
                    <w:bidi w:val="0"/>
                  </w:pPr>
                  <w:r>
                    <w:t>监测范围</w:t>
                  </w:r>
                </w:p>
              </w:tc>
              <w:tc>
                <w:tcPr>
                  <w:tcW w:w="766" w:type="pct"/>
                  <w:noWrap w:val="0"/>
                  <w:vAlign w:val="center"/>
                </w:tcPr>
                <w:p>
                  <w:pPr>
                    <w:pStyle w:val="18"/>
                    <w:bidi w:val="0"/>
                  </w:pPr>
                  <w:r>
                    <w:t>0.04~0.09</w:t>
                  </w:r>
                </w:p>
              </w:tc>
              <w:tc>
                <w:tcPr>
                  <w:tcW w:w="783" w:type="pct"/>
                  <w:noWrap w:val="0"/>
                  <w:vAlign w:val="center"/>
                </w:tcPr>
                <w:p>
                  <w:pPr>
                    <w:pStyle w:val="18"/>
                    <w:bidi w:val="0"/>
                  </w:pPr>
                  <w:r>
                    <w:t>0.01~0.02</w:t>
                  </w:r>
                </w:p>
              </w:tc>
              <w:tc>
                <w:tcPr>
                  <w:tcW w:w="906" w:type="pct"/>
                  <w:noWrap w:val="0"/>
                  <w:vAlign w:val="center"/>
                </w:tcPr>
                <w:p>
                  <w:pPr>
                    <w:pStyle w:val="18"/>
                    <w:bidi w:val="0"/>
                  </w:pPr>
                  <w:r>
                    <w:t>0.094~0.141</w:t>
                  </w:r>
                </w:p>
              </w:tc>
              <w:tc>
                <w:tcPr>
                  <w:tcW w:w="908" w:type="pct"/>
                  <w:noWrap w:val="0"/>
                  <w:vAlign w:val="center"/>
                </w:tcPr>
                <w:p>
                  <w:pPr>
                    <w:pStyle w:val="18"/>
                    <w:bidi w:val="0"/>
                  </w:pPr>
                  <w:r>
                    <w:t>0.017~0.018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continue"/>
                  <w:noWrap w:val="0"/>
                  <w:vAlign w:val="center"/>
                </w:tcPr>
                <w:p>
                  <w:pPr>
                    <w:pStyle w:val="18"/>
                    <w:bidi w:val="0"/>
                  </w:pPr>
                </w:p>
              </w:tc>
              <w:tc>
                <w:tcPr>
                  <w:tcW w:w="1211" w:type="pct"/>
                  <w:noWrap w:val="0"/>
                  <w:vAlign w:val="center"/>
                </w:tcPr>
                <w:p>
                  <w:pPr>
                    <w:pStyle w:val="18"/>
                    <w:bidi w:val="0"/>
                  </w:pPr>
                  <w:r>
                    <w:t>最大浓度占标率(%)</w:t>
                  </w:r>
                </w:p>
              </w:tc>
              <w:tc>
                <w:tcPr>
                  <w:tcW w:w="766" w:type="pct"/>
                  <w:noWrap w:val="0"/>
                  <w:vAlign w:val="center"/>
                </w:tcPr>
                <w:p>
                  <w:pPr>
                    <w:pStyle w:val="18"/>
                    <w:bidi w:val="0"/>
                  </w:pPr>
                  <w:r>
                    <w:t>45</w:t>
                  </w:r>
                </w:p>
              </w:tc>
              <w:tc>
                <w:tcPr>
                  <w:tcW w:w="783" w:type="pct"/>
                  <w:noWrap w:val="0"/>
                  <w:vAlign w:val="center"/>
                </w:tcPr>
                <w:p>
                  <w:pPr>
                    <w:pStyle w:val="18"/>
                    <w:bidi w:val="0"/>
                  </w:pPr>
                  <w:r>
                    <w:t>29.85</w:t>
                  </w:r>
                </w:p>
              </w:tc>
              <w:tc>
                <w:tcPr>
                  <w:tcW w:w="906" w:type="pct"/>
                  <w:noWrap w:val="0"/>
                  <w:vAlign w:val="center"/>
                </w:tcPr>
                <w:p>
                  <w:pPr>
                    <w:pStyle w:val="18"/>
                    <w:bidi w:val="0"/>
                  </w:pPr>
                  <w:r>
                    <w:t>47</w:t>
                  </w:r>
                </w:p>
              </w:tc>
              <w:tc>
                <w:tcPr>
                  <w:tcW w:w="908" w:type="pct"/>
                  <w:noWrap w:val="0"/>
                  <w:vAlign w:val="center"/>
                </w:tcPr>
                <w:p>
                  <w:pPr>
                    <w:pStyle w:val="18"/>
                    <w:bidi w:val="0"/>
                  </w:pPr>
                  <w: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continue"/>
                  <w:noWrap w:val="0"/>
                  <w:vAlign w:val="center"/>
                </w:tcPr>
                <w:p>
                  <w:pPr>
                    <w:pStyle w:val="18"/>
                    <w:bidi w:val="0"/>
                  </w:pPr>
                </w:p>
              </w:tc>
              <w:tc>
                <w:tcPr>
                  <w:tcW w:w="1211" w:type="pct"/>
                  <w:noWrap w:val="0"/>
                  <w:vAlign w:val="center"/>
                </w:tcPr>
                <w:p>
                  <w:pPr>
                    <w:pStyle w:val="18"/>
                    <w:bidi w:val="0"/>
                  </w:pPr>
                  <w:r>
                    <w:t>超标率(%)</w:t>
                  </w:r>
                </w:p>
              </w:tc>
              <w:tc>
                <w:tcPr>
                  <w:tcW w:w="766" w:type="pct"/>
                  <w:noWrap w:val="0"/>
                  <w:vAlign w:val="center"/>
                </w:tcPr>
                <w:p>
                  <w:pPr>
                    <w:pStyle w:val="18"/>
                    <w:bidi w:val="0"/>
                  </w:pPr>
                  <w:r>
                    <w:t>/</w:t>
                  </w:r>
                </w:p>
              </w:tc>
              <w:tc>
                <w:tcPr>
                  <w:tcW w:w="783" w:type="pct"/>
                  <w:noWrap w:val="0"/>
                  <w:vAlign w:val="center"/>
                </w:tcPr>
                <w:p>
                  <w:pPr>
                    <w:pStyle w:val="18"/>
                    <w:bidi w:val="0"/>
                  </w:pPr>
                  <w:r>
                    <w:t>/</w:t>
                  </w:r>
                </w:p>
              </w:tc>
              <w:tc>
                <w:tcPr>
                  <w:tcW w:w="906" w:type="pct"/>
                  <w:noWrap w:val="0"/>
                  <w:vAlign w:val="center"/>
                </w:tcPr>
                <w:p>
                  <w:pPr>
                    <w:pStyle w:val="18"/>
                    <w:bidi w:val="0"/>
                  </w:pPr>
                  <w:r>
                    <w:t>/</w:t>
                  </w:r>
                </w:p>
              </w:tc>
              <w:tc>
                <w:tcPr>
                  <w:tcW w:w="908"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23" w:type="pct"/>
                  <w:vMerge w:val="continue"/>
                  <w:noWrap w:val="0"/>
                  <w:vAlign w:val="center"/>
                </w:tcPr>
                <w:p>
                  <w:pPr>
                    <w:pStyle w:val="18"/>
                    <w:bidi w:val="0"/>
                  </w:pPr>
                </w:p>
              </w:tc>
              <w:tc>
                <w:tcPr>
                  <w:tcW w:w="1211" w:type="pct"/>
                  <w:noWrap w:val="0"/>
                  <w:vAlign w:val="center"/>
                </w:tcPr>
                <w:p>
                  <w:pPr>
                    <w:pStyle w:val="18"/>
                    <w:bidi w:val="0"/>
                  </w:pPr>
                  <w:r>
                    <w:t>超标倍数</w:t>
                  </w:r>
                </w:p>
              </w:tc>
              <w:tc>
                <w:tcPr>
                  <w:tcW w:w="766" w:type="pct"/>
                  <w:noWrap w:val="0"/>
                  <w:vAlign w:val="center"/>
                </w:tcPr>
                <w:p>
                  <w:pPr>
                    <w:pStyle w:val="18"/>
                    <w:bidi w:val="0"/>
                  </w:pPr>
                  <w:r>
                    <w:t>/</w:t>
                  </w:r>
                </w:p>
              </w:tc>
              <w:tc>
                <w:tcPr>
                  <w:tcW w:w="783" w:type="pct"/>
                  <w:noWrap w:val="0"/>
                  <w:vAlign w:val="center"/>
                </w:tcPr>
                <w:p>
                  <w:pPr>
                    <w:pStyle w:val="18"/>
                    <w:bidi w:val="0"/>
                  </w:pPr>
                  <w:r>
                    <w:t>/</w:t>
                  </w:r>
                </w:p>
              </w:tc>
              <w:tc>
                <w:tcPr>
                  <w:tcW w:w="906" w:type="pct"/>
                  <w:noWrap w:val="0"/>
                  <w:vAlign w:val="center"/>
                </w:tcPr>
                <w:p>
                  <w:pPr>
                    <w:pStyle w:val="18"/>
                    <w:bidi w:val="0"/>
                  </w:pPr>
                  <w:r>
                    <w:t>/</w:t>
                  </w:r>
                </w:p>
              </w:tc>
              <w:tc>
                <w:tcPr>
                  <w:tcW w:w="908"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635" w:type="pct"/>
                  <w:gridSpan w:val="2"/>
                  <w:noWrap w:val="0"/>
                  <w:vAlign w:val="center"/>
                </w:tcPr>
                <w:p>
                  <w:pPr>
                    <w:pStyle w:val="18"/>
                    <w:bidi w:val="0"/>
                  </w:pPr>
                  <w:r>
                    <w:t>标准值</w:t>
                  </w:r>
                </w:p>
              </w:tc>
              <w:tc>
                <w:tcPr>
                  <w:tcW w:w="766" w:type="pct"/>
                  <w:noWrap w:val="0"/>
                  <w:vAlign w:val="center"/>
                </w:tcPr>
                <w:p>
                  <w:pPr>
                    <w:pStyle w:val="18"/>
                    <w:bidi w:val="0"/>
                  </w:pPr>
                  <w:r>
                    <w:t>0.2</w:t>
                  </w:r>
                </w:p>
              </w:tc>
              <w:tc>
                <w:tcPr>
                  <w:tcW w:w="783" w:type="pct"/>
                  <w:noWrap w:val="0"/>
                  <w:vAlign w:val="center"/>
                </w:tcPr>
                <w:p>
                  <w:pPr>
                    <w:pStyle w:val="18"/>
                    <w:bidi w:val="0"/>
                  </w:pPr>
                  <w:r>
                    <w:t>0.067</w:t>
                  </w:r>
                </w:p>
              </w:tc>
              <w:tc>
                <w:tcPr>
                  <w:tcW w:w="906" w:type="pct"/>
                  <w:noWrap w:val="0"/>
                  <w:vAlign w:val="center"/>
                </w:tcPr>
                <w:p>
                  <w:pPr>
                    <w:pStyle w:val="18"/>
                    <w:bidi w:val="0"/>
                  </w:pPr>
                  <w:r>
                    <w:t>0.3</w:t>
                  </w:r>
                </w:p>
              </w:tc>
              <w:tc>
                <w:tcPr>
                  <w:tcW w:w="908" w:type="pct"/>
                  <w:noWrap w:val="0"/>
                  <w:vAlign w:val="center"/>
                </w:tcPr>
                <w:p>
                  <w:pPr>
                    <w:pStyle w:val="18"/>
                    <w:bidi w:val="0"/>
                  </w:pPr>
                  <w:r>
                    <w:t>0.1</w:t>
                  </w:r>
                </w:p>
              </w:tc>
            </w:tr>
          </w:tbl>
          <w:p>
            <w:pPr>
              <w:bidi w:val="0"/>
              <w:jc w:val="center"/>
              <w:rPr>
                <w:rFonts w:hint="default"/>
                <w:lang w:val="en-US" w:eastAsia="zh-CN"/>
              </w:rPr>
            </w:pPr>
            <w:r>
              <w:rPr>
                <w:rFonts w:hint="eastAsia"/>
                <w:b/>
                <w:bCs/>
                <w:lang w:val="en-US" w:eastAsia="zh-CN"/>
              </w:rPr>
              <w:t>表3-3  特征污染物环境质量现状统计表（2）单位：mg/m</w:t>
            </w:r>
            <w:r>
              <w:rPr>
                <w:rFonts w:hint="eastAsia"/>
                <w:b/>
                <w:bCs/>
                <w:vertAlign w:val="superscript"/>
                <w:lang w:val="en-US" w:eastAsia="zh-CN"/>
              </w:rPr>
              <w:t>3</w:t>
            </w:r>
          </w:p>
          <w:tbl>
            <w:tblPr>
              <w:tblStyle w:val="15"/>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22"/>
              <w:gridCol w:w="1830"/>
              <w:gridCol w:w="1475"/>
              <w:gridCol w:w="1646"/>
              <w:gridCol w:w="21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639" w:type="pct"/>
                  <w:gridSpan w:val="2"/>
                  <w:vMerge w:val="restart"/>
                  <w:noWrap w:val="0"/>
                  <w:vAlign w:val="center"/>
                </w:tcPr>
                <w:p>
                  <w:pPr>
                    <w:pStyle w:val="18"/>
                    <w:bidi w:val="0"/>
                  </w:pPr>
                  <w:r>
                    <w:t xml:space="preserve">          监测因子</w:t>
                  </w:r>
                </w:p>
                <w:p>
                  <w:pPr>
                    <w:pStyle w:val="18"/>
                    <w:bidi w:val="0"/>
                  </w:pPr>
                  <w:r>
                    <w:t>监测点位</w:t>
                  </w:r>
                </w:p>
              </w:tc>
              <w:tc>
                <w:tcPr>
                  <w:tcW w:w="947" w:type="pct"/>
                  <w:noWrap w:val="0"/>
                  <w:vAlign w:val="top"/>
                </w:tcPr>
                <w:p>
                  <w:pPr>
                    <w:pStyle w:val="18"/>
                    <w:bidi w:val="0"/>
                  </w:pPr>
                  <w:r>
                    <w:t>TSP</w:t>
                  </w:r>
                </w:p>
              </w:tc>
              <w:tc>
                <w:tcPr>
                  <w:tcW w:w="1057" w:type="pct"/>
                  <w:noWrap w:val="0"/>
                  <w:vAlign w:val="center"/>
                </w:tcPr>
                <w:p>
                  <w:pPr>
                    <w:pStyle w:val="18"/>
                    <w:bidi w:val="0"/>
                  </w:pPr>
                  <w:r>
                    <w:t>PM</w:t>
                  </w:r>
                  <w:r>
                    <w:rPr>
                      <w:vertAlign w:val="subscript"/>
                    </w:rPr>
                    <w:t>10</w:t>
                  </w:r>
                </w:p>
              </w:tc>
              <w:tc>
                <w:tcPr>
                  <w:tcW w:w="1354" w:type="pct"/>
                  <w:noWrap w:val="0"/>
                  <w:vAlign w:val="center"/>
                </w:tcPr>
                <w:p>
                  <w:pPr>
                    <w:pStyle w:val="18"/>
                    <w:bidi w:val="0"/>
                  </w:pPr>
                  <w:r>
                    <w:t>Mn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639" w:type="pct"/>
                  <w:gridSpan w:val="2"/>
                  <w:vMerge w:val="continue"/>
                  <w:noWrap w:val="0"/>
                  <w:vAlign w:val="center"/>
                </w:tcPr>
                <w:p>
                  <w:pPr>
                    <w:pStyle w:val="18"/>
                    <w:bidi w:val="0"/>
                  </w:pPr>
                </w:p>
              </w:tc>
              <w:tc>
                <w:tcPr>
                  <w:tcW w:w="947" w:type="pct"/>
                  <w:noWrap w:val="0"/>
                  <w:vAlign w:val="center"/>
                </w:tcPr>
                <w:p>
                  <w:pPr>
                    <w:pStyle w:val="18"/>
                    <w:bidi w:val="0"/>
                  </w:pPr>
                  <w:r>
                    <w:t>日均值</w:t>
                  </w:r>
                </w:p>
              </w:tc>
              <w:tc>
                <w:tcPr>
                  <w:tcW w:w="1057" w:type="pct"/>
                  <w:noWrap w:val="0"/>
                  <w:vAlign w:val="center"/>
                </w:tcPr>
                <w:p>
                  <w:pPr>
                    <w:pStyle w:val="18"/>
                    <w:bidi w:val="0"/>
                  </w:pPr>
                  <w:r>
                    <w:t>日均值</w:t>
                  </w:r>
                </w:p>
              </w:tc>
              <w:tc>
                <w:tcPr>
                  <w:tcW w:w="1354" w:type="pct"/>
                  <w:noWrap w:val="0"/>
                  <w:vAlign w:val="center"/>
                </w:tcPr>
                <w:p>
                  <w:pPr>
                    <w:pStyle w:val="18"/>
                    <w:bidi w:val="0"/>
                  </w:pPr>
                  <w:r>
                    <w:t>日均值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restart"/>
                  <w:noWrap w:val="0"/>
                  <w:vAlign w:val="center"/>
                </w:tcPr>
                <w:p>
                  <w:pPr>
                    <w:pStyle w:val="18"/>
                    <w:bidi w:val="0"/>
                  </w:pPr>
                  <w:r>
                    <w:t>G1</w:t>
                  </w:r>
                </w:p>
              </w:tc>
              <w:tc>
                <w:tcPr>
                  <w:tcW w:w="1175" w:type="pct"/>
                  <w:noWrap w:val="0"/>
                  <w:vAlign w:val="center"/>
                </w:tcPr>
                <w:p>
                  <w:pPr>
                    <w:pStyle w:val="18"/>
                    <w:bidi w:val="0"/>
                  </w:pPr>
                  <w:r>
                    <w:t>监测范围</w:t>
                  </w:r>
                </w:p>
              </w:tc>
              <w:tc>
                <w:tcPr>
                  <w:tcW w:w="947" w:type="pct"/>
                  <w:noWrap w:val="0"/>
                  <w:vAlign w:val="center"/>
                </w:tcPr>
                <w:p>
                  <w:pPr>
                    <w:pStyle w:val="18"/>
                    <w:bidi w:val="0"/>
                  </w:pPr>
                  <w:r>
                    <w:t>0.06~0.066</w:t>
                  </w:r>
                </w:p>
              </w:tc>
              <w:tc>
                <w:tcPr>
                  <w:tcW w:w="1057" w:type="pct"/>
                  <w:noWrap w:val="0"/>
                  <w:vAlign w:val="center"/>
                </w:tcPr>
                <w:p>
                  <w:pPr>
                    <w:pStyle w:val="18"/>
                    <w:bidi w:val="0"/>
                  </w:pPr>
                  <w:r>
                    <w:t>0.034~0.044</w:t>
                  </w:r>
                </w:p>
              </w:tc>
              <w:tc>
                <w:tcPr>
                  <w:tcW w:w="1354" w:type="pct"/>
                  <w:noWrap w:val="0"/>
                  <w:vAlign w:val="center"/>
                </w:tcPr>
                <w:p>
                  <w:pPr>
                    <w:pStyle w:val="18"/>
                    <w:bidi w:val="0"/>
                  </w:pPr>
                  <w:r>
                    <w:t>0.000109~0.000129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continue"/>
                  <w:noWrap w:val="0"/>
                  <w:vAlign w:val="center"/>
                </w:tcPr>
                <w:p>
                  <w:pPr>
                    <w:pStyle w:val="18"/>
                    <w:bidi w:val="0"/>
                  </w:pPr>
                </w:p>
              </w:tc>
              <w:tc>
                <w:tcPr>
                  <w:tcW w:w="1175" w:type="pct"/>
                  <w:noWrap w:val="0"/>
                  <w:vAlign w:val="center"/>
                </w:tcPr>
                <w:p>
                  <w:pPr>
                    <w:pStyle w:val="18"/>
                    <w:bidi w:val="0"/>
                  </w:pPr>
                  <w:r>
                    <w:t>最大浓度占标率(%)</w:t>
                  </w:r>
                </w:p>
              </w:tc>
              <w:tc>
                <w:tcPr>
                  <w:tcW w:w="947" w:type="pct"/>
                  <w:noWrap w:val="0"/>
                  <w:vAlign w:val="center"/>
                </w:tcPr>
                <w:p>
                  <w:pPr>
                    <w:pStyle w:val="18"/>
                    <w:bidi w:val="0"/>
                  </w:pPr>
                  <w:r>
                    <w:t>22</w:t>
                  </w:r>
                </w:p>
              </w:tc>
              <w:tc>
                <w:tcPr>
                  <w:tcW w:w="1057" w:type="pct"/>
                  <w:noWrap w:val="0"/>
                  <w:vAlign w:val="center"/>
                </w:tcPr>
                <w:p>
                  <w:pPr>
                    <w:pStyle w:val="18"/>
                    <w:bidi w:val="0"/>
                  </w:pPr>
                  <w:r>
                    <w:t>29.3</w:t>
                  </w:r>
                </w:p>
              </w:tc>
              <w:tc>
                <w:tcPr>
                  <w:tcW w:w="1354" w:type="pct"/>
                  <w:noWrap w:val="0"/>
                  <w:vAlign w:val="center"/>
                </w:tcPr>
                <w:p>
                  <w:pPr>
                    <w:pStyle w:val="18"/>
                    <w:bidi w:val="0"/>
                  </w:pPr>
                  <w:r>
                    <w:t>1.29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continue"/>
                  <w:noWrap w:val="0"/>
                  <w:vAlign w:val="center"/>
                </w:tcPr>
                <w:p>
                  <w:pPr>
                    <w:pStyle w:val="18"/>
                    <w:bidi w:val="0"/>
                  </w:pPr>
                </w:p>
              </w:tc>
              <w:tc>
                <w:tcPr>
                  <w:tcW w:w="1175" w:type="pct"/>
                  <w:noWrap w:val="0"/>
                  <w:vAlign w:val="center"/>
                </w:tcPr>
                <w:p>
                  <w:pPr>
                    <w:pStyle w:val="18"/>
                    <w:bidi w:val="0"/>
                  </w:pPr>
                  <w:r>
                    <w:t>超标率(%)</w:t>
                  </w:r>
                </w:p>
              </w:tc>
              <w:tc>
                <w:tcPr>
                  <w:tcW w:w="947" w:type="pct"/>
                  <w:noWrap w:val="0"/>
                  <w:vAlign w:val="center"/>
                </w:tcPr>
                <w:p>
                  <w:pPr>
                    <w:pStyle w:val="18"/>
                    <w:bidi w:val="0"/>
                  </w:pPr>
                  <w:r>
                    <w:t>/</w:t>
                  </w:r>
                </w:p>
              </w:tc>
              <w:tc>
                <w:tcPr>
                  <w:tcW w:w="1057" w:type="pct"/>
                  <w:noWrap w:val="0"/>
                  <w:vAlign w:val="center"/>
                </w:tcPr>
                <w:p>
                  <w:pPr>
                    <w:pStyle w:val="18"/>
                    <w:bidi w:val="0"/>
                  </w:pPr>
                  <w:r>
                    <w:t>/</w:t>
                  </w:r>
                </w:p>
              </w:tc>
              <w:tc>
                <w:tcPr>
                  <w:tcW w:w="1354"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continue"/>
                  <w:noWrap w:val="0"/>
                  <w:vAlign w:val="center"/>
                </w:tcPr>
                <w:p>
                  <w:pPr>
                    <w:pStyle w:val="18"/>
                    <w:bidi w:val="0"/>
                  </w:pPr>
                </w:p>
              </w:tc>
              <w:tc>
                <w:tcPr>
                  <w:tcW w:w="1175" w:type="pct"/>
                  <w:noWrap w:val="0"/>
                  <w:vAlign w:val="center"/>
                </w:tcPr>
                <w:p>
                  <w:pPr>
                    <w:pStyle w:val="18"/>
                    <w:bidi w:val="0"/>
                  </w:pPr>
                  <w:r>
                    <w:t>超标倍数</w:t>
                  </w:r>
                </w:p>
              </w:tc>
              <w:tc>
                <w:tcPr>
                  <w:tcW w:w="947" w:type="pct"/>
                  <w:noWrap w:val="0"/>
                  <w:vAlign w:val="center"/>
                </w:tcPr>
                <w:p>
                  <w:pPr>
                    <w:pStyle w:val="18"/>
                    <w:bidi w:val="0"/>
                  </w:pPr>
                  <w:r>
                    <w:t>/</w:t>
                  </w:r>
                </w:p>
              </w:tc>
              <w:tc>
                <w:tcPr>
                  <w:tcW w:w="1057" w:type="pct"/>
                  <w:noWrap w:val="0"/>
                  <w:vAlign w:val="center"/>
                </w:tcPr>
                <w:p>
                  <w:pPr>
                    <w:pStyle w:val="18"/>
                    <w:bidi w:val="0"/>
                  </w:pPr>
                  <w:r>
                    <w:t>/</w:t>
                  </w:r>
                </w:p>
              </w:tc>
              <w:tc>
                <w:tcPr>
                  <w:tcW w:w="1354"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restart"/>
                  <w:noWrap w:val="0"/>
                  <w:vAlign w:val="center"/>
                </w:tcPr>
                <w:p>
                  <w:pPr>
                    <w:pStyle w:val="18"/>
                    <w:bidi w:val="0"/>
                  </w:pPr>
                  <w:r>
                    <w:t>G2</w:t>
                  </w:r>
                </w:p>
              </w:tc>
              <w:tc>
                <w:tcPr>
                  <w:tcW w:w="1175" w:type="pct"/>
                  <w:noWrap w:val="0"/>
                  <w:vAlign w:val="center"/>
                </w:tcPr>
                <w:p>
                  <w:pPr>
                    <w:pStyle w:val="18"/>
                    <w:bidi w:val="0"/>
                  </w:pPr>
                  <w:r>
                    <w:t>监测范围</w:t>
                  </w:r>
                </w:p>
              </w:tc>
              <w:tc>
                <w:tcPr>
                  <w:tcW w:w="947" w:type="pct"/>
                  <w:noWrap w:val="0"/>
                  <w:vAlign w:val="center"/>
                </w:tcPr>
                <w:p>
                  <w:pPr>
                    <w:pStyle w:val="18"/>
                    <w:bidi w:val="0"/>
                  </w:pPr>
                  <w:r>
                    <w:t>0.061~0.067</w:t>
                  </w:r>
                </w:p>
              </w:tc>
              <w:tc>
                <w:tcPr>
                  <w:tcW w:w="1057" w:type="pct"/>
                  <w:noWrap w:val="0"/>
                  <w:vAlign w:val="center"/>
                </w:tcPr>
                <w:p>
                  <w:pPr>
                    <w:pStyle w:val="18"/>
                    <w:bidi w:val="0"/>
                  </w:pPr>
                  <w:r>
                    <w:t>0.038~0.044</w:t>
                  </w:r>
                </w:p>
              </w:tc>
              <w:tc>
                <w:tcPr>
                  <w:tcW w:w="1354" w:type="pct"/>
                  <w:noWrap w:val="0"/>
                  <w:vAlign w:val="center"/>
                </w:tcPr>
                <w:p>
                  <w:pPr>
                    <w:pStyle w:val="18"/>
                    <w:bidi w:val="0"/>
                  </w:pPr>
                  <w:r>
                    <w:t>0.000126~0.000132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continue"/>
                  <w:noWrap w:val="0"/>
                  <w:vAlign w:val="center"/>
                </w:tcPr>
                <w:p>
                  <w:pPr>
                    <w:pStyle w:val="18"/>
                    <w:bidi w:val="0"/>
                  </w:pPr>
                </w:p>
              </w:tc>
              <w:tc>
                <w:tcPr>
                  <w:tcW w:w="1175" w:type="pct"/>
                  <w:noWrap w:val="0"/>
                  <w:vAlign w:val="center"/>
                </w:tcPr>
                <w:p>
                  <w:pPr>
                    <w:pStyle w:val="18"/>
                    <w:bidi w:val="0"/>
                  </w:pPr>
                  <w:r>
                    <w:t>最大浓度占标率(%)</w:t>
                  </w:r>
                </w:p>
              </w:tc>
              <w:tc>
                <w:tcPr>
                  <w:tcW w:w="947" w:type="pct"/>
                  <w:noWrap w:val="0"/>
                  <w:vAlign w:val="center"/>
                </w:tcPr>
                <w:p>
                  <w:pPr>
                    <w:pStyle w:val="18"/>
                    <w:bidi w:val="0"/>
                  </w:pPr>
                  <w:r>
                    <w:t>22.3</w:t>
                  </w:r>
                </w:p>
              </w:tc>
              <w:tc>
                <w:tcPr>
                  <w:tcW w:w="1057" w:type="pct"/>
                  <w:noWrap w:val="0"/>
                  <w:vAlign w:val="center"/>
                </w:tcPr>
                <w:p>
                  <w:pPr>
                    <w:pStyle w:val="18"/>
                    <w:bidi w:val="0"/>
                  </w:pPr>
                  <w:r>
                    <w:t>29.3</w:t>
                  </w:r>
                </w:p>
              </w:tc>
              <w:tc>
                <w:tcPr>
                  <w:tcW w:w="1354" w:type="pct"/>
                  <w:noWrap w:val="0"/>
                  <w:vAlign w:val="center"/>
                </w:tcPr>
                <w:p>
                  <w:pPr>
                    <w:pStyle w:val="18"/>
                    <w:bidi w:val="0"/>
                  </w:pPr>
                  <w:r>
                    <w:t>1.32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continue"/>
                  <w:noWrap w:val="0"/>
                  <w:vAlign w:val="center"/>
                </w:tcPr>
                <w:p>
                  <w:pPr>
                    <w:pStyle w:val="18"/>
                    <w:bidi w:val="0"/>
                  </w:pPr>
                </w:p>
              </w:tc>
              <w:tc>
                <w:tcPr>
                  <w:tcW w:w="1175" w:type="pct"/>
                  <w:noWrap w:val="0"/>
                  <w:vAlign w:val="center"/>
                </w:tcPr>
                <w:p>
                  <w:pPr>
                    <w:pStyle w:val="18"/>
                    <w:bidi w:val="0"/>
                  </w:pPr>
                  <w:r>
                    <w:t>超标率(%)</w:t>
                  </w:r>
                </w:p>
              </w:tc>
              <w:tc>
                <w:tcPr>
                  <w:tcW w:w="947" w:type="pct"/>
                  <w:noWrap w:val="0"/>
                  <w:vAlign w:val="center"/>
                </w:tcPr>
                <w:p>
                  <w:pPr>
                    <w:pStyle w:val="18"/>
                    <w:bidi w:val="0"/>
                  </w:pPr>
                  <w:r>
                    <w:t>/</w:t>
                  </w:r>
                </w:p>
              </w:tc>
              <w:tc>
                <w:tcPr>
                  <w:tcW w:w="1057" w:type="pct"/>
                  <w:noWrap w:val="0"/>
                  <w:vAlign w:val="center"/>
                </w:tcPr>
                <w:p>
                  <w:pPr>
                    <w:pStyle w:val="18"/>
                    <w:bidi w:val="0"/>
                  </w:pPr>
                  <w:r>
                    <w:t>/</w:t>
                  </w:r>
                </w:p>
              </w:tc>
              <w:tc>
                <w:tcPr>
                  <w:tcW w:w="1354"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continue"/>
                  <w:noWrap w:val="0"/>
                  <w:vAlign w:val="center"/>
                </w:tcPr>
                <w:p>
                  <w:pPr>
                    <w:pStyle w:val="18"/>
                    <w:bidi w:val="0"/>
                  </w:pPr>
                </w:p>
              </w:tc>
              <w:tc>
                <w:tcPr>
                  <w:tcW w:w="1175" w:type="pct"/>
                  <w:noWrap w:val="0"/>
                  <w:vAlign w:val="center"/>
                </w:tcPr>
                <w:p>
                  <w:pPr>
                    <w:pStyle w:val="18"/>
                    <w:bidi w:val="0"/>
                  </w:pPr>
                  <w:r>
                    <w:t>超标倍数</w:t>
                  </w:r>
                </w:p>
              </w:tc>
              <w:tc>
                <w:tcPr>
                  <w:tcW w:w="947" w:type="pct"/>
                  <w:noWrap w:val="0"/>
                  <w:vAlign w:val="center"/>
                </w:tcPr>
                <w:p>
                  <w:pPr>
                    <w:pStyle w:val="18"/>
                    <w:bidi w:val="0"/>
                  </w:pPr>
                  <w:r>
                    <w:t>/</w:t>
                  </w:r>
                </w:p>
              </w:tc>
              <w:tc>
                <w:tcPr>
                  <w:tcW w:w="1057" w:type="pct"/>
                  <w:noWrap w:val="0"/>
                  <w:vAlign w:val="center"/>
                </w:tcPr>
                <w:p>
                  <w:pPr>
                    <w:pStyle w:val="18"/>
                    <w:bidi w:val="0"/>
                  </w:pPr>
                  <w:r>
                    <w:t>/</w:t>
                  </w:r>
                </w:p>
              </w:tc>
              <w:tc>
                <w:tcPr>
                  <w:tcW w:w="1354"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restart"/>
                  <w:noWrap w:val="0"/>
                  <w:vAlign w:val="center"/>
                </w:tcPr>
                <w:p>
                  <w:pPr>
                    <w:pStyle w:val="18"/>
                    <w:bidi w:val="0"/>
                  </w:pPr>
                  <w:r>
                    <w:t>G3</w:t>
                  </w:r>
                </w:p>
              </w:tc>
              <w:tc>
                <w:tcPr>
                  <w:tcW w:w="1175" w:type="pct"/>
                  <w:noWrap w:val="0"/>
                  <w:vAlign w:val="center"/>
                </w:tcPr>
                <w:p>
                  <w:pPr>
                    <w:pStyle w:val="18"/>
                    <w:bidi w:val="0"/>
                  </w:pPr>
                  <w:r>
                    <w:t>监测范围</w:t>
                  </w:r>
                </w:p>
              </w:tc>
              <w:tc>
                <w:tcPr>
                  <w:tcW w:w="947" w:type="pct"/>
                  <w:noWrap w:val="0"/>
                  <w:vAlign w:val="center"/>
                </w:tcPr>
                <w:p>
                  <w:pPr>
                    <w:pStyle w:val="18"/>
                    <w:bidi w:val="0"/>
                  </w:pPr>
                  <w:r>
                    <w:t>0.058~0.066</w:t>
                  </w:r>
                </w:p>
              </w:tc>
              <w:tc>
                <w:tcPr>
                  <w:tcW w:w="1057" w:type="pct"/>
                  <w:noWrap w:val="0"/>
                  <w:vAlign w:val="center"/>
                </w:tcPr>
                <w:p>
                  <w:pPr>
                    <w:pStyle w:val="18"/>
                    <w:bidi w:val="0"/>
                  </w:pPr>
                  <w:r>
                    <w:t>0.038~0.046</w:t>
                  </w:r>
                </w:p>
              </w:tc>
              <w:tc>
                <w:tcPr>
                  <w:tcW w:w="1354" w:type="pct"/>
                  <w:noWrap w:val="0"/>
                  <w:vAlign w:val="center"/>
                </w:tcPr>
                <w:p>
                  <w:pPr>
                    <w:pStyle w:val="18"/>
                    <w:bidi w:val="0"/>
                  </w:pPr>
                  <w:r>
                    <w:t>0.000129~0.000134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continue"/>
                  <w:noWrap w:val="0"/>
                  <w:vAlign w:val="center"/>
                </w:tcPr>
                <w:p>
                  <w:pPr>
                    <w:pStyle w:val="18"/>
                    <w:bidi w:val="0"/>
                  </w:pPr>
                </w:p>
              </w:tc>
              <w:tc>
                <w:tcPr>
                  <w:tcW w:w="1175" w:type="pct"/>
                  <w:noWrap w:val="0"/>
                  <w:vAlign w:val="center"/>
                </w:tcPr>
                <w:p>
                  <w:pPr>
                    <w:pStyle w:val="18"/>
                    <w:bidi w:val="0"/>
                  </w:pPr>
                  <w:r>
                    <w:t>最大浓度占标率(%)</w:t>
                  </w:r>
                </w:p>
              </w:tc>
              <w:tc>
                <w:tcPr>
                  <w:tcW w:w="947" w:type="pct"/>
                  <w:noWrap w:val="0"/>
                  <w:vAlign w:val="center"/>
                </w:tcPr>
                <w:p>
                  <w:pPr>
                    <w:pStyle w:val="18"/>
                    <w:bidi w:val="0"/>
                  </w:pPr>
                  <w:r>
                    <w:t>22</w:t>
                  </w:r>
                </w:p>
              </w:tc>
              <w:tc>
                <w:tcPr>
                  <w:tcW w:w="1057" w:type="pct"/>
                  <w:noWrap w:val="0"/>
                  <w:vAlign w:val="center"/>
                </w:tcPr>
                <w:p>
                  <w:pPr>
                    <w:pStyle w:val="18"/>
                    <w:bidi w:val="0"/>
                  </w:pPr>
                  <w:r>
                    <w:t>30.67</w:t>
                  </w:r>
                </w:p>
              </w:tc>
              <w:tc>
                <w:tcPr>
                  <w:tcW w:w="1354" w:type="pct"/>
                  <w:noWrap w:val="0"/>
                  <w:vAlign w:val="center"/>
                </w:tcPr>
                <w:p>
                  <w:pPr>
                    <w:pStyle w:val="18"/>
                    <w:bidi w:val="0"/>
                  </w:pPr>
                  <w:r>
                    <w:t>3.34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continue"/>
                  <w:noWrap w:val="0"/>
                  <w:vAlign w:val="center"/>
                </w:tcPr>
                <w:p>
                  <w:pPr>
                    <w:pStyle w:val="18"/>
                    <w:bidi w:val="0"/>
                  </w:pPr>
                </w:p>
              </w:tc>
              <w:tc>
                <w:tcPr>
                  <w:tcW w:w="1175" w:type="pct"/>
                  <w:noWrap w:val="0"/>
                  <w:vAlign w:val="center"/>
                </w:tcPr>
                <w:p>
                  <w:pPr>
                    <w:pStyle w:val="18"/>
                    <w:bidi w:val="0"/>
                  </w:pPr>
                  <w:r>
                    <w:t>超标率(%)</w:t>
                  </w:r>
                </w:p>
              </w:tc>
              <w:tc>
                <w:tcPr>
                  <w:tcW w:w="947" w:type="pct"/>
                  <w:noWrap w:val="0"/>
                  <w:vAlign w:val="center"/>
                </w:tcPr>
                <w:p>
                  <w:pPr>
                    <w:pStyle w:val="18"/>
                    <w:bidi w:val="0"/>
                  </w:pPr>
                  <w:r>
                    <w:t>/</w:t>
                  </w:r>
                </w:p>
              </w:tc>
              <w:tc>
                <w:tcPr>
                  <w:tcW w:w="1057" w:type="pct"/>
                  <w:noWrap w:val="0"/>
                  <w:vAlign w:val="center"/>
                </w:tcPr>
                <w:p>
                  <w:pPr>
                    <w:pStyle w:val="18"/>
                    <w:bidi w:val="0"/>
                  </w:pPr>
                  <w:r>
                    <w:t>/</w:t>
                  </w:r>
                </w:p>
              </w:tc>
              <w:tc>
                <w:tcPr>
                  <w:tcW w:w="1354"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pct"/>
                  <w:vMerge w:val="continue"/>
                  <w:noWrap w:val="0"/>
                  <w:vAlign w:val="center"/>
                </w:tcPr>
                <w:p>
                  <w:pPr>
                    <w:pStyle w:val="18"/>
                    <w:bidi w:val="0"/>
                  </w:pPr>
                </w:p>
              </w:tc>
              <w:tc>
                <w:tcPr>
                  <w:tcW w:w="1175" w:type="pct"/>
                  <w:noWrap w:val="0"/>
                  <w:vAlign w:val="center"/>
                </w:tcPr>
                <w:p>
                  <w:pPr>
                    <w:pStyle w:val="18"/>
                    <w:bidi w:val="0"/>
                  </w:pPr>
                  <w:r>
                    <w:t>超标倍数</w:t>
                  </w:r>
                </w:p>
              </w:tc>
              <w:tc>
                <w:tcPr>
                  <w:tcW w:w="947" w:type="pct"/>
                  <w:noWrap w:val="0"/>
                  <w:vAlign w:val="center"/>
                </w:tcPr>
                <w:p>
                  <w:pPr>
                    <w:pStyle w:val="18"/>
                    <w:bidi w:val="0"/>
                  </w:pPr>
                  <w:r>
                    <w:t>/</w:t>
                  </w:r>
                </w:p>
              </w:tc>
              <w:tc>
                <w:tcPr>
                  <w:tcW w:w="1057" w:type="pct"/>
                  <w:noWrap w:val="0"/>
                  <w:vAlign w:val="center"/>
                </w:tcPr>
                <w:p>
                  <w:pPr>
                    <w:pStyle w:val="18"/>
                    <w:bidi w:val="0"/>
                  </w:pPr>
                  <w:r>
                    <w:t>/</w:t>
                  </w:r>
                </w:p>
              </w:tc>
              <w:tc>
                <w:tcPr>
                  <w:tcW w:w="1354" w:type="pct"/>
                  <w:noWrap w:val="0"/>
                  <w:vAlign w:val="center"/>
                </w:tcPr>
                <w:p>
                  <w:pPr>
                    <w:pStyle w:val="18"/>
                    <w:bidi w:val="0"/>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639" w:type="pct"/>
                  <w:gridSpan w:val="2"/>
                  <w:noWrap w:val="0"/>
                  <w:vAlign w:val="center"/>
                </w:tcPr>
                <w:p>
                  <w:pPr>
                    <w:pStyle w:val="18"/>
                    <w:bidi w:val="0"/>
                  </w:pPr>
                  <w:r>
                    <w:t>标准值</w:t>
                  </w:r>
                </w:p>
              </w:tc>
              <w:tc>
                <w:tcPr>
                  <w:tcW w:w="947" w:type="pct"/>
                  <w:noWrap w:val="0"/>
                  <w:vAlign w:val="top"/>
                </w:tcPr>
                <w:p>
                  <w:pPr>
                    <w:pStyle w:val="18"/>
                    <w:bidi w:val="0"/>
                  </w:pPr>
                  <w:r>
                    <w:t>0.3</w:t>
                  </w:r>
                </w:p>
              </w:tc>
              <w:tc>
                <w:tcPr>
                  <w:tcW w:w="1057" w:type="pct"/>
                  <w:noWrap w:val="0"/>
                  <w:vAlign w:val="center"/>
                </w:tcPr>
                <w:p>
                  <w:pPr>
                    <w:pStyle w:val="18"/>
                    <w:bidi w:val="0"/>
                  </w:pPr>
                  <w:r>
                    <w:t>0.15</w:t>
                  </w:r>
                </w:p>
              </w:tc>
              <w:tc>
                <w:tcPr>
                  <w:tcW w:w="1354" w:type="pct"/>
                  <w:noWrap w:val="0"/>
                  <w:vAlign w:val="center"/>
                </w:tcPr>
                <w:p>
                  <w:pPr>
                    <w:pStyle w:val="18"/>
                    <w:bidi w:val="0"/>
                  </w:pPr>
                  <w:r>
                    <w:t>0.01</w:t>
                  </w:r>
                </w:p>
              </w:tc>
            </w:tr>
          </w:tbl>
          <w:p>
            <w:pPr>
              <w:pStyle w:val="19"/>
              <w:bidi w:val="0"/>
              <w:ind w:left="0" w:leftChars="0" w:firstLine="0" w:firstLineChars="0"/>
            </w:pPr>
          </w:p>
          <w:p>
            <w:pPr>
              <w:pStyle w:val="19"/>
              <w:bidi w:val="0"/>
              <w:ind w:left="0" w:leftChars="0" w:firstLine="0" w:firstLineChars="0"/>
              <w:rPr>
                <w:rFonts w:hint="default"/>
                <w:lang w:val="en-US" w:eastAsia="zh-CN"/>
              </w:rPr>
            </w:pPr>
            <w:r>
              <w:drawing>
                <wp:inline distT="0" distB="0" distL="114300" distR="114300">
                  <wp:extent cx="4995545" cy="3330575"/>
                  <wp:effectExtent l="0" t="0" r="5080" b="317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3"/>
                          <a:stretch>
                            <a:fillRect/>
                          </a:stretch>
                        </pic:blipFill>
                        <pic:spPr>
                          <a:xfrm>
                            <a:off x="0" y="0"/>
                            <a:ext cx="4995545" cy="3330575"/>
                          </a:xfrm>
                          <a:prstGeom prst="rect">
                            <a:avLst/>
                          </a:prstGeom>
                          <a:noFill/>
                          <a:ln>
                            <a:noFill/>
                          </a:ln>
                        </pic:spPr>
                      </pic:pic>
                    </a:graphicData>
                  </a:graphic>
                </wp:inline>
              </w:drawing>
            </w:r>
          </w:p>
          <w:p>
            <w:pPr>
              <w:pStyle w:val="19"/>
              <w:bidi w:val="0"/>
              <w:ind w:left="0" w:leftChars="0" w:firstLine="0" w:firstLineChars="0"/>
              <w:jc w:val="center"/>
              <w:rPr>
                <w:rFonts w:hint="default"/>
                <w:b/>
                <w:bCs/>
                <w:lang w:val="en-US" w:eastAsia="zh-CN"/>
              </w:rPr>
            </w:pPr>
            <w:r>
              <w:rPr>
                <w:rFonts w:hint="eastAsia"/>
                <w:b/>
                <w:bCs/>
                <w:lang w:val="en-US" w:eastAsia="zh-CN"/>
              </w:rPr>
              <w:t>图3-1  大气引用监测数据布点示意图</w:t>
            </w:r>
          </w:p>
          <w:p>
            <w:pPr>
              <w:pStyle w:val="19"/>
              <w:bidi w:val="0"/>
              <w:rPr>
                <w:rFonts w:hint="default"/>
                <w:lang w:val="en-US" w:eastAsia="zh-CN"/>
              </w:rPr>
            </w:pPr>
            <w:r>
              <w:rPr>
                <w:rFonts w:hint="eastAsia"/>
                <w:lang w:val="en-US" w:eastAsia="zh-CN"/>
              </w:rPr>
              <w:t>由监测的结果可知，项目评价区域内的TSP、PM</w:t>
            </w:r>
            <w:r>
              <w:rPr>
                <w:rFonts w:hint="eastAsia"/>
                <w:vertAlign w:val="subscript"/>
                <w:lang w:val="en-US" w:eastAsia="zh-CN"/>
              </w:rPr>
              <w:t>10</w:t>
            </w:r>
            <w:r>
              <w:rPr>
                <w:rFonts w:hint="eastAsia"/>
                <w:lang w:val="en-US" w:eastAsia="zh-CN"/>
              </w:rPr>
              <w:t>低于《环境空气质量标准》（GB3095-2012）表2、表1中二级标准，NH</w:t>
            </w:r>
            <w:r>
              <w:rPr>
                <w:rFonts w:hint="eastAsia"/>
                <w:vertAlign w:val="subscript"/>
                <w:lang w:val="en-US" w:eastAsia="zh-CN"/>
              </w:rPr>
              <w:t>3</w:t>
            </w:r>
            <w:r>
              <w:rPr>
                <w:rFonts w:hint="eastAsia"/>
                <w:lang w:val="en-US" w:eastAsia="zh-CN"/>
              </w:rPr>
              <w:t>、硫酸雾小时浓度监测值低于《环境影响评价技术导则 大气环境》HJ2.2-2018中附录D的标准限值，锰及其化合物日均浓度监测值低于《环境影响评价技术导则 大气环境》HJ2.2-2018中附录D的标准限值。</w:t>
            </w:r>
          </w:p>
          <w:p>
            <w:pPr>
              <w:pStyle w:val="4"/>
              <w:bidi w:val="0"/>
              <w:rPr>
                <w:rFonts w:hint="default"/>
                <w:lang w:val="en-US" w:eastAsia="zh-CN"/>
              </w:rPr>
            </w:pPr>
            <w:bookmarkStart w:id="30" w:name="_Toc1480"/>
            <w:bookmarkStart w:id="31" w:name="_Toc26846"/>
            <w:r>
              <w:rPr>
                <w:rFonts w:hint="eastAsia"/>
                <w:lang w:val="en-US" w:eastAsia="zh-CN"/>
              </w:rPr>
              <w:t>2、地表水环境质量现状</w:t>
            </w:r>
            <w:bookmarkEnd w:id="30"/>
            <w:bookmarkEnd w:id="31"/>
          </w:p>
          <w:p>
            <w:pPr>
              <w:pStyle w:val="19"/>
              <w:bidi w:val="0"/>
              <w:rPr>
                <w:rFonts w:hint="default"/>
                <w:lang w:val="en-US" w:eastAsia="zh-CN"/>
              </w:rPr>
            </w:pPr>
            <w:r>
              <w:rPr>
                <w:rFonts w:hint="eastAsia"/>
                <w:lang w:val="en-US" w:eastAsia="zh-CN"/>
              </w:rPr>
              <w:t>本项目生产废水和污水经废水处理后回用，无生产废水排放。生活废水经地埋式生化处理设备处理后排入</w:t>
            </w:r>
            <w:r>
              <w:rPr>
                <w:bCs/>
                <w:szCs w:val="21"/>
              </w:rPr>
              <w:t>花垣县工业园污水处理厂</w:t>
            </w:r>
            <w:r>
              <w:rPr>
                <w:rFonts w:hint="eastAsia"/>
                <w:lang w:val="en-US" w:eastAsia="zh-CN"/>
              </w:rPr>
              <w:t>进一步处理。</w:t>
            </w:r>
          </w:p>
          <w:p>
            <w:pPr>
              <w:pStyle w:val="19"/>
              <w:bidi w:val="0"/>
              <w:rPr>
                <w:rFonts w:hint="default"/>
                <w:lang w:val="en-US" w:eastAsia="zh-CN"/>
              </w:rPr>
            </w:pPr>
            <w:r>
              <w:rPr>
                <w:rFonts w:hint="eastAsia"/>
                <w:lang w:val="en-US" w:eastAsia="zh-CN"/>
              </w:rPr>
              <w:t>（1）水环境质量现状与达标判定</w:t>
            </w:r>
          </w:p>
          <w:p>
            <w:pPr>
              <w:pStyle w:val="19"/>
              <w:bidi w:val="0"/>
              <w:rPr>
                <w:rFonts w:hint="eastAsia"/>
                <w:lang w:val="en-US" w:eastAsia="zh-CN"/>
              </w:rPr>
            </w:pPr>
            <w:r>
              <w:rPr>
                <w:rFonts w:hint="eastAsia"/>
                <w:lang w:val="en-US" w:eastAsia="zh-CN"/>
              </w:rPr>
              <w:t>根据《建设项目环境影响报告表编制技术指南》中对地表水环境质量现状的“引用与建设项目距离近的有效数据，包括近3年的规划环境影响评价的监测数据，所在流域控制单元内国家、地方控制断面监测数据，生态环境主管部门发布的水环境质量数据或地表水达标情况的结论”要求，本项目评价收集湘西自治州生态环境局发布的2022年10月 ~ 2023年9月的花垣河各控制断面水质的达标情况，具体见下表。</w:t>
            </w:r>
          </w:p>
          <w:p>
            <w:pPr>
              <w:pStyle w:val="19"/>
              <w:bidi w:val="0"/>
              <w:ind w:left="0" w:leftChars="0" w:firstLine="0" w:firstLineChars="0"/>
              <w:jc w:val="center"/>
              <w:rPr>
                <w:rFonts w:hint="default"/>
                <w:b/>
                <w:bCs/>
                <w:lang w:val="en-US" w:eastAsia="zh-CN"/>
              </w:rPr>
            </w:pPr>
            <w:r>
              <w:rPr>
                <w:rFonts w:hint="eastAsia"/>
                <w:b/>
                <w:bCs/>
                <w:lang w:val="en-US" w:eastAsia="zh-CN"/>
              </w:rPr>
              <w:t>表3-4  2022年10月 ~ 2023年9月花垣河控制断面水质达标情况</w:t>
            </w:r>
          </w:p>
          <w:tbl>
            <w:tblPr>
              <w:tblStyle w:val="15"/>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08"/>
              <w:gridCol w:w="1322"/>
              <w:gridCol w:w="1478"/>
              <w:gridCol w:w="1560"/>
              <w:gridCol w:w="15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vMerge w:val="restart"/>
                  <w:tcBorders>
                    <w:tl2br w:val="single" w:color="auto" w:sz="4" w:space="0"/>
                  </w:tcBorders>
                  <w:shd w:val="clear" w:color="auto" w:fill="auto"/>
                  <w:noWrap w:val="0"/>
                  <w:vAlign w:val="center"/>
                </w:tcPr>
                <w:p>
                  <w:pPr>
                    <w:pStyle w:val="18"/>
                    <w:bidi w:val="0"/>
                  </w:pPr>
                  <w:r>
                    <w:t xml:space="preserve">     </w:t>
                  </w:r>
                  <w:r>
                    <w:rPr>
                      <w:rFonts w:hint="eastAsia"/>
                      <w:lang w:val="en-US" w:eastAsia="zh-CN"/>
                    </w:rPr>
                    <w:t xml:space="preserve"> </w:t>
                  </w:r>
                  <w:r>
                    <w:t>监测断面</w:t>
                  </w:r>
                </w:p>
                <w:p>
                  <w:pPr>
                    <w:pStyle w:val="18"/>
                    <w:bidi w:val="0"/>
                  </w:pPr>
                  <w:r>
                    <w:t>监测日期</w:t>
                  </w:r>
                </w:p>
              </w:tc>
              <w:tc>
                <w:tcPr>
                  <w:tcW w:w="1798" w:type="pct"/>
                  <w:gridSpan w:val="2"/>
                  <w:shd w:val="clear" w:color="auto" w:fill="auto"/>
                  <w:noWrap w:val="0"/>
                  <w:vAlign w:val="center"/>
                </w:tcPr>
                <w:p>
                  <w:pPr>
                    <w:pStyle w:val="18"/>
                    <w:bidi w:val="0"/>
                    <w:jc w:val="center"/>
                  </w:pPr>
                  <w:r>
                    <w:t>马家寨断面</w:t>
                  </w:r>
                </w:p>
              </w:tc>
              <w:tc>
                <w:tcPr>
                  <w:tcW w:w="1975" w:type="pct"/>
                  <w:gridSpan w:val="2"/>
                  <w:shd w:val="clear" w:color="auto" w:fill="auto"/>
                  <w:noWrap w:val="0"/>
                  <w:vAlign w:val="center"/>
                </w:tcPr>
                <w:p>
                  <w:pPr>
                    <w:pStyle w:val="18"/>
                    <w:bidi w:val="0"/>
                    <w:jc w:val="center"/>
                  </w:pPr>
                  <w:r>
                    <w:t>川心城断面</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vMerge w:val="continue"/>
                  <w:shd w:val="clear" w:color="auto" w:fill="auto"/>
                  <w:noWrap w:val="0"/>
                  <w:vAlign w:val="center"/>
                </w:tcPr>
                <w:p>
                  <w:pPr>
                    <w:pStyle w:val="18"/>
                    <w:bidi w:val="0"/>
                  </w:pPr>
                </w:p>
              </w:tc>
              <w:tc>
                <w:tcPr>
                  <w:tcW w:w="849" w:type="pct"/>
                  <w:shd w:val="clear" w:color="auto" w:fill="auto"/>
                  <w:noWrap w:val="0"/>
                  <w:vAlign w:val="center"/>
                </w:tcPr>
                <w:p>
                  <w:pPr>
                    <w:pStyle w:val="18"/>
                    <w:bidi w:val="0"/>
                    <w:jc w:val="center"/>
                  </w:pPr>
                  <w:r>
                    <w:t>水质状况</w:t>
                  </w:r>
                </w:p>
              </w:tc>
              <w:tc>
                <w:tcPr>
                  <w:tcW w:w="949" w:type="pct"/>
                  <w:shd w:val="clear" w:color="auto" w:fill="auto"/>
                  <w:noWrap w:val="0"/>
                  <w:vAlign w:val="center"/>
                </w:tcPr>
                <w:p>
                  <w:pPr>
                    <w:pStyle w:val="18"/>
                    <w:bidi w:val="0"/>
                    <w:jc w:val="center"/>
                  </w:pPr>
                  <w:r>
                    <w:t>达标情况</w:t>
                  </w:r>
                </w:p>
              </w:tc>
              <w:tc>
                <w:tcPr>
                  <w:tcW w:w="1002" w:type="pct"/>
                  <w:shd w:val="clear" w:color="auto" w:fill="auto"/>
                  <w:noWrap w:val="0"/>
                  <w:vAlign w:val="center"/>
                </w:tcPr>
                <w:p>
                  <w:pPr>
                    <w:pStyle w:val="18"/>
                    <w:bidi w:val="0"/>
                    <w:jc w:val="center"/>
                  </w:pPr>
                  <w:r>
                    <w:t>水质状况</w:t>
                  </w:r>
                </w:p>
              </w:tc>
              <w:tc>
                <w:tcPr>
                  <w:tcW w:w="972" w:type="pct"/>
                  <w:shd w:val="clear" w:color="auto" w:fill="auto"/>
                  <w:noWrap w:val="0"/>
                  <w:vAlign w:val="center"/>
                </w:tcPr>
                <w:p>
                  <w:pPr>
                    <w:pStyle w:val="18"/>
                    <w:bidi w:val="0"/>
                    <w:jc w:val="center"/>
                  </w:pPr>
                  <w: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2</w:t>
                  </w:r>
                  <w:r>
                    <w:t>年1</w:t>
                  </w:r>
                  <w:r>
                    <w:rPr>
                      <w:rFonts w:hint="eastAsia"/>
                      <w:lang w:val="en-US" w:eastAsia="zh-CN"/>
                    </w:rPr>
                    <w:t>0</w:t>
                  </w:r>
                  <w:r>
                    <w:t>月</w:t>
                  </w:r>
                </w:p>
              </w:tc>
              <w:tc>
                <w:tcPr>
                  <w:tcW w:w="849" w:type="pct"/>
                  <w:shd w:val="clear" w:color="auto" w:fill="auto"/>
                  <w:noWrap w:val="0"/>
                  <w:vAlign w:val="center"/>
                </w:tcPr>
                <w:p>
                  <w:pPr>
                    <w:pStyle w:val="18"/>
                    <w:bidi w:val="0"/>
                    <w:jc w:val="center"/>
                  </w:pPr>
                  <w:r>
                    <w:rPr>
                      <w:rFonts w:hint="eastAsia"/>
                      <w:lang w:val="en-US" w:eastAsia="zh-CN"/>
                    </w:rPr>
                    <w:t>I</w:t>
                  </w:r>
                  <w:r>
                    <w:t>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jc w:val="center"/>
                  </w:pPr>
                  <w:r>
                    <w:t>Ⅲ类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2</w:t>
                  </w:r>
                  <w:r>
                    <w:t>年</w:t>
                  </w:r>
                  <w:r>
                    <w:rPr>
                      <w:rFonts w:hint="eastAsia"/>
                      <w:lang w:val="en-US" w:eastAsia="zh-CN"/>
                    </w:rPr>
                    <w:t>11</w:t>
                  </w:r>
                  <w:r>
                    <w:t>月</w:t>
                  </w:r>
                </w:p>
              </w:tc>
              <w:tc>
                <w:tcPr>
                  <w:tcW w:w="849" w:type="pct"/>
                  <w:shd w:val="clear" w:color="auto" w:fill="auto"/>
                  <w:noWrap w:val="0"/>
                  <w:vAlign w:val="center"/>
                </w:tcPr>
                <w:p>
                  <w:pPr>
                    <w:pStyle w:val="18"/>
                    <w:bidi w:val="0"/>
                    <w:jc w:val="center"/>
                  </w:pPr>
                  <w:r>
                    <w:rPr>
                      <w:rFonts w:hint="eastAsia"/>
                      <w:lang w:val="en-US" w:eastAsia="zh-CN"/>
                    </w:rPr>
                    <w:t>I</w:t>
                  </w:r>
                  <w:r>
                    <w:t>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jc w:val="center"/>
                  </w:pPr>
                  <w:r>
                    <w:t>Ⅲ类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2</w:t>
                  </w:r>
                  <w:r>
                    <w:t>年</w:t>
                  </w:r>
                  <w:r>
                    <w:rPr>
                      <w:rFonts w:hint="eastAsia"/>
                      <w:lang w:val="en-US" w:eastAsia="zh-CN"/>
                    </w:rPr>
                    <w:t>12</w:t>
                  </w:r>
                  <w:r>
                    <w:t>月</w:t>
                  </w:r>
                </w:p>
              </w:tc>
              <w:tc>
                <w:tcPr>
                  <w:tcW w:w="849" w:type="pct"/>
                  <w:shd w:val="clear" w:color="auto" w:fill="auto"/>
                  <w:noWrap w:val="0"/>
                  <w:vAlign w:val="center"/>
                </w:tcPr>
                <w:p>
                  <w:pPr>
                    <w:pStyle w:val="18"/>
                    <w:bidi w:val="0"/>
                    <w:jc w:val="center"/>
                  </w:pPr>
                  <w:r>
                    <w:rPr>
                      <w:rFonts w:hint="eastAsia"/>
                      <w:lang w:val="en-US" w:eastAsia="zh-CN"/>
                    </w:rPr>
                    <w:t>I</w:t>
                  </w:r>
                  <w:r>
                    <w:t>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jc w:val="center"/>
                  </w:pPr>
                  <w:r>
                    <w:t>Ⅱ类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3</w:t>
                  </w:r>
                  <w:r>
                    <w:t>年</w:t>
                  </w:r>
                  <w:r>
                    <w:rPr>
                      <w:rFonts w:hint="eastAsia"/>
                      <w:lang w:val="en-US" w:eastAsia="zh-CN"/>
                    </w:rPr>
                    <w:t>1</w:t>
                  </w:r>
                  <w:r>
                    <w:t>月</w:t>
                  </w:r>
                </w:p>
              </w:tc>
              <w:tc>
                <w:tcPr>
                  <w:tcW w:w="849" w:type="pct"/>
                  <w:shd w:val="clear" w:color="auto" w:fill="auto"/>
                  <w:noWrap w:val="0"/>
                  <w:vAlign w:val="center"/>
                </w:tcPr>
                <w:p>
                  <w:pPr>
                    <w:pStyle w:val="18"/>
                    <w:bidi w:val="0"/>
                    <w:jc w:val="center"/>
                    <w:rPr>
                      <w:rFonts w:hint="eastAsia" w:eastAsia="宋体"/>
                      <w:lang w:eastAsia="zh-CN"/>
                    </w:rPr>
                  </w:pPr>
                  <w:r>
                    <w:rPr>
                      <w:rFonts w:hint="eastAsia"/>
                      <w:lang w:val="en-US" w:eastAsia="zh-CN"/>
                    </w:rPr>
                    <w:t>-</w:t>
                  </w:r>
                </w:p>
              </w:tc>
              <w:tc>
                <w:tcPr>
                  <w:tcW w:w="949" w:type="pct"/>
                  <w:shd w:val="clear" w:color="auto" w:fill="auto"/>
                  <w:noWrap w:val="0"/>
                  <w:vAlign w:val="center"/>
                </w:tcPr>
                <w:p>
                  <w:pPr>
                    <w:pStyle w:val="18"/>
                    <w:bidi w:val="0"/>
                    <w:jc w:val="center"/>
                    <w:rPr>
                      <w:rFonts w:hint="eastAsia" w:eastAsia="宋体"/>
                      <w:lang w:eastAsia="zh-CN"/>
                    </w:rPr>
                  </w:pPr>
                  <w:r>
                    <w:rPr>
                      <w:rFonts w:hint="eastAsia"/>
                      <w:lang w:val="en-US" w:eastAsia="zh-CN"/>
                    </w:rPr>
                    <w:t>-</w:t>
                  </w:r>
                </w:p>
              </w:tc>
              <w:tc>
                <w:tcPr>
                  <w:tcW w:w="1002" w:type="pct"/>
                  <w:shd w:val="clear" w:color="auto" w:fill="auto"/>
                  <w:noWrap w:val="0"/>
                  <w:vAlign w:val="center"/>
                </w:tcPr>
                <w:p>
                  <w:pPr>
                    <w:pStyle w:val="18"/>
                    <w:bidi w:val="0"/>
                    <w:ind w:left="0" w:leftChars="0" w:firstLine="0" w:firstLineChars="0"/>
                    <w:jc w:val="center"/>
                  </w:pPr>
                  <w:r>
                    <w:rPr>
                      <w:rFonts w:hint="eastAsia"/>
                      <w:lang w:val="en-US" w:eastAsia="zh-CN"/>
                    </w:rPr>
                    <w:t>III</w:t>
                  </w:r>
                  <w:r>
                    <w:t>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3</w:t>
                  </w:r>
                  <w:r>
                    <w:t>年</w:t>
                  </w:r>
                  <w:r>
                    <w:rPr>
                      <w:rFonts w:hint="eastAsia"/>
                      <w:lang w:val="en-US" w:eastAsia="zh-CN"/>
                    </w:rPr>
                    <w:t>2</w:t>
                  </w:r>
                  <w:r>
                    <w:t>月</w:t>
                  </w:r>
                </w:p>
              </w:tc>
              <w:tc>
                <w:tcPr>
                  <w:tcW w:w="849" w:type="pct"/>
                  <w:shd w:val="clear" w:color="auto" w:fill="auto"/>
                  <w:noWrap w:val="0"/>
                  <w:vAlign w:val="center"/>
                </w:tcPr>
                <w:p>
                  <w:pPr>
                    <w:pStyle w:val="18"/>
                    <w:bidi w:val="0"/>
                    <w:jc w:val="center"/>
                  </w:pPr>
                  <w:r>
                    <w:t>Ⅱ类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ind w:left="0" w:leftChars="0" w:firstLine="0" w:firstLineChars="0"/>
                    <w:jc w:val="center"/>
                  </w:pPr>
                  <w:r>
                    <w:rPr>
                      <w:rFonts w:hint="eastAsia"/>
                      <w:lang w:val="en-US" w:eastAsia="zh-CN"/>
                    </w:rPr>
                    <w:t>III</w:t>
                  </w:r>
                  <w:r>
                    <w:t>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3</w:t>
                  </w:r>
                  <w:r>
                    <w:t>年</w:t>
                  </w:r>
                  <w:r>
                    <w:rPr>
                      <w:rFonts w:hint="eastAsia"/>
                      <w:lang w:val="en-US" w:eastAsia="zh-CN"/>
                    </w:rPr>
                    <w:t>3</w:t>
                  </w:r>
                  <w:r>
                    <w:t>月</w:t>
                  </w:r>
                </w:p>
              </w:tc>
              <w:tc>
                <w:tcPr>
                  <w:tcW w:w="849" w:type="pct"/>
                  <w:shd w:val="clear" w:color="auto" w:fill="auto"/>
                  <w:noWrap w:val="0"/>
                  <w:vAlign w:val="center"/>
                </w:tcPr>
                <w:p>
                  <w:pPr>
                    <w:pStyle w:val="18"/>
                    <w:bidi w:val="0"/>
                    <w:jc w:val="center"/>
                  </w:pPr>
                  <w:r>
                    <w:t>Ⅰ</w:t>
                  </w:r>
                  <w:r>
                    <w:rPr>
                      <w:rFonts w:hint="eastAsia"/>
                      <w:lang w:val="en-US" w:eastAsia="zh-CN"/>
                    </w:rPr>
                    <w:t>I</w:t>
                  </w:r>
                  <w:r>
                    <w:t>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ind w:left="0" w:leftChars="0" w:firstLine="0" w:firstLineChars="0"/>
                    <w:jc w:val="center"/>
                  </w:pPr>
                  <w:r>
                    <w:rPr>
                      <w:rFonts w:hint="eastAsia"/>
                      <w:lang w:val="en-US" w:eastAsia="zh-CN"/>
                    </w:rPr>
                    <w:t>III</w:t>
                  </w:r>
                  <w:r>
                    <w:t>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3</w:t>
                  </w:r>
                  <w:r>
                    <w:t>年</w:t>
                  </w:r>
                  <w:r>
                    <w:rPr>
                      <w:rFonts w:hint="eastAsia"/>
                      <w:lang w:val="en-US" w:eastAsia="zh-CN"/>
                    </w:rPr>
                    <w:t>4</w:t>
                  </w:r>
                  <w:r>
                    <w:t>月</w:t>
                  </w:r>
                </w:p>
              </w:tc>
              <w:tc>
                <w:tcPr>
                  <w:tcW w:w="849" w:type="pct"/>
                  <w:shd w:val="clear" w:color="auto" w:fill="auto"/>
                  <w:noWrap w:val="0"/>
                  <w:vAlign w:val="center"/>
                </w:tcPr>
                <w:p>
                  <w:pPr>
                    <w:pStyle w:val="18"/>
                    <w:bidi w:val="0"/>
                    <w:jc w:val="center"/>
                  </w:pPr>
                  <w:r>
                    <w:t>Ⅱ类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jc w:val="center"/>
                  </w:pPr>
                  <w:r>
                    <w:rPr>
                      <w:rFonts w:hint="eastAsia"/>
                      <w:lang w:val="en-US" w:eastAsia="zh-CN"/>
                    </w:rPr>
                    <w:t>II</w:t>
                  </w:r>
                  <w:r>
                    <w:t>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3</w:t>
                  </w:r>
                  <w:r>
                    <w:t>年</w:t>
                  </w:r>
                  <w:r>
                    <w:rPr>
                      <w:rFonts w:hint="eastAsia"/>
                      <w:lang w:val="en-US" w:eastAsia="zh-CN"/>
                    </w:rPr>
                    <w:t>5</w:t>
                  </w:r>
                  <w:r>
                    <w:t>月</w:t>
                  </w:r>
                </w:p>
              </w:tc>
              <w:tc>
                <w:tcPr>
                  <w:tcW w:w="849" w:type="pct"/>
                  <w:shd w:val="clear" w:color="auto" w:fill="auto"/>
                  <w:noWrap w:val="0"/>
                  <w:vAlign w:val="center"/>
                </w:tcPr>
                <w:p>
                  <w:pPr>
                    <w:pStyle w:val="18"/>
                    <w:bidi w:val="0"/>
                    <w:jc w:val="center"/>
                  </w:pPr>
                  <w:r>
                    <w:t>Ⅱ类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jc w:val="center"/>
                  </w:pPr>
                  <w:r>
                    <w:t>Ⅱ类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3</w:t>
                  </w:r>
                  <w:r>
                    <w:t>年</w:t>
                  </w:r>
                  <w:r>
                    <w:rPr>
                      <w:rFonts w:hint="eastAsia"/>
                      <w:lang w:val="en-US" w:eastAsia="zh-CN"/>
                    </w:rPr>
                    <w:t>6</w:t>
                  </w:r>
                  <w:r>
                    <w:t>月</w:t>
                  </w:r>
                </w:p>
              </w:tc>
              <w:tc>
                <w:tcPr>
                  <w:tcW w:w="849" w:type="pct"/>
                  <w:shd w:val="clear" w:color="auto" w:fill="auto"/>
                  <w:noWrap w:val="0"/>
                  <w:vAlign w:val="center"/>
                </w:tcPr>
                <w:p>
                  <w:pPr>
                    <w:pStyle w:val="18"/>
                    <w:bidi w:val="0"/>
                    <w:jc w:val="center"/>
                  </w:pPr>
                  <w:r>
                    <w:t>Ⅱ类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jc w:val="center"/>
                  </w:pPr>
                  <w:r>
                    <w:t>Ⅱ类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3</w:t>
                  </w:r>
                  <w:r>
                    <w:t>年</w:t>
                  </w:r>
                  <w:r>
                    <w:rPr>
                      <w:rFonts w:hint="eastAsia"/>
                      <w:lang w:val="en-US" w:eastAsia="zh-CN"/>
                    </w:rPr>
                    <w:t>7</w:t>
                  </w:r>
                  <w:r>
                    <w:t>月</w:t>
                  </w:r>
                </w:p>
              </w:tc>
              <w:tc>
                <w:tcPr>
                  <w:tcW w:w="849" w:type="pct"/>
                  <w:shd w:val="clear" w:color="auto" w:fill="auto"/>
                  <w:noWrap w:val="0"/>
                  <w:vAlign w:val="center"/>
                </w:tcPr>
                <w:p>
                  <w:pPr>
                    <w:pStyle w:val="18"/>
                    <w:bidi w:val="0"/>
                    <w:jc w:val="center"/>
                  </w:pPr>
                  <w:r>
                    <w:rPr>
                      <w:rFonts w:hint="eastAsia"/>
                      <w:lang w:val="en-US" w:eastAsia="zh-CN"/>
                    </w:rPr>
                    <w:t>II</w:t>
                  </w:r>
                  <w:r>
                    <w:t>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jc w:val="center"/>
                  </w:pPr>
                  <w:r>
                    <w:rPr>
                      <w:rFonts w:hint="eastAsia"/>
                      <w:lang w:val="en-US" w:eastAsia="zh-CN"/>
                    </w:rPr>
                    <w:t>II</w:t>
                  </w:r>
                  <w:r>
                    <w:t>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w:t>
                  </w:r>
                  <w:r>
                    <w:rPr>
                      <w:rFonts w:hint="eastAsia"/>
                      <w:lang w:val="en-US" w:eastAsia="zh-CN"/>
                    </w:rPr>
                    <w:t>23</w:t>
                  </w:r>
                  <w:r>
                    <w:t>年</w:t>
                  </w:r>
                  <w:r>
                    <w:rPr>
                      <w:rFonts w:hint="eastAsia"/>
                      <w:lang w:val="en-US" w:eastAsia="zh-CN"/>
                    </w:rPr>
                    <w:t>8</w:t>
                  </w:r>
                  <w:r>
                    <w:t>月</w:t>
                  </w:r>
                </w:p>
              </w:tc>
              <w:tc>
                <w:tcPr>
                  <w:tcW w:w="849" w:type="pct"/>
                  <w:shd w:val="clear" w:color="auto" w:fill="auto"/>
                  <w:noWrap w:val="0"/>
                  <w:vAlign w:val="center"/>
                </w:tcPr>
                <w:p>
                  <w:pPr>
                    <w:pStyle w:val="18"/>
                    <w:bidi w:val="0"/>
                    <w:jc w:val="center"/>
                  </w:pPr>
                  <w:r>
                    <w:t>Ⅱ类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jc w:val="center"/>
                  </w:pPr>
                  <w:r>
                    <w:rPr>
                      <w:rFonts w:hint="eastAsia"/>
                      <w:lang w:val="en-US" w:eastAsia="zh-CN"/>
                    </w:rPr>
                    <w:t>II</w:t>
                  </w:r>
                  <w:r>
                    <w:t>类</w:t>
                  </w:r>
                </w:p>
              </w:tc>
              <w:tc>
                <w:tcPr>
                  <w:tcW w:w="972" w:type="pct"/>
                  <w:shd w:val="clear" w:color="auto" w:fill="auto"/>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25" w:type="pct"/>
                  <w:shd w:val="clear" w:color="auto" w:fill="auto"/>
                  <w:noWrap w:val="0"/>
                  <w:vAlign w:val="center"/>
                </w:tcPr>
                <w:p>
                  <w:pPr>
                    <w:pStyle w:val="18"/>
                    <w:bidi w:val="0"/>
                    <w:jc w:val="center"/>
                  </w:pPr>
                  <w:r>
                    <w:t>202</w:t>
                  </w:r>
                  <w:r>
                    <w:rPr>
                      <w:rFonts w:hint="eastAsia"/>
                      <w:lang w:val="en-US" w:eastAsia="zh-CN"/>
                    </w:rPr>
                    <w:t>3</w:t>
                  </w:r>
                  <w:r>
                    <w:t>年</w:t>
                  </w:r>
                  <w:r>
                    <w:rPr>
                      <w:rFonts w:hint="eastAsia"/>
                      <w:lang w:val="en-US" w:eastAsia="zh-CN"/>
                    </w:rPr>
                    <w:t>9</w:t>
                  </w:r>
                  <w:r>
                    <w:t>月</w:t>
                  </w:r>
                </w:p>
              </w:tc>
              <w:tc>
                <w:tcPr>
                  <w:tcW w:w="849" w:type="pct"/>
                  <w:shd w:val="clear" w:color="auto" w:fill="auto"/>
                  <w:noWrap w:val="0"/>
                  <w:vAlign w:val="center"/>
                </w:tcPr>
                <w:p>
                  <w:pPr>
                    <w:pStyle w:val="18"/>
                    <w:bidi w:val="0"/>
                    <w:jc w:val="center"/>
                  </w:pPr>
                  <w:r>
                    <w:t>Ⅰ</w:t>
                  </w:r>
                  <w:r>
                    <w:rPr>
                      <w:rFonts w:hint="eastAsia"/>
                      <w:lang w:val="en-US" w:eastAsia="zh-CN"/>
                    </w:rPr>
                    <w:t>I</w:t>
                  </w:r>
                  <w:r>
                    <w:t>类</w:t>
                  </w:r>
                </w:p>
              </w:tc>
              <w:tc>
                <w:tcPr>
                  <w:tcW w:w="949" w:type="pct"/>
                  <w:shd w:val="clear" w:color="auto" w:fill="auto"/>
                  <w:noWrap w:val="0"/>
                  <w:vAlign w:val="center"/>
                </w:tcPr>
                <w:p>
                  <w:pPr>
                    <w:pStyle w:val="18"/>
                    <w:bidi w:val="0"/>
                    <w:jc w:val="center"/>
                  </w:pPr>
                  <w:r>
                    <w:t>达标</w:t>
                  </w:r>
                </w:p>
              </w:tc>
              <w:tc>
                <w:tcPr>
                  <w:tcW w:w="1002" w:type="pct"/>
                  <w:shd w:val="clear" w:color="auto" w:fill="auto"/>
                  <w:noWrap w:val="0"/>
                  <w:vAlign w:val="center"/>
                </w:tcPr>
                <w:p>
                  <w:pPr>
                    <w:pStyle w:val="18"/>
                    <w:bidi w:val="0"/>
                    <w:jc w:val="center"/>
                  </w:pPr>
                  <w:r>
                    <w:rPr>
                      <w:rFonts w:hint="eastAsia"/>
                      <w:lang w:val="en-US" w:eastAsia="zh-CN"/>
                    </w:rPr>
                    <w:t>II</w:t>
                  </w:r>
                  <w:r>
                    <w:t>类</w:t>
                  </w:r>
                </w:p>
              </w:tc>
              <w:tc>
                <w:tcPr>
                  <w:tcW w:w="972" w:type="pct"/>
                  <w:shd w:val="clear" w:color="auto" w:fill="auto"/>
                  <w:noWrap w:val="0"/>
                  <w:vAlign w:val="center"/>
                </w:tcPr>
                <w:p>
                  <w:pPr>
                    <w:pStyle w:val="18"/>
                    <w:bidi w:val="0"/>
                    <w:jc w:val="center"/>
                  </w:pPr>
                  <w:r>
                    <w:t>达标</w:t>
                  </w:r>
                </w:p>
              </w:tc>
            </w:tr>
          </w:tbl>
          <w:p>
            <w:pPr>
              <w:pStyle w:val="19"/>
              <w:bidi w:val="0"/>
              <w:rPr>
                <w:rFonts w:hint="default"/>
                <w:lang w:val="en-US" w:eastAsia="zh-CN"/>
              </w:rPr>
            </w:pPr>
            <w:r>
              <w:rPr>
                <w:rFonts w:hint="default"/>
                <w:lang w:val="en-US" w:eastAsia="zh-CN"/>
              </w:rPr>
              <w:t>由上表可知，</w:t>
            </w:r>
            <w:r>
              <w:rPr>
                <w:rFonts w:hint="eastAsia"/>
                <w:lang w:val="en-US" w:eastAsia="zh-CN"/>
              </w:rPr>
              <w:t>2022年10月 ~ 2023年9月</w:t>
            </w:r>
            <w:r>
              <w:rPr>
                <w:rFonts w:hint="default"/>
                <w:lang w:val="en-US" w:eastAsia="zh-CN"/>
              </w:rPr>
              <w:t xml:space="preserve">花垣河马家寨断面、川心城断面各项监测指标均能达到《地表水环境质量标准》（GB3838-2002）Ⅲ类标准要求。 </w:t>
            </w:r>
          </w:p>
          <w:p>
            <w:pPr>
              <w:pStyle w:val="19"/>
              <w:bidi w:val="0"/>
              <w:rPr>
                <w:rFonts w:hint="default"/>
                <w:lang w:val="en-US" w:eastAsia="zh-CN"/>
              </w:rPr>
            </w:pPr>
            <w:r>
              <w:rPr>
                <w:rFonts w:hint="eastAsia"/>
                <w:lang w:val="en-US" w:eastAsia="zh-CN"/>
              </w:rPr>
              <w:t>（2）引用数据</w:t>
            </w:r>
          </w:p>
          <w:p>
            <w:pPr>
              <w:pStyle w:val="19"/>
              <w:bidi w:val="0"/>
              <w:rPr>
                <w:rFonts w:hint="default"/>
                <w:lang w:val="en-US" w:eastAsia="zh-CN"/>
              </w:rPr>
            </w:pPr>
            <w:r>
              <w:rPr>
                <w:rFonts w:hint="default"/>
                <w:lang w:val="en-US" w:eastAsia="zh-CN"/>
              </w:rPr>
              <w:t>本次环评引用《花垣产业开发区规划环境影响跟踪评价报告书》中2021年10</w:t>
            </w:r>
            <w:r>
              <w:rPr>
                <w:rFonts w:hint="eastAsia"/>
                <w:lang w:val="en-US" w:eastAsia="zh-CN"/>
              </w:rPr>
              <w:t>月</w:t>
            </w:r>
            <w:r>
              <w:rPr>
                <w:rFonts w:hint="default"/>
                <w:lang w:val="en-US" w:eastAsia="zh-CN"/>
              </w:rPr>
              <w:t>由湖南启帆检测技术有限公司提供的监测资料。</w:t>
            </w:r>
          </w:p>
          <w:p>
            <w:pPr>
              <w:pStyle w:val="19"/>
              <w:bidi w:val="0"/>
              <w:rPr>
                <w:rFonts w:hint="default"/>
                <w:lang w:val="en-US" w:eastAsia="zh-CN"/>
              </w:rPr>
            </w:pPr>
            <w:r>
              <w:rPr>
                <w:rFonts w:hint="eastAsia"/>
                <w:lang w:val="en-US" w:eastAsia="zh-CN"/>
              </w:rPr>
              <w:t>a、</w:t>
            </w:r>
            <w:r>
              <w:rPr>
                <w:rFonts w:hint="default"/>
                <w:lang w:val="en-US" w:eastAsia="zh-CN"/>
              </w:rPr>
              <w:t>监测因子</w:t>
            </w:r>
          </w:p>
          <w:p>
            <w:pPr>
              <w:pStyle w:val="19"/>
              <w:bidi w:val="0"/>
              <w:rPr>
                <w:rFonts w:hint="default"/>
                <w:lang w:val="en-US" w:eastAsia="zh-CN"/>
              </w:rPr>
            </w:pPr>
            <w:r>
              <w:rPr>
                <w:rFonts w:hint="default"/>
                <w:lang w:val="en-US" w:eastAsia="zh-CN"/>
              </w:rPr>
              <w:t>pH、DO、高锰酸盐指数、CODcr、氨氮、石油类、Mn、Hg、Pb、BOD</w:t>
            </w:r>
            <w:r>
              <w:rPr>
                <w:rFonts w:hint="default"/>
                <w:vertAlign w:val="subscript"/>
                <w:lang w:val="en-US" w:eastAsia="zh-CN"/>
              </w:rPr>
              <w:t>5</w:t>
            </w:r>
            <w:r>
              <w:rPr>
                <w:rFonts w:hint="default"/>
                <w:lang w:val="en-US" w:eastAsia="zh-CN"/>
              </w:rPr>
              <w:t>、总磷、Cu、Zn、砷、镉、六价铬，同时记录水温、水深、流速、流量等水文参数。</w:t>
            </w:r>
          </w:p>
          <w:p>
            <w:pPr>
              <w:pStyle w:val="19"/>
              <w:bidi w:val="0"/>
              <w:rPr>
                <w:rFonts w:hint="default"/>
                <w:lang w:val="en-US" w:eastAsia="zh-CN"/>
              </w:rPr>
            </w:pPr>
            <w:r>
              <w:rPr>
                <w:rFonts w:hint="eastAsia"/>
                <w:lang w:val="en-US" w:eastAsia="zh-CN"/>
              </w:rPr>
              <w:t>b、</w:t>
            </w:r>
            <w:r>
              <w:rPr>
                <w:rFonts w:hint="default"/>
                <w:lang w:val="en-US" w:eastAsia="zh-CN"/>
              </w:rPr>
              <w:t>监测时间和频次</w:t>
            </w:r>
          </w:p>
          <w:p>
            <w:pPr>
              <w:pStyle w:val="19"/>
              <w:bidi w:val="0"/>
              <w:rPr>
                <w:rFonts w:hint="default"/>
                <w:lang w:val="en-US" w:eastAsia="zh-CN"/>
              </w:rPr>
            </w:pPr>
            <w:r>
              <w:rPr>
                <w:rFonts w:hint="default"/>
                <w:lang w:val="en-US" w:eastAsia="zh-CN"/>
              </w:rPr>
              <w:t>2021年10月1日至10月3日，连续采样3天，每天监测1次。</w:t>
            </w:r>
          </w:p>
          <w:p>
            <w:pPr>
              <w:pStyle w:val="19"/>
              <w:bidi w:val="0"/>
              <w:rPr>
                <w:rFonts w:hint="default"/>
                <w:lang w:val="en-US" w:eastAsia="zh-CN"/>
              </w:rPr>
            </w:pPr>
            <w:r>
              <w:rPr>
                <w:rFonts w:hint="eastAsia"/>
                <w:lang w:val="en-US" w:eastAsia="zh-CN"/>
              </w:rPr>
              <w:t>c、</w:t>
            </w:r>
            <w:r>
              <w:rPr>
                <w:rFonts w:hint="default"/>
                <w:lang w:val="en-US" w:eastAsia="zh-CN"/>
              </w:rPr>
              <w:t>监测断面布设</w:t>
            </w:r>
          </w:p>
          <w:p>
            <w:pPr>
              <w:pStyle w:val="19"/>
              <w:bidi w:val="0"/>
              <w:rPr>
                <w:rFonts w:hint="eastAsia"/>
                <w:lang w:val="en-US" w:eastAsia="zh-CN"/>
              </w:rPr>
            </w:pPr>
            <w:r>
              <w:t>根据片区排水去向，以及评价区域地表水分布，本次地表水监测共收集了花垣河4个监测断面的资料</w:t>
            </w:r>
            <w:r>
              <w:rPr>
                <w:rFonts w:hint="eastAsia"/>
                <w:lang w:eastAsia="zh-CN"/>
              </w:rPr>
              <w:t>，</w:t>
            </w:r>
            <w:r>
              <w:rPr>
                <w:rFonts w:hint="eastAsia"/>
                <w:lang w:val="en-US" w:eastAsia="zh-CN"/>
              </w:rPr>
              <w:t>具体见下图。</w:t>
            </w:r>
          </w:p>
          <w:p>
            <w:pPr>
              <w:pStyle w:val="19"/>
              <w:bidi w:val="0"/>
              <w:ind w:left="0" w:leftChars="0" w:firstLine="0" w:firstLineChars="0"/>
              <w:rPr>
                <w:rFonts w:hint="default"/>
                <w:lang w:val="en-US" w:eastAsia="zh-CN"/>
              </w:rPr>
            </w:pPr>
            <w:r>
              <w:drawing>
                <wp:inline distT="0" distB="0" distL="114300" distR="114300">
                  <wp:extent cx="5015865" cy="2856230"/>
                  <wp:effectExtent l="0" t="0" r="3810" b="127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14"/>
                          <a:stretch>
                            <a:fillRect/>
                          </a:stretch>
                        </pic:blipFill>
                        <pic:spPr>
                          <a:xfrm>
                            <a:off x="0" y="0"/>
                            <a:ext cx="5015865" cy="2856230"/>
                          </a:xfrm>
                          <a:prstGeom prst="rect">
                            <a:avLst/>
                          </a:prstGeom>
                          <a:noFill/>
                          <a:ln>
                            <a:noFill/>
                          </a:ln>
                        </pic:spPr>
                      </pic:pic>
                    </a:graphicData>
                  </a:graphic>
                </wp:inline>
              </w:drawing>
            </w:r>
          </w:p>
          <w:p>
            <w:pPr>
              <w:pStyle w:val="19"/>
              <w:bidi w:val="0"/>
              <w:ind w:left="0" w:leftChars="0" w:firstLine="0" w:firstLineChars="0"/>
              <w:jc w:val="center"/>
              <w:rPr>
                <w:rFonts w:hint="default"/>
                <w:b/>
                <w:bCs/>
                <w:lang w:val="en-US" w:eastAsia="zh-CN"/>
              </w:rPr>
            </w:pPr>
            <w:r>
              <w:rPr>
                <w:rFonts w:hint="eastAsia"/>
                <w:b/>
                <w:bCs/>
                <w:lang w:val="en-US" w:eastAsia="zh-CN"/>
              </w:rPr>
              <w:t>图3-2  地表水监测断面</w:t>
            </w:r>
          </w:p>
          <w:p>
            <w:pPr>
              <w:pStyle w:val="19"/>
              <w:bidi w:val="0"/>
              <w:rPr>
                <w:rFonts w:hint="default"/>
                <w:lang w:val="en-US" w:eastAsia="zh-CN"/>
              </w:rPr>
            </w:pPr>
            <w:r>
              <w:rPr>
                <w:rFonts w:hint="eastAsia"/>
                <w:lang w:val="en-US" w:eastAsia="zh-CN"/>
              </w:rPr>
              <w:t>根据地表水监测的结果可知，本项目所在区域的花垣河4个监测断面的各监测因子均能满足《地表水环境质量标准》（GB3838-2002）中III类标准要求。</w:t>
            </w:r>
          </w:p>
          <w:p>
            <w:pPr>
              <w:pStyle w:val="19"/>
              <w:bidi w:val="0"/>
              <w:ind w:left="0" w:leftChars="0" w:firstLine="0" w:firstLineChars="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p>
            <w:pPr>
              <w:pStyle w:val="19"/>
              <w:bidi w:val="0"/>
              <w:rPr>
                <w:rFonts w:hint="default"/>
                <w:lang w:val="en-US" w:eastAsia="zh-CN"/>
              </w:rPr>
            </w:pPr>
          </w:p>
        </w:tc>
      </w:tr>
    </w:tbl>
    <w:p>
      <w:pPr>
        <w:numPr>
          <w:ilvl w:val="0"/>
          <w:numId w:val="0"/>
        </w:numPr>
        <w:ind w:right="40" w:rightChars="0"/>
        <w:rPr>
          <w:rFonts w:hint="default"/>
          <w:lang w:val="en-US" w:eastAsia="zh-CN"/>
        </w:rPr>
        <w:sectPr>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16"/>
        <w:tblW w:w="15890" w:type="dxa"/>
        <w:tblInd w:w="-103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90" w:type="dxa"/>
          </w:tcPr>
          <w:p>
            <w:pPr>
              <w:bidi w:val="0"/>
              <w:jc w:val="center"/>
              <w:rPr>
                <w:rFonts w:hint="default"/>
                <w:b/>
                <w:bCs/>
                <w:lang w:val="en-US" w:eastAsia="zh-CN"/>
              </w:rPr>
            </w:pPr>
            <w:r>
              <w:rPr>
                <w:b/>
                <w:bCs/>
              </w:rPr>
              <w:t>表</w:t>
            </w:r>
            <w:r>
              <w:rPr>
                <w:rFonts w:hint="eastAsia"/>
                <w:b/>
                <w:bCs/>
                <w:lang w:val="en-US" w:eastAsia="zh-CN"/>
              </w:rPr>
              <w:t>3-5</w:t>
            </w:r>
            <w:r>
              <w:rPr>
                <w:b/>
                <w:bCs/>
              </w:rPr>
              <w:t xml:space="preserve">  地表水质量现状监测统计结果（单位：pH值无量纲，水温为℃，其他均为mg/L）</w:t>
            </w:r>
          </w:p>
          <w:tbl>
            <w:tblPr>
              <w:tblStyle w:val="15"/>
              <w:tblW w:w="1565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868"/>
              <w:gridCol w:w="1245"/>
              <w:gridCol w:w="994"/>
              <w:gridCol w:w="862"/>
              <w:gridCol w:w="828"/>
              <w:gridCol w:w="712"/>
              <w:gridCol w:w="828"/>
              <w:gridCol w:w="1110"/>
              <w:gridCol w:w="812"/>
              <w:gridCol w:w="746"/>
              <w:gridCol w:w="762"/>
              <w:gridCol w:w="596"/>
              <w:gridCol w:w="646"/>
              <w:gridCol w:w="828"/>
              <w:gridCol w:w="746"/>
              <w:gridCol w:w="727"/>
              <w:gridCol w:w="994"/>
              <w:gridCol w:w="646"/>
              <w:gridCol w:w="7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82" w:hRule="atLeast"/>
                <w:tblHeader/>
                <w:jc w:val="center"/>
              </w:trPr>
              <w:tc>
                <w:tcPr>
                  <w:tcW w:w="277"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采样</w:t>
                  </w:r>
                </w:p>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点位</w:t>
                  </w: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项目</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pH值</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水温</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溶解氧</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化学需</w:t>
                  </w:r>
                </w:p>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氧量</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五日生化需氧量</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氨氮</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总磷</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高锰酸</w:t>
                  </w:r>
                </w:p>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盐指数</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石油类</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六价铬</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锰</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汞</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铅</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铜</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锌</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砷</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
                      <w:sz w:val="18"/>
                      <w:szCs w:val="18"/>
                    </w:rPr>
                  </w:pPr>
                  <w:r>
                    <w:rPr>
                      <w:rFonts w:ascii="Times New Roman" w:hAnsi="Times New Roman"/>
                      <w:b/>
                      <w:sz w:val="18"/>
                      <w:szCs w:val="18"/>
                    </w:rPr>
                    <w:t>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restar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W1</w:t>
                  </w: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监测值范围</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7.85-7.98</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22.7-23.4</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6.56-6.74</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6-7</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0.8-0.9</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0.026-0.042</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0.01-0.02</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1.3-1.5</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0.01L</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0.004L</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0.01L</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0.00004L</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0.0025L</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0.006L</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0.004L</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0.0003L</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0.0005L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III类标准值</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6~9</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≥5</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≤20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≤4</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≤0.1</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≤0.0001</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最大标准指数</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0.49</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0.762</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0.35</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0.225</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0.042</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0.1</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0.25</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最大超标倍数</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超标率（%）</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评价结果</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restar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W2</w:t>
                  </w: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监测值范围</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7.76-7.89</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22.4-23.1</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5.46-5.66</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11-12</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1.2-1.3</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0.031-0.044</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1-1.5</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0.01L</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0.004L</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0.01L</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0.00004L</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0.0025L</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0.006L</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0.004-0.005</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0.0003L</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0.0005L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III类标准值</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6~9</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≥5</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≤20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≤4</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≤0.1</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≤0.0001</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最大标准指数</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0.445</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0.916</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0.6</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0.325</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0.044</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0.25</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0.005</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最大超标倍数</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超标率（%）</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评价结果</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restar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W3</w:t>
                  </w: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监测值范围</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7.76-7.85</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22.2-23.6</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6.26-6.37</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4-5</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0.7-0.8</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0.029-0.054</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0.01-0.02</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1.1-1.5</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0.02-0.03</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0.004L</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0.01L</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0.00004L</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0.0025L</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0.006L</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0.004L</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0.0003L</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0.0005L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III类标准值</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6~9</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≥5</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≤20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≤4</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≤0.1</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≤0.0001</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最大标准指数</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0.425</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0.799</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0.25</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0.054</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0.1</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0.25</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0.6</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最大超标倍数</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超标率（%）</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评价结果</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restar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W4</w:t>
                  </w: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监测值范围</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7.74-7.8</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22.3-23.5</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6.11-6.19</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12-13</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1.4-1.5</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0.025L-0.026</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0.01-0.03</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1.4-1.6</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0.01L</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0.004L</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0.01L</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0.00004L</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0.0025L</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0.006L</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0.004L</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0.0003L</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0.0005L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III类标准值</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6~9</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≥5</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≤20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≤4</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≤0.2</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≤6</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≤0.1</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≤0.0001</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≤1.0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≤0.05</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最大标准指数</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0.4</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0.491</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r>
                    <w:rPr>
                      <w:rFonts w:hint="eastAsia" w:ascii="Times New Roman" w:hAnsi="Times New Roman"/>
                      <w:bCs/>
                      <w:sz w:val="18"/>
                      <w:szCs w:val="18"/>
                    </w:rPr>
                    <w:t>65</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r>
                    <w:rPr>
                      <w:rFonts w:hint="eastAsia" w:ascii="Times New Roman" w:hAnsi="Times New Roman"/>
                      <w:bCs/>
                      <w:sz w:val="18"/>
                      <w:szCs w:val="18"/>
                    </w:rPr>
                    <w:t>375</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0.0</w:t>
                  </w:r>
                  <w:r>
                    <w:rPr>
                      <w:rFonts w:hint="eastAsia" w:ascii="Times New Roman" w:hAnsi="Times New Roman"/>
                      <w:bCs/>
                      <w:sz w:val="18"/>
                      <w:szCs w:val="18"/>
                    </w:rPr>
                    <w:t>26</w:t>
                  </w:r>
                </w:p>
              </w:tc>
              <w:tc>
                <w:tcPr>
                  <w:tcW w:w="259" w:type="pct"/>
                  <w:shd w:val="clear" w:color="auto" w:fill="FFFFFF"/>
                  <w:noWrap w:val="0"/>
                  <w:vAlign w:val="center"/>
                </w:tcPr>
                <w:p>
                  <w:pPr>
                    <w:pStyle w:val="20"/>
                    <w:adjustRightInd w:val="0"/>
                    <w:snapToGrid w:val="0"/>
                    <w:ind w:left="-120" w:leftChars="-50" w:right="-120" w:rightChars="-50"/>
                    <w:rPr>
                      <w:rFonts w:hint="eastAsia" w:ascii="Times New Roman" w:hAnsi="Times New Roman"/>
                      <w:bCs/>
                      <w:sz w:val="18"/>
                      <w:szCs w:val="18"/>
                    </w:rPr>
                  </w:pPr>
                  <w:r>
                    <w:rPr>
                      <w:rFonts w:ascii="Times New Roman" w:hAnsi="Times New Roman"/>
                      <w:bCs/>
                      <w:sz w:val="18"/>
                      <w:szCs w:val="18"/>
                    </w:rPr>
                    <w:t>0.1</w:t>
                  </w:r>
                  <w:r>
                    <w:rPr>
                      <w:rFonts w:hint="eastAsia" w:ascii="Times New Roman" w:hAnsi="Times New Roman"/>
                      <w:bCs/>
                      <w:sz w:val="18"/>
                      <w:szCs w:val="18"/>
                    </w:rPr>
                    <w:t>5</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r>
                    <w:rPr>
                      <w:rFonts w:hint="eastAsia" w:ascii="Times New Roman" w:hAnsi="Times New Roman"/>
                      <w:bCs/>
                      <w:sz w:val="18"/>
                      <w:szCs w:val="18"/>
                    </w:rPr>
                    <w:t>27</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最大超标倍数</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超标率（%）</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277" w:type="pct"/>
                  <w:vMerge w:val="continue"/>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p>
              </w:tc>
              <w:tc>
                <w:tcPr>
                  <w:tcW w:w="39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评价结果</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75"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2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35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59"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43"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190"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6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8"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32"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317"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06"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c>
                <w:tcPr>
                  <w:tcW w:w="224" w:type="pct"/>
                  <w:shd w:val="clear" w:color="auto" w:fill="FFFFFF"/>
                  <w:noWrap w:val="0"/>
                  <w:vAlign w:val="center"/>
                </w:tcPr>
                <w:p>
                  <w:pPr>
                    <w:pStyle w:val="20"/>
                    <w:adjustRightInd w:val="0"/>
                    <w:snapToGrid w:val="0"/>
                    <w:ind w:left="-120" w:leftChars="-50" w:right="-120" w:rightChars="-50"/>
                    <w:rPr>
                      <w:rFonts w:ascii="Times New Roman" w:hAnsi="Times New Roman"/>
                      <w:bCs/>
                      <w:sz w:val="18"/>
                      <w:szCs w:val="18"/>
                    </w:rPr>
                  </w:pPr>
                  <w:r>
                    <w:rPr>
                      <w:rFonts w:ascii="Times New Roman" w:hAnsi="Times New Roman"/>
                      <w:bCs/>
                      <w:sz w:val="18"/>
                      <w:szCs w:val="18"/>
                    </w:rPr>
                    <w:t>达标</w:t>
                  </w:r>
                </w:p>
              </w:tc>
            </w:tr>
          </w:tbl>
          <w:p>
            <w:pPr>
              <w:bidi w:val="0"/>
              <w:jc w:val="center"/>
              <w:rPr>
                <w:b/>
                <w:bCs/>
                <w:vertAlign w:val="baseline"/>
              </w:rPr>
            </w:pPr>
          </w:p>
        </w:tc>
      </w:tr>
    </w:tbl>
    <w:p>
      <w:pPr>
        <w:numPr>
          <w:ilvl w:val="0"/>
          <w:numId w:val="0"/>
        </w:numPr>
        <w:ind w:right="40" w:rightChars="0"/>
        <w:rPr>
          <w:rFonts w:hint="default"/>
          <w:lang w:val="en-US" w:eastAsia="zh-CN"/>
        </w:rPr>
        <w:sectPr>
          <w:pgSz w:w="16838" w:h="11906" w:orient="landscape"/>
          <w:pgMar w:top="1800" w:right="1440" w:bottom="97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
        <w:gridCol w:w="8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 w:type="dxa"/>
          </w:tcPr>
          <w:p>
            <w:pPr>
              <w:numPr>
                <w:ilvl w:val="0"/>
                <w:numId w:val="0"/>
              </w:numPr>
              <w:ind w:right="40" w:rightChars="0"/>
              <w:rPr>
                <w:rFonts w:hint="default"/>
                <w:vertAlign w:val="baseline"/>
                <w:lang w:val="en-US" w:eastAsia="zh-CN"/>
              </w:rPr>
            </w:pPr>
            <w:r>
              <w:rPr>
                <w:rFonts w:hint="eastAsia"/>
                <w:vertAlign w:val="baseline"/>
                <w:lang w:val="en-US" w:eastAsia="zh-CN"/>
              </w:rPr>
              <w:t>区域环境质量现状</w:t>
            </w:r>
          </w:p>
        </w:tc>
        <w:tc>
          <w:tcPr>
            <w:tcW w:w="8853" w:type="dxa"/>
          </w:tcPr>
          <w:p>
            <w:pPr>
              <w:pStyle w:val="4"/>
              <w:bidi w:val="0"/>
              <w:rPr>
                <w:rFonts w:hint="eastAsia"/>
                <w:lang w:val="en-US" w:eastAsia="zh-CN"/>
              </w:rPr>
            </w:pPr>
            <w:bookmarkStart w:id="32" w:name="_Toc25171"/>
            <w:bookmarkStart w:id="33" w:name="_Toc19902"/>
            <w:r>
              <w:rPr>
                <w:rFonts w:hint="eastAsia"/>
                <w:lang w:val="en-US" w:eastAsia="zh-CN"/>
              </w:rPr>
              <w:t>3、地下水环境质量现状</w:t>
            </w:r>
            <w:bookmarkEnd w:id="32"/>
            <w:bookmarkEnd w:id="33"/>
          </w:p>
          <w:p>
            <w:pPr>
              <w:pStyle w:val="19"/>
              <w:bidi w:val="0"/>
              <w:rPr>
                <w:rFonts w:hint="default"/>
                <w:lang w:val="en-US" w:eastAsia="zh-CN"/>
              </w:rPr>
            </w:pPr>
            <w:r>
              <w:rPr>
                <w:rFonts w:hint="eastAsia"/>
                <w:lang w:val="en-US" w:eastAsia="zh-CN"/>
              </w:rPr>
              <w:t>根据《建设项目环境影响报告表编制技术指南》中“地下水、土壤环境。原则上不开展环境质量现状调查。建设项目存在土壤、地下水环境污染途径的，应结合污染源、保护目标分布情况开展现状调查以留作背景值”的要求。经过现场调研及走访询问，厂界外500米范围内的地下水集中式饮用水水源和热水、矿泉水、温泉等特殊地下水资源，项目地址为花垣县产业开发区内，所在地区已集中供水，居民均饮用自来水，区域无集中式饮用水源地。</w:t>
            </w:r>
          </w:p>
          <w:p>
            <w:pPr>
              <w:pStyle w:val="19"/>
              <w:bidi w:val="0"/>
              <w:rPr>
                <w:rFonts w:hint="default"/>
                <w:lang w:val="en-US" w:eastAsia="zh-CN"/>
              </w:rPr>
            </w:pPr>
            <w:r>
              <w:rPr>
                <w:rFonts w:hint="eastAsia"/>
                <w:lang w:val="en-US" w:eastAsia="zh-CN"/>
              </w:rPr>
              <w:t>本项目地下水质量现状引用《湖南东方矿业有限责任公司 5000t/a 电解锰阳极渣综合回收利用项目环境影响报告表》中地下水监测数据。</w:t>
            </w:r>
          </w:p>
          <w:p>
            <w:pPr>
              <w:pStyle w:val="19"/>
              <w:numPr>
                <w:ilvl w:val="0"/>
                <w:numId w:val="7"/>
              </w:numPr>
              <w:bidi w:val="0"/>
              <w:rPr>
                <w:rFonts w:hint="eastAsia"/>
                <w:lang w:val="en-US" w:eastAsia="zh-CN"/>
              </w:rPr>
            </w:pPr>
            <w:r>
              <w:rPr>
                <w:rFonts w:hint="eastAsia"/>
                <w:lang w:val="en-US" w:eastAsia="zh-CN"/>
              </w:rPr>
              <w:t>采样点布设</w:t>
            </w:r>
          </w:p>
          <w:p>
            <w:pPr>
              <w:pStyle w:val="19"/>
              <w:numPr>
                <w:ilvl w:val="0"/>
                <w:numId w:val="0"/>
              </w:numPr>
              <w:bidi w:val="0"/>
              <w:ind w:leftChars="200" w:right="40" w:rightChars="0"/>
              <w:rPr>
                <w:rFonts w:hint="eastAsia"/>
                <w:lang w:val="en-US" w:eastAsia="zh-CN"/>
              </w:rPr>
            </w:pPr>
            <w:r>
              <w:rPr>
                <w:rFonts w:hint="default"/>
                <w:lang w:val="en-US" w:eastAsia="zh-CN"/>
              </w:rPr>
              <w:t>共设10个地下水采样点，</w:t>
            </w:r>
            <w:r>
              <w:rPr>
                <w:rFonts w:hint="eastAsia"/>
                <w:lang w:val="en-US" w:eastAsia="zh-CN"/>
              </w:rPr>
              <w:t>具体见图3-3</w:t>
            </w:r>
          </w:p>
          <w:p>
            <w:pPr>
              <w:bidi w:val="0"/>
              <w:jc w:val="center"/>
              <w:rPr>
                <w:rFonts w:hint="default"/>
                <w:b/>
                <w:bCs/>
                <w:lang w:val="en-US" w:eastAsia="zh-CN"/>
              </w:rPr>
            </w:pPr>
            <w:r>
              <w:rPr>
                <w:rFonts w:hint="eastAsia"/>
                <w:b/>
                <w:bCs/>
                <w:lang w:val="en-US" w:eastAsia="zh-CN"/>
              </w:rPr>
              <w:t>表3-6  监测点一览表</w:t>
            </w:r>
          </w:p>
          <w:tbl>
            <w:tblPr>
              <w:tblStyle w:val="1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 w:type="dxa"/>
                <w:bottom w:w="0" w:type="dxa"/>
                <w:right w:w="10" w:type="dxa"/>
              </w:tblCellMar>
            </w:tblPr>
            <w:tblGrid>
              <w:gridCol w:w="414"/>
              <w:gridCol w:w="611"/>
              <w:gridCol w:w="3358"/>
              <w:gridCol w:w="369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127" w:hRule="atLeast"/>
                <w:jc w:val="center"/>
              </w:trPr>
              <w:tc>
                <w:tcPr>
                  <w:tcW w:w="1025" w:type="dxa"/>
                  <w:gridSpan w:val="2"/>
                  <w:noWrap w:val="0"/>
                  <w:vAlign w:val="center"/>
                </w:tcPr>
                <w:p>
                  <w:pPr>
                    <w:pStyle w:val="18"/>
                    <w:bidi w:val="0"/>
                    <w:jc w:val="center"/>
                  </w:pPr>
                  <w:r>
                    <w:t>监测点位</w:t>
                  </w:r>
                </w:p>
              </w:tc>
              <w:tc>
                <w:tcPr>
                  <w:tcW w:w="3358" w:type="dxa"/>
                  <w:noWrap w:val="0"/>
                  <w:vAlign w:val="center"/>
                </w:tcPr>
                <w:p>
                  <w:pPr>
                    <w:pStyle w:val="18"/>
                    <w:bidi w:val="0"/>
                    <w:jc w:val="center"/>
                  </w:pPr>
                  <w:r>
                    <w:t>名称及相对拟建厂界方位及距离</w:t>
                  </w:r>
                </w:p>
              </w:tc>
              <w:tc>
                <w:tcPr>
                  <w:tcW w:w="3690" w:type="dxa"/>
                  <w:noWrap w:val="0"/>
                  <w:vAlign w:val="center"/>
                </w:tcPr>
                <w:p>
                  <w:pPr>
                    <w:pStyle w:val="18"/>
                    <w:bidi w:val="0"/>
                    <w:jc w:val="center"/>
                  </w:pPr>
                  <w:r>
                    <w:t>监测因子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127" w:hRule="atLeast"/>
                <w:jc w:val="center"/>
              </w:trPr>
              <w:tc>
                <w:tcPr>
                  <w:tcW w:w="414" w:type="dxa"/>
                  <w:vMerge w:val="restart"/>
                  <w:noWrap w:val="0"/>
                  <w:vAlign w:val="center"/>
                </w:tcPr>
                <w:p>
                  <w:pPr>
                    <w:pStyle w:val="18"/>
                    <w:bidi w:val="0"/>
                    <w:jc w:val="center"/>
                  </w:pPr>
                  <w:r>
                    <w:t>地下水</w:t>
                  </w:r>
                </w:p>
              </w:tc>
              <w:tc>
                <w:tcPr>
                  <w:tcW w:w="611" w:type="dxa"/>
                  <w:noWrap w:val="0"/>
                  <w:vAlign w:val="center"/>
                </w:tcPr>
                <w:p>
                  <w:pPr>
                    <w:pStyle w:val="18"/>
                    <w:bidi w:val="0"/>
                    <w:jc w:val="center"/>
                  </w:pPr>
                  <w:r>
                    <w:t>U1</w:t>
                  </w:r>
                </w:p>
              </w:tc>
              <w:tc>
                <w:tcPr>
                  <w:tcW w:w="3358" w:type="dxa"/>
                  <w:noWrap w:val="0"/>
                  <w:vAlign w:val="center"/>
                </w:tcPr>
                <w:p>
                  <w:pPr>
                    <w:pStyle w:val="18"/>
                    <w:bidi w:val="0"/>
                    <w:jc w:val="center"/>
                  </w:pPr>
                  <w:r>
                    <w:t>大冲村（厂界W 1</w:t>
                  </w:r>
                  <w:r>
                    <w:rPr>
                      <w:rFonts w:hint="eastAsia"/>
                      <w:lang w:val="en-US" w:eastAsia="zh-CN"/>
                    </w:rPr>
                    <w:t>12</w:t>
                  </w:r>
                  <w:r>
                    <w:t>0m）</w:t>
                  </w:r>
                </w:p>
              </w:tc>
              <w:tc>
                <w:tcPr>
                  <w:tcW w:w="3690" w:type="dxa"/>
                  <w:vMerge w:val="restart"/>
                  <w:noWrap w:val="0"/>
                  <w:vAlign w:val="center"/>
                </w:tcPr>
                <w:p>
                  <w:pPr>
                    <w:pStyle w:val="18"/>
                    <w:bidi w:val="0"/>
                    <w:jc w:val="center"/>
                  </w:pPr>
                  <w:r>
                    <w:t>连续采样2天，每天监测一次；监测因子为K</w:t>
                  </w:r>
                  <w:r>
                    <w:rPr>
                      <w:vertAlign w:val="superscript"/>
                    </w:rPr>
                    <w:t>+</w:t>
                  </w:r>
                  <w:r>
                    <w:rPr>
                      <w:rFonts w:hint="eastAsia"/>
                      <w:vertAlign w:val="baseline"/>
                      <w:lang w:eastAsia="zh-CN"/>
                    </w:rPr>
                    <w:t>、</w:t>
                  </w:r>
                  <w:r>
                    <w:t>Na</w:t>
                  </w:r>
                  <w:r>
                    <w:rPr>
                      <w:vertAlign w:val="superscript"/>
                    </w:rPr>
                    <w:t>+</w:t>
                  </w:r>
                  <w:r>
                    <w:t>、Ca</w:t>
                  </w:r>
                  <w:r>
                    <w:rPr>
                      <w:vertAlign w:val="superscript"/>
                    </w:rPr>
                    <w:t>2+</w:t>
                  </w:r>
                  <w:r>
                    <w:t>、Mg</w:t>
                  </w:r>
                  <w:r>
                    <w:rPr>
                      <w:vertAlign w:val="superscript"/>
                    </w:rPr>
                    <w:t>2+</w:t>
                  </w:r>
                  <w:r>
                    <w:t>、CO</w:t>
                  </w:r>
                  <w:r>
                    <w:rPr>
                      <w:vertAlign w:val="subscript"/>
                    </w:rPr>
                    <w:t>3</w:t>
                  </w:r>
                  <w:r>
                    <w:rPr>
                      <w:vertAlign w:val="superscript"/>
                    </w:rPr>
                    <w:t>2-</w:t>
                  </w:r>
                  <w:r>
                    <w:t>、HCO</w:t>
                  </w:r>
                  <w:r>
                    <w:rPr>
                      <w:vertAlign w:val="subscript"/>
                    </w:rPr>
                    <w:t>3</w:t>
                  </w:r>
                  <w:r>
                    <w:rPr>
                      <w:vertAlign w:val="superscript"/>
                    </w:rPr>
                    <w:t>-</w:t>
                  </w:r>
                  <w:r>
                    <w:t>、Cl</w:t>
                  </w:r>
                  <w:r>
                    <w:rPr>
                      <w:vertAlign w:val="superscript"/>
                    </w:rPr>
                    <w:t>-</w:t>
                  </w:r>
                  <w:r>
                    <w:t>、SO</w:t>
                  </w:r>
                  <w:r>
                    <w:rPr>
                      <w:vertAlign w:val="subscript"/>
                    </w:rPr>
                    <w:t>4</w:t>
                  </w:r>
                  <w:r>
                    <w:rPr>
                      <w:vertAlign w:val="superscript"/>
                    </w:rPr>
                    <w:t>2-</w:t>
                  </w:r>
                  <w:r>
                    <w:t>、pH、NH</w:t>
                  </w:r>
                  <w:r>
                    <w:rPr>
                      <w:vertAlign w:val="subscript"/>
                    </w:rPr>
                    <w:t>3</w:t>
                  </w:r>
                  <w:r>
                    <w:t>-N、耗氧量（COD</w:t>
                  </w:r>
                  <w:r>
                    <w:rPr>
                      <w:vertAlign w:val="subscript"/>
                    </w:rPr>
                    <w:t>Mn</w:t>
                  </w:r>
                  <w:r>
                    <w:t>）、Pb、Cd、Cr</w:t>
                  </w:r>
                  <w:r>
                    <w:rPr>
                      <w:vertAlign w:val="superscript"/>
                    </w:rPr>
                    <w:t>6+</w:t>
                  </w:r>
                  <w:r>
                    <w:t>、As、Hg、Sb、Ni、氟化物、Fe、Zn、Mn、Tl、Cu、硝酸盐、亚硝酸盐、氯化物、硫酸盐、总硬度、挥发酚、溶解性总固体、水位、埋深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36" w:hRule="atLeast"/>
                <w:jc w:val="center"/>
              </w:trPr>
              <w:tc>
                <w:tcPr>
                  <w:tcW w:w="414" w:type="dxa"/>
                  <w:vMerge w:val="continue"/>
                  <w:noWrap w:val="0"/>
                  <w:vAlign w:val="center"/>
                </w:tcPr>
                <w:p>
                  <w:pPr>
                    <w:pStyle w:val="18"/>
                    <w:bidi w:val="0"/>
                    <w:jc w:val="center"/>
                  </w:pPr>
                </w:p>
              </w:tc>
              <w:tc>
                <w:tcPr>
                  <w:tcW w:w="611" w:type="dxa"/>
                  <w:noWrap w:val="0"/>
                  <w:vAlign w:val="center"/>
                </w:tcPr>
                <w:p>
                  <w:pPr>
                    <w:pStyle w:val="18"/>
                    <w:bidi w:val="0"/>
                    <w:jc w:val="center"/>
                  </w:pPr>
                  <w:r>
                    <w:t>U2</w:t>
                  </w:r>
                </w:p>
              </w:tc>
              <w:tc>
                <w:tcPr>
                  <w:tcW w:w="3358" w:type="dxa"/>
                  <w:noWrap w:val="0"/>
                  <w:vAlign w:val="center"/>
                </w:tcPr>
                <w:p>
                  <w:pPr>
                    <w:pStyle w:val="18"/>
                    <w:bidi w:val="0"/>
                    <w:jc w:val="center"/>
                  </w:pPr>
                  <w:r>
                    <w:t>付家湾（</w:t>
                  </w:r>
                  <w:r>
                    <w:rPr>
                      <w:rFonts w:hint="eastAsia"/>
                      <w:lang w:val="en-US" w:eastAsia="zh-CN"/>
                    </w:rPr>
                    <w:t>厂界N</w:t>
                  </w:r>
                  <w:r>
                    <w:t xml:space="preserve">W </w:t>
                  </w:r>
                  <w:r>
                    <w:rPr>
                      <w:rFonts w:hint="eastAsia"/>
                      <w:lang w:val="en-US" w:eastAsia="zh-CN"/>
                    </w:rPr>
                    <w:t>21</w:t>
                  </w:r>
                  <w:r>
                    <w:t>00m）</w:t>
                  </w:r>
                </w:p>
              </w:tc>
              <w:tc>
                <w:tcPr>
                  <w:tcW w:w="3690"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59" w:hRule="atLeast"/>
                <w:jc w:val="center"/>
              </w:trPr>
              <w:tc>
                <w:tcPr>
                  <w:tcW w:w="414" w:type="dxa"/>
                  <w:vMerge w:val="continue"/>
                  <w:noWrap w:val="0"/>
                  <w:vAlign w:val="center"/>
                </w:tcPr>
                <w:p>
                  <w:pPr>
                    <w:pStyle w:val="18"/>
                    <w:bidi w:val="0"/>
                    <w:jc w:val="center"/>
                  </w:pPr>
                </w:p>
              </w:tc>
              <w:tc>
                <w:tcPr>
                  <w:tcW w:w="611" w:type="dxa"/>
                  <w:noWrap w:val="0"/>
                  <w:vAlign w:val="center"/>
                </w:tcPr>
                <w:p>
                  <w:pPr>
                    <w:pStyle w:val="18"/>
                    <w:bidi w:val="0"/>
                    <w:jc w:val="center"/>
                  </w:pPr>
                  <w:r>
                    <w:t>U3</w:t>
                  </w:r>
                </w:p>
              </w:tc>
              <w:tc>
                <w:tcPr>
                  <w:tcW w:w="3358" w:type="dxa"/>
                  <w:noWrap w:val="0"/>
                  <w:vAlign w:val="center"/>
                </w:tcPr>
                <w:p>
                  <w:pPr>
                    <w:pStyle w:val="18"/>
                    <w:bidi w:val="0"/>
                    <w:jc w:val="center"/>
                  </w:pPr>
                  <w:r>
                    <w:rPr>
                      <w:rFonts w:hint="eastAsia"/>
                      <w:lang w:val="en-US" w:eastAsia="zh-CN"/>
                    </w:rPr>
                    <w:t>东方矿业</w:t>
                  </w:r>
                  <w:r>
                    <w:t>尾矿库下游监控井（</w:t>
                  </w:r>
                  <w:r>
                    <w:rPr>
                      <w:rFonts w:hint="eastAsia"/>
                      <w:lang w:val="en-US" w:eastAsia="zh-CN"/>
                    </w:rPr>
                    <w:t>厂界NW</w:t>
                  </w:r>
                  <w:r>
                    <w:t xml:space="preserve"> 1</w:t>
                  </w:r>
                  <w:r>
                    <w:rPr>
                      <w:rFonts w:hint="eastAsia"/>
                      <w:lang w:val="en-US" w:eastAsia="zh-CN"/>
                    </w:rPr>
                    <w:t>2</w:t>
                  </w:r>
                  <w:r>
                    <w:t>00m）</w:t>
                  </w:r>
                </w:p>
              </w:tc>
              <w:tc>
                <w:tcPr>
                  <w:tcW w:w="3690"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41" w:hRule="atLeast"/>
                <w:jc w:val="center"/>
              </w:trPr>
              <w:tc>
                <w:tcPr>
                  <w:tcW w:w="414" w:type="dxa"/>
                  <w:vMerge w:val="continue"/>
                  <w:noWrap w:val="0"/>
                  <w:vAlign w:val="center"/>
                </w:tcPr>
                <w:p>
                  <w:pPr>
                    <w:pStyle w:val="18"/>
                    <w:bidi w:val="0"/>
                    <w:jc w:val="center"/>
                  </w:pPr>
                </w:p>
              </w:tc>
              <w:tc>
                <w:tcPr>
                  <w:tcW w:w="611" w:type="dxa"/>
                  <w:noWrap w:val="0"/>
                  <w:vAlign w:val="center"/>
                </w:tcPr>
                <w:p>
                  <w:pPr>
                    <w:pStyle w:val="18"/>
                    <w:bidi w:val="0"/>
                    <w:jc w:val="center"/>
                  </w:pPr>
                  <w:r>
                    <w:t>U4</w:t>
                  </w:r>
                </w:p>
              </w:tc>
              <w:tc>
                <w:tcPr>
                  <w:tcW w:w="3358" w:type="dxa"/>
                  <w:noWrap w:val="0"/>
                  <w:vAlign w:val="center"/>
                </w:tcPr>
                <w:p>
                  <w:pPr>
                    <w:pStyle w:val="18"/>
                    <w:bidi w:val="0"/>
                    <w:jc w:val="center"/>
                  </w:pPr>
                  <w:r>
                    <w:t>卡地（厂界</w:t>
                  </w:r>
                  <w:r>
                    <w:rPr>
                      <w:rFonts w:hint="eastAsia"/>
                      <w:lang w:val="en-US" w:eastAsia="zh-CN"/>
                    </w:rPr>
                    <w:t>NE</w:t>
                  </w:r>
                  <w:r>
                    <w:t xml:space="preserve"> </w:t>
                  </w:r>
                  <w:r>
                    <w:rPr>
                      <w:rFonts w:hint="eastAsia"/>
                      <w:lang w:val="en-US" w:eastAsia="zh-CN"/>
                    </w:rPr>
                    <w:t>500</w:t>
                  </w:r>
                  <w:r>
                    <w:t>m）</w:t>
                  </w:r>
                </w:p>
              </w:tc>
              <w:tc>
                <w:tcPr>
                  <w:tcW w:w="3690"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18" w:hRule="atLeast"/>
                <w:jc w:val="center"/>
              </w:trPr>
              <w:tc>
                <w:tcPr>
                  <w:tcW w:w="414" w:type="dxa"/>
                  <w:vMerge w:val="continue"/>
                  <w:noWrap w:val="0"/>
                  <w:vAlign w:val="center"/>
                </w:tcPr>
                <w:p>
                  <w:pPr>
                    <w:pStyle w:val="18"/>
                    <w:bidi w:val="0"/>
                    <w:jc w:val="center"/>
                  </w:pPr>
                </w:p>
              </w:tc>
              <w:tc>
                <w:tcPr>
                  <w:tcW w:w="611" w:type="dxa"/>
                  <w:noWrap w:val="0"/>
                  <w:vAlign w:val="center"/>
                </w:tcPr>
                <w:p>
                  <w:pPr>
                    <w:pStyle w:val="18"/>
                    <w:bidi w:val="0"/>
                    <w:jc w:val="center"/>
                  </w:pPr>
                  <w:r>
                    <w:t>U5</w:t>
                  </w:r>
                </w:p>
              </w:tc>
              <w:tc>
                <w:tcPr>
                  <w:tcW w:w="3358" w:type="dxa"/>
                  <w:noWrap w:val="0"/>
                  <w:vAlign w:val="center"/>
                </w:tcPr>
                <w:p>
                  <w:pPr>
                    <w:pStyle w:val="18"/>
                    <w:bidi w:val="0"/>
                    <w:jc w:val="center"/>
                  </w:pPr>
                  <w:r>
                    <w:t xml:space="preserve">龙洞村（厂界S </w:t>
                  </w:r>
                  <w:r>
                    <w:rPr>
                      <w:rFonts w:hint="eastAsia"/>
                      <w:lang w:val="en-US" w:eastAsia="zh-CN"/>
                    </w:rPr>
                    <w:t>100</w:t>
                  </w:r>
                  <w:r>
                    <w:t>0m）</w:t>
                  </w:r>
                </w:p>
              </w:tc>
              <w:tc>
                <w:tcPr>
                  <w:tcW w:w="3690"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18" w:hRule="atLeast"/>
                <w:jc w:val="center"/>
              </w:trPr>
              <w:tc>
                <w:tcPr>
                  <w:tcW w:w="414" w:type="dxa"/>
                  <w:vMerge w:val="continue"/>
                  <w:noWrap w:val="0"/>
                  <w:vAlign w:val="center"/>
                </w:tcPr>
                <w:p>
                  <w:pPr>
                    <w:pStyle w:val="18"/>
                    <w:bidi w:val="0"/>
                    <w:jc w:val="center"/>
                  </w:pPr>
                </w:p>
              </w:tc>
              <w:tc>
                <w:tcPr>
                  <w:tcW w:w="611" w:type="dxa"/>
                  <w:noWrap w:val="0"/>
                  <w:vAlign w:val="center"/>
                </w:tcPr>
                <w:p>
                  <w:pPr>
                    <w:pStyle w:val="18"/>
                    <w:bidi w:val="0"/>
                    <w:jc w:val="center"/>
                  </w:pPr>
                  <w:r>
                    <w:t>U6</w:t>
                  </w:r>
                </w:p>
              </w:tc>
              <w:tc>
                <w:tcPr>
                  <w:tcW w:w="3358" w:type="dxa"/>
                  <w:noWrap w:val="0"/>
                  <w:vAlign w:val="center"/>
                </w:tcPr>
                <w:p>
                  <w:pPr>
                    <w:pStyle w:val="18"/>
                    <w:bidi w:val="0"/>
                    <w:jc w:val="center"/>
                  </w:pPr>
                  <w:r>
                    <w:t>老巴冲（厂界E</w:t>
                  </w:r>
                  <w:r>
                    <w:rPr>
                      <w:rFonts w:hint="eastAsia"/>
                      <w:lang w:val="en-US" w:eastAsia="zh-CN"/>
                    </w:rPr>
                    <w:t xml:space="preserve"> 7</w:t>
                  </w:r>
                  <w:r>
                    <w:t>00m）</w:t>
                  </w:r>
                </w:p>
              </w:tc>
              <w:tc>
                <w:tcPr>
                  <w:tcW w:w="3690" w:type="dxa"/>
                  <w:vMerge w:val="restart"/>
                  <w:noWrap w:val="0"/>
                  <w:vAlign w:val="center"/>
                </w:tcPr>
                <w:p>
                  <w:pPr>
                    <w:pStyle w:val="18"/>
                    <w:bidi w:val="0"/>
                    <w:jc w:val="center"/>
                  </w:pPr>
                  <w:r>
                    <w:t>水位、埋深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18" w:hRule="atLeast"/>
                <w:jc w:val="center"/>
              </w:trPr>
              <w:tc>
                <w:tcPr>
                  <w:tcW w:w="414" w:type="dxa"/>
                  <w:vMerge w:val="continue"/>
                  <w:noWrap w:val="0"/>
                  <w:vAlign w:val="center"/>
                </w:tcPr>
                <w:p>
                  <w:pPr>
                    <w:pStyle w:val="18"/>
                    <w:bidi w:val="0"/>
                    <w:jc w:val="center"/>
                  </w:pPr>
                </w:p>
              </w:tc>
              <w:tc>
                <w:tcPr>
                  <w:tcW w:w="611" w:type="dxa"/>
                  <w:noWrap w:val="0"/>
                  <w:vAlign w:val="center"/>
                </w:tcPr>
                <w:p>
                  <w:pPr>
                    <w:pStyle w:val="18"/>
                    <w:bidi w:val="0"/>
                    <w:jc w:val="center"/>
                  </w:pPr>
                  <w:r>
                    <w:t>U7</w:t>
                  </w:r>
                </w:p>
              </w:tc>
              <w:tc>
                <w:tcPr>
                  <w:tcW w:w="3358" w:type="dxa"/>
                  <w:noWrap w:val="0"/>
                  <w:vAlign w:val="center"/>
                </w:tcPr>
                <w:p>
                  <w:pPr>
                    <w:pStyle w:val="18"/>
                    <w:bidi w:val="0"/>
                    <w:jc w:val="center"/>
                  </w:pPr>
                  <w:r>
                    <w:t xml:space="preserve">瓦水村（厂界SW </w:t>
                  </w:r>
                  <w:r>
                    <w:rPr>
                      <w:rFonts w:hint="eastAsia"/>
                      <w:lang w:val="en-US" w:eastAsia="zh-CN"/>
                    </w:rPr>
                    <w:t>22</w:t>
                  </w:r>
                  <w:r>
                    <w:t>00m）</w:t>
                  </w:r>
                </w:p>
              </w:tc>
              <w:tc>
                <w:tcPr>
                  <w:tcW w:w="3690"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18" w:hRule="atLeast"/>
                <w:jc w:val="center"/>
              </w:trPr>
              <w:tc>
                <w:tcPr>
                  <w:tcW w:w="414" w:type="dxa"/>
                  <w:vMerge w:val="continue"/>
                  <w:noWrap w:val="0"/>
                  <w:vAlign w:val="center"/>
                </w:tcPr>
                <w:p>
                  <w:pPr>
                    <w:pStyle w:val="18"/>
                    <w:bidi w:val="0"/>
                    <w:jc w:val="center"/>
                  </w:pPr>
                </w:p>
              </w:tc>
              <w:tc>
                <w:tcPr>
                  <w:tcW w:w="611" w:type="dxa"/>
                  <w:noWrap w:val="0"/>
                  <w:vAlign w:val="center"/>
                </w:tcPr>
                <w:p>
                  <w:pPr>
                    <w:pStyle w:val="18"/>
                    <w:bidi w:val="0"/>
                    <w:jc w:val="center"/>
                  </w:pPr>
                  <w:r>
                    <w:t>U8</w:t>
                  </w:r>
                </w:p>
              </w:tc>
              <w:tc>
                <w:tcPr>
                  <w:tcW w:w="3358" w:type="dxa"/>
                  <w:noWrap w:val="0"/>
                  <w:vAlign w:val="center"/>
                </w:tcPr>
                <w:p>
                  <w:pPr>
                    <w:pStyle w:val="18"/>
                    <w:bidi w:val="0"/>
                    <w:jc w:val="center"/>
                  </w:pPr>
                  <w:r>
                    <w:t xml:space="preserve">下瓦水（厂界W </w:t>
                  </w:r>
                  <w:r>
                    <w:rPr>
                      <w:rFonts w:hint="eastAsia"/>
                      <w:lang w:val="en-US" w:eastAsia="zh-CN"/>
                    </w:rPr>
                    <w:t>26</w:t>
                  </w:r>
                  <w:r>
                    <w:t>00m）</w:t>
                  </w:r>
                </w:p>
              </w:tc>
              <w:tc>
                <w:tcPr>
                  <w:tcW w:w="3690"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18" w:hRule="atLeast"/>
                <w:jc w:val="center"/>
              </w:trPr>
              <w:tc>
                <w:tcPr>
                  <w:tcW w:w="414" w:type="dxa"/>
                  <w:vMerge w:val="continue"/>
                  <w:noWrap w:val="0"/>
                  <w:vAlign w:val="center"/>
                </w:tcPr>
                <w:p>
                  <w:pPr>
                    <w:pStyle w:val="18"/>
                    <w:bidi w:val="0"/>
                    <w:jc w:val="center"/>
                  </w:pPr>
                </w:p>
              </w:tc>
              <w:tc>
                <w:tcPr>
                  <w:tcW w:w="611" w:type="dxa"/>
                  <w:noWrap w:val="0"/>
                  <w:vAlign w:val="center"/>
                </w:tcPr>
                <w:p>
                  <w:pPr>
                    <w:pStyle w:val="18"/>
                    <w:bidi w:val="0"/>
                    <w:jc w:val="center"/>
                  </w:pPr>
                  <w:r>
                    <w:t>U9</w:t>
                  </w:r>
                </w:p>
              </w:tc>
              <w:tc>
                <w:tcPr>
                  <w:tcW w:w="3358" w:type="dxa"/>
                  <w:noWrap w:val="0"/>
                  <w:vAlign w:val="center"/>
                </w:tcPr>
                <w:p>
                  <w:pPr>
                    <w:pStyle w:val="18"/>
                    <w:bidi w:val="0"/>
                    <w:jc w:val="center"/>
                  </w:pPr>
                  <w:r>
                    <w:t>码头寨（渣库N</w:t>
                  </w:r>
                  <w:r>
                    <w:rPr>
                      <w:rFonts w:hint="eastAsia"/>
                      <w:lang w:val="en-US" w:eastAsia="zh-CN"/>
                    </w:rPr>
                    <w:t>W</w:t>
                  </w:r>
                  <w:r>
                    <w:t xml:space="preserve"> </w:t>
                  </w:r>
                  <w:r>
                    <w:rPr>
                      <w:rFonts w:hint="eastAsia"/>
                      <w:lang w:val="en-US" w:eastAsia="zh-CN"/>
                    </w:rPr>
                    <w:t>20</w:t>
                  </w:r>
                  <w:r>
                    <w:t>00m）</w:t>
                  </w:r>
                </w:p>
              </w:tc>
              <w:tc>
                <w:tcPr>
                  <w:tcW w:w="3690"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18" w:hRule="atLeast"/>
                <w:jc w:val="center"/>
              </w:trPr>
              <w:tc>
                <w:tcPr>
                  <w:tcW w:w="414" w:type="dxa"/>
                  <w:vMerge w:val="continue"/>
                  <w:noWrap w:val="0"/>
                  <w:vAlign w:val="center"/>
                </w:tcPr>
                <w:p>
                  <w:pPr>
                    <w:pStyle w:val="18"/>
                    <w:bidi w:val="0"/>
                    <w:jc w:val="center"/>
                  </w:pPr>
                </w:p>
              </w:tc>
              <w:tc>
                <w:tcPr>
                  <w:tcW w:w="611" w:type="dxa"/>
                  <w:noWrap w:val="0"/>
                  <w:vAlign w:val="center"/>
                </w:tcPr>
                <w:p>
                  <w:pPr>
                    <w:pStyle w:val="18"/>
                    <w:bidi w:val="0"/>
                    <w:jc w:val="center"/>
                  </w:pPr>
                  <w:r>
                    <w:t>U10</w:t>
                  </w:r>
                </w:p>
              </w:tc>
              <w:tc>
                <w:tcPr>
                  <w:tcW w:w="3358" w:type="dxa"/>
                  <w:noWrap w:val="0"/>
                  <w:vAlign w:val="center"/>
                </w:tcPr>
                <w:p>
                  <w:pPr>
                    <w:pStyle w:val="18"/>
                    <w:bidi w:val="0"/>
                    <w:jc w:val="center"/>
                  </w:pPr>
                  <w:r>
                    <w:t>黑岩塘（厂界NE 1</w:t>
                  </w:r>
                  <w:r>
                    <w:rPr>
                      <w:rFonts w:hint="eastAsia"/>
                      <w:lang w:val="en-US" w:eastAsia="zh-CN"/>
                    </w:rPr>
                    <w:t>7</w:t>
                  </w:r>
                  <w:r>
                    <w:t>00m）</w:t>
                  </w:r>
                </w:p>
              </w:tc>
              <w:tc>
                <w:tcPr>
                  <w:tcW w:w="3690" w:type="dxa"/>
                  <w:vMerge w:val="continue"/>
                  <w:noWrap w:val="0"/>
                  <w:vAlign w:val="center"/>
                </w:tcPr>
                <w:p>
                  <w:pPr>
                    <w:pStyle w:val="18"/>
                    <w:bidi w:val="0"/>
                    <w:jc w:val="center"/>
                  </w:pPr>
                </w:p>
              </w:tc>
            </w:tr>
          </w:tbl>
          <w:p>
            <w:pPr>
              <w:pStyle w:val="19"/>
              <w:numPr>
                <w:ilvl w:val="0"/>
                <w:numId w:val="0"/>
              </w:numPr>
              <w:bidi w:val="0"/>
              <w:ind w:leftChars="200" w:right="40" w:rightChars="0"/>
              <w:rPr>
                <w:rFonts w:hint="default"/>
                <w:lang w:val="en-US" w:eastAsia="zh-CN"/>
              </w:rPr>
            </w:pPr>
          </w:p>
          <w:p>
            <w:pPr>
              <w:bidi w:val="0"/>
              <w:rPr>
                <w:rFonts w:hint="default"/>
                <w:lang w:val="en-US" w:eastAsia="zh-CN"/>
              </w:rPr>
            </w:pPr>
            <w:r>
              <w:drawing>
                <wp:inline distT="0" distB="0" distL="114300" distR="114300">
                  <wp:extent cx="5509260" cy="3374390"/>
                  <wp:effectExtent l="0" t="0" r="5715" b="6985"/>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15"/>
                          <a:stretch>
                            <a:fillRect/>
                          </a:stretch>
                        </pic:blipFill>
                        <pic:spPr>
                          <a:xfrm>
                            <a:off x="0" y="0"/>
                            <a:ext cx="5509260" cy="3374390"/>
                          </a:xfrm>
                          <a:prstGeom prst="rect">
                            <a:avLst/>
                          </a:prstGeom>
                          <a:noFill/>
                          <a:ln>
                            <a:noFill/>
                          </a:ln>
                        </pic:spPr>
                      </pic:pic>
                    </a:graphicData>
                  </a:graphic>
                </wp:inline>
              </w:drawing>
            </w:r>
          </w:p>
          <w:p>
            <w:pPr>
              <w:numPr>
                <w:ilvl w:val="0"/>
                <w:numId w:val="0"/>
              </w:numPr>
              <w:ind w:leftChars="0" w:right="40" w:rightChars="0"/>
              <w:jc w:val="center"/>
              <w:rPr>
                <w:rFonts w:hint="default"/>
                <w:b/>
                <w:bCs/>
                <w:vertAlign w:val="baseline"/>
                <w:lang w:val="en-US" w:eastAsia="zh-CN"/>
              </w:rPr>
            </w:pPr>
            <w:r>
              <w:rPr>
                <w:rFonts w:hint="eastAsia"/>
                <w:b/>
                <w:bCs/>
                <w:vertAlign w:val="baseline"/>
                <w:lang w:val="en-US" w:eastAsia="zh-CN"/>
              </w:rPr>
              <w:t>图3-3  地下水引用监测数据布点示意图</w:t>
            </w:r>
          </w:p>
          <w:p>
            <w:pPr>
              <w:pStyle w:val="19"/>
              <w:bidi w:val="0"/>
              <w:rPr>
                <w:rFonts w:hint="default"/>
                <w:lang w:val="en-US" w:eastAsia="zh-CN"/>
              </w:rPr>
            </w:pPr>
            <w:r>
              <w:rPr>
                <w:rFonts w:hint="eastAsia"/>
                <w:lang w:val="en-US" w:eastAsia="zh-CN"/>
              </w:rPr>
              <w:t>（2）</w:t>
            </w:r>
            <w:r>
              <w:rPr>
                <w:rFonts w:hint="default"/>
                <w:lang w:val="en-US" w:eastAsia="zh-CN"/>
              </w:rPr>
              <w:t>监测因子</w:t>
            </w:r>
          </w:p>
          <w:p>
            <w:pPr>
              <w:numPr>
                <w:ilvl w:val="0"/>
                <w:numId w:val="0"/>
              </w:numPr>
              <w:ind w:leftChars="0" w:right="40" w:rightChars="0" w:firstLine="480" w:firstLineChars="200"/>
              <w:rPr>
                <w:rFonts w:hint="default"/>
                <w:vertAlign w:val="baseline"/>
                <w:lang w:val="en-US" w:eastAsia="zh-CN"/>
              </w:rPr>
            </w:pPr>
            <w:r>
              <w:rPr>
                <w:rFonts w:hint="default"/>
                <w:vertAlign w:val="baseline"/>
                <w:lang w:val="en-US" w:eastAsia="zh-CN"/>
              </w:rPr>
              <w:t>连续采样2天，每天监测一次；监测因子为K</w:t>
            </w:r>
            <w:r>
              <w:rPr>
                <w:rFonts w:hint="default"/>
                <w:vertAlign w:val="superscript"/>
                <w:lang w:val="en-US" w:eastAsia="zh-CN"/>
              </w:rPr>
              <w:t>+</w:t>
            </w:r>
            <w:r>
              <w:rPr>
                <w:rFonts w:hint="eastAsia"/>
                <w:vertAlign w:val="baseline"/>
                <w:lang w:val="en-US" w:eastAsia="zh-CN"/>
              </w:rPr>
              <w:t>、</w:t>
            </w:r>
            <w:r>
              <w:rPr>
                <w:rFonts w:hint="default"/>
                <w:vertAlign w:val="baseline"/>
                <w:lang w:val="en-US" w:eastAsia="zh-CN"/>
              </w:rPr>
              <w:t>Na</w:t>
            </w:r>
            <w:r>
              <w:rPr>
                <w:rFonts w:hint="default"/>
                <w:vertAlign w:val="superscript"/>
                <w:lang w:val="en-US" w:eastAsia="zh-CN"/>
              </w:rPr>
              <w:t>+</w:t>
            </w:r>
            <w:r>
              <w:rPr>
                <w:rFonts w:hint="default"/>
                <w:vertAlign w:val="baseline"/>
                <w:lang w:val="en-US" w:eastAsia="zh-CN"/>
              </w:rPr>
              <w:t>、Ca</w:t>
            </w:r>
            <w:r>
              <w:rPr>
                <w:rFonts w:hint="default"/>
                <w:vertAlign w:val="superscript"/>
                <w:lang w:val="en-US" w:eastAsia="zh-CN"/>
              </w:rPr>
              <w:t>2+</w:t>
            </w:r>
            <w:r>
              <w:rPr>
                <w:rFonts w:hint="default"/>
                <w:vertAlign w:val="baseline"/>
                <w:lang w:val="en-US" w:eastAsia="zh-CN"/>
              </w:rPr>
              <w:t>、Mg</w:t>
            </w:r>
            <w:r>
              <w:rPr>
                <w:rFonts w:hint="default"/>
                <w:vertAlign w:val="superscript"/>
                <w:lang w:val="en-US" w:eastAsia="zh-CN"/>
              </w:rPr>
              <w:t>2+</w:t>
            </w:r>
            <w:r>
              <w:rPr>
                <w:rFonts w:hint="default"/>
                <w:vertAlign w:val="baseline"/>
                <w:lang w:val="en-US" w:eastAsia="zh-CN"/>
              </w:rPr>
              <w:t>、CO</w:t>
            </w:r>
            <w:r>
              <w:rPr>
                <w:rFonts w:hint="default"/>
                <w:vertAlign w:val="subscript"/>
                <w:lang w:val="en-US" w:eastAsia="zh-CN"/>
              </w:rPr>
              <w:t>3</w:t>
            </w:r>
            <w:r>
              <w:rPr>
                <w:rFonts w:hint="default"/>
                <w:vertAlign w:val="superscript"/>
                <w:lang w:val="en-US" w:eastAsia="zh-CN"/>
              </w:rPr>
              <w:t>2-</w:t>
            </w:r>
            <w:r>
              <w:rPr>
                <w:rFonts w:hint="default"/>
                <w:vertAlign w:val="baseline"/>
                <w:lang w:val="en-US" w:eastAsia="zh-CN"/>
              </w:rPr>
              <w:t>、HCO</w:t>
            </w:r>
            <w:r>
              <w:rPr>
                <w:rFonts w:hint="default"/>
                <w:vertAlign w:val="subscript"/>
                <w:lang w:val="en-US" w:eastAsia="zh-CN"/>
              </w:rPr>
              <w:t>3</w:t>
            </w:r>
            <w:r>
              <w:rPr>
                <w:rFonts w:hint="default"/>
                <w:vertAlign w:val="superscript"/>
                <w:lang w:val="en-US" w:eastAsia="zh-CN"/>
              </w:rPr>
              <w:t>-</w:t>
            </w:r>
            <w:r>
              <w:rPr>
                <w:rFonts w:hint="default"/>
                <w:vertAlign w:val="baseline"/>
                <w:lang w:val="en-US" w:eastAsia="zh-CN"/>
              </w:rPr>
              <w:t>、Cl</w:t>
            </w:r>
            <w:r>
              <w:rPr>
                <w:rFonts w:hint="default"/>
                <w:vertAlign w:val="superscript"/>
                <w:lang w:val="en-US" w:eastAsia="zh-CN"/>
              </w:rPr>
              <w:t>-</w:t>
            </w:r>
            <w:r>
              <w:rPr>
                <w:rFonts w:hint="default"/>
                <w:vertAlign w:val="baseline"/>
                <w:lang w:val="en-US" w:eastAsia="zh-CN"/>
              </w:rPr>
              <w:t>、SO</w:t>
            </w:r>
            <w:r>
              <w:rPr>
                <w:rFonts w:hint="default"/>
                <w:vertAlign w:val="subscript"/>
                <w:lang w:val="en-US" w:eastAsia="zh-CN"/>
              </w:rPr>
              <w:t>4</w:t>
            </w:r>
            <w:r>
              <w:rPr>
                <w:rFonts w:hint="default"/>
                <w:vertAlign w:val="superscript"/>
                <w:lang w:val="en-US" w:eastAsia="zh-CN"/>
              </w:rPr>
              <w:t>2-</w:t>
            </w:r>
            <w:r>
              <w:rPr>
                <w:rFonts w:hint="default"/>
                <w:vertAlign w:val="baseline"/>
                <w:lang w:val="en-US" w:eastAsia="zh-CN"/>
              </w:rPr>
              <w:t>、pH、NH</w:t>
            </w:r>
            <w:r>
              <w:rPr>
                <w:rFonts w:hint="default"/>
                <w:vertAlign w:val="subscript"/>
                <w:lang w:val="en-US" w:eastAsia="zh-CN"/>
              </w:rPr>
              <w:t>3</w:t>
            </w:r>
            <w:r>
              <w:rPr>
                <w:rFonts w:hint="default"/>
                <w:vertAlign w:val="baseline"/>
                <w:lang w:val="en-US" w:eastAsia="zh-CN"/>
              </w:rPr>
              <w:t>-N、耗氧量（COD</w:t>
            </w:r>
            <w:r>
              <w:rPr>
                <w:rFonts w:hint="default"/>
                <w:vertAlign w:val="subscript"/>
                <w:lang w:val="en-US" w:eastAsia="zh-CN"/>
              </w:rPr>
              <w:t>Mn</w:t>
            </w:r>
            <w:r>
              <w:rPr>
                <w:rFonts w:hint="default"/>
                <w:vertAlign w:val="baseline"/>
                <w:lang w:val="en-US" w:eastAsia="zh-CN"/>
              </w:rPr>
              <w:t>）、Pb、Cd、Cr</w:t>
            </w:r>
            <w:r>
              <w:rPr>
                <w:rFonts w:hint="default"/>
                <w:vertAlign w:val="superscript"/>
                <w:lang w:val="en-US" w:eastAsia="zh-CN"/>
              </w:rPr>
              <w:t>6+</w:t>
            </w:r>
            <w:r>
              <w:rPr>
                <w:rFonts w:hint="default"/>
                <w:vertAlign w:val="baseline"/>
                <w:lang w:val="en-US" w:eastAsia="zh-CN"/>
              </w:rPr>
              <w:t>、As、Hg、Sb、Ni、氟化物、Fe、Zn、Mn、Tl、Cu、硝酸盐、亚硝酸盐、氯化物、硫酸盐、总硬度、挥发酚、溶解性总固体、水位、埋深。</w:t>
            </w:r>
          </w:p>
          <w:p>
            <w:pPr>
              <w:numPr>
                <w:ilvl w:val="0"/>
                <w:numId w:val="0"/>
              </w:numPr>
              <w:ind w:leftChars="0" w:right="40" w:rightChars="0" w:firstLine="480" w:firstLineChars="200"/>
              <w:rPr>
                <w:rFonts w:hint="default"/>
                <w:vertAlign w:val="baseline"/>
                <w:lang w:val="en-US" w:eastAsia="zh-CN"/>
              </w:rPr>
            </w:pPr>
            <w:r>
              <w:rPr>
                <w:rFonts w:hint="eastAsia"/>
                <w:vertAlign w:val="baseline"/>
                <w:lang w:val="en-US" w:eastAsia="zh-CN"/>
              </w:rPr>
              <w:t>（3）</w:t>
            </w:r>
            <w:r>
              <w:rPr>
                <w:rFonts w:hint="default"/>
                <w:vertAlign w:val="baseline"/>
                <w:lang w:val="en-US" w:eastAsia="zh-CN"/>
              </w:rPr>
              <w:t>监测时间与频次</w:t>
            </w:r>
          </w:p>
          <w:p>
            <w:pPr>
              <w:numPr>
                <w:ilvl w:val="0"/>
                <w:numId w:val="0"/>
              </w:numPr>
              <w:ind w:leftChars="0" w:right="40" w:rightChars="0" w:firstLine="480" w:firstLineChars="200"/>
              <w:rPr>
                <w:rFonts w:hint="default"/>
                <w:vertAlign w:val="baseline"/>
                <w:lang w:val="en-US" w:eastAsia="zh-CN"/>
              </w:rPr>
            </w:pPr>
            <w:r>
              <w:rPr>
                <w:rFonts w:hint="default"/>
                <w:vertAlign w:val="baseline"/>
                <w:lang w:val="en-US" w:eastAsia="zh-CN"/>
              </w:rPr>
              <w:t>监测时间为2022年7月26日~7月27日，连续2天，每天1次。</w:t>
            </w:r>
          </w:p>
          <w:p>
            <w:pPr>
              <w:numPr>
                <w:ilvl w:val="0"/>
                <w:numId w:val="0"/>
              </w:numPr>
              <w:ind w:leftChars="0" w:right="40" w:rightChars="0" w:firstLine="480" w:firstLineChars="200"/>
              <w:rPr>
                <w:rFonts w:hint="eastAsia"/>
                <w:vertAlign w:val="baseline"/>
                <w:lang w:val="en-US" w:eastAsia="zh-CN"/>
              </w:rPr>
            </w:pPr>
            <w:r>
              <w:rPr>
                <w:rFonts w:hint="eastAsia"/>
                <w:vertAlign w:val="baseline"/>
                <w:lang w:val="en-US" w:eastAsia="zh-CN"/>
              </w:rPr>
              <w:t>（4）监测与评价结果</w:t>
            </w:r>
          </w:p>
          <w:p>
            <w:pPr>
              <w:numPr>
                <w:ilvl w:val="0"/>
                <w:numId w:val="0"/>
              </w:numPr>
              <w:ind w:leftChars="0" w:right="40" w:rightChars="0" w:firstLine="480" w:firstLineChars="200"/>
              <w:rPr>
                <w:rFonts w:hint="default"/>
                <w:vertAlign w:val="baseline"/>
                <w:lang w:val="en-US" w:eastAsia="zh-CN"/>
              </w:rPr>
            </w:pPr>
            <w:r>
              <w:rPr>
                <w:rFonts w:hint="default"/>
                <w:vertAlign w:val="baseline"/>
                <w:lang w:val="en-US" w:eastAsia="zh-CN"/>
              </w:rPr>
              <w:t>监测结果见下表。监测结果表明，评价区内5个监测点各监测因子均达到《地下水质量标准》（GB/T14848-2017）Ⅲ类标准要求。</w:t>
            </w:r>
          </w:p>
          <w:p>
            <w:pPr>
              <w:bidi w:val="0"/>
              <w:jc w:val="center"/>
              <w:rPr>
                <w:rFonts w:hint="default"/>
                <w:b/>
                <w:bCs/>
                <w:lang w:val="en-US" w:eastAsia="zh-CN"/>
              </w:rPr>
            </w:pPr>
            <w:r>
              <w:rPr>
                <w:rFonts w:hint="eastAsia"/>
                <w:b/>
                <w:bCs/>
                <w:lang w:val="en-US" w:eastAsia="zh-CN"/>
              </w:rPr>
              <w:t>表3-7  地下水水位监测结果</w:t>
            </w:r>
          </w:p>
          <w:tbl>
            <w:tblPr>
              <w:tblStyle w:val="15"/>
              <w:tblW w:w="470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20"/>
              <w:gridCol w:w="4233"/>
              <w:gridCol w:w="265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noWrap w:val="0"/>
                  <w:vAlign w:val="center"/>
                </w:tcPr>
                <w:p>
                  <w:pPr>
                    <w:pStyle w:val="18"/>
                    <w:bidi w:val="0"/>
                    <w:jc w:val="center"/>
                  </w:pPr>
                  <w:bookmarkStart w:id="34" w:name="_Hlk123135988"/>
                  <w:r>
                    <w:t>采样日期</w:t>
                  </w:r>
                </w:p>
              </w:tc>
              <w:tc>
                <w:tcPr>
                  <w:tcW w:w="2610" w:type="pct"/>
                  <w:noWrap w:val="0"/>
                  <w:vAlign w:val="center"/>
                </w:tcPr>
                <w:p>
                  <w:pPr>
                    <w:pStyle w:val="18"/>
                    <w:bidi w:val="0"/>
                    <w:jc w:val="center"/>
                  </w:pPr>
                  <w:r>
                    <w:t>点位名称</w:t>
                  </w:r>
                </w:p>
              </w:tc>
              <w:tc>
                <w:tcPr>
                  <w:tcW w:w="1636" w:type="pct"/>
                  <w:noWrap w:val="0"/>
                  <w:vAlign w:val="center"/>
                </w:tcPr>
                <w:p>
                  <w:pPr>
                    <w:pStyle w:val="18"/>
                    <w:bidi w:val="0"/>
                    <w:jc w:val="center"/>
                  </w:pPr>
                  <w:r>
                    <w:t>地下水埋深 （m）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restart"/>
                  <w:noWrap w:val="0"/>
                  <w:vAlign w:val="center"/>
                </w:tcPr>
                <w:p>
                  <w:pPr>
                    <w:pStyle w:val="18"/>
                    <w:bidi w:val="0"/>
                    <w:jc w:val="center"/>
                  </w:pPr>
                  <w:r>
                    <w:t>07月26日</w:t>
                  </w:r>
                </w:p>
              </w:tc>
              <w:tc>
                <w:tcPr>
                  <w:tcW w:w="4233" w:type="dxa"/>
                  <w:noWrap w:val="0"/>
                  <w:vAlign w:val="center"/>
                </w:tcPr>
                <w:p>
                  <w:pPr>
                    <w:pStyle w:val="18"/>
                    <w:bidi w:val="0"/>
                    <w:ind w:left="40" w:leftChars="0" w:right="40" w:rightChars="0"/>
                    <w:jc w:val="center"/>
                  </w:pPr>
                  <w:r>
                    <w:t>大冲村（厂界W 1</w:t>
                  </w:r>
                  <w:r>
                    <w:rPr>
                      <w:rFonts w:hint="eastAsia"/>
                      <w:lang w:val="en-US" w:eastAsia="zh-CN"/>
                    </w:rPr>
                    <w:t>12</w:t>
                  </w:r>
                  <w:r>
                    <w:t>0m）</w:t>
                  </w:r>
                </w:p>
              </w:tc>
              <w:tc>
                <w:tcPr>
                  <w:tcW w:w="1636" w:type="pct"/>
                  <w:noWrap w:val="0"/>
                  <w:vAlign w:val="center"/>
                </w:tcPr>
                <w:p>
                  <w:pPr>
                    <w:pStyle w:val="18"/>
                    <w:bidi w:val="0"/>
                    <w:jc w:val="center"/>
                  </w:pPr>
                  <w:r>
                    <w:t>5.23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付家湾（</w:t>
                  </w:r>
                  <w:r>
                    <w:rPr>
                      <w:rFonts w:hint="eastAsia"/>
                      <w:lang w:val="en-US" w:eastAsia="zh-CN"/>
                    </w:rPr>
                    <w:t>厂界N</w:t>
                  </w:r>
                  <w:r>
                    <w:t xml:space="preserve">W </w:t>
                  </w:r>
                  <w:r>
                    <w:rPr>
                      <w:rFonts w:hint="eastAsia"/>
                      <w:lang w:val="en-US" w:eastAsia="zh-CN"/>
                    </w:rPr>
                    <w:t>21</w:t>
                  </w:r>
                  <w:r>
                    <w:t>00m）</w:t>
                  </w:r>
                </w:p>
              </w:tc>
              <w:tc>
                <w:tcPr>
                  <w:tcW w:w="1636" w:type="pct"/>
                  <w:noWrap w:val="0"/>
                  <w:vAlign w:val="center"/>
                </w:tcPr>
                <w:p>
                  <w:pPr>
                    <w:pStyle w:val="18"/>
                    <w:bidi w:val="0"/>
                    <w:jc w:val="center"/>
                  </w:pPr>
                  <w:r>
                    <w:t>8.14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rPr>
                      <w:rFonts w:hint="eastAsia"/>
                      <w:lang w:val="en-US" w:eastAsia="zh-CN"/>
                    </w:rPr>
                    <w:t>东方矿业</w:t>
                  </w:r>
                  <w:r>
                    <w:t>尾矿库下游监控井（</w:t>
                  </w:r>
                  <w:r>
                    <w:rPr>
                      <w:rFonts w:hint="eastAsia"/>
                      <w:lang w:val="en-US" w:eastAsia="zh-CN"/>
                    </w:rPr>
                    <w:t>厂界NW</w:t>
                  </w:r>
                  <w:r>
                    <w:t xml:space="preserve"> 1</w:t>
                  </w:r>
                  <w:r>
                    <w:rPr>
                      <w:rFonts w:hint="eastAsia"/>
                      <w:lang w:val="en-US" w:eastAsia="zh-CN"/>
                    </w:rPr>
                    <w:t>2</w:t>
                  </w:r>
                  <w:r>
                    <w:t>00m）</w:t>
                  </w:r>
                </w:p>
              </w:tc>
              <w:tc>
                <w:tcPr>
                  <w:tcW w:w="1636" w:type="pct"/>
                  <w:noWrap w:val="0"/>
                  <w:vAlign w:val="center"/>
                </w:tcPr>
                <w:p>
                  <w:pPr>
                    <w:pStyle w:val="18"/>
                    <w:bidi w:val="0"/>
                    <w:jc w:val="center"/>
                  </w:pPr>
                  <w:r>
                    <w:t>9.22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卡地（厂界</w:t>
                  </w:r>
                  <w:r>
                    <w:rPr>
                      <w:rFonts w:hint="eastAsia"/>
                      <w:lang w:val="en-US" w:eastAsia="zh-CN"/>
                    </w:rPr>
                    <w:t>NE</w:t>
                  </w:r>
                  <w:r>
                    <w:t xml:space="preserve"> </w:t>
                  </w:r>
                  <w:r>
                    <w:rPr>
                      <w:rFonts w:hint="eastAsia"/>
                      <w:lang w:val="en-US" w:eastAsia="zh-CN"/>
                    </w:rPr>
                    <w:t>500</w:t>
                  </w:r>
                  <w:r>
                    <w:t>m）</w:t>
                  </w:r>
                </w:p>
              </w:tc>
              <w:tc>
                <w:tcPr>
                  <w:tcW w:w="1636" w:type="pct"/>
                  <w:noWrap w:val="0"/>
                  <w:vAlign w:val="center"/>
                </w:tcPr>
                <w:p>
                  <w:pPr>
                    <w:pStyle w:val="18"/>
                    <w:bidi w:val="0"/>
                    <w:jc w:val="center"/>
                  </w:pPr>
                  <w:r>
                    <w:t>6.64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 xml:space="preserve">龙洞村（厂界S </w:t>
                  </w:r>
                  <w:r>
                    <w:rPr>
                      <w:rFonts w:hint="eastAsia"/>
                      <w:lang w:val="en-US" w:eastAsia="zh-CN"/>
                    </w:rPr>
                    <w:t>100</w:t>
                  </w:r>
                  <w:r>
                    <w:t>0m）</w:t>
                  </w:r>
                </w:p>
              </w:tc>
              <w:tc>
                <w:tcPr>
                  <w:tcW w:w="1636" w:type="pct"/>
                  <w:noWrap w:val="0"/>
                  <w:vAlign w:val="center"/>
                </w:tcPr>
                <w:p>
                  <w:pPr>
                    <w:pStyle w:val="18"/>
                    <w:bidi w:val="0"/>
                    <w:jc w:val="center"/>
                  </w:pPr>
                  <w:r>
                    <w:t>8.55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老巴冲（厂界E</w:t>
                  </w:r>
                  <w:r>
                    <w:rPr>
                      <w:rFonts w:hint="eastAsia"/>
                      <w:lang w:val="en-US" w:eastAsia="zh-CN"/>
                    </w:rPr>
                    <w:t xml:space="preserve"> 7</w:t>
                  </w:r>
                  <w:r>
                    <w:t>00m）</w:t>
                  </w:r>
                </w:p>
              </w:tc>
              <w:tc>
                <w:tcPr>
                  <w:tcW w:w="1636" w:type="pct"/>
                  <w:noWrap w:val="0"/>
                  <w:vAlign w:val="center"/>
                </w:tcPr>
                <w:p>
                  <w:pPr>
                    <w:pStyle w:val="18"/>
                    <w:bidi w:val="0"/>
                    <w:jc w:val="center"/>
                  </w:pPr>
                  <w:r>
                    <w:t>5.14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 xml:space="preserve">瓦水村（厂界SW </w:t>
                  </w:r>
                  <w:r>
                    <w:rPr>
                      <w:rFonts w:hint="eastAsia"/>
                      <w:lang w:val="en-US" w:eastAsia="zh-CN"/>
                    </w:rPr>
                    <w:t>22</w:t>
                  </w:r>
                  <w:r>
                    <w:t>00m）</w:t>
                  </w:r>
                </w:p>
              </w:tc>
              <w:tc>
                <w:tcPr>
                  <w:tcW w:w="1636" w:type="pct"/>
                  <w:noWrap w:val="0"/>
                  <w:vAlign w:val="center"/>
                </w:tcPr>
                <w:p>
                  <w:pPr>
                    <w:pStyle w:val="18"/>
                    <w:bidi w:val="0"/>
                    <w:jc w:val="center"/>
                  </w:pPr>
                  <w:r>
                    <w:t>7.11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 xml:space="preserve">下瓦水（厂界W </w:t>
                  </w:r>
                  <w:r>
                    <w:rPr>
                      <w:rFonts w:hint="eastAsia"/>
                      <w:lang w:val="en-US" w:eastAsia="zh-CN"/>
                    </w:rPr>
                    <w:t>26</w:t>
                  </w:r>
                  <w:r>
                    <w:t>00m）</w:t>
                  </w:r>
                </w:p>
              </w:tc>
              <w:tc>
                <w:tcPr>
                  <w:tcW w:w="1636" w:type="pct"/>
                  <w:noWrap w:val="0"/>
                  <w:vAlign w:val="center"/>
                </w:tcPr>
                <w:p>
                  <w:pPr>
                    <w:pStyle w:val="18"/>
                    <w:bidi w:val="0"/>
                    <w:jc w:val="center"/>
                  </w:pPr>
                  <w:r>
                    <w:t>6.23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码头寨（渣库N</w:t>
                  </w:r>
                  <w:r>
                    <w:rPr>
                      <w:rFonts w:hint="eastAsia"/>
                      <w:lang w:val="en-US" w:eastAsia="zh-CN"/>
                    </w:rPr>
                    <w:t>W</w:t>
                  </w:r>
                  <w:r>
                    <w:t xml:space="preserve"> </w:t>
                  </w:r>
                  <w:r>
                    <w:rPr>
                      <w:rFonts w:hint="eastAsia"/>
                      <w:lang w:val="en-US" w:eastAsia="zh-CN"/>
                    </w:rPr>
                    <w:t>20</w:t>
                  </w:r>
                  <w:r>
                    <w:t>00m）</w:t>
                  </w:r>
                </w:p>
              </w:tc>
              <w:tc>
                <w:tcPr>
                  <w:tcW w:w="1636" w:type="pct"/>
                  <w:noWrap w:val="0"/>
                  <w:vAlign w:val="center"/>
                </w:tcPr>
                <w:p>
                  <w:pPr>
                    <w:pStyle w:val="18"/>
                    <w:bidi w:val="0"/>
                    <w:jc w:val="center"/>
                  </w:pPr>
                  <w:r>
                    <w:t>5.81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黑岩塘（厂界NE 1</w:t>
                  </w:r>
                  <w:r>
                    <w:rPr>
                      <w:rFonts w:hint="eastAsia"/>
                      <w:lang w:val="en-US" w:eastAsia="zh-CN"/>
                    </w:rPr>
                    <w:t>7</w:t>
                  </w:r>
                  <w:r>
                    <w:t>00m）</w:t>
                  </w:r>
                </w:p>
              </w:tc>
              <w:tc>
                <w:tcPr>
                  <w:tcW w:w="1636" w:type="pct"/>
                  <w:noWrap w:val="0"/>
                  <w:vAlign w:val="center"/>
                </w:tcPr>
                <w:p>
                  <w:pPr>
                    <w:pStyle w:val="18"/>
                    <w:bidi w:val="0"/>
                    <w:jc w:val="center"/>
                  </w:pPr>
                  <w:r>
                    <w:t>7.23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restart"/>
                  <w:noWrap w:val="0"/>
                  <w:vAlign w:val="center"/>
                </w:tcPr>
                <w:p>
                  <w:pPr>
                    <w:pStyle w:val="18"/>
                    <w:bidi w:val="0"/>
                    <w:jc w:val="center"/>
                  </w:pPr>
                  <w:r>
                    <w:t>07月27日</w:t>
                  </w:r>
                </w:p>
              </w:tc>
              <w:tc>
                <w:tcPr>
                  <w:tcW w:w="4233" w:type="dxa"/>
                  <w:noWrap w:val="0"/>
                  <w:vAlign w:val="center"/>
                </w:tcPr>
                <w:p>
                  <w:pPr>
                    <w:pStyle w:val="18"/>
                    <w:bidi w:val="0"/>
                    <w:ind w:left="40" w:leftChars="0" w:right="40" w:rightChars="0"/>
                    <w:jc w:val="center"/>
                  </w:pPr>
                  <w:r>
                    <w:t>大冲村（厂界W 1</w:t>
                  </w:r>
                  <w:r>
                    <w:rPr>
                      <w:rFonts w:hint="eastAsia"/>
                      <w:lang w:val="en-US" w:eastAsia="zh-CN"/>
                    </w:rPr>
                    <w:t>12</w:t>
                  </w:r>
                  <w:r>
                    <w:t>0m）</w:t>
                  </w:r>
                </w:p>
              </w:tc>
              <w:tc>
                <w:tcPr>
                  <w:tcW w:w="1636" w:type="pct"/>
                  <w:noWrap w:val="0"/>
                  <w:vAlign w:val="center"/>
                </w:tcPr>
                <w:p>
                  <w:pPr>
                    <w:pStyle w:val="18"/>
                    <w:bidi w:val="0"/>
                    <w:jc w:val="center"/>
                  </w:pPr>
                  <w:r>
                    <w:t>5.25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付家湾（</w:t>
                  </w:r>
                  <w:r>
                    <w:rPr>
                      <w:rFonts w:hint="eastAsia"/>
                      <w:lang w:val="en-US" w:eastAsia="zh-CN"/>
                    </w:rPr>
                    <w:t>厂界N</w:t>
                  </w:r>
                  <w:r>
                    <w:t xml:space="preserve">W </w:t>
                  </w:r>
                  <w:r>
                    <w:rPr>
                      <w:rFonts w:hint="eastAsia"/>
                      <w:lang w:val="en-US" w:eastAsia="zh-CN"/>
                    </w:rPr>
                    <w:t>21</w:t>
                  </w:r>
                  <w:r>
                    <w:t>00m）</w:t>
                  </w:r>
                </w:p>
              </w:tc>
              <w:tc>
                <w:tcPr>
                  <w:tcW w:w="1636" w:type="pct"/>
                  <w:noWrap w:val="0"/>
                  <w:vAlign w:val="center"/>
                </w:tcPr>
                <w:p>
                  <w:pPr>
                    <w:pStyle w:val="18"/>
                    <w:bidi w:val="0"/>
                    <w:jc w:val="center"/>
                  </w:pPr>
                  <w:r>
                    <w:t>8.16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rPr>
                      <w:rFonts w:hint="eastAsia"/>
                      <w:lang w:val="en-US" w:eastAsia="zh-CN"/>
                    </w:rPr>
                    <w:t>东方矿业</w:t>
                  </w:r>
                  <w:r>
                    <w:t>尾矿库下游监控井（</w:t>
                  </w:r>
                  <w:r>
                    <w:rPr>
                      <w:rFonts w:hint="eastAsia"/>
                      <w:lang w:val="en-US" w:eastAsia="zh-CN"/>
                    </w:rPr>
                    <w:t>厂界NW</w:t>
                  </w:r>
                  <w:r>
                    <w:t xml:space="preserve"> 1</w:t>
                  </w:r>
                  <w:r>
                    <w:rPr>
                      <w:rFonts w:hint="eastAsia"/>
                      <w:lang w:val="en-US" w:eastAsia="zh-CN"/>
                    </w:rPr>
                    <w:t>2</w:t>
                  </w:r>
                  <w:r>
                    <w:t>00m）</w:t>
                  </w:r>
                </w:p>
              </w:tc>
              <w:tc>
                <w:tcPr>
                  <w:tcW w:w="1636" w:type="pct"/>
                  <w:noWrap w:val="0"/>
                  <w:vAlign w:val="center"/>
                </w:tcPr>
                <w:p>
                  <w:pPr>
                    <w:pStyle w:val="18"/>
                    <w:bidi w:val="0"/>
                    <w:jc w:val="center"/>
                  </w:pPr>
                  <w:r>
                    <w:t>9.19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卡地（厂界</w:t>
                  </w:r>
                  <w:r>
                    <w:rPr>
                      <w:rFonts w:hint="eastAsia"/>
                      <w:lang w:val="en-US" w:eastAsia="zh-CN"/>
                    </w:rPr>
                    <w:t>NE</w:t>
                  </w:r>
                  <w:r>
                    <w:t xml:space="preserve"> </w:t>
                  </w:r>
                  <w:r>
                    <w:rPr>
                      <w:rFonts w:hint="eastAsia"/>
                      <w:lang w:val="en-US" w:eastAsia="zh-CN"/>
                    </w:rPr>
                    <w:t>500</w:t>
                  </w:r>
                  <w:r>
                    <w:t>m）</w:t>
                  </w:r>
                </w:p>
              </w:tc>
              <w:tc>
                <w:tcPr>
                  <w:tcW w:w="1636" w:type="pct"/>
                  <w:noWrap w:val="0"/>
                  <w:vAlign w:val="center"/>
                </w:tcPr>
                <w:p>
                  <w:pPr>
                    <w:pStyle w:val="18"/>
                    <w:bidi w:val="0"/>
                    <w:jc w:val="center"/>
                  </w:pPr>
                  <w:r>
                    <w:t>6.62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 xml:space="preserve">龙洞村（厂界S </w:t>
                  </w:r>
                  <w:r>
                    <w:rPr>
                      <w:rFonts w:hint="eastAsia"/>
                      <w:lang w:val="en-US" w:eastAsia="zh-CN"/>
                    </w:rPr>
                    <w:t>100</w:t>
                  </w:r>
                  <w:r>
                    <w:t>0m）</w:t>
                  </w:r>
                </w:p>
              </w:tc>
              <w:tc>
                <w:tcPr>
                  <w:tcW w:w="1636" w:type="pct"/>
                  <w:noWrap w:val="0"/>
                  <w:vAlign w:val="center"/>
                </w:tcPr>
                <w:p>
                  <w:pPr>
                    <w:pStyle w:val="18"/>
                    <w:bidi w:val="0"/>
                    <w:jc w:val="center"/>
                  </w:pPr>
                  <w:r>
                    <w:t>8.56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老巴冲（厂界E</w:t>
                  </w:r>
                  <w:r>
                    <w:rPr>
                      <w:rFonts w:hint="eastAsia"/>
                      <w:lang w:val="en-US" w:eastAsia="zh-CN"/>
                    </w:rPr>
                    <w:t xml:space="preserve"> 7</w:t>
                  </w:r>
                  <w:r>
                    <w:t>00m）</w:t>
                  </w:r>
                </w:p>
              </w:tc>
              <w:tc>
                <w:tcPr>
                  <w:tcW w:w="1636" w:type="pct"/>
                  <w:noWrap w:val="0"/>
                  <w:vAlign w:val="center"/>
                </w:tcPr>
                <w:p>
                  <w:pPr>
                    <w:pStyle w:val="18"/>
                    <w:bidi w:val="0"/>
                    <w:jc w:val="center"/>
                  </w:pPr>
                  <w:r>
                    <w:t>5.10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 xml:space="preserve">瓦水村（厂界SW </w:t>
                  </w:r>
                  <w:r>
                    <w:rPr>
                      <w:rFonts w:hint="eastAsia"/>
                      <w:lang w:val="en-US" w:eastAsia="zh-CN"/>
                    </w:rPr>
                    <w:t>22</w:t>
                  </w:r>
                  <w:r>
                    <w:t>00m）</w:t>
                  </w:r>
                </w:p>
              </w:tc>
              <w:tc>
                <w:tcPr>
                  <w:tcW w:w="1636" w:type="pct"/>
                  <w:noWrap w:val="0"/>
                  <w:vAlign w:val="center"/>
                </w:tcPr>
                <w:p>
                  <w:pPr>
                    <w:pStyle w:val="18"/>
                    <w:bidi w:val="0"/>
                    <w:jc w:val="center"/>
                  </w:pPr>
                  <w:r>
                    <w:t>7.12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 xml:space="preserve">下瓦水（厂界W </w:t>
                  </w:r>
                  <w:r>
                    <w:rPr>
                      <w:rFonts w:hint="eastAsia"/>
                      <w:lang w:val="en-US" w:eastAsia="zh-CN"/>
                    </w:rPr>
                    <w:t>26</w:t>
                  </w:r>
                  <w:r>
                    <w:t>00m）</w:t>
                  </w:r>
                </w:p>
              </w:tc>
              <w:tc>
                <w:tcPr>
                  <w:tcW w:w="1636" w:type="pct"/>
                  <w:noWrap w:val="0"/>
                  <w:vAlign w:val="center"/>
                </w:tcPr>
                <w:p>
                  <w:pPr>
                    <w:pStyle w:val="18"/>
                    <w:bidi w:val="0"/>
                    <w:jc w:val="center"/>
                  </w:pPr>
                  <w:r>
                    <w:t>6.20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码头寨（渣库N</w:t>
                  </w:r>
                  <w:r>
                    <w:rPr>
                      <w:rFonts w:hint="eastAsia"/>
                      <w:lang w:val="en-US" w:eastAsia="zh-CN"/>
                    </w:rPr>
                    <w:t>W</w:t>
                  </w:r>
                  <w:r>
                    <w:t xml:space="preserve"> </w:t>
                  </w:r>
                  <w:r>
                    <w:rPr>
                      <w:rFonts w:hint="eastAsia"/>
                      <w:lang w:val="en-US" w:eastAsia="zh-CN"/>
                    </w:rPr>
                    <w:t>20</w:t>
                  </w:r>
                  <w:r>
                    <w:t>00m）</w:t>
                  </w:r>
                </w:p>
              </w:tc>
              <w:tc>
                <w:tcPr>
                  <w:tcW w:w="1636" w:type="pct"/>
                  <w:noWrap w:val="0"/>
                  <w:vAlign w:val="center"/>
                </w:tcPr>
                <w:p>
                  <w:pPr>
                    <w:pStyle w:val="18"/>
                    <w:bidi w:val="0"/>
                    <w:jc w:val="center"/>
                  </w:pPr>
                  <w:r>
                    <w:t>5.80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52" w:type="pct"/>
                  <w:vMerge w:val="continue"/>
                  <w:noWrap w:val="0"/>
                  <w:vAlign w:val="center"/>
                </w:tcPr>
                <w:p>
                  <w:pPr>
                    <w:pStyle w:val="18"/>
                    <w:bidi w:val="0"/>
                    <w:jc w:val="center"/>
                  </w:pPr>
                </w:p>
              </w:tc>
              <w:tc>
                <w:tcPr>
                  <w:tcW w:w="4233" w:type="dxa"/>
                  <w:noWrap w:val="0"/>
                  <w:vAlign w:val="center"/>
                </w:tcPr>
                <w:p>
                  <w:pPr>
                    <w:pStyle w:val="18"/>
                    <w:bidi w:val="0"/>
                    <w:ind w:left="40" w:leftChars="0" w:right="40" w:rightChars="0"/>
                    <w:jc w:val="center"/>
                  </w:pPr>
                  <w:r>
                    <w:t>黑岩塘（厂界NE 1</w:t>
                  </w:r>
                  <w:r>
                    <w:rPr>
                      <w:rFonts w:hint="eastAsia"/>
                      <w:lang w:val="en-US" w:eastAsia="zh-CN"/>
                    </w:rPr>
                    <w:t>7</w:t>
                  </w:r>
                  <w:r>
                    <w:t>00m）</w:t>
                  </w:r>
                </w:p>
              </w:tc>
              <w:tc>
                <w:tcPr>
                  <w:tcW w:w="1636" w:type="pct"/>
                  <w:noWrap w:val="0"/>
                  <w:vAlign w:val="center"/>
                </w:tcPr>
                <w:p>
                  <w:pPr>
                    <w:pStyle w:val="18"/>
                    <w:bidi w:val="0"/>
                    <w:jc w:val="center"/>
                  </w:pPr>
                  <w:r>
                    <w:t>7.21</w:t>
                  </w:r>
                </w:p>
              </w:tc>
            </w:tr>
            <w:bookmarkEnd w:id="34"/>
          </w:tbl>
          <w:p>
            <w:pPr>
              <w:numPr>
                <w:ilvl w:val="0"/>
                <w:numId w:val="0"/>
              </w:numPr>
              <w:ind w:leftChars="0" w:right="40" w:rightChars="0"/>
              <w:rPr>
                <w:rFonts w:hint="default"/>
                <w:vertAlign w:val="baseline"/>
                <w:lang w:val="en-US" w:eastAsia="zh-CN"/>
              </w:rPr>
            </w:pPr>
          </w:p>
          <w:p>
            <w:pPr>
              <w:numPr>
                <w:ilvl w:val="0"/>
                <w:numId w:val="0"/>
              </w:numPr>
              <w:ind w:leftChars="0" w:right="40" w:rightChars="0"/>
              <w:rPr>
                <w:rFonts w:hint="default"/>
                <w:vertAlign w:val="baseline"/>
                <w:lang w:val="en-US" w:eastAsia="zh-CN"/>
              </w:rPr>
            </w:pPr>
          </w:p>
          <w:p>
            <w:pPr>
              <w:numPr>
                <w:ilvl w:val="0"/>
                <w:numId w:val="0"/>
              </w:numPr>
              <w:ind w:leftChars="0" w:right="40" w:rightChars="0"/>
              <w:rPr>
                <w:rFonts w:hint="default"/>
                <w:vertAlign w:val="baseline"/>
                <w:lang w:val="en-US" w:eastAsia="zh-CN"/>
              </w:rPr>
            </w:pPr>
          </w:p>
          <w:p>
            <w:pPr>
              <w:numPr>
                <w:ilvl w:val="0"/>
                <w:numId w:val="0"/>
              </w:numPr>
              <w:ind w:leftChars="0" w:right="40" w:rightChars="0"/>
              <w:rPr>
                <w:rFonts w:hint="default"/>
                <w:vertAlign w:val="baseline"/>
                <w:lang w:val="en-US" w:eastAsia="zh-CN"/>
              </w:rPr>
            </w:pPr>
          </w:p>
          <w:p>
            <w:pPr>
              <w:numPr>
                <w:ilvl w:val="0"/>
                <w:numId w:val="0"/>
              </w:numPr>
              <w:ind w:leftChars="0" w:right="40" w:rightChars="0"/>
              <w:rPr>
                <w:rFonts w:hint="default"/>
                <w:vertAlign w:val="baseline"/>
                <w:lang w:val="en-US" w:eastAsia="zh-CN"/>
              </w:rPr>
            </w:pPr>
          </w:p>
        </w:tc>
      </w:tr>
    </w:tbl>
    <w:p>
      <w:pPr>
        <w:numPr>
          <w:ilvl w:val="0"/>
          <w:numId w:val="0"/>
        </w:numPr>
        <w:ind w:right="40" w:rightChars="0"/>
        <w:rPr>
          <w:rFonts w:hint="default"/>
          <w:lang w:val="en-US" w:eastAsia="zh-CN"/>
        </w:rPr>
        <w:sectPr>
          <w:pgSz w:w="11906" w:h="16838"/>
          <w:pgMar w:top="1440" w:right="976"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13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202"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kern w:val="0"/>
                <w:sz w:val="24"/>
                <w:u w:val="none"/>
              </w:rPr>
            </w:pPr>
            <w:r>
              <w:rPr>
                <w:rFonts w:ascii="Times New Roman" w:hAnsi="Times New Roman" w:eastAsia="宋体" w:cs="Times New Roman"/>
                <w:kern w:val="0"/>
                <w:sz w:val="24"/>
                <w:u w:val="none"/>
              </w:rPr>
              <w:t>区域</w:t>
            </w:r>
          </w:p>
          <w:p>
            <w:pPr>
              <w:autoSpaceDE/>
              <w:autoSpaceDN/>
              <w:adjustRightInd w:val="0"/>
              <w:snapToGrid w:val="0"/>
              <w:spacing w:line="240" w:lineRule="auto"/>
              <w:ind w:left="0" w:right="0"/>
              <w:jc w:val="center"/>
              <w:rPr>
                <w:rFonts w:ascii="Times New Roman" w:hAnsi="Times New Roman" w:eastAsia="宋体" w:cs="Times New Roman"/>
                <w:kern w:val="0"/>
                <w:sz w:val="24"/>
                <w:u w:val="none"/>
              </w:rPr>
            </w:pPr>
            <w:r>
              <w:rPr>
                <w:rFonts w:ascii="Times New Roman" w:hAnsi="Times New Roman" w:eastAsia="宋体" w:cs="Times New Roman"/>
                <w:kern w:val="0"/>
                <w:sz w:val="24"/>
                <w:u w:val="none"/>
              </w:rPr>
              <w:t>环境</w:t>
            </w:r>
          </w:p>
          <w:p>
            <w:pPr>
              <w:autoSpaceDE/>
              <w:autoSpaceDN/>
              <w:adjustRightInd w:val="0"/>
              <w:snapToGrid w:val="0"/>
              <w:spacing w:line="240" w:lineRule="auto"/>
              <w:ind w:left="0" w:right="0"/>
              <w:jc w:val="center"/>
              <w:rPr>
                <w:rFonts w:ascii="Times New Roman" w:hAnsi="Times New Roman" w:eastAsia="宋体" w:cs="Times New Roman"/>
                <w:kern w:val="0"/>
                <w:sz w:val="24"/>
                <w:u w:val="none"/>
              </w:rPr>
            </w:pPr>
            <w:r>
              <w:rPr>
                <w:rFonts w:ascii="Times New Roman" w:hAnsi="Times New Roman" w:eastAsia="宋体" w:cs="Times New Roman"/>
                <w:kern w:val="0"/>
                <w:sz w:val="24"/>
                <w:u w:val="none"/>
              </w:rPr>
              <w:t>质量</w:t>
            </w:r>
          </w:p>
          <w:p>
            <w:pPr>
              <w:autoSpaceDE/>
              <w:autoSpaceDN/>
              <w:adjustRightInd w:val="0"/>
              <w:snapToGrid w:val="0"/>
              <w:spacing w:line="240" w:lineRule="auto"/>
              <w:ind w:left="0" w:right="0"/>
              <w:jc w:val="center"/>
              <w:rPr>
                <w:rFonts w:ascii="Times New Roman" w:hAnsi="Times New Roman" w:eastAsia="宋体" w:cs="Times New Roman"/>
                <w:kern w:val="0"/>
                <w:sz w:val="21"/>
                <w:szCs w:val="21"/>
                <w:u w:val="single"/>
              </w:rPr>
            </w:pPr>
            <w:r>
              <w:rPr>
                <w:rFonts w:ascii="Times New Roman" w:hAnsi="Times New Roman" w:eastAsia="宋体" w:cs="Times New Roman"/>
                <w:kern w:val="0"/>
                <w:sz w:val="24"/>
                <w:u w:val="none"/>
              </w:rPr>
              <w:t>现状</w:t>
            </w:r>
          </w:p>
        </w:tc>
        <w:tc>
          <w:tcPr>
            <w:tcW w:w="4798" w:type="pct"/>
            <w:tcBorders>
              <w:tl2br w:val="nil"/>
              <w:tr2bl w:val="nil"/>
            </w:tcBorders>
            <w:noWrap w:val="0"/>
            <w:vAlign w:val="center"/>
          </w:tcPr>
          <w:p>
            <w:pPr>
              <w:autoSpaceDE/>
              <w:autoSpaceDN/>
              <w:spacing w:line="240" w:lineRule="auto"/>
              <w:ind w:left="0" w:right="0"/>
              <w:jc w:val="center"/>
              <w:outlineLvl w:val="5"/>
              <w:rPr>
                <w:rFonts w:ascii="Times New Roman" w:hAnsi="Times New Roman" w:eastAsia="宋体" w:cs="Times New Roman"/>
                <w:b/>
                <w:sz w:val="21"/>
                <w:szCs w:val="21"/>
                <w:u w:val="none"/>
              </w:rPr>
            </w:pPr>
            <w:bookmarkStart w:id="35" w:name="_Toc29418"/>
            <w:r>
              <w:rPr>
                <w:rFonts w:ascii="Times New Roman" w:hAnsi="Times New Roman" w:eastAsia="宋体" w:cs="Times New Roman"/>
                <w:b/>
                <w:sz w:val="21"/>
                <w:szCs w:val="21"/>
                <w:u w:val="none"/>
              </w:rPr>
              <w:t>表3-</w:t>
            </w:r>
            <w:r>
              <w:rPr>
                <w:rFonts w:hint="eastAsia" w:ascii="Times New Roman" w:hAnsi="Times New Roman" w:eastAsia="宋体" w:cs="Times New Roman"/>
                <w:b/>
                <w:sz w:val="21"/>
                <w:szCs w:val="21"/>
                <w:u w:val="none"/>
                <w:lang w:val="en-US" w:eastAsia="zh-CN"/>
              </w:rPr>
              <w:t>8</w:t>
            </w:r>
            <w:r>
              <w:rPr>
                <w:rFonts w:ascii="Times New Roman" w:hAnsi="Times New Roman" w:eastAsia="宋体" w:cs="Times New Roman"/>
                <w:b/>
                <w:sz w:val="21"/>
                <w:szCs w:val="21"/>
                <w:u w:val="none"/>
              </w:rPr>
              <w:t xml:space="preserve">    地下水质量现状监测值   单位：mg/L（pH值无量纲）</w:t>
            </w:r>
            <w:bookmarkEnd w:id="35"/>
          </w:p>
          <w:tbl>
            <w:tblPr>
              <w:tblStyle w:val="1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31"/>
              <w:gridCol w:w="2466"/>
              <w:gridCol w:w="1293"/>
              <w:gridCol w:w="1293"/>
              <w:gridCol w:w="1293"/>
              <w:gridCol w:w="1293"/>
              <w:gridCol w:w="1293"/>
              <w:gridCol w:w="1296"/>
              <w:gridCol w:w="1296"/>
              <w:gridCol w:w="13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restar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监测</w:t>
                  </w:r>
                </w:p>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bCs/>
                      <w:kern w:val="0"/>
                      <w:sz w:val="21"/>
                      <w:szCs w:val="21"/>
                      <w:u w:val="none"/>
                    </w:rPr>
                  </w:pPr>
                  <w:r>
                    <w:rPr>
                      <w:rFonts w:ascii="Times New Roman" w:hAnsi="Times New Roman" w:eastAsia="宋体" w:cs="Times New Roman"/>
                      <w:kern w:val="0"/>
                      <w:sz w:val="21"/>
                      <w:szCs w:val="21"/>
                      <w:u w:val="none"/>
                    </w:rPr>
                    <w:t>断面</w:t>
                  </w:r>
                </w:p>
              </w:tc>
              <w:tc>
                <w:tcPr>
                  <w:tcW w:w="922" w:type="pct"/>
                  <w:vMerge w:val="restar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监测</w:t>
                  </w:r>
                </w:p>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项目</w:t>
                  </w:r>
                </w:p>
              </w:tc>
              <w:tc>
                <w:tcPr>
                  <w:tcW w:w="3877" w:type="pct"/>
                  <w:gridSpan w:val="8"/>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监测浓度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noWrap w:val="0"/>
                  <w:vAlign w:val="center"/>
                </w:tcPr>
                <w:p>
                  <w:pPr>
                    <w:widowControl/>
                    <w:autoSpaceDE/>
                    <w:autoSpaceDN/>
                    <w:spacing w:line="240" w:lineRule="auto"/>
                    <w:ind w:left="0" w:right="0"/>
                    <w:jc w:val="left"/>
                    <w:rPr>
                      <w:rFonts w:ascii="Times New Roman" w:hAnsi="Times New Roman" w:eastAsia="宋体" w:cs="Times New Roman"/>
                      <w:bCs/>
                      <w:kern w:val="0"/>
                      <w:sz w:val="21"/>
                      <w:szCs w:val="21"/>
                      <w:u w:val="none"/>
                    </w:rPr>
                  </w:pPr>
                </w:p>
              </w:tc>
              <w:tc>
                <w:tcPr>
                  <w:tcW w:w="922" w:type="pct"/>
                  <w:vMerge w:val="continue"/>
                  <w:tcBorders>
                    <w:tl2br w:val="nil"/>
                    <w:tr2bl w:val="nil"/>
                  </w:tcBorders>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484"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bCs/>
                      <w:kern w:val="0"/>
                      <w:sz w:val="21"/>
                      <w:szCs w:val="21"/>
                      <w:u w:val="none"/>
                    </w:rPr>
                  </w:pPr>
                  <w:r>
                    <w:rPr>
                      <w:rFonts w:ascii="Times New Roman" w:hAnsi="Times New Roman" w:eastAsia="宋体" w:cs="Times New Roman"/>
                      <w:kern w:val="0"/>
                      <w:sz w:val="21"/>
                      <w:szCs w:val="21"/>
                      <w:u w:val="none"/>
                    </w:rPr>
                    <w:t>K</w:t>
                  </w:r>
                  <w:r>
                    <w:rPr>
                      <w:rFonts w:ascii="Times New Roman" w:hAnsi="Times New Roman" w:eastAsia="宋体" w:cs="Times New Roman"/>
                      <w:kern w:val="0"/>
                      <w:sz w:val="21"/>
                      <w:szCs w:val="21"/>
                      <w:u w:val="none"/>
                      <w:vertAlign w:val="superscript"/>
                    </w:rPr>
                    <w:t>+</w:t>
                  </w:r>
                </w:p>
              </w:tc>
              <w:tc>
                <w:tcPr>
                  <w:tcW w:w="484"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Na</w:t>
                  </w:r>
                  <w:r>
                    <w:rPr>
                      <w:rFonts w:ascii="Times New Roman" w:hAnsi="Times New Roman" w:eastAsia="宋体" w:cs="Times New Roman"/>
                      <w:sz w:val="21"/>
                      <w:szCs w:val="21"/>
                      <w:u w:val="none"/>
                      <w:vertAlign w:val="superscript"/>
                    </w:rPr>
                    <w:t>+</w:t>
                  </w:r>
                </w:p>
              </w:tc>
              <w:tc>
                <w:tcPr>
                  <w:tcW w:w="484"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Ca</w:t>
                  </w:r>
                  <w:r>
                    <w:rPr>
                      <w:rFonts w:ascii="Times New Roman" w:hAnsi="Times New Roman" w:eastAsia="宋体" w:cs="Times New Roman"/>
                      <w:sz w:val="21"/>
                      <w:szCs w:val="21"/>
                      <w:u w:val="none"/>
                      <w:vertAlign w:val="superscript"/>
                    </w:rPr>
                    <w:t>2+</w:t>
                  </w:r>
                </w:p>
              </w:tc>
              <w:tc>
                <w:tcPr>
                  <w:tcW w:w="484"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Mg</w:t>
                  </w:r>
                  <w:r>
                    <w:rPr>
                      <w:rFonts w:ascii="Times New Roman" w:hAnsi="Times New Roman" w:eastAsia="宋体" w:cs="Times New Roman"/>
                      <w:sz w:val="21"/>
                      <w:szCs w:val="21"/>
                      <w:u w:val="none"/>
                      <w:vertAlign w:val="superscript"/>
                    </w:rPr>
                    <w:t>2+</w:t>
                  </w:r>
                </w:p>
              </w:tc>
              <w:tc>
                <w:tcPr>
                  <w:tcW w:w="484"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CO</w:t>
                  </w:r>
                  <w:r>
                    <w:rPr>
                      <w:rFonts w:ascii="Times New Roman" w:hAnsi="Times New Roman" w:eastAsia="宋体" w:cs="Times New Roman"/>
                      <w:sz w:val="21"/>
                      <w:szCs w:val="21"/>
                      <w:u w:val="none"/>
                      <w:vertAlign w:val="subscript"/>
                    </w:rPr>
                    <w:t>3</w:t>
                  </w:r>
                  <w:r>
                    <w:rPr>
                      <w:rFonts w:ascii="Times New Roman" w:hAnsi="Times New Roman" w:eastAsia="宋体" w:cs="Times New Roman"/>
                      <w:sz w:val="21"/>
                      <w:szCs w:val="21"/>
                      <w:u w:val="none"/>
                      <w:vertAlign w:val="superscript"/>
                    </w:rPr>
                    <w:t>2-</w:t>
                  </w:r>
                </w:p>
              </w:tc>
              <w:tc>
                <w:tcPr>
                  <w:tcW w:w="485"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HCO</w:t>
                  </w:r>
                  <w:r>
                    <w:rPr>
                      <w:rFonts w:ascii="Times New Roman" w:hAnsi="Times New Roman" w:eastAsia="宋体" w:cs="Times New Roman"/>
                      <w:sz w:val="21"/>
                      <w:szCs w:val="21"/>
                      <w:u w:val="none"/>
                      <w:vertAlign w:val="subscript"/>
                    </w:rPr>
                    <w:t>3</w:t>
                  </w:r>
                  <w:r>
                    <w:rPr>
                      <w:rFonts w:ascii="Times New Roman" w:hAnsi="Times New Roman" w:eastAsia="宋体" w:cs="Times New Roman"/>
                      <w:sz w:val="21"/>
                      <w:szCs w:val="21"/>
                      <w:u w:val="none"/>
                      <w:vertAlign w:val="superscript"/>
                    </w:rPr>
                    <w:t>-</w:t>
                  </w:r>
                </w:p>
              </w:tc>
              <w:tc>
                <w:tcPr>
                  <w:tcW w:w="485" w:type="pct"/>
                  <w:tcBorders>
                    <w:tl2br w:val="nil"/>
                    <w:tr2bl w:val="nil"/>
                  </w:tcBorders>
                  <w:noWrap w:val="0"/>
                  <w:vAlign w:val="top"/>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Cl</w:t>
                  </w:r>
                  <w:r>
                    <w:rPr>
                      <w:rFonts w:ascii="Times New Roman" w:hAnsi="Times New Roman" w:eastAsia="宋体" w:cs="Times New Roman"/>
                      <w:sz w:val="21"/>
                      <w:szCs w:val="21"/>
                      <w:u w:val="none"/>
                      <w:vertAlign w:val="superscript"/>
                    </w:rPr>
                    <w:t>-</w:t>
                  </w:r>
                </w:p>
              </w:tc>
              <w:tc>
                <w:tcPr>
                  <w:tcW w:w="483" w:type="pct"/>
                  <w:tcBorders>
                    <w:tl2br w:val="nil"/>
                    <w:tr2bl w:val="nil"/>
                  </w:tcBorders>
                  <w:noWrap w:val="0"/>
                  <w:vAlign w:val="top"/>
                </w:tcPr>
                <w:p>
                  <w:pPr>
                    <w:autoSpaceDE/>
                    <w:autoSpaceDN/>
                    <w:spacing w:line="240" w:lineRule="auto"/>
                    <w:ind w:left="0" w:right="0"/>
                    <w:rPr>
                      <w:rFonts w:ascii="Times New Roman" w:hAnsi="Times New Roman" w:eastAsia="宋体" w:cs="Times New Roman"/>
                      <w:sz w:val="21"/>
                      <w:szCs w:val="21"/>
                      <w:u w:val="none"/>
                    </w:rPr>
                  </w:pPr>
                  <w:r>
                    <w:rPr>
                      <w:rFonts w:ascii="Times New Roman" w:hAnsi="Times New Roman" w:eastAsia="宋体" w:cs="Times New Roman"/>
                      <w:sz w:val="21"/>
                      <w:szCs w:val="21"/>
                      <w:u w:val="none"/>
                    </w:rPr>
                    <w:t>硫酸根离子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U1</w:t>
                  </w: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1.44~1.45</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3.47~3.48</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89.6~90</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43.5~43.6</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5L</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511~514</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1.82~1.9</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22.2~22.4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最大浓度占标率（%）</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0.76</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8.96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U2</w:t>
                  </w: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2.06~2.11</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2.02~2.04</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8.64~8.79</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1.74</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5L</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23~26</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1.8~1.84</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3.34~3.47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最大浓度占标率（%）</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0.736</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1.388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U3</w:t>
                  </w: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0.656~0.66</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3.99~4.01</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5.99~6.13</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2.44</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5L</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19~21</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4.95~5.01</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2.62~2.69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最大浓度占标率（%）</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2.004</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1.076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U4</w:t>
                  </w: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kern w:val="0"/>
                      <w:sz w:val="21"/>
                      <w:szCs w:val="21"/>
                      <w:u w:val="none"/>
                    </w:rPr>
                    <w:t>8.69~9.22</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7.68~7.72</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75.6~75.8</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23.1~23.2</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5L</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322~325</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6.77~6.88</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11.8~12.2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最大浓度占标率（%）</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2.752</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4.88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10"/>
                      <w:sz w:val="21"/>
                      <w:szCs w:val="21"/>
                      <w:u w:val="none"/>
                    </w:rPr>
                  </w:pPr>
                  <w:r>
                    <w:rPr>
                      <w:rFonts w:ascii="Times New Roman" w:hAnsi="Times New Roman" w:eastAsia="宋体" w:cs="Times New Roman"/>
                      <w:kern w:val="0"/>
                      <w:sz w:val="21"/>
                      <w:szCs w:val="21"/>
                      <w:u w:val="none"/>
                    </w:rPr>
                    <w:t>U5</w:t>
                  </w: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kern w:val="0"/>
                      <w:sz w:val="21"/>
                      <w:szCs w:val="21"/>
                      <w:u w:val="none"/>
                    </w:rPr>
                    <w:t>1.31~1.33</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2.72</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65.5~66</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37.2~37.3</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5L</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370~373</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4.16~4.18</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宋体" w:cs="Times New Roman"/>
                      <w:kern w:val="0"/>
                      <w:sz w:val="21"/>
                      <w:szCs w:val="21"/>
                      <w:u w:val="none"/>
                    </w:rPr>
                    <w:t>16.1~16.8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1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最大浓度占标率（%）</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1.62</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6.72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1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99"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10"/>
                      <w:sz w:val="21"/>
                      <w:szCs w:val="21"/>
                      <w:u w:val="none"/>
                    </w:rPr>
                  </w:pPr>
                </w:p>
              </w:tc>
              <w:tc>
                <w:tcPr>
                  <w:tcW w:w="9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484"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8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48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122" w:type="pct"/>
                  <w:gridSpan w:val="2"/>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（GB/T14848-2017） Ⅲ类标准</w:t>
                  </w:r>
                </w:p>
              </w:tc>
              <w:tc>
                <w:tcPr>
                  <w:tcW w:w="484"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w:t>
                  </w:r>
                </w:p>
              </w:tc>
              <w:tc>
                <w:tcPr>
                  <w:tcW w:w="484"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w:t>
                  </w:r>
                </w:p>
              </w:tc>
              <w:tc>
                <w:tcPr>
                  <w:tcW w:w="484"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w:t>
                  </w:r>
                </w:p>
              </w:tc>
              <w:tc>
                <w:tcPr>
                  <w:tcW w:w="484"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w:t>
                  </w:r>
                </w:p>
              </w:tc>
              <w:tc>
                <w:tcPr>
                  <w:tcW w:w="484"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w:t>
                  </w:r>
                </w:p>
              </w:tc>
              <w:tc>
                <w:tcPr>
                  <w:tcW w:w="485"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w:t>
                  </w:r>
                </w:p>
              </w:tc>
              <w:tc>
                <w:tcPr>
                  <w:tcW w:w="485" w:type="pct"/>
                  <w:tcBorders>
                    <w:tl2br w:val="nil"/>
                    <w:tr2bl w:val="nil"/>
                  </w:tcBorders>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250</w:t>
                  </w:r>
                </w:p>
              </w:tc>
              <w:tc>
                <w:tcPr>
                  <w:tcW w:w="483" w:type="pct"/>
                  <w:tcBorders>
                    <w:tl2br w:val="nil"/>
                    <w:tr2bl w:val="nil"/>
                  </w:tcBorders>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250</w:t>
                  </w:r>
                </w:p>
              </w:tc>
            </w:tr>
          </w:tbl>
          <w:p>
            <w:pPr>
              <w:autoSpaceDE/>
              <w:autoSpaceDN/>
              <w:spacing w:line="240" w:lineRule="auto"/>
              <w:ind w:left="0" w:right="0"/>
              <w:jc w:val="center"/>
              <w:rPr>
                <w:rFonts w:ascii="Times New Roman" w:hAnsi="Times New Roman" w:eastAsia="宋体" w:cs="Times New Roman"/>
                <w:b/>
                <w:sz w:val="21"/>
                <w:szCs w:val="21"/>
                <w:u w:val="single"/>
              </w:rPr>
            </w:pPr>
          </w:p>
          <w:p>
            <w:pPr>
              <w:autoSpaceDE/>
              <w:autoSpaceDN/>
              <w:spacing w:line="240" w:lineRule="auto"/>
              <w:ind w:left="0" w:right="0"/>
              <w:jc w:val="center"/>
              <w:rPr>
                <w:rFonts w:ascii="Times New Roman" w:hAnsi="Times New Roman" w:eastAsia="宋体" w:cs="Times New Roman"/>
                <w:b/>
                <w:sz w:val="21"/>
                <w:szCs w:val="21"/>
                <w:u w:val="single"/>
              </w:rPr>
            </w:pPr>
          </w:p>
          <w:p>
            <w:pPr>
              <w:autoSpaceDE/>
              <w:autoSpaceDN/>
              <w:spacing w:line="240" w:lineRule="auto"/>
              <w:ind w:left="0" w:right="0"/>
              <w:jc w:val="center"/>
              <w:rPr>
                <w:rFonts w:ascii="Times New Roman" w:hAnsi="Times New Roman" w:eastAsia="宋体" w:cs="Times New Roman"/>
                <w:b/>
                <w:sz w:val="21"/>
                <w:szCs w:val="21"/>
                <w:u w:val="single"/>
              </w:rPr>
            </w:pPr>
          </w:p>
          <w:p>
            <w:pPr>
              <w:autoSpaceDE/>
              <w:autoSpaceDN/>
              <w:spacing w:line="240" w:lineRule="auto"/>
              <w:ind w:left="0" w:right="0"/>
              <w:jc w:val="center"/>
              <w:rPr>
                <w:rFonts w:ascii="Times New Roman" w:hAnsi="Times New Roman" w:eastAsia="宋体" w:cs="Times New Roman"/>
                <w:b/>
                <w:sz w:val="21"/>
                <w:szCs w:val="21"/>
                <w:u w:val="single"/>
              </w:rPr>
            </w:pPr>
          </w:p>
          <w:p>
            <w:pPr>
              <w:autoSpaceDE/>
              <w:autoSpaceDN/>
              <w:spacing w:line="240" w:lineRule="auto"/>
              <w:ind w:left="0" w:right="0"/>
              <w:jc w:val="center"/>
              <w:rPr>
                <w:rFonts w:ascii="Times New Roman" w:hAnsi="Times New Roman" w:eastAsia="宋体" w:cs="Times New Roman"/>
                <w:b/>
                <w:sz w:val="21"/>
                <w:szCs w:val="21"/>
                <w:u w:val="single"/>
              </w:rPr>
            </w:pPr>
          </w:p>
          <w:p>
            <w:pPr>
              <w:autoSpaceDE/>
              <w:autoSpaceDN/>
              <w:spacing w:line="240" w:lineRule="auto"/>
              <w:ind w:left="0" w:right="0"/>
              <w:jc w:val="center"/>
              <w:rPr>
                <w:rFonts w:ascii="Times New Roman" w:hAnsi="Times New Roman" w:eastAsia="宋体" w:cs="Times New Roman"/>
                <w:b/>
                <w:sz w:val="21"/>
                <w:szCs w:val="21"/>
                <w:u w:val="single"/>
              </w:rPr>
            </w:pPr>
          </w:p>
          <w:p>
            <w:pPr>
              <w:autoSpaceDE/>
              <w:autoSpaceDN/>
              <w:spacing w:line="240" w:lineRule="auto"/>
              <w:ind w:left="0" w:right="0"/>
              <w:jc w:val="center"/>
              <w:outlineLvl w:val="5"/>
              <w:rPr>
                <w:rFonts w:ascii="Times New Roman" w:hAnsi="Times New Roman" w:eastAsia="宋体" w:cs="Times New Roman"/>
                <w:b/>
                <w:sz w:val="21"/>
                <w:szCs w:val="21"/>
                <w:u w:val="none"/>
              </w:rPr>
            </w:pPr>
            <w:bookmarkStart w:id="36" w:name="_Toc28148"/>
            <w:r>
              <w:rPr>
                <w:rFonts w:ascii="Times New Roman" w:hAnsi="Times New Roman" w:eastAsia="宋体" w:cs="Times New Roman"/>
                <w:b/>
                <w:sz w:val="21"/>
                <w:szCs w:val="21"/>
                <w:u w:val="none"/>
              </w:rPr>
              <w:t>续表3</w:t>
            </w:r>
            <w:r>
              <w:rPr>
                <w:rFonts w:hint="eastAsia" w:ascii="Times New Roman" w:hAnsi="Times New Roman" w:eastAsia="宋体" w:cs="Times New Roman"/>
                <w:b/>
                <w:sz w:val="21"/>
                <w:szCs w:val="21"/>
                <w:u w:val="none"/>
                <w:lang w:val="en-US" w:eastAsia="zh-CN"/>
              </w:rPr>
              <w:t>-8</w:t>
            </w:r>
            <w:r>
              <w:rPr>
                <w:rFonts w:ascii="Times New Roman" w:hAnsi="Times New Roman" w:eastAsia="宋体" w:cs="Times New Roman"/>
                <w:b/>
                <w:sz w:val="21"/>
                <w:szCs w:val="21"/>
                <w:u w:val="none"/>
              </w:rPr>
              <w:t xml:space="preserve">     地下水质量现状监测值   单位：mg/L（pH值无量纲）</w:t>
            </w:r>
            <w:bookmarkEnd w:id="36"/>
          </w:p>
          <w:tbl>
            <w:tblPr>
              <w:tblStyle w:val="1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89"/>
              <w:gridCol w:w="1467"/>
              <w:gridCol w:w="986"/>
              <w:gridCol w:w="1118"/>
              <w:gridCol w:w="1249"/>
              <w:gridCol w:w="821"/>
              <w:gridCol w:w="856"/>
              <w:gridCol w:w="859"/>
              <w:gridCol w:w="856"/>
              <w:gridCol w:w="974"/>
              <w:gridCol w:w="1075"/>
              <w:gridCol w:w="966"/>
              <w:gridCol w:w="808"/>
              <w:gridCol w:w="8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restar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监测</w:t>
                  </w:r>
                </w:p>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bCs/>
                      <w:kern w:val="0"/>
                      <w:sz w:val="21"/>
                      <w:szCs w:val="21"/>
                      <w:u w:val="none"/>
                    </w:rPr>
                  </w:pPr>
                  <w:r>
                    <w:rPr>
                      <w:rFonts w:ascii="Times New Roman" w:hAnsi="Times New Roman" w:eastAsia="宋体" w:cs="Times New Roman"/>
                      <w:kern w:val="0"/>
                      <w:sz w:val="21"/>
                      <w:szCs w:val="21"/>
                      <w:u w:val="none"/>
                    </w:rPr>
                    <w:t>断面</w:t>
                  </w:r>
                </w:p>
              </w:tc>
              <w:tc>
                <w:tcPr>
                  <w:tcW w:w="551" w:type="pct"/>
                  <w:vMerge w:val="restar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监测</w:t>
                  </w:r>
                </w:p>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项目</w:t>
                  </w:r>
                </w:p>
              </w:tc>
              <w:tc>
                <w:tcPr>
                  <w:tcW w:w="4264" w:type="pct"/>
                  <w:gridSpan w:val="12"/>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监测浓度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noWrap w:val="0"/>
                  <w:vAlign w:val="center"/>
                </w:tcPr>
                <w:p>
                  <w:pPr>
                    <w:widowControl/>
                    <w:autoSpaceDE/>
                    <w:autoSpaceDN/>
                    <w:spacing w:line="240" w:lineRule="auto"/>
                    <w:ind w:left="0" w:right="0"/>
                    <w:jc w:val="left"/>
                    <w:rPr>
                      <w:rFonts w:ascii="Times New Roman" w:hAnsi="Times New Roman" w:eastAsia="宋体" w:cs="Times New Roman"/>
                      <w:bCs/>
                      <w:kern w:val="0"/>
                      <w:sz w:val="21"/>
                      <w:szCs w:val="21"/>
                      <w:u w:val="none"/>
                    </w:rPr>
                  </w:pPr>
                </w:p>
              </w:tc>
              <w:tc>
                <w:tcPr>
                  <w:tcW w:w="551" w:type="pct"/>
                  <w:vMerge w:val="continue"/>
                  <w:tcBorders>
                    <w:tl2br w:val="nil"/>
                    <w:tr2bl w:val="nil"/>
                  </w:tcBorders>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371"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bCs/>
                      <w:kern w:val="0"/>
                      <w:sz w:val="21"/>
                      <w:szCs w:val="21"/>
                      <w:u w:val="none"/>
                    </w:rPr>
                  </w:pPr>
                  <w:r>
                    <w:rPr>
                      <w:rFonts w:ascii="Times New Roman" w:hAnsi="Times New Roman" w:eastAsia="宋体" w:cs="Times New Roman"/>
                      <w:kern w:val="0"/>
                      <w:sz w:val="21"/>
                      <w:szCs w:val="21"/>
                      <w:u w:val="none"/>
                    </w:rPr>
                    <w:t>pH</w:t>
                  </w:r>
                </w:p>
              </w:tc>
              <w:tc>
                <w:tcPr>
                  <w:tcW w:w="420"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氨氮</w:t>
                  </w:r>
                </w:p>
              </w:tc>
              <w:tc>
                <w:tcPr>
                  <w:tcW w:w="469"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挥发酚</w:t>
                  </w:r>
                </w:p>
              </w:tc>
              <w:tc>
                <w:tcPr>
                  <w:tcW w:w="298"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Hg</w:t>
                  </w:r>
                </w:p>
              </w:tc>
              <w:tc>
                <w:tcPr>
                  <w:tcW w:w="322"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As</w:t>
                  </w:r>
                </w:p>
              </w:tc>
              <w:tc>
                <w:tcPr>
                  <w:tcW w:w="323"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Sb</w:t>
                  </w:r>
                </w:p>
              </w:tc>
              <w:tc>
                <w:tcPr>
                  <w:tcW w:w="322"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铁</w:t>
                  </w:r>
                </w:p>
              </w:tc>
              <w:tc>
                <w:tcPr>
                  <w:tcW w:w="366"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锰</w:t>
                  </w:r>
                </w:p>
              </w:tc>
              <w:tc>
                <w:tcPr>
                  <w:tcW w:w="401"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Cu</w:t>
                  </w:r>
                </w:p>
              </w:tc>
              <w:tc>
                <w:tcPr>
                  <w:tcW w:w="363"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bCs/>
                      <w:kern w:val="0"/>
                      <w:sz w:val="21"/>
                      <w:szCs w:val="21"/>
                      <w:u w:val="none"/>
                    </w:rPr>
                    <w:t>Zn</w:t>
                  </w:r>
                </w:p>
              </w:tc>
              <w:tc>
                <w:tcPr>
                  <w:tcW w:w="304" w:type="pct"/>
                  <w:tcBorders>
                    <w:tl2br w:val="nil"/>
                    <w:tr2bl w:val="nil"/>
                  </w:tcBorders>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Ni</w:t>
                  </w:r>
                </w:p>
              </w:tc>
              <w:tc>
                <w:tcPr>
                  <w:tcW w:w="305" w:type="pct"/>
                  <w:tcBorders>
                    <w:tl2br w:val="nil"/>
                    <w:tr2bl w:val="nil"/>
                  </w:tcBorders>
                  <w:noWrap w:val="0"/>
                  <w:vAlign w:val="top"/>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Tl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U1</w:t>
                  </w: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7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7~7.2</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0.104~0.116</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0.00004L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0.0002L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0.006L</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0.00003L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7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23.2</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8</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7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U2</w:t>
                  </w: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7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7.2</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0.074~0.082</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0.00004L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0.0002L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0.006L</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0.00003L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7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16.4</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7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U3</w:t>
                  </w: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7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7.2~7.3</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0.188~0.194</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0.00004L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0.0002L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0.006L</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0.00003L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7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38.8</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7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U4</w:t>
                  </w: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7</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0.086~0.098</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0.00004L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0.0002L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0.006L</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0.00003L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19.6</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restar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U5</w:t>
                  </w: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7~7.1</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0.134~0.143</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0.00004L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0.0003L</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0.0002L</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0.006L</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0.02L</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0.00003L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28.6</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185" w:type="pct"/>
                  <w:vMerge w:val="continue"/>
                  <w:tcBorders>
                    <w:tl2br w:val="nil"/>
                    <w:tr2bl w:val="nil"/>
                  </w:tcBorders>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55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71" w:type="pct"/>
                  <w:tcBorders>
                    <w:tl2br w:val="nil"/>
                    <w:tr2bl w:val="nil"/>
                  </w:tcBorders>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0"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69"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298"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22"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6"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01"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63"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4"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05" w:type="pct"/>
                  <w:tcBorders>
                    <w:tl2br w:val="nil"/>
                    <w:tr2bl w:val="nil"/>
                  </w:tcBorders>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Pr>
              <w:tc>
                <w:tcPr>
                  <w:tcW w:w="736" w:type="pct"/>
                  <w:gridSpan w:val="2"/>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（GB/T14848-2017） Ⅲ类标准</w:t>
                  </w:r>
                </w:p>
              </w:tc>
              <w:tc>
                <w:tcPr>
                  <w:tcW w:w="371"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6.5~8.5</w:t>
                  </w:r>
                </w:p>
              </w:tc>
              <w:tc>
                <w:tcPr>
                  <w:tcW w:w="420"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0.5</w:t>
                  </w:r>
                </w:p>
              </w:tc>
              <w:tc>
                <w:tcPr>
                  <w:tcW w:w="469"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0.002</w:t>
                  </w:r>
                </w:p>
              </w:tc>
              <w:tc>
                <w:tcPr>
                  <w:tcW w:w="298"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0.001</w:t>
                  </w:r>
                </w:p>
              </w:tc>
              <w:tc>
                <w:tcPr>
                  <w:tcW w:w="322"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0.01</w:t>
                  </w:r>
                </w:p>
              </w:tc>
              <w:tc>
                <w:tcPr>
                  <w:tcW w:w="323"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0.005</w:t>
                  </w:r>
                </w:p>
              </w:tc>
              <w:tc>
                <w:tcPr>
                  <w:tcW w:w="322"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0.3</w:t>
                  </w:r>
                </w:p>
              </w:tc>
              <w:tc>
                <w:tcPr>
                  <w:tcW w:w="366"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0.1</w:t>
                  </w:r>
                </w:p>
              </w:tc>
              <w:tc>
                <w:tcPr>
                  <w:tcW w:w="404"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1.0</w:t>
                  </w:r>
                </w:p>
              </w:tc>
              <w:tc>
                <w:tcPr>
                  <w:tcW w:w="360"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1.0</w:t>
                  </w:r>
                </w:p>
              </w:tc>
              <w:tc>
                <w:tcPr>
                  <w:tcW w:w="304"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0.02</w:t>
                  </w:r>
                </w:p>
              </w:tc>
              <w:tc>
                <w:tcPr>
                  <w:tcW w:w="305" w:type="pct"/>
                  <w:tcBorders>
                    <w:tl2br w:val="nil"/>
                    <w:tr2bl w:val="nil"/>
                  </w:tcBorders>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0.0001</w:t>
                  </w:r>
                </w:p>
              </w:tc>
            </w:tr>
          </w:tbl>
          <w:p>
            <w:pPr>
              <w:tabs>
                <w:tab w:val="left" w:pos="1021"/>
                <w:tab w:val="left" w:pos="1320"/>
              </w:tabs>
              <w:autoSpaceDE/>
              <w:autoSpaceDN/>
              <w:spacing w:line="240" w:lineRule="auto"/>
              <w:ind w:left="0" w:right="0"/>
              <w:jc w:val="center"/>
              <w:rPr>
                <w:rFonts w:ascii="Times New Roman" w:hAnsi="Times New Roman" w:eastAsia="宋体" w:cs="Times New Roman"/>
                <w:spacing w:val="-2"/>
                <w:kern w:val="24"/>
                <w:sz w:val="21"/>
                <w:szCs w:val="21"/>
                <w:u w:val="single"/>
              </w:rPr>
            </w:pPr>
          </w:p>
          <w:p>
            <w:pPr>
              <w:tabs>
                <w:tab w:val="left" w:pos="1021"/>
                <w:tab w:val="left" w:pos="1320"/>
              </w:tabs>
              <w:autoSpaceDE/>
              <w:autoSpaceDN/>
              <w:spacing w:line="240" w:lineRule="auto"/>
              <w:ind w:left="0" w:right="0"/>
              <w:jc w:val="center"/>
              <w:rPr>
                <w:rFonts w:ascii="Times New Roman" w:hAnsi="Times New Roman" w:eastAsia="宋体" w:cs="Times New Roman"/>
                <w:spacing w:val="-2"/>
                <w:kern w:val="24"/>
                <w:sz w:val="21"/>
                <w:szCs w:val="21"/>
                <w:u w:val="single"/>
              </w:rPr>
            </w:pPr>
          </w:p>
          <w:p>
            <w:pPr>
              <w:tabs>
                <w:tab w:val="left" w:pos="1021"/>
                <w:tab w:val="left" w:pos="1320"/>
              </w:tabs>
              <w:autoSpaceDE/>
              <w:autoSpaceDN/>
              <w:spacing w:line="240" w:lineRule="auto"/>
              <w:ind w:left="0" w:right="0"/>
              <w:jc w:val="center"/>
              <w:rPr>
                <w:rFonts w:ascii="Times New Roman" w:hAnsi="Times New Roman" w:eastAsia="宋体" w:cs="Times New Roman"/>
                <w:spacing w:val="-2"/>
                <w:kern w:val="24"/>
                <w:sz w:val="21"/>
                <w:szCs w:val="21"/>
                <w:u w:val="single"/>
              </w:rPr>
            </w:pPr>
          </w:p>
          <w:p>
            <w:pPr>
              <w:tabs>
                <w:tab w:val="left" w:pos="1021"/>
                <w:tab w:val="left" w:pos="1320"/>
              </w:tabs>
              <w:autoSpaceDE/>
              <w:autoSpaceDN/>
              <w:spacing w:line="240" w:lineRule="auto"/>
              <w:ind w:left="0" w:right="0"/>
              <w:jc w:val="center"/>
              <w:rPr>
                <w:rFonts w:ascii="Times New Roman" w:hAnsi="Times New Roman" w:eastAsia="宋体" w:cs="Times New Roman"/>
                <w:spacing w:val="-2"/>
                <w:kern w:val="24"/>
                <w:sz w:val="21"/>
                <w:szCs w:val="21"/>
                <w:u w:val="single"/>
              </w:rPr>
            </w:pPr>
          </w:p>
          <w:p>
            <w:pPr>
              <w:tabs>
                <w:tab w:val="left" w:pos="1021"/>
                <w:tab w:val="left" w:pos="1320"/>
              </w:tabs>
              <w:autoSpaceDE/>
              <w:autoSpaceDN/>
              <w:spacing w:line="240" w:lineRule="auto"/>
              <w:ind w:left="0" w:right="0"/>
              <w:jc w:val="center"/>
              <w:rPr>
                <w:rFonts w:ascii="Times New Roman" w:hAnsi="Times New Roman" w:eastAsia="宋体" w:cs="Times New Roman"/>
                <w:spacing w:val="-2"/>
                <w:kern w:val="24"/>
                <w:sz w:val="21"/>
                <w:szCs w:val="21"/>
                <w:u w:val="single"/>
              </w:rPr>
            </w:pPr>
          </w:p>
          <w:p>
            <w:pPr>
              <w:autoSpaceDE/>
              <w:autoSpaceDN/>
              <w:spacing w:line="240" w:lineRule="auto"/>
              <w:ind w:left="0" w:right="0"/>
              <w:jc w:val="center"/>
              <w:outlineLvl w:val="5"/>
              <w:rPr>
                <w:rFonts w:ascii="Times New Roman" w:hAnsi="Times New Roman" w:eastAsia="宋体" w:cs="Times New Roman"/>
                <w:b/>
                <w:sz w:val="21"/>
                <w:szCs w:val="21"/>
                <w:u w:val="none"/>
              </w:rPr>
            </w:pPr>
            <w:bookmarkStart w:id="37" w:name="_Toc19286"/>
            <w:r>
              <w:rPr>
                <w:rFonts w:ascii="Times New Roman" w:hAnsi="Times New Roman" w:eastAsia="宋体" w:cs="Times New Roman"/>
                <w:b/>
                <w:sz w:val="21"/>
                <w:szCs w:val="21"/>
                <w:u w:val="none"/>
              </w:rPr>
              <w:t>续表3-</w:t>
            </w:r>
            <w:r>
              <w:rPr>
                <w:rFonts w:hint="eastAsia" w:ascii="Times New Roman" w:hAnsi="Times New Roman" w:eastAsia="宋体" w:cs="Times New Roman"/>
                <w:b/>
                <w:sz w:val="21"/>
                <w:szCs w:val="21"/>
                <w:u w:val="none"/>
                <w:lang w:val="en-US" w:eastAsia="zh-CN"/>
              </w:rPr>
              <w:t>8</w:t>
            </w:r>
            <w:r>
              <w:rPr>
                <w:rFonts w:ascii="Times New Roman" w:hAnsi="Times New Roman" w:eastAsia="宋体" w:cs="Times New Roman"/>
                <w:b/>
                <w:sz w:val="21"/>
                <w:szCs w:val="21"/>
                <w:u w:val="none"/>
              </w:rPr>
              <w:t xml:space="preserve">    地下水质量现状监测值   单位：mg/L（pH值无量纲）</w:t>
            </w:r>
            <w:bookmarkEnd w:id="37"/>
          </w:p>
          <w:tbl>
            <w:tblPr>
              <w:tblStyle w:val="1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689"/>
              <w:gridCol w:w="1715"/>
              <w:gridCol w:w="932"/>
              <w:gridCol w:w="900"/>
              <w:gridCol w:w="1154"/>
              <w:gridCol w:w="1146"/>
              <w:gridCol w:w="1031"/>
              <w:gridCol w:w="1044"/>
              <w:gridCol w:w="1581"/>
              <w:gridCol w:w="1619"/>
              <w:gridCol w:w="15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restar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监测</w:t>
                  </w:r>
                </w:p>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bCs/>
                      <w:kern w:val="0"/>
                      <w:sz w:val="21"/>
                      <w:szCs w:val="21"/>
                      <w:u w:val="none"/>
                    </w:rPr>
                  </w:pPr>
                  <w:r>
                    <w:rPr>
                      <w:rFonts w:ascii="Times New Roman" w:hAnsi="Times New Roman" w:eastAsia="宋体" w:cs="Times New Roman"/>
                      <w:kern w:val="0"/>
                      <w:sz w:val="21"/>
                      <w:szCs w:val="21"/>
                      <w:u w:val="none"/>
                    </w:rPr>
                    <w:t>断面</w:t>
                  </w:r>
                </w:p>
              </w:tc>
              <w:tc>
                <w:tcPr>
                  <w:tcW w:w="642" w:type="pct"/>
                  <w:vMerge w:val="restar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监测</w:t>
                  </w:r>
                </w:p>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项目</w:t>
                  </w:r>
                </w:p>
              </w:tc>
              <w:tc>
                <w:tcPr>
                  <w:tcW w:w="4100" w:type="pct"/>
                  <w:gridSpan w:val="9"/>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监测浓度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noWrap w:val="0"/>
                  <w:vAlign w:val="center"/>
                </w:tcPr>
                <w:p>
                  <w:pPr>
                    <w:widowControl/>
                    <w:autoSpaceDE/>
                    <w:autoSpaceDN/>
                    <w:spacing w:line="240" w:lineRule="auto"/>
                    <w:ind w:left="0" w:right="0"/>
                    <w:jc w:val="left"/>
                    <w:rPr>
                      <w:rFonts w:ascii="Times New Roman" w:hAnsi="Times New Roman" w:eastAsia="宋体" w:cs="Times New Roman"/>
                      <w:bCs/>
                      <w:kern w:val="0"/>
                      <w:sz w:val="21"/>
                      <w:szCs w:val="21"/>
                      <w:u w:val="none"/>
                    </w:rPr>
                  </w:pPr>
                </w:p>
              </w:tc>
              <w:tc>
                <w:tcPr>
                  <w:tcW w:w="642" w:type="pct"/>
                  <w:vMerge w:val="continue"/>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349"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bCs/>
                      <w:kern w:val="0"/>
                      <w:sz w:val="21"/>
                      <w:szCs w:val="21"/>
                      <w:u w:val="none"/>
                    </w:rPr>
                  </w:pPr>
                  <w:r>
                    <w:rPr>
                      <w:rFonts w:ascii="Times New Roman" w:hAnsi="Times New Roman" w:eastAsia="宋体" w:cs="Times New Roman"/>
                      <w:sz w:val="21"/>
                      <w:szCs w:val="21"/>
                      <w:u w:val="none"/>
                    </w:rPr>
                    <w:t>Pb</w:t>
                  </w:r>
                </w:p>
              </w:tc>
              <w:tc>
                <w:tcPr>
                  <w:tcW w:w="337" w:type="pct"/>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Cd</w:t>
                  </w:r>
                </w:p>
              </w:tc>
              <w:tc>
                <w:tcPr>
                  <w:tcW w:w="432" w:type="pct"/>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高锰酸盐指数</w:t>
                  </w:r>
                </w:p>
              </w:tc>
              <w:tc>
                <w:tcPr>
                  <w:tcW w:w="429" w:type="pct"/>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Cr</w:t>
                  </w:r>
                  <w:r>
                    <w:rPr>
                      <w:rFonts w:ascii="Times New Roman" w:hAnsi="Times New Roman" w:eastAsia="宋体" w:cs="Times New Roman"/>
                      <w:sz w:val="21"/>
                      <w:szCs w:val="21"/>
                      <w:u w:val="none"/>
                      <w:vertAlign w:val="superscript"/>
                    </w:rPr>
                    <w:t>6+</w:t>
                  </w:r>
                </w:p>
              </w:tc>
              <w:tc>
                <w:tcPr>
                  <w:tcW w:w="386" w:type="pct"/>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总硬度</w:t>
                  </w:r>
                </w:p>
              </w:tc>
              <w:tc>
                <w:tcPr>
                  <w:tcW w:w="391" w:type="pct"/>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溶解性固体</w:t>
                  </w:r>
                </w:p>
              </w:tc>
              <w:tc>
                <w:tcPr>
                  <w:tcW w:w="592" w:type="pct"/>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氟化物</w:t>
                  </w:r>
                </w:p>
              </w:tc>
              <w:tc>
                <w:tcPr>
                  <w:tcW w:w="606" w:type="pct"/>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亚硝酸盐</w:t>
                  </w:r>
                </w:p>
              </w:tc>
              <w:tc>
                <w:tcPr>
                  <w:tcW w:w="578" w:type="pct"/>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硝酸盐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restar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U1</w:t>
                  </w: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4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0.001L</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0.0001L</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0.61~0.71</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386~390</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418~421</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0.037~0.038</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0.005L</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2~2.02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4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23.7</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86.7</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42.1</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10</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4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restar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U2</w:t>
                  </w: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4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0.001L</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0.0001L</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0.5~0.52</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186~190</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232~236</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0.006L</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0.119~0.125</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0.296~0.3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4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17.3</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42.2</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23.6</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12.5</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4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restar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U3</w:t>
                  </w: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4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0.001L</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0.0001L</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0.78~0.79</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192~198</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240~242</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0.006L</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0.005L</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2.51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4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26.3</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44</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24.2</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12.55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4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restar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U4</w:t>
                  </w: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0.001L</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0.0001L</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0.66~0.68</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266~278</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298~299</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0.171~0.19</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0.005L</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1.4~1.43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22.7</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61.8</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29.9</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19</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7.15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restar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U5</w:t>
                  </w: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监测浓度范围</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0.001L</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0.0001L</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0.82~0.86</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0.004L</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306~310</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315~316</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0.022~0.024</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0.005L</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2.13~2.15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占标率</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28.7</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68.9</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31.6</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2.4</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top"/>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10.75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超标率（%）</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258" w:type="pct"/>
                  <w:vMerge w:val="continue"/>
                  <w:shd w:val="clear" w:color="auto" w:fill="auto"/>
                  <w:noWrap w:val="0"/>
                  <w:vAlign w:val="center"/>
                </w:tcPr>
                <w:p>
                  <w:pPr>
                    <w:widowControl/>
                    <w:autoSpaceDE/>
                    <w:autoSpaceDN/>
                    <w:spacing w:line="240" w:lineRule="auto"/>
                    <w:ind w:left="0" w:right="0"/>
                    <w:jc w:val="left"/>
                    <w:rPr>
                      <w:rFonts w:ascii="Times New Roman" w:hAnsi="Times New Roman" w:eastAsia="宋体" w:cs="Times New Roman"/>
                      <w:kern w:val="0"/>
                      <w:sz w:val="21"/>
                      <w:szCs w:val="21"/>
                      <w:u w:val="none"/>
                    </w:rPr>
                  </w:pPr>
                </w:p>
              </w:tc>
              <w:tc>
                <w:tcPr>
                  <w:tcW w:w="642"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宋体" w:cs="Times New Roman"/>
                      <w:sz w:val="21"/>
                      <w:szCs w:val="21"/>
                      <w:u w:val="none"/>
                    </w:rPr>
                    <w:t>最大超标倍数</w:t>
                  </w:r>
                </w:p>
              </w:tc>
              <w:tc>
                <w:tcPr>
                  <w:tcW w:w="349" w:type="pct"/>
                  <w:shd w:val="clear" w:color="auto" w:fill="auto"/>
                  <w:noWrap w:val="0"/>
                  <w:vAlign w:val="center"/>
                </w:tcPr>
                <w:p>
                  <w:pPr>
                    <w:autoSpaceDE/>
                    <w:autoSpaceDN/>
                    <w:adjustRightInd w:val="0"/>
                    <w:snapToGrid w:val="0"/>
                    <w:spacing w:line="240" w:lineRule="auto"/>
                    <w:ind w:left="0" w:right="0"/>
                    <w:jc w:val="center"/>
                    <w:rPr>
                      <w:rFonts w:ascii="Times New Roman" w:hAnsi="Times New Roman" w:eastAsia="宋体" w:cs="Times New Roman"/>
                      <w:sz w:val="21"/>
                      <w:szCs w:val="21"/>
                      <w:u w:val="none"/>
                    </w:rPr>
                  </w:pPr>
                  <w:r>
                    <w:rPr>
                      <w:rFonts w:ascii="Times New Roman" w:hAnsi="Times New Roman" w:eastAsia="等线" w:cs="Times New Roman"/>
                      <w:sz w:val="21"/>
                      <w:szCs w:val="21"/>
                      <w:u w:val="none"/>
                    </w:rPr>
                    <w:t>/</w:t>
                  </w:r>
                </w:p>
              </w:tc>
              <w:tc>
                <w:tcPr>
                  <w:tcW w:w="337"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3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429"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8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391"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592"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等线" w:cs="Times New Roman"/>
                      <w:sz w:val="21"/>
                      <w:szCs w:val="21"/>
                      <w:u w:val="none"/>
                    </w:rPr>
                    <w:t>/</w:t>
                  </w:r>
                </w:p>
              </w:tc>
              <w:tc>
                <w:tcPr>
                  <w:tcW w:w="606" w:type="pct"/>
                  <w:shd w:val="clear" w:color="auto" w:fill="auto"/>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等线" w:cs="Times New Roman"/>
                      <w:sz w:val="21"/>
                      <w:szCs w:val="21"/>
                      <w:u w:val="none"/>
                    </w:rPr>
                  </w:pPr>
                  <w:r>
                    <w:rPr>
                      <w:rFonts w:ascii="Times New Roman" w:hAnsi="Times New Roman" w:eastAsia="等线" w:cs="Times New Roman"/>
                      <w:sz w:val="21"/>
                      <w:szCs w:val="21"/>
                      <w:u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Pr>
              <w:tc>
                <w:tcPr>
                  <w:tcW w:w="900" w:type="pct"/>
                  <w:gridSpan w:val="2"/>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（GB/T14848-2017） Ⅲ类标准</w:t>
                  </w:r>
                </w:p>
              </w:tc>
              <w:tc>
                <w:tcPr>
                  <w:tcW w:w="349"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0.01</w:t>
                  </w:r>
                </w:p>
              </w:tc>
              <w:tc>
                <w:tcPr>
                  <w:tcW w:w="337"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0.005</w:t>
                  </w:r>
                </w:p>
              </w:tc>
              <w:tc>
                <w:tcPr>
                  <w:tcW w:w="432"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3.0</w:t>
                  </w:r>
                </w:p>
              </w:tc>
              <w:tc>
                <w:tcPr>
                  <w:tcW w:w="429"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0.05</w:t>
                  </w:r>
                </w:p>
              </w:tc>
              <w:tc>
                <w:tcPr>
                  <w:tcW w:w="386"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450</w:t>
                  </w:r>
                </w:p>
              </w:tc>
              <w:tc>
                <w:tcPr>
                  <w:tcW w:w="391"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1000</w:t>
                  </w:r>
                </w:p>
              </w:tc>
              <w:tc>
                <w:tcPr>
                  <w:tcW w:w="592"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1.0</w:t>
                  </w:r>
                </w:p>
              </w:tc>
              <w:tc>
                <w:tcPr>
                  <w:tcW w:w="606"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1.0</w:t>
                  </w:r>
                </w:p>
              </w:tc>
              <w:tc>
                <w:tcPr>
                  <w:tcW w:w="578" w:type="pct"/>
                  <w:noWrap w:val="0"/>
                  <w:vAlign w:val="center"/>
                </w:tcPr>
                <w:p>
                  <w:pPr>
                    <w:overflowPunct w:val="0"/>
                    <w:autoSpaceDE/>
                    <w:autoSpaceDN/>
                    <w:adjustRightInd w:val="0"/>
                    <w:snapToGrid w:val="0"/>
                    <w:spacing w:line="240" w:lineRule="auto"/>
                    <w:ind w:left="0" w:right="0"/>
                    <w:jc w:val="center"/>
                    <w:textAlignment w:val="baseline"/>
                    <w:rPr>
                      <w:rFonts w:ascii="Times New Roman" w:hAnsi="Times New Roman" w:eastAsia="宋体" w:cs="Times New Roman"/>
                      <w:kern w:val="0"/>
                      <w:sz w:val="21"/>
                      <w:szCs w:val="21"/>
                      <w:u w:val="none"/>
                    </w:rPr>
                  </w:pPr>
                  <w:r>
                    <w:rPr>
                      <w:rFonts w:ascii="Times New Roman" w:hAnsi="Times New Roman" w:eastAsia="宋体" w:cs="Times New Roman"/>
                      <w:kern w:val="0"/>
                      <w:sz w:val="21"/>
                      <w:szCs w:val="21"/>
                      <w:u w:val="none"/>
                    </w:rPr>
                    <w:t>20</w:t>
                  </w:r>
                </w:p>
              </w:tc>
            </w:tr>
          </w:tbl>
          <w:p>
            <w:pPr>
              <w:tabs>
                <w:tab w:val="left" w:pos="1021"/>
                <w:tab w:val="left" w:pos="1320"/>
              </w:tabs>
              <w:autoSpaceDE/>
              <w:autoSpaceDN/>
              <w:spacing w:line="240" w:lineRule="auto"/>
              <w:ind w:left="0" w:right="0"/>
              <w:jc w:val="center"/>
              <w:rPr>
                <w:rFonts w:ascii="Times New Roman" w:hAnsi="Times New Roman" w:eastAsia="宋体" w:cs="Times New Roman"/>
                <w:spacing w:val="-2"/>
                <w:kern w:val="24"/>
                <w:sz w:val="21"/>
                <w:szCs w:val="21"/>
                <w:u w:val="single"/>
              </w:rPr>
            </w:pPr>
          </w:p>
          <w:p>
            <w:pPr>
              <w:tabs>
                <w:tab w:val="left" w:pos="1021"/>
                <w:tab w:val="left" w:pos="1320"/>
              </w:tabs>
              <w:autoSpaceDE/>
              <w:autoSpaceDN/>
              <w:spacing w:line="240" w:lineRule="auto"/>
              <w:ind w:left="0" w:right="0"/>
              <w:jc w:val="center"/>
              <w:rPr>
                <w:rFonts w:ascii="Times New Roman" w:hAnsi="Times New Roman" w:eastAsia="宋体" w:cs="Times New Roman"/>
                <w:spacing w:val="-2"/>
                <w:kern w:val="24"/>
                <w:sz w:val="21"/>
                <w:szCs w:val="21"/>
                <w:u w:val="single"/>
              </w:rPr>
            </w:pPr>
          </w:p>
          <w:p>
            <w:pPr>
              <w:tabs>
                <w:tab w:val="left" w:pos="1021"/>
                <w:tab w:val="left" w:pos="1320"/>
              </w:tabs>
              <w:autoSpaceDE/>
              <w:autoSpaceDN/>
              <w:spacing w:line="240" w:lineRule="auto"/>
              <w:ind w:left="0" w:right="0"/>
              <w:jc w:val="center"/>
              <w:rPr>
                <w:rFonts w:ascii="Times New Roman" w:hAnsi="Times New Roman" w:eastAsia="宋体" w:cs="Times New Roman"/>
                <w:b/>
                <w:bCs/>
                <w:sz w:val="24"/>
                <w:u w:val="single"/>
              </w:rPr>
            </w:pPr>
          </w:p>
        </w:tc>
      </w:tr>
    </w:tbl>
    <w:p>
      <w:pPr>
        <w:numPr>
          <w:ilvl w:val="0"/>
          <w:numId w:val="0"/>
        </w:numPr>
        <w:ind w:right="40" w:rightChars="0"/>
        <w:rPr>
          <w:rFonts w:hint="default"/>
          <w:lang w:val="en-US" w:eastAsia="zh-CN"/>
        </w:rPr>
        <w:sectPr>
          <w:pgSz w:w="16838" w:h="11906" w:orient="landscape"/>
          <w:pgMar w:top="1800" w:right="1440" w:bottom="97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5"/>
        <w:gridCol w:w="8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numPr>
                <w:ilvl w:val="0"/>
                <w:numId w:val="0"/>
              </w:numPr>
              <w:ind w:right="40" w:rightChars="0"/>
              <w:rPr>
                <w:rFonts w:hint="default"/>
                <w:vertAlign w:val="baseline"/>
                <w:lang w:val="en-US" w:eastAsia="zh-CN"/>
              </w:rPr>
            </w:pPr>
            <w:r>
              <w:rPr>
                <w:rFonts w:hint="eastAsia"/>
                <w:vertAlign w:val="baseline"/>
                <w:lang w:val="en-US" w:eastAsia="zh-CN"/>
              </w:rPr>
              <w:t>区域环境质量现状</w:t>
            </w:r>
          </w:p>
        </w:tc>
        <w:tc>
          <w:tcPr>
            <w:tcW w:w="8841" w:type="dxa"/>
          </w:tcPr>
          <w:p>
            <w:pPr>
              <w:pStyle w:val="4"/>
              <w:numPr>
                <w:ilvl w:val="0"/>
                <w:numId w:val="0"/>
              </w:numPr>
              <w:bidi w:val="0"/>
              <w:ind w:leftChars="0" w:right="0" w:rightChars="0"/>
              <w:rPr>
                <w:rFonts w:hint="eastAsia"/>
                <w:lang w:val="en-US" w:eastAsia="zh-CN"/>
              </w:rPr>
            </w:pPr>
            <w:bookmarkStart w:id="38" w:name="_Toc2277"/>
            <w:bookmarkStart w:id="39" w:name="_Toc1991"/>
            <w:r>
              <w:rPr>
                <w:rFonts w:hint="eastAsia"/>
                <w:lang w:val="en-US" w:eastAsia="zh-CN"/>
              </w:rPr>
              <w:t>4、土壤环境质量现状</w:t>
            </w:r>
            <w:bookmarkEnd w:id="38"/>
            <w:bookmarkEnd w:id="39"/>
          </w:p>
          <w:p>
            <w:pPr>
              <w:pStyle w:val="19"/>
              <w:bidi w:val="0"/>
              <w:rPr>
                <w:rFonts w:hint="default"/>
                <w:lang w:val="en-US" w:eastAsia="zh-CN"/>
              </w:rPr>
            </w:pPr>
            <w:r>
              <w:rPr>
                <w:rFonts w:hint="eastAsia"/>
                <w:lang w:val="en-US" w:eastAsia="zh-CN"/>
              </w:rPr>
              <w:t>根据《建设项目环境影响报告表编制技术指南》的要求，本评价引用《湖南兆成新材料有限责任公司1万吨/年电子级四氧化三锰工业生产线建设项目环境影响报告书》中提供的厂区外土壤监测资料。</w:t>
            </w:r>
          </w:p>
          <w:p>
            <w:pPr>
              <w:numPr>
                <w:ilvl w:val="0"/>
                <w:numId w:val="0"/>
              </w:numPr>
              <w:ind w:leftChars="0" w:right="40" w:rightChars="0" w:firstLine="480" w:firstLineChars="200"/>
              <w:rPr>
                <w:rFonts w:hint="default"/>
                <w:lang w:val="en-US" w:eastAsia="zh-CN"/>
              </w:rPr>
            </w:pPr>
            <w:r>
              <w:rPr>
                <w:rFonts w:hint="default"/>
                <w:lang w:val="en-US" w:eastAsia="zh-CN"/>
              </w:rPr>
              <w:t>（1）监测点位的布设</w:t>
            </w:r>
            <w:r>
              <w:rPr>
                <w:rFonts w:hint="eastAsia"/>
                <w:lang w:val="en-US" w:eastAsia="zh-CN"/>
              </w:rPr>
              <w:t>和监测因子</w:t>
            </w:r>
          </w:p>
          <w:p>
            <w:pPr>
              <w:numPr>
                <w:ilvl w:val="0"/>
                <w:numId w:val="0"/>
              </w:numPr>
              <w:ind w:leftChars="0" w:right="40" w:rightChars="0" w:firstLine="480" w:firstLineChars="200"/>
              <w:rPr>
                <w:rFonts w:hint="default"/>
                <w:lang w:val="en-US" w:eastAsia="zh-CN"/>
              </w:rPr>
            </w:pPr>
            <w:r>
              <w:rPr>
                <w:rFonts w:hint="default"/>
                <w:lang w:val="en-US" w:eastAsia="zh-CN"/>
              </w:rPr>
              <w:t>湖南桓泓检测技术有限公司于2022年7月对项目所在周边的土壤环境质量现状进行了监测，厂区外土壤环境质量现状共布4个土壤监测点位，具体见表</w:t>
            </w:r>
            <w:r>
              <w:rPr>
                <w:rFonts w:hint="eastAsia"/>
                <w:lang w:val="en-US" w:eastAsia="zh-CN"/>
              </w:rPr>
              <w:t>3-9</w:t>
            </w:r>
            <w:r>
              <w:rPr>
                <w:rFonts w:hint="default"/>
                <w:lang w:val="en-US" w:eastAsia="zh-CN"/>
              </w:rPr>
              <w:t>。</w:t>
            </w:r>
          </w:p>
          <w:p>
            <w:pPr>
              <w:numPr>
                <w:ilvl w:val="0"/>
                <w:numId w:val="0"/>
              </w:numPr>
              <w:ind w:leftChars="0" w:right="40" w:rightChars="0"/>
              <w:jc w:val="center"/>
              <w:rPr>
                <w:rFonts w:hint="default"/>
                <w:b/>
                <w:bCs/>
                <w:lang w:val="en-US" w:eastAsia="zh-CN"/>
              </w:rPr>
            </w:pPr>
            <w:r>
              <w:rPr>
                <w:rFonts w:hint="default"/>
                <w:b/>
                <w:bCs/>
                <w:lang w:val="en-US" w:eastAsia="zh-CN"/>
              </w:rPr>
              <w:t>表</w:t>
            </w:r>
            <w:r>
              <w:rPr>
                <w:rFonts w:hint="eastAsia"/>
                <w:b/>
                <w:bCs/>
                <w:lang w:val="en-US" w:eastAsia="zh-CN"/>
              </w:rPr>
              <w:t xml:space="preserve">3-9 </w:t>
            </w:r>
            <w:r>
              <w:rPr>
                <w:rFonts w:hint="default"/>
                <w:b/>
                <w:bCs/>
                <w:lang w:val="en-US" w:eastAsia="zh-CN"/>
              </w:rPr>
              <w:t xml:space="preserve"> 土壤现状监测布点和监测因子</w:t>
            </w:r>
          </w:p>
          <w:tbl>
            <w:tblPr>
              <w:tblStyle w:val="1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05"/>
              <w:gridCol w:w="2531"/>
              <w:gridCol w:w="2582"/>
              <w:gridCol w:w="248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905" w:type="dxa"/>
                  <w:tcBorders>
                    <w:top w:val="single" w:color="auto" w:sz="12" w:space="0"/>
                    <w:left w:val="single" w:color="auto" w:sz="12" w:space="0"/>
                    <w:bottom w:val="single" w:color="auto" w:sz="6" w:space="0"/>
                    <w:right w:val="single" w:color="auto" w:sz="6" w:space="0"/>
                  </w:tcBorders>
                  <w:noWrap w:val="0"/>
                  <w:vAlign w:val="center"/>
                </w:tcPr>
                <w:p>
                  <w:pPr>
                    <w:pStyle w:val="18"/>
                    <w:bidi w:val="0"/>
                    <w:jc w:val="center"/>
                  </w:pPr>
                  <w:r>
                    <w:t>编号</w:t>
                  </w:r>
                </w:p>
              </w:tc>
              <w:tc>
                <w:tcPr>
                  <w:tcW w:w="2531" w:type="dxa"/>
                  <w:tcBorders>
                    <w:top w:val="single" w:color="auto" w:sz="12" w:space="0"/>
                    <w:left w:val="single" w:color="auto" w:sz="6" w:space="0"/>
                    <w:bottom w:val="single" w:color="auto" w:sz="6" w:space="0"/>
                    <w:right w:val="single" w:color="auto" w:sz="6" w:space="0"/>
                  </w:tcBorders>
                  <w:noWrap w:val="0"/>
                  <w:vAlign w:val="center"/>
                </w:tcPr>
                <w:p>
                  <w:pPr>
                    <w:pStyle w:val="18"/>
                    <w:bidi w:val="0"/>
                    <w:jc w:val="center"/>
                  </w:pPr>
                  <w:r>
                    <w:t>监测点</w:t>
                  </w:r>
                </w:p>
              </w:tc>
              <w:tc>
                <w:tcPr>
                  <w:tcW w:w="2582" w:type="dxa"/>
                  <w:tcBorders>
                    <w:top w:val="single" w:color="auto" w:sz="12" w:space="0"/>
                    <w:left w:val="single" w:color="auto" w:sz="6" w:space="0"/>
                    <w:bottom w:val="single" w:color="auto" w:sz="6" w:space="0"/>
                    <w:right w:val="single" w:color="auto" w:sz="6" w:space="0"/>
                  </w:tcBorders>
                  <w:noWrap w:val="0"/>
                  <w:vAlign w:val="center"/>
                </w:tcPr>
                <w:p>
                  <w:pPr>
                    <w:pStyle w:val="18"/>
                    <w:bidi w:val="0"/>
                    <w:jc w:val="center"/>
                  </w:pPr>
                  <w:r>
                    <w:t>与厂址相对方位和距</w:t>
                  </w:r>
                  <w:r>
                    <w:rPr>
                      <w:rFonts w:hint="eastAsia"/>
                      <w:lang w:val="en-US" w:eastAsia="zh-CN"/>
                    </w:rPr>
                    <w:t>离</w:t>
                  </w:r>
                  <w:r>
                    <w:t>离</w:t>
                  </w:r>
                </w:p>
              </w:tc>
              <w:tc>
                <w:tcPr>
                  <w:tcW w:w="2487" w:type="dxa"/>
                  <w:tcBorders>
                    <w:top w:val="single" w:color="auto" w:sz="12" w:space="0"/>
                    <w:left w:val="single" w:color="auto" w:sz="6" w:space="0"/>
                    <w:bottom w:val="single" w:color="auto" w:sz="6" w:space="0"/>
                    <w:right w:val="single" w:color="auto" w:sz="12" w:space="0"/>
                  </w:tcBorders>
                  <w:noWrap w:val="0"/>
                  <w:vAlign w:val="center"/>
                </w:tcPr>
                <w:p>
                  <w:pPr>
                    <w:pStyle w:val="18"/>
                    <w:bidi w:val="0"/>
                    <w:jc w:val="center"/>
                  </w:pPr>
                  <w:r>
                    <w:t>监测因子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905" w:type="dxa"/>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r>
                    <w:t>T8</w:t>
                  </w:r>
                </w:p>
              </w:tc>
              <w:tc>
                <w:tcPr>
                  <w:tcW w:w="2531" w:type="dxa"/>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卡地村农用地（</w:t>
                  </w:r>
                  <w:r>
                    <w:rPr>
                      <w:lang w:eastAsia="zh-CN"/>
                    </w:rPr>
                    <w:t>菜</w:t>
                  </w:r>
                  <w:r>
                    <w:t>地）</w:t>
                  </w:r>
                </w:p>
              </w:tc>
              <w:tc>
                <w:tcPr>
                  <w:tcW w:w="2582" w:type="dxa"/>
                  <w:tcBorders>
                    <w:top w:val="single" w:color="auto" w:sz="6" w:space="0"/>
                    <w:left w:val="single" w:color="auto" w:sz="6" w:space="0"/>
                    <w:bottom w:val="single" w:color="auto" w:sz="6" w:space="0"/>
                    <w:right w:val="single" w:color="auto" w:sz="6" w:space="0"/>
                  </w:tcBorders>
                  <w:noWrap w:val="0"/>
                  <w:vAlign w:val="center"/>
                </w:tcPr>
                <w:p>
                  <w:pPr>
                    <w:pStyle w:val="18"/>
                    <w:bidi w:val="0"/>
                    <w:jc w:val="center"/>
                    <w:rPr>
                      <w:rFonts w:hint="default"/>
                      <w:lang w:val="en-US" w:eastAsia="zh-CN"/>
                    </w:rPr>
                  </w:pPr>
                  <w:r>
                    <w:rPr>
                      <w:rFonts w:hint="eastAsia"/>
                      <w:lang w:val="en-US" w:eastAsia="zh-CN"/>
                    </w:rPr>
                    <w:t>N，350m</w:t>
                  </w:r>
                </w:p>
              </w:tc>
              <w:tc>
                <w:tcPr>
                  <w:tcW w:w="2487" w:type="dxa"/>
                  <w:vMerge w:val="restart"/>
                  <w:tcBorders>
                    <w:top w:val="single" w:color="auto" w:sz="6" w:space="0"/>
                    <w:left w:val="single" w:color="auto" w:sz="6" w:space="0"/>
                    <w:bottom w:val="single" w:color="auto" w:sz="12" w:space="0"/>
                    <w:right w:val="single" w:color="auto" w:sz="12" w:space="0"/>
                  </w:tcBorders>
                  <w:noWrap w:val="0"/>
                  <w:vAlign w:val="center"/>
                </w:tcPr>
                <w:p>
                  <w:pPr>
                    <w:pStyle w:val="18"/>
                    <w:bidi w:val="0"/>
                    <w:jc w:val="center"/>
                  </w:pPr>
                  <w:r>
                    <w:t>pH、Cd、Hg、As、Pb、Cr、Cu、Ni、Zn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905" w:type="dxa"/>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r>
                    <w:t>T9</w:t>
                  </w:r>
                </w:p>
              </w:tc>
              <w:tc>
                <w:tcPr>
                  <w:tcW w:w="2531" w:type="dxa"/>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龙洞村居住用地</w:t>
                  </w:r>
                </w:p>
              </w:tc>
              <w:tc>
                <w:tcPr>
                  <w:tcW w:w="2582" w:type="dxa"/>
                  <w:tcBorders>
                    <w:top w:val="single" w:color="auto" w:sz="6" w:space="0"/>
                    <w:left w:val="single" w:color="auto" w:sz="6" w:space="0"/>
                    <w:bottom w:val="single" w:color="auto" w:sz="6" w:space="0"/>
                    <w:right w:val="single" w:color="auto" w:sz="6" w:space="0"/>
                  </w:tcBorders>
                  <w:noWrap w:val="0"/>
                  <w:vAlign w:val="center"/>
                </w:tcPr>
                <w:p>
                  <w:pPr>
                    <w:pStyle w:val="18"/>
                    <w:bidi w:val="0"/>
                    <w:jc w:val="center"/>
                    <w:rPr>
                      <w:rFonts w:hint="default"/>
                      <w:lang w:val="en-US" w:eastAsia="zh-CN"/>
                    </w:rPr>
                  </w:pPr>
                  <w:r>
                    <w:rPr>
                      <w:rFonts w:hint="eastAsia"/>
                      <w:lang w:val="en-US" w:eastAsia="zh-CN"/>
                    </w:rPr>
                    <w:t>SW，920m</w:t>
                  </w:r>
                </w:p>
              </w:tc>
              <w:tc>
                <w:tcPr>
                  <w:tcW w:w="2487" w:type="dxa"/>
                  <w:vMerge w:val="continue"/>
                  <w:tcBorders>
                    <w:top w:val="single" w:color="auto" w:sz="6" w:space="0"/>
                    <w:left w:val="single" w:color="auto" w:sz="6" w:space="0"/>
                    <w:bottom w:val="single" w:color="auto" w:sz="12" w:space="0"/>
                    <w:right w:val="single" w:color="auto" w:sz="12" w:space="0"/>
                  </w:tcBorders>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905" w:type="dxa"/>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r>
                    <w:t>T10</w:t>
                  </w:r>
                </w:p>
              </w:tc>
              <w:tc>
                <w:tcPr>
                  <w:tcW w:w="2531" w:type="dxa"/>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龙洞村农用地（</w:t>
                  </w:r>
                  <w:r>
                    <w:rPr>
                      <w:lang w:eastAsia="zh-CN"/>
                    </w:rPr>
                    <w:t>菜</w:t>
                  </w:r>
                  <w:r>
                    <w:t>地）</w:t>
                  </w:r>
                </w:p>
              </w:tc>
              <w:tc>
                <w:tcPr>
                  <w:tcW w:w="2582" w:type="dxa"/>
                  <w:tcBorders>
                    <w:top w:val="single" w:color="auto" w:sz="6" w:space="0"/>
                    <w:left w:val="single" w:color="auto" w:sz="6" w:space="0"/>
                    <w:bottom w:val="single" w:color="auto" w:sz="6" w:space="0"/>
                    <w:right w:val="single" w:color="auto" w:sz="6" w:space="0"/>
                  </w:tcBorders>
                  <w:noWrap w:val="0"/>
                  <w:vAlign w:val="center"/>
                </w:tcPr>
                <w:p>
                  <w:pPr>
                    <w:pStyle w:val="18"/>
                    <w:bidi w:val="0"/>
                    <w:jc w:val="center"/>
                    <w:rPr>
                      <w:rFonts w:hint="default" w:eastAsia="宋体"/>
                      <w:lang w:val="en-US" w:eastAsia="zh-CN"/>
                    </w:rPr>
                  </w:pPr>
                  <w:r>
                    <w:rPr>
                      <w:rFonts w:hint="eastAsia"/>
                      <w:lang w:val="en-US" w:eastAsia="zh-CN"/>
                    </w:rPr>
                    <w:t>SW，1200m</w:t>
                  </w:r>
                </w:p>
              </w:tc>
              <w:tc>
                <w:tcPr>
                  <w:tcW w:w="2487" w:type="dxa"/>
                  <w:vMerge w:val="continue"/>
                  <w:tcBorders>
                    <w:top w:val="single" w:color="auto" w:sz="6" w:space="0"/>
                    <w:left w:val="single" w:color="auto" w:sz="6" w:space="0"/>
                    <w:bottom w:val="single" w:color="auto" w:sz="12" w:space="0"/>
                    <w:right w:val="single" w:color="auto" w:sz="12" w:space="0"/>
                  </w:tcBorders>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905" w:type="dxa"/>
                  <w:tcBorders>
                    <w:top w:val="single" w:color="auto" w:sz="6" w:space="0"/>
                    <w:left w:val="single" w:color="auto" w:sz="12" w:space="0"/>
                    <w:bottom w:val="single" w:color="auto" w:sz="12" w:space="0"/>
                    <w:right w:val="single" w:color="auto" w:sz="6" w:space="0"/>
                  </w:tcBorders>
                  <w:noWrap w:val="0"/>
                  <w:vAlign w:val="center"/>
                </w:tcPr>
                <w:p>
                  <w:pPr>
                    <w:pStyle w:val="18"/>
                    <w:bidi w:val="0"/>
                    <w:jc w:val="center"/>
                  </w:pPr>
                  <w:r>
                    <w:t>T11</w:t>
                  </w:r>
                </w:p>
              </w:tc>
              <w:tc>
                <w:tcPr>
                  <w:tcW w:w="2531" w:type="dxa"/>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pPr>
                  <w:r>
                    <w:t>龙洞村农用地（</w:t>
                  </w:r>
                  <w:r>
                    <w:rPr>
                      <w:lang w:eastAsia="zh-CN"/>
                    </w:rPr>
                    <w:t>菜</w:t>
                  </w:r>
                  <w:r>
                    <w:t>地）</w:t>
                  </w:r>
                </w:p>
              </w:tc>
              <w:tc>
                <w:tcPr>
                  <w:tcW w:w="2582" w:type="dxa"/>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rPr>
                      <w:rFonts w:hint="default" w:eastAsia="宋体"/>
                      <w:lang w:val="en-US" w:eastAsia="zh-CN"/>
                    </w:rPr>
                  </w:pPr>
                  <w:r>
                    <w:rPr>
                      <w:rFonts w:hint="eastAsia"/>
                      <w:lang w:val="en-US" w:eastAsia="zh-CN"/>
                    </w:rPr>
                    <w:t>SW，1700m</w:t>
                  </w:r>
                </w:p>
              </w:tc>
              <w:tc>
                <w:tcPr>
                  <w:tcW w:w="2487" w:type="dxa"/>
                  <w:vMerge w:val="continue"/>
                  <w:tcBorders>
                    <w:top w:val="single" w:color="auto" w:sz="6" w:space="0"/>
                    <w:left w:val="single" w:color="auto" w:sz="6" w:space="0"/>
                    <w:bottom w:val="single" w:color="auto" w:sz="12" w:space="0"/>
                    <w:right w:val="single" w:color="auto" w:sz="12" w:space="0"/>
                  </w:tcBorders>
                  <w:noWrap w:val="0"/>
                  <w:vAlign w:val="center"/>
                </w:tcPr>
                <w:p>
                  <w:pPr>
                    <w:pStyle w:val="18"/>
                    <w:bidi w:val="0"/>
                    <w:jc w:val="center"/>
                  </w:pPr>
                </w:p>
              </w:tc>
            </w:tr>
          </w:tbl>
          <w:p>
            <w:pPr>
              <w:numPr>
                <w:ilvl w:val="0"/>
                <w:numId w:val="0"/>
              </w:numPr>
              <w:ind w:leftChars="0" w:right="40" w:rightChars="0"/>
              <w:rPr>
                <w:rFonts w:hint="default"/>
                <w:lang w:val="en-US" w:eastAsia="zh-CN"/>
              </w:rPr>
            </w:pPr>
            <w:r>
              <w:drawing>
                <wp:inline distT="0" distB="0" distL="114300" distR="114300">
                  <wp:extent cx="5474335" cy="3481705"/>
                  <wp:effectExtent l="0" t="0" r="2540" b="4445"/>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16"/>
                          <a:stretch>
                            <a:fillRect/>
                          </a:stretch>
                        </pic:blipFill>
                        <pic:spPr>
                          <a:xfrm>
                            <a:off x="0" y="0"/>
                            <a:ext cx="5474335" cy="3481705"/>
                          </a:xfrm>
                          <a:prstGeom prst="rect">
                            <a:avLst/>
                          </a:prstGeom>
                          <a:noFill/>
                          <a:ln>
                            <a:noFill/>
                          </a:ln>
                        </pic:spPr>
                      </pic:pic>
                    </a:graphicData>
                  </a:graphic>
                </wp:inline>
              </w:drawing>
            </w:r>
          </w:p>
          <w:p>
            <w:pPr>
              <w:numPr>
                <w:ilvl w:val="0"/>
                <w:numId w:val="0"/>
              </w:numPr>
              <w:ind w:leftChars="0" w:right="40" w:rightChars="0"/>
              <w:jc w:val="center"/>
              <w:rPr>
                <w:rFonts w:hint="default"/>
                <w:b/>
                <w:bCs/>
                <w:vertAlign w:val="baseline"/>
                <w:lang w:val="en-US" w:eastAsia="zh-CN"/>
              </w:rPr>
            </w:pPr>
            <w:r>
              <w:rPr>
                <w:rFonts w:hint="eastAsia"/>
                <w:b/>
                <w:bCs/>
                <w:lang w:val="en-US" w:eastAsia="zh-CN"/>
              </w:rPr>
              <w:t xml:space="preserve">图3-5  </w:t>
            </w:r>
            <w:r>
              <w:rPr>
                <w:rFonts w:hint="eastAsia"/>
                <w:b/>
                <w:bCs/>
                <w:vertAlign w:val="baseline"/>
                <w:lang w:val="en-US" w:eastAsia="zh-CN"/>
              </w:rPr>
              <w:t>土壤引用监测数据布点示意图</w:t>
            </w:r>
          </w:p>
          <w:p>
            <w:pPr>
              <w:pStyle w:val="19"/>
              <w:bidi w:val="0"/>
            </w:pPr>
            <w:r>
              <w:rPr>
                <w:rFonts w:hint="eastAsia"/>
                <w:lang w:val="en-US" w:eastAsia="zh-CN"/>
              </w:rPr>
              <w:t>（2）</w:t>
            </w:r>
            <w:r>
              <w:t>监测及评价结果</w:t>
            </w:r>
          </w:p>
          <w:p>
            <w:pPr>
              <w:pStyle w:val="19"/>
              <w:bidi w:val="0"/>
              <w:rPr>
                <w:rFonts w:hint="default"/>
                <w:lang w:val="en-US" w:eastAsia="zh-CN"/>
              </w:rPr>
            </w:pPr>
            <w:r>
              <w:rPr>
                <w:rFonts w:hint="default"/>
                <w:lang w:val="en-US" w:eastAsia="zh-CN"/>
              </w:rPr>
              <w:t>农用地土壤执行《土壤环境质量  农用地污染风险管控标准（试行）》（GB15618-2018）中的风险筛选值，居住用地执行《土壤环境质量  建设用地土壤污染风险管控标准（试行）》（GB36600-2018）表1中第一类用地筛选值。</w:t>
            </w:r>
          </w:p>
          <w:p>
            <w:pPr>
              <w:pStyle w:val="19"/>
              <w:bidi w:val="0"/>
              <w:rPr>
                <w:rFonts w:hint="default"/>
                <w:lang w:val="en-US" w:eastAsia="zh-CN"/>
              </w:rPr>
            </w:pPr>
            <w:r>
              <w:rPr>
                <w:rFonts w:hint="default"/>
                <w:lang w:val="en-US" w:eastAsia="zh-CN"/>
              </w:rPr>
              <w:t>土壤环境质量现状结果见表</w:t>
            </w:r>
            <w:r>
              <w:rPr>
                <w:rFonts w:hint="eastAsia"/>
                <w:lang w:val="en-US" w:eastAsia="zh-CN"/>
              </w:rPr>
              <w:t>3-10</w:t>
            </w:r>
            <w:r>
              <w:rPr>
                <w:rFonts w:hint="default"/>
                <w:lang w:val="en-US" w:eastAsia="zh-CN"/>
              </w:rPr>
              <w:t>，由表可知，农用地和居住用地土壤各监测因子均符合相应标准。</w:t>
            </w:r>
          </w:p>
          <w:p>
            <w:pPr>
              <w:numPr>
                <w:ilvl w:val="0"/>
                <w:numId w:val="0"/>
              </w:numPr>
              <w:ind w:leftChars="0" w:right="40" w:rightChars="0"/>
              <w:jc w:val="center"/>
              <w:rPr>
                <w:rFonts w:hint="default"/>
                <w:b/>
                <w:bCs/>
                <w:lang w:val="en-US" w:eastAsia="zh-CN"/>
              </w:rPr>
            </w:pPr>
            <w:r>
              <w:rPr>
                <w:rFonts w:hint="eastAsia"/>
                <w:b/>
                <w:bCs/>
                <w:lang w:val="en-US" w:eastAsia="zh-CN"/>
              </w:rPr>
              <w:t>表3-10  土壤监测结果  （单位：mg/kg）</w:t>
            </w:r>
          </w:p>
          <w:tbl>
            <w:tblPr>
              <w:tblStyle w:val="1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5"/>
              <w:gridCol w:w="1278"/>
              <w:gridCol w:w="731"/>
              <w:gridCol w:w="727"/>
              <w:gridCol w:w="729"/>
              <w:gridCol w:w="782"/>
              <w:gridCol w:w="720"/>
              <w:gridCol w:w="720"/>
              <w:gridCol w:w="736"/>
              <w:gridCol w:w="722"/>
              <w:gridCol w:w="724"/>
              <w:gridCol w:w="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159" w:type="pct"/>
                  <w:gridSpan w:val="2"/>
                  <w:vMerge w:val="restart"/>
                  <w:tcBorders>
                    <w:top w:val="single" w:color="auto" w:sz="12" w:space="0"/>
                    <w:left w:val="single" w:color="auto" w:sz="12" w:space="0"/>
                    <w:bottom w:val="single" w:color="auto" w:sz="6" w:space="0"/>
                    <w:right w:val="single" w:color="auto" w:sz="6" w:space="0"/>
                  </w:tcBorders>
                  <w:noWrap w:val="0"/>
                  <w:vAlign w:val="center"/>
                </w:tcPr>
                <w:p>
                  <w:pPr>
                    <w:pStyle w:val="18"/>
                    <w:bidi w:val="0"/>
                    <w:jc w:val="center"/>
                  </w:pPr>
                  <w:r>
                    <w:t>采样地点</w:t>
                  </w:r>
                </w:p>
              </w:tc>
              <w:tc>
                <w:tcPr>
                  <w:tcW w:w="3840" w:type="pct"/>
                  <w:gridSpan w:val="10"/>
                  <w:tcBorders>
                    <w:top w:val="single" w:color="auto" w:sz="12" w:space="0"/>
                    <w:left w:val="single" w:color="auto" w:sz="6" w:space="0"/>
                    <w:bottom w:val="single" w:color="auto" w:sz="6" w:space="0"/>
                    <w:right w:val="single" w:color="auto" w:sz="12" w:space="0"/>
                  </w:tcBorders>
                  <w:noWrap w:val="0"/>
                  <w:vAlign w:val="center"/>
                </w:tcPr>
                <w:p>
                  <w:pPr>
                    <w:pStyle w:val="18"/>
                    <w:bidi w:val="0"/>
                    <w:jc w:val="center"/>
                  </w:pPr>
                  <w:r>
                    <w:t>监测结果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40" w:hRule="atLeast"/>
                <w:tblHeader/>
                <w:jc w:val="center"/>
              </w:trPr>
              <w:tc>
                <w:tcPr>
                  <w:tcW w:w="1159" w:type="pct"/>
                  <w:gridSpan w:val="2"/>
                  <w:vMerge w:val="continue"/>
                  <w:tcBorders>
                    <w:top w:val="single" w:color="auto" w:sz="12" w:space="0"/>
                    <w:left w:val="single" w:color="auto" w:sz="12" w:space="0"/>
                    <w:bottom w:val="single" w:color="auto" w:sz="6" w:space="0"/>
                    <w:right w:val="single" w:color="auto" w:sz="6" w:space="0"/>
                  </w:tcBorders>
                  <w:noWrap w:val="0"/>
                  <w:vAlign w:val="center"/>
                </w:tcPr>
                <w:p>
                  <w:pPr>
                    <w:pStyle w:val="18"/>
                    <w:bidi w:val="0"/>
                    <w:jc w:val="center"/>
                  </w:pP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pH</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Cd</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Hg</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As</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Pb</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Cr</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Cu</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Ni</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Zn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40" w:hRule="atLeast"/>
                <w:jc w:val="center"/>
              </w:trPr>
              <w:tc>
                <w:tcPr>
                  <w:tcW w:w="415" w:type="pct"/>
                  <w:vMerge w:val="restart"/>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r>
                    <w:t>T</w:t>
                  </w:r>
                  <w:r>
                    <w:rPr>
                      <w:lang w:val="en-US" w:eastAsia="zh-CN"/>
                    </w:rPr>
                    <w:t>8</w:t>
                  </w:r>
                </w:p>
              </w:tc>
              <w:tc>
                <w:tcPr>
                  <w:tcW w:w="743"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监测值</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7.28</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0.22</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2.08</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26.7</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24</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94</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75</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76</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155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40" w:hRule="atLeast"/>
                <w:jc w:val="center"/>
              </w:trPr>
              <w:tc>
                <w:tcPr>
                  <w:tcW w:w="415" w:type="pct"/>
                  <w:vMerge w:val="continue"/>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p>
              </w:tc>
              <w:tc>
                <w:tcPr>
                  <w:tcW w:w="743"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达标情况</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97" w:hRule="atLeast"/>
                <w:jc w:val="center"/>
              </w:trPr>
              <w:tc>
                <w:tcPr>
                  <w:tcW w:w="1159" w:type="pct"/>
                  <w:gridSpan w:val="2"/>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r>
                    <w:t>标准值</w:t>
                  </w:r>
                </w:p>
                <w:p>
                  <w:pPr>
                    <w:pStyle w:val="18"/>
                    <w:bidi w:val="0"/>
                    <w:jc w:val="center"/>
                  </w:pPr>
                  <w:r>
                    <w:t>（6.5＜pH≤7.5）</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其他</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0.3</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2.4</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30</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120</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200</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100</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100</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40" w:hRule="atLeast"/>
                <w:jc w:val="center"/>
              </w:trPr>
              <w:tc>
                <w:tcPr>
                  <w:tcW w:w="415" w:type="pct"/>
                  <w:vMerge w:val="restart"/>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r>
                    <w:t>T</w:t>
                  </w:r>
                  <w:r>
                    <w:rPr>
                      <w:lang w:val="en-US" w:eastAsia="zh-CN"/>
                    </w:rPr>
                    <w:t>9</w:t>
                  </w:r>
                </w:p>
              </w:tc>
              <w:tc>
                <w:tcPr>
                  <w:tcW w:w="743"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监测值</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7.26</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0.41</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1.45</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12.7</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16</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101</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79</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93</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176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40" w:hRule="atLeast"/>
                <w:jc w:val="center"/>
              </w:trPr>
              <w:tc>
                <w:tcPr>
                  <w:tcW w:w="415" w:type="pct"/>
                  <w:vMerge w:val="continue"/>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p>
              </w:tc>
              <w:tc>
                <w:tcPr>
                  <w:tcW w:w="743"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达标情况</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30" w:hRule="atLeast"/>
                <w:jc w:val="center"/>
              </w:trPr>
              <w:tc>
                <w:tcPr>
                  <w:tcW w:w="1159" w:type="pct"/>
                  <w:gridSpan w:val="2"/>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r>
                    <w:t>标准值</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20</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8</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20</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400</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2000</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150</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40" w:hRule="atLeast"/>
                <w:jc w:val="center"/>
              </w:trPr>
              <w:tc>
                <w:tcPr>
                  <w:tcW w:w="415" w:type="pct"/>
                  <w:vMerge w:val="restart"/>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rPr>
                      <w:rFonts w:hint="eastAsia" w:eastAsia="宋体"/>
                      <w:lang w:val="en-US" w:eastAsia="zh-CN"/>
                    </w:rPr>
                  </w:pPr>
                  <w:r>
                    <w:t>T1</w:t>
                  </w:r>
                  <w:r>
                    <w:rPr>
                      <w:rFonts w:hint="eastAsia"/>
                      <w:lang w:val="en-US" w:eastAsia="zh-CN"/>
                    </w:rPr>
                    <w:t>0</w:t>
                  </w:r>
                </w:p>
              </w:tc>
              <w:tc>
                <w:tcPr>
                  <w:tcW w:w="743"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监测值</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7.30</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0.23</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1.72</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15.0</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15</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106</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95</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rPr>
                      <w:rFonts w:hint="eastAsia"/>
                    </w:rPr>
                    <w:t>9</w:t>
                  </w:r>
                  <w:r>
                    <w:t>1</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156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40" w:hRule="atLeast"/>
                <w:jc w:val="center"/>
              </w:trPr>
              <w:tc>
                <w:tcPr>
                  <w:tcW w:w="415" w:type="pct"/>
                  <w:vMerge w:val="continue"/>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p>
              </w:tc>
              <w:tc>
                <w:tcPr>
                  <w:tcW w:w="743"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达标情况</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40" w:hRule="atLeast"/>
                <w:jc w:val="center"/>
              </w:trPr>
              <w:tc>
                <w:tcPr>
                  <w:tcW w:w="415" w:type="pct"/>
                  <w:vMerge w:val="restart"/>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r>
                    <w:t>T11</w:t>
                  </w:r>
                </w:p>
              </w:tc>
              <w:tc>
                <w:tcPr>
                  <w:tcW w:w="743"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监测值</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7.33</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0.27</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1.04</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10.7</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23</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93</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51</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73</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233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40" w:hRule="atLeast"/>
                <w:jc w:val="center"/>
              </w:trPr>
              <w:tc>
                <w:tcPr>
                  <w:tcW w:w="415" w:type="pct"/>
                  <w:vMerge w:val="continue"/>
                  <w:tcBorders>
                    <w:top w:val="single" w:color="auto" w:sz="6" w:space="0"/>
                    <w:left w:val="single" w:color="auto" w:sz="12" w:space="0"/>
                    <w:bottom w:val="single" w:color="auto" w:sz="6" w:space="0"/>
                    <w:right w:val="single" w:color="auto" w:sz="6" w:space="0"/>
                  </w:tcBorders>
                  <w:noWrap w:val="0"/>
                  <w:vAlign w:val="center"/>
                </w:tcPr>
                <w:p>
                  <w:pPr>
                    <w:pStyle w:val="18"/>
                    <w:bidi w:val="0"/>
                    <w:jc w:val="center"/>
                  </w:pPr>
                </w:p>
              </w:tc>
              <w:tc>
                <w:tcPr>
                  <w:tcW w:w="743"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达标情况</w:t>
                  </w:r>
                </w:p>
              </w:tc>
              <w:tc>
                <w:tcPr>
                  <w:tcW w:w="425"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2"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54"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1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8"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0" w:type="pct"/>
                  <w:tcBorders>
                    <w:top w:val="single" w:color="auto" w:sz="6" w:space="0"/>
                    <w:left w:val="single" w:color="auto" w:sz="6" w:space="0"/>
                    <w:bottom w:val="single" w:color="auto" w:sz="6" w:space="0"/>
                    <w:right w:val="single" w:color="auto" w:sz="6" w:space="0"/>
                  </w:tcBorders>
                  <w:noWrap w:val="0"/>
                  <w:vAlign w:val="center"/>
                </w:tcPr>
                <w:p>
                  <w:pPr>
                    <w:pStyle w:val="18"/>
                    <w:bidi w:val="0"/>
                    <w:jc w:val="center"/>
                  </w:pPr>
                  <w:r>
                    <w:t>达标</w:t>
                  </w:r>
                </w:p>
              </w:tc>
              <w:tc>
                <w:tcPr>
                  <w:tcW w:w="421" w:type="pct"/>
                  <w:tcBorders>
                    <w:top w:val="single" w:color="auto" w:sz="6" w:space="0"/>
                    <w:left w:val="single" w:color="auto" w:sz="6" w:space="0"/>
                    <w:bottom w:val="single" w:color="auto" w:sz="6" w:space="0"/>
                    <w:right w:val="single" w:color="auto" w:sz="12" w:space="0"/>
                  </w:tcBorders>
                  <w:noWrap w:val="0"/>
                  <w:vAlign w:val="center"/>
                </w:tcPr>
                <w:p>
                  <w:pPr>
                    <w:pStyle w:val="18"/>
                    <w:bidi w:val="0"/>
                    <w:jc w:val="center"/>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6" w:type="pct"/>
                <w:trHeight w:val="397" w:hRule="atLeast"/>
                <w:jc w:val="center"/>
              </w:trPr>
              <w:tc>
                <w:tcPr>
                  <w:tcW w:w="1159" w:type="pct"/>
                  <w:gridSpan w:val="2"/>
                  <w:tcBorders>
                    <w:top w:val="single" w:color="auto" w:sz="6" w:space="0"/>
                    <w:left w:val="single" w:color="auto" w:sz="12" w:space="0"/>
                    <w:bottom w:val="single" w:color="auto" w:sz="12" w:space="0"/>
                    <w:right w:val="single" w:color="auto" w:sz="6" w:space="0"/>
                  </w:tcBorders>
                  <w:noWrap w:val="0"/>
                  <w:vAlign w:val="center"/>
                </w:tcPr>
                <w:p>
                  <w:pPr>
                    <w:pStyle w:val="18"/>
                    <w:bidi w:val="0"/>
                    <w:jc w:val="center"/>
                  </w:pPr>
                  <w:r>
                    <w:t>标准值</w:t>
                  </w:r>
                </w:p>
                <w:p>
                  <w:pPr>
                    <w:pStyle w:val="18"/>
                    <w:bidi w:val="0"/>
                    <w:jc w:val="center"/>
                  </w:pPr>
                  <w:r>
                    <w:t>（6.5＜pH≤7.5）</w:t>
                  </w:r>
                </w:p>
              </w:tc>
              <w:tc>
                <w:tcPr>
                  <w:tcW w:w="425" w:type="pct"/>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pPr>
                  <w:r>
                    <w:t>其他</w:t>
                  </w:r>
                </w:p>
              </w:tc>
              <w:tc>
                <w:tcPr>
                  <w:tcW w:w="422" w:type="pct"/>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pPr>
                  <w:r>
                    <w:t>0.3</w:t>
                  </w:r>
                </w:p>
              </w:tc>
              <w:tc>
                <w:tcPr>
                  <w:tcW w:w="424" w:type="pct"/>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pPr>
                  <w:r>
                    <w:t>2.4</w:t>
                  </w:r>
                </w:p>
              </w:tc>
              <w:tc>
                <w:tcPr>
                  <w:tcW w:w="454" w:type="pct"/>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pPr>
                  <w:r>
                    <w:t>30</w:t>
                  </w:r>
                </w:p>
              </w:tc>
              <w:tc>
                <w:tcPr>
                  <w:tcW w:w="418" w:type="pct"/>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pPr>
                  <w:r>
                    <w:t>120</w:t>
                  </w:r>
                </w:p>
              </w:tc>
              <w:tc>
                <w:tcPr>
                  <w:tcW w:w="418" w:type="pct"/>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pPr>
                  <w:r>
                    <w:t>200</w:t>
                  </w:r>
                </w:p>
              </w:tc>
              <w:tc>
                <w:tcPr>
                  <w:tcW w:w="428" w:type="pct"/>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pPr>
                  <w:r>
                    <w:t>100</w:t>
                  </w:r>
                </w:p>
              </w:tc>
              <w:tc>
                <w:tcPr>
                  <w:tcW w:w="420" w:type="pct"/>
                  <w:tcBorders>
                    <w:top w:val="single" w:color="auto" w:sz="6" w:space="0"/>
                    <w:left w:val="single" w:color="auto" w:sz="6" w:space="0"/>
                    <w:bottom w:val="single" w:color="auto" w:sz="12" w:space="0"/>
                    <w:right w:val="single" w:color="auto" w:sz="6" w:space="0"/>
                  </w:tcBorders>
                  <w:noWrap w:val="0"/>
                  <w:vAlign w:val="center"/>
                </w:tcPr>
                <w:p>
                  <w:pPr>
                    <w:pStyle w:val="18"/>
                    <w:bidi w:val="0"/>
                    <w:jc w:val="center"/>
                  </w:pPr>
                  <w:r>
                    <w:t>100</w:t>
                  </w:r>
                </w:p>
              </w:tc>
              <w:tc>
                <w:tcPr>
                  <w:tcW w:w="421" w:type="pct"/>
                  <w:tcBorders>
                    <w:top w:val="single" w:color="auto" w:sz="6" w:space="0"/>
                    <w:left w:val="single" w:color="auto" w:sz="6" w:space="0"/>
                    <w:bottom w:val="single" w:color="auto" w:sz="12" w:space="0"/>
                    <w:right w:val="single" w:color="auto" w:sz="12" w:space="0"/>
                  </w:tcBorders>
                  <w:noWrap w:val="0"/>
                  <w:vAlign w:val="center"/>
                </w:tcPr>
                <w:p>
                  <w:pPr>
                    <w:pStyle w:val="18"/>
                    <w:bidi w:val="0"/>
                    <w:jc w:val="center"/>
                  </w:pPr>
                  <w:r>
                    <w:t>250</w:t>
                  </w:r>
                </w:p>
              </w:tc>
            </w:tr>
          </w:tbl>
          <w:p>
            <w:pPr>
              <w:pStyle w:val="4"/>
              <w:bidi w:val="0"/>
              <w:rPr>
                <w:rFonts w:hint="default"/>
                <w:lang w:val="en-US" w:eastAsia="zh-CN"/>
              </w:rPr>
            </w:pPr>
            <w:bookmarkStart w:id="40" w:name="_Toc20767"/>
            <w:bookmarkStart w:id="41" w:name="_Toc19338"/>
            <w:r>
              <w:rPr>
                <w:rFonts w:hint="eastAsia"/>
                <w:lang w:val="en-US" w:eastAsia="zh-CN"/>
              </w:rPr>
              <w:t>5、声环境质量现状</w:t>
            </w:r>
            <w:bookmarkEnd w:id="40"/>
            <w:bookmarkEnd w:id="41"/>
          </w:p>
          <w:p>
            <w:pPr>
              <w:numPr>
                <w:ilvl w:val="0"/>
                <w:numId w:val="0"/>
              </w:numPr>
              <w:ind w:leftChars="0" w:right="40" w:rightChars="0" w:firstLine="480" w:firstLineChars="200"/>
              <w:rPr>
                <w:rFonts w:hint="default"/>
                <w:lang w:val="en-US" w:eastAsia="zh-CN"/>
              </w:rPr>
            </w:pPr>
            <w:r>
              <w:rPr>
                <w:rFonts w:hint="eastAsia"/>
                <w:lang w:val="en-US" w:eastAsia="zh-CN"/>
              </w:rPr>
              <w:t>根据《建设项目环境影响报告表编制技术指南》的要求，委托长沙瑾瑶环保科技有限公司对项目拟建地厂界及周边进行声环境监测。</w:t>
            </w:r>
          </w:p>
          <w:p>
            <w:pPr>
              <w:numPr>
                <w:ilvl w:val="0"/>
                <w:numId w:val="0"/>
              </w:numPr>
              <w:ind w:leftChars="0" w:right="40" w:rightChars="0" w:firstLine="480" w:firstLineChars="200"/>
              <w:rPr>
                <w:rFonts w:hint="eastAsia"/>
                <w:lang w:val="en-US" w:eastAsia="zh-CN"/>
              </w:rPr>
            </w:pPr>
            <w:r>
              <w:rPr>
                <w:rFonts w:hint="eastAsia"/>
                <w:lang w:val="en-US" w:eastAsia="zh-CN"/>
              </w:rPr>
              <w:t>（1）监测点位</w:t>
            </w:r>
          </w:p>
          <w:p>
            <w:pPr>
              <w:pStyle w:val="19"/>
              <w:bidi w:val="0"/>
              <w:rPr>
                <w:rFonts w:hint="eastAsia"/>
                <w:lang w:val="en-US" w:eastAsia="zh-CN"/>
              </w:rPr>
            </w:pPr>
            <w:r>
              <w:rPr>
                <w:rFonts w:hint="eastAsia"/>
                <w:lang w:val="en-US" w:eastAsia="zh-CN"/>
              </w:rPr>
              <w:t>根据项目的周边环境，共设置5个噪声监测点，具体布点情况如下。</w:t>
            </w:r>
          </w:p>
          <w:p>
            <w:pPr>
              <w:bidi w:val="0"/>
              <w:jc w:val="center"/>
              <w:rPr>
                <w:rFonts w:hint="default"/>
                <w:b/>
                <w:bCs/>
                <w:lang w:val="en-US" w:eastAsia="zh-CN"/>
              </w:rPr>
            </w:pPr>
            <w:r>
              <w:rPr>
                <w:rFonts w:hint="eastAsia"/>
                <w:b/>
                <w:bCs/>
                <w:lang w:val="en-US" w:eastAsia="zh-CN"/>
              </w:rPr>
              <w:t>表3-11  声环境监测点布设一览表</w:t>
            </w:r>
          </w:p>
          <w:tbl>
            <w:tblPr>
              <w:tblStyle w:val="15"/>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04"/>
              <w:gridCol w:w="3244"/>
              <w:gridCol w:w="32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4" w:type="pct"/>
                  <w:tcMar>
                    <w:left w:w="17" w:type="dxa"/>
                    <w:right w:w="17" w:type="dxa"/>
                  </w:tcMar>
                  <w:vAlign w:val="center"/>
                </w:tcPr>
                <w:p>
                  <w:pPr>
                    <w:jc w:val="center"/>
                    <w:rPr>
                      <w:szCs w:val="21"/>
                    </w:rPr>
                  </w:pPr>
                  <w:r>
                    <w:rPr>
                      <w:szCs w:val="21"/>
                    </w:rPr>
                    <w:t>序号</w:t>
                  </w:r>
                </w:p>
              </w:tc>
              <w:tc>
                <w:tcPr>
                  <w:tcW w:w="1887" w:type="pct"/>
                  <w:vAlign w:val="center"/>
                </w:tcPr>
                <w:p>
                  <w:pPr>
                    <w:jc w:val="center"/>
                    <w:rPr>
                      <w:szCs w:val="21"/>
                    </w:rPr>
                  </w:pPr>
                  <w:r>
                    <w:rPr>
                      <w:szCs w:val="21"/>
                    </w:rPr>
                    <w:t>位置</w:t>
                  </w:r>
                </w:p>
              </w:tc>
              <w:tc>
                <w:tcPr>
                  <w:tcW w:w="1887" w:type="pct"/>
                  <w:vAlign w:val="center"/>
                </w:tcPr>
                <w:p>
                  <w:pPr>
                    <w:jc w:val="center"/>
                    <w:rPr>
                      <w:szCs w:val="21"/>
                    </w:rPr>
                  </w:pPr>
                  <w:r>
                    <w:rPr>
                      <w:rFonts w:hint="eastAsia"/>
                      <w:szCs w:val="21"/>
                    </w:rPr>
                    <w:t>点位坐标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4" w:type="pct"/>
                  <w:tcMar>
                    <w:left w:w="17" w:type="dxa"/>
                    <w:right w:w="17" w:type="dxa"/>
                  </w:tcMar>
                  <w:vAlign w:val="center"/>
                </w:tcPr>
                <w:p>
                  <w:pPr>
                    <w:jc w:val="center"/>
                    <w:rPr>
                      <w:szCs w:val="21"/>
                    </w:rPr>
                  </w:pPr>
                  <w:r>
                    <w:rPr>
                      <w:szCs w:val="21"/>
                    </w:rPr>
                    <w:t>N1</w:t>
                  </w:r>
                </w:p>
              </w:tc>
              <w:tc>
                <w:tcPr>
                  <w:tcW w:w="1887" w:type="pct"/>
                  <w:vAlign w:val="center"/>
                </w:tcPr>
                <w:p>
                  <w:pPr>
                    <w:jc w:val="center"/>
                    <w:rPr>
                      <w:szCs w:val="21"/>
                    </w:rPr>
                  </w:pPr>
                  <w:r>
                    <w:rPr>
                      <w:szCs w:val="21"/>
                    </w:rPr>
                    <w:t>厂界</w:t>
                  </w:r>
                  <w:r>
                    <w:rPr>
                      <w:rFonts w:hint="eastAsia"/>
                      <w:szCs w:val="21"/>
                    </w:rPr>
                    <w:t>北</w:t>
                  </w:r>
                  <w:r>
                    <w:rPr>
                      <w:szCs w:val="21"/>
                    </w:rPr>
                    <w:t>侧</w:t>
                  </w:r>
                </w:p>
              </w:tc>
              <w:tc>
                <w:tcPr>
                  <w:tcW w:w="1887" w:type="pct"/>
                  <w:vAlign w:val="center"/>
                </w:tcPr>
                <w:p>
                  <w:pPr>
                    <w:jc w:val="center"/>
                    <w:rPr>
                      <w:szCs w:val="21"/>
                    </w:rPr>
                  </w:pPr>
                  <w:r>
                    <w:rPr>
                      <w:rFonts w:hint="eastAsia"/>
                      <w:szCs w:val="21"/>
                    </w:rPr>
                    <w:t>28.586314,109.429217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4" w:type="pct"/>
                  <w:tcMar>
                    <w:left w:w="17" w:type="dxa"/>
                    <w:right w:w="17" w:type="dxa"/>
                  </w:tcMar>
                  <w:vAlign w:val="center"/>
                </w:tcPr>
                <w:p>
                  <w:pPr>
                    <w:jc w:val="center"/>
                    <w:rPr>
                      <w:szCs w:val="21"/>
                    </w:rPr>
                  </w:pPr>
                  <w:r>
                    <w:rPr>
                      <w:szCs w:val="21"/>
                    </w:rPr>
                    <w:t>N2</w:t>
                  </w:r>
                </w:p>
              </w:tc>
              <w:tc>
                <w:tcPr>
                  <w:tcW w:w="1887" w:type="pct"/>
                  <w:vAlign w:val="center"/>
                </w:tcPr>
                <w:p>
                  <w:pPr>
                    <w:jc w:val="center"/>
                    <w:rPr>
                      <w:szCs w:val="21"/>
                    </w:rPr>
                  </w:pPr>
                  <w:r>
                    <w:rPr>
                      <w:szCs w:val="21"/>
                    </w:rPr>
                    <w:t>厂界</w:t>
                  </w:r>
                  <w:r>
                    <w:rPr>
                      <w:rFonts w:hint="eastAsia"/>
                      <w:szCs w:val="21"/>
                    </w:rPr>
                    <w:t>东</w:t>
                  </w:r>
                  <w:r>
                    <w:rPr>
                      <w:szCs w:val="21"/>
                    </w:rPr>
                    <w:t>侧</w:t>
                  </w:r>
                </w:p>
              </w:tc>
              <w:tc>
                <w:tcPr>
                  <w:tcW w:w="1887" w:type="pct"/>
                  <w:vAlign w:val="center"/>
                </w:tcPr>
                <w:p>
                  <w:pPr>
                    <w:jc w:val="center"/>
                    <w:rPr>
                      <w:szCs w:val="21"/>
                    </w:rPr>
                  </w:pPr>
                  <w:r>
                    <w:rPr>
                      <w:rFonts w:hint="eastAsia"/>
                      <w:szCs w:val="21"/>
                    </w:rPr>
                    <w:t>28.583744,109.429349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4" w:type="pct"/>
                  <w:tcMar>
                    <w:left w:w="17" w:type="dxa"/>
                    <w:right w:w="17" w:type="dxa"/>
                  </w:tcMar>
                  <w:vAlign w:val="center"/>
                </w:tcPr>
                <w:p>
                  <w:pPr>
                    <w:jc w:val="center"/>
                    <w:rPr>
                      <w:szCs w:val="21"/>
                    </w:rPr>
                  </w:pPr>
                  <w:r>
                    <w:rPr>
                      <w:szCs w:val="21"/>
                    </w:rPr>
                    <w:t>N3</w:t>
                  </w:r>
                </w:p>
              </w:tc>
              <w:tc>
                <w:tcPr>
                  <w:tcW w:w="1887" w:type="pct"/>
                  <w:vAlign w:val="center"/>
                </w:tcPr>
                <w:p>
                  <w:pPr>
                    <w:jc w:val="center"/>
                    <w:rPr>
                      <w:szCs w:val="21"/>
                    </w:rPr>
                  </w:pPr>
                  <w:r>
                    <w:rPr>
                      <w:szCs w:val="21"/>
                    </w:rPr>
                    <w:t>厂界</w:t>
                  </w:r>
                  <w:r>
                    <w:rPr>
                      <w:rFonts w:hint="eastAsia"/>
                      <w:szCs w:val="21"/>
                      <w:lang w:val="en-US" w:eastAsia="zh-CN"/>
                    </w:rPr>
                    <w:t>西</w:t>
                  </w:r>
                  <w:r>
                    <w:rPr>
                      <w:szCs w:val="21"/>
                    </w:rPr>
                    <w:t>侧</w:t>
                  </w:r>
                </w:p>
              </w:tc>
              <w:tc>
                <w:tcPr>
                  <w:tcW w:w="1887" w:type="pct"/>
                  <w:vAlign w:val="center"/>
                </w:tcPr>
                <w:p>
                  <w:pPr>
                    <w:jc w:val="center"/>
                    <w:rPr>
                      <w:szCs w:val="21"/>
                    </w:rPr>
                  </w:pPr>
                  <w:r>
                    <w:rPr>
                      <w:rFonts w:hint="eastAsia"/>
                      <w:szCs w:val="21"/>
                    </w:rPr>
                    <w:t>28.584826,109.427588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4" w:type="pct"/>
                  <w:tcMar>
                    <w:left w:w="17" w:type="dxa"/>
                    <w:right w:w="17" w:type="dxa"/>
                  </w:tcMar>
                  <w:vAlign w:val="center"/>
                </w:tcPr>
                <w:p>
                  <w:pPr>
                    <w:jc w:val="center"/>
                    <w:rPr>
                      <w:szCs w:val="21"/>
                    </w:rPr>
                  </w:pPr>
                  <w:r>
                    <w:rPr>
                      <w:szCs w:val="21"/>
                    </w:rPr>
                    <w:t>N4</w:t>
                  </w:r>
                </w:p>
              </w:tc>
              <w:tc>
                <w:tcPr>
                  <w:tcW w:w="1887" w:type="pct"/>
                  <w:vAlign w:val="center"/>
                </w:tcPr>
                <w:p>
                  <w:pPr>
                    <w:jc w:val="center"/>
                    <w:rPr>
                      <w:szCs w:val="21"/>
                    </w:rPr>
                  </w:pPr>
                  <w:r>
                    <w:rPr>
                      <w:szCs w:val="21"/>
                    </w:rPr>
                    <w:t>厂界</w:t>
                  </w:r>
                  <w:r>
                    <w:rPr>
                      <w:rFonts w:hint="eastAsia"/>
                      <w:szCs w:val="21"/>
                      <w:lang w:val="en-US" w:eastAsia="zh-CN"/>
                    </w:rPr>
                    <w:t>南</w:t>
                  </w:r>
                  <w:r>
                    <w:rPr>
                      <w:szCs w:val="21"/>
                    </w:rPr>
                    <w:t>侧</w:t>
                  </w:r>
                </w:p>
              </w:tc>
              <w:tc>
                <w:tcPr>
                  <w:tcW w:w="1887" w:type="pct"/>
                  <w:vAlign w:val="center"/>
                </w:tcPr>
                <w:p>
                  <w:pPr>
                    <w:jc w:val="center"/>
                    <w:rPr>
                      <w:szCs w:val="21"/>
                    </w:rPr>
                  </w:pPr>
                  <w:r>
                    <w:rPr>
                      <w:rFonts w:hint="eastAsia"/>
                      <w:szCs w:val="21"/>
                    </w:rPr>
                    <w:t>28.583357,109.427632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4" w:type="pct"/>
                  <w:tcMar>
                    <w:left w:w="17" w:type="dxa"/>
                    <w:right w:w="17" w:type="dxa"/>
                  </w:tcMar>
                  <w:vAlign w:val="center"/>
                </w:tcPr>
                <w:p>
                  <w:pPr>
                    <w:jc w:val="center"/>
                    <w:rPr>
                      <w:szCs w:val="21"/>
                    </w:rPr>
                  </w:pPr>
                  <w:r>
                    <w:rPr>
                      <w:rFonts w:hint="eastAsia"/>
                      <w:szCs w:val="21"/>
                    </w:rPr>
                    <w:t>N5</w:t>
                  </w:r>
                </w:p>
              </w:tc>
              <w:tc>
                <w:tcPr>
                  <w:tcW w:w="1887" w:type="pct"/>
                  <w:vAlign w:val="center"/>
                </w:tcPr>
                <w:p>
                  <w:pPr>
                    <w:jc w:val="center"/>
                    <w:rPr>
                      <w:szCs w:val="21"/>
                    </w:rPr>
                  </w:pPr>
                  <w:r>
                    <w:rPr>
                      <w:rFonts w:hint="eastAsia"/>
                      <w:szCs w:val="21"/>
                    </w:rPr>
                    <w:t>卡地村</w:t>
                  </w:r>
                  <w:r>
                    <w:rPr>
                      <w:rFonts w:hint="eastAsia"/>
                      <w:szCs w:val="21"/>
                      <w:lang w:val="en-US" w:eastAsia="zh-CN"/>
                    </w:rPr>
                    <w:t>四</w:t>
                  </w:r>
                  <w:r>
                    <w:rPr>
                      <w:rFonts w:hint="eastAsia"/>
                      <w:szCs w:val="21"/>
                    </w:rPr>
                    <w:t>组</w:t>
                  </w:r>
                </w:p>
              </w:tc>
              <w:tc>
                <w:tcPr>
                  <w:tcW w:w="1887" w:type="pct"/>
                  <w:vAlign w:val="center"/>
                </w:tcPr>
                <w:p>
                  <w:pPr>
                    <w:jc w:val="center"/>
                    <w:rPr>
                      <w:szCs w:val="21"/>
                    </w:rPr>
                  </w:pPr>
                  <w:r>
                    <w:rPr>
                      <w:rFonts w:hint="eastAsia"/>
                      <w:szCs w:val="21"/>
                    </w:rPr>
                    <w:t>28.584401,109.431242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24" w:type="pct"/>
                  <w:tcMar>
                    <w:left w:w="17" w:type="dxa"/>
                    <w:right w:w="17" w:type="dxa"/>
                  </w:tcMar>
                  <w:vAlign w:val="center"/>
                </w:tcPr>
                <w:p>
                  <w:pPr>
                    <w:jc w:val="center"/>
                    <w:rPr>
                      <w:szCs w:val="21"/>
                    </w:rPr>
                  </w:pPr>
                  <w:r>
                    <w:rPr>
                      <w:rFonts w:hint="eastAsia"/>
                      <w:szCs w:val="21"/>
                    </w:rPr>
                    <w:t>N6</w:t>
                  </w:r>
                </w:p>
              </w:tc>
              <w:tc>
                <w:tcPr>
                  <w:tcW w:w="1887" w:type="pct"/>
                  <w:vAlign w:val="center"/>
                </w:tcPr>
                <w:p>
                  <w:pPr>
                    <w:jc w:val="center"/>
                    <w:rPr>
                      <w:szCs w:val="21"/>
                    </w:rPr>
                  </w:pPr>
                  <w:r>
                    <w:rPr>
                      <w:rFonts w:hint="eastAsia"/>
                      <w:szCs w:val="21"/>
                    </w:rPr>
                    <w:t>卡地村</w:t>
                  </w:r>
                  <w:r>
                    <w:rPr>
                      <w:rFonts w:hint="eastAsia"/>
                      <w:szCs w:val="21"/>
                      <w:lang w:val="en-US" w:eastAsia="zh-CN"/>
                    </w:rPr>
                    <w:t>二</w:t>
                  </w:r>
                  <w:r>
                    <w:rPr>
                      <w:rFonts w:hint="eastAsia"/>
                      <w:szCs w:val="21"/>
                    </w:rPr>
                    <w:t>组</w:t>
                  </w:r>
                </w:p>
              </w:tc>
              <w:tc>
                <w:tcPr>
                  <w:tcW w:w="1887" w:type="pct"/>
                  <w:vAlign w:val="center"/>
                </w:tcPr>
                <w:p>
                  <w:pPr>
                    <w:jc w:val="center"/>
                    <w:rPr>
                      <w:szCs w:val="21"/>
                    </w:rPr>
                  </w:pPr>
                  <w:r>
                    <w:rPr>
                      <w:rFonts w:hint="eastAsia"/>
                      <w:szCs w:val="21"/>
                    </w:rPr>
                    <w:t>28.586817,109.429943</w:t>
                  </w:r>
                </w:p>
              </w:tc>
            </w:tr>
          </w:tbl>
          <w:p>
            <w:pPr>
              <w:numPr>
                <w:ilvl w:val="0"/>
                <w:numId w:val="0"/>
              </w:numPr>
              <w:ind w:right="40" w:rightChars="0"/>
            </w:pPr>
            <w:r>
              <w:drawing>
                <wp:inline distT="0" distB="0" distL="114300" distR="114300">
                  <wp:extent cx="5360670" cy="4223385"/>
                  <wp:effectExtent l="0" t="0" r="1905" b="571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7"/>
                          <a:stretch>
                            <a:fillRect/>
                          </a:stretch>
                        </pic:blipFill>
                        <pic:spPr>
                          <a:xfrm>
                            <a:off x="0" y="0"/>
                            <a:ext cx="5360670" cy="4223385"/>
                          </a:xfrm>
                          <a:prstGeom prst="rect">
                            <a:avLst/>
                          </a:prstGeom>
                          <a:noFill/>
                          <a:ln>
                            <a:noFill/>
                          </a:ln>
                        </pic:spPr>
                      </pic:pic>
                    </a:graphicData>
                  </a:graphic>
                </wp:inline>
              </w:drawing>
            </w:r>
          </w:p>
          <w:p>
            <w:pPr>
              <w:numPr>
                <w:ilvl w:val="0"/>
                <w:numId w:val="0"/>
              </w:numPr>
              <w:ind w:right="40" w:rightChars="0"/>
              <w:jc w:val="center"/>
              <w:rPr>
                <w:rFonts w:hint="default" w:eastAsia="宋体"/>
                <w:b/>
                <w:bCs/>
                <w:lang w:val="en-US" w:eastAsia="zh-CN"/>
              </w:rPr>
            </w:pPr>
            <w:r>
              <w:rPr>
                <w:rFonts w:hint="eastAsia"/>
                <w:b/>
                <w:bCs/>
                <w:lang w:val="en-US" w:eastAsia="zh-CN"/>
              </w:rPr>
              <w:t>图3-6  声环境监测点位示意图</w:t>
            </w:r>
          </w:p>
          <w:p>
            <w:pPr>
              <w:pStyle w:val="19"/>
              <w:bidi w:val="0"/>
              <w:rPr>
                <w:rFonts w:hint="eastAsia"/>
                <w:lang w:val="en-US" w:eastAsia="zh-CN"/>
              </w:rPr>
            </w:pPr>
            <w:r>
              <w:rPr>
                <w:rFonts w:hint="eastAsia"/>
                <w:lang w:val="en-US" w:eastAsia="zh-CN"/>
              </w:rPr>
              <w:t>（2）监测因子与频次</w:t>
            </w:r>
          </w:p>
          <w:p>
            <w:pPr>
              <w:pStyle w:val="19"/>
              <w:bidi w:val="0"/>
              <w:rPr>
                <w:rFonts w:hint="default"/>
                <w:lang w:val="en-US" w:eastAsia="zh-CN"/>
              </w:rPr>
            </w:pPr>
            <w:r>
              <w:rPr>
                <w:rFonts w:hint="default"/>
                <w:lang w:val="en-US" w:eastAsia="zh-CN"/>
              </w:rPr>
              <w:t>监测等效连续A声级；202</w:t>
            </w:r>
            <w:r>
              <w:rPr>
                <w:rFonts w:hint="eastAsia"/>
                <w:lang w:val="en-US" w:eastAsia="zh-CN"/>
              </w:rPr>
              <w:t>3</w:t>
            </w:r>
            <w:r>
              <w:rPr>
                <w:rFonts w:hint="default"/>
                <w:lang w:val="en-US" w:eastAsia="zh-CN"/>
              </w:rPr>
              <w:t>年</w:t>
            </w:r>
            <w:r>
              <w:rPr>
                <w:rFonts w:hint="eastAsia"/>
                <w:lang w:val="en-US" w:eastAsia="zh-CN"/>
              </w:rPr>
              <w:t>10</w:t>
            </w:r>
            <w:r>
              <w:rPr>
                <w:rFonts w:hint="default"/>
                <w:lang w:val="en-US" w:eastAsia="zh-CN"/>
              </w:rPr>
              <w:t>月</w:t>
            </w:r>
            <w:r>
              <w:rPr>
                <w:rFonts w:hint="eastAsia"/>
                <w:lang w:val="en-US" w:eastAsia="zh-CN"/>
              </w:rPr>
              <w:t>27</w:t>
            </w:r>
            <w:r>
              <w:rPr>
                <w:rFonts w:hint="default"/>
                <w:lang w:val="en-US" w:eastAsia="zh-CN"/>
              </w:rPr>
              <w:t>日~</w:t>
            </w:r>
            <w:r>
              <w:rPr>
                <w:rFonts w:hint="eastAsia"/>
                <w:lang w:val="en-US" w:eastAsia="zh-CN"/>
              </w:rPr>
              <w:t>10</w:t>
            </w:r>
            <w:r>
              <w:rPr>
                <w:rFonts w:hint="default"/>
                <w:lang w:val="en-US" w:eastAsia="zh-CN"/>
              </w:rPr>
              <w:t>月</w:t>
            </w:r>
            <w:r>
              <w:rPr>
                <w:rFonts w:hint="eastAsia"/>
                <w:lang w:val="en-US" w:eastAsia="zh-CN"/>
              </w:rPr>
              <w:t>28</w:t>
            </w:r>
            <w:r>
              <w:rPr>
                <w:rFonts w:hint="default"/>
                <w:lang w:val="en-US" w:eastAsia="zh-CN"/>
              </w:rPr>
              <w:t>日连续监测2天，每天昼</w:t>
            </w:r>
            <w:r>
              <w:rPr>
                <w:rFonts w:hint="eastAsia"/>
                <w:lang w:val="en-US" w:eastAsia="zh-CN"/>
              </w:rPr>
              <w:t>、</w:t>
            </w:r>
            <w:r>
              <w:rPr>
                <w:rFonts w:hint="default"/>
                <w:lang w:val="en-US" w:eastAsia="zh-CN"/>
              </w:rPr>
              <w:t>夜</w:t>
            </w:r>
            <w:r>
              <w:rPr>
                <w:rFonts w:hint="eastAsia"/>
                <w:lang w:val="en-US" w:eastAsia="zh-CN"/>
              </w:rPr>
              <w:t>各监测一次</w:t>
            </w:r>
            <w:r>
              <w:rPr>
                <w:rFonts w:hint="default"/>
                <w:lang w:val="en-US" w:eastAsia="zh-CN"/>
              </w:rPr>
              <w:t>。</w:t>
            </w:r>
          </w:p>
          <w:p>
            <w:pPr>
              <w:pStyle w:val="19"/>
              <w:bidi w:val="0"/>
              <w:rPr>
                <w:rFonts w:hint="default"/>
                <w:lang w:val="en-US" w:eastAsia="zh-CN"/>
              </w:rPr>
            </w:pPr>
            <w:r>
              <w:rPr>
                <w:rFonts w:hint="eastAsia"/>
                <w:lang w:val="en-US" w:eastAsia="zh-CN"/>
              </w:rPr>
              <w:t>（3）监测结果</w:t>
            </w:r>
          </w:p>
          <w:p>
            <w:pPr>
              <w:pStyle w:val="19"/>
              <w:bidi w:val="0"/>
              <w:rPr>
                <w:rFonts w:hint="eastAsia"/>
                <w:lang w:val="en-US" w:eastAsia="zh-CN"/>
              </w:rPr>
            </w:pPr>
            <w:r>
              <w:rPr>
                <w:rFonts w:hint="eastAsia"/>
                <w:lang w:val="en-US" w:eastAsia="zh-CN"/>
              </w:rPr>
              <w:t>监测结果见下表。</w:t>
            </w:r>
          </w:p>
          <w:p>
            <w:pPr>
              <w:bidi w:val="0"/>
              <w:jc w:val="center"/>
              <w:rPr>
                <w:rFonts w:hint="default"/>
                <w:b/>
                <w:bCs/>
                <w:lang w:val="en-US" w:eastAsia="zh-CN"/>
              </w:rPr>
            </w:pPr>
            <w:r>
              <w:rPr>
                <w:rFonts w:hint="eastAsia"/>
                <w:b/>
                <w:bCs/>
                <w:lang w:val="en-US" w:eastAsia="zh-CN"/>
              </w:rPr>
              <w:t>表3-12  区域声环境质量现状监测结果</w:t>
            </w:r>
          </w:p>
          <w:tbl>
            <w:tblPr>
              <w:tblStyle w:val="15"/>
              <w:tblpPr w:leftFromText="180" w:rightFromText="180" w:vertAnchor="text" w:horzAnchor="margin" w:tblpY="133"/>
              <w:tblW w:w="5000" w:type="pct"/>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19"/>
              <w:gridCol w:w="1597"/>
              <w:gridCol w:w="1768"/>
              <w:gridCol w:w="1441"/>
              <w:gridCol w:w="1235"/>
              <w:gridCol w:w="12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restart"/>
                  <w:tcBorders>
                    <w:tl2br w:val="nil"/>
                    <w:tr2bl w:val="nil"/>
                  </w:tcBorders>
                  <w:vAlign w:val="center"/>
                </w:tcPr>
                <w:p>
                  <w:pPr>
                    <w:pStyle w:val="20"/>
                    <w:bidi w:val="0"/>
                  </w:pPr>
                  <w:r>
                    <w:t>检测类别</w:t>
                  </w:r>
                </w:p>
              </w:tc>
              <w:tc>
                <w:tcPr>
                  <w:tcW w:w="928" w:type="pct"/>
                  <w:vMerge w:val="restart"/>
                  <w:tcBorders>
                    <w:tl2br w:val="nil"/>
                    <w:tr2bl w:val="nil"/>
                  </w:tcBorders>
                  <w:vAlign w:val="center"/>
                </w:tcPr>
                <w:p>
                  <w:pPr>
                    <w:pStyle w:val="20"/>
                    <w:bidi w:val="0"/>
                  </w:pPr>
                  <w:r>
                    <w:t>时间</w:t>
                  </w:r>
                </w:p>
              </w:tc>
              <w:tc>
                <w:tcPr>
                  <w:tcW w:w="1028" w:type="pct"/>
                  <w:vMerge w:val="restart"/>
                  <w:tcBorders>
                    <w:tl2br w:val="nil"/>
                    <w:tr2bl w:val="nil"/>
                  </w:tcBorders>
                  <w:vAlign w:val="center"/>
                </w:tcPr>
                <w:p>
                  <w:pPr>
                    <w:pStyle w:val="20"/>
                    <w:bidi w:val="0"/>
                  </w:pPr>
                  <w:r>
                    <w:t>检测点位</w:t>
                  </w:r>
                </w:p>
              </w:tc>
              <w:tc>
                <w:tcPr>
                  <w:tcW w:w="838" w:type="pct"/>
                  <w:vMerge w:val="restart"/>
                  <w:tcBorders>
                    <w:tl2br w:val="nil"/>
                    <w:tr2bl w:val="nil"/>
                  </w:tcBorders>
                  <w:vAlign w:val="center"/>
                </w:tcPr>
                <w:p>
                  <w:pPr>
                    <w:pStyle w:val="20"/>
                    <w:bidi w:val="0"/>
                  </w:pPr>
                  <w:r>
                    <w:t>检测项目</w:t>
                  </w:r>
                </w:p>
              </w:tc>
              <w:tc>
                <w:tcPr>
                  <w:tcW w:w="1437" w:type="pct"/>
                  <w:gridSpan w:val="2"/>
                  <w:tcBorders>
                    <w:tl2br w:val="nil"/>
                    <w:tr2bl w:val="nil"/>
                  </w:tcBorders>
                  <w:vAlign w:val="center"/>
                </w:tcPr>
                <w:p>
                  <w:pPr>
                    <w:pStyle w:val="20"/>
                    <w:bidi w:val="0"/>
                  </w:pPr>
                  <w:r>
                    <w:t>检测结果（dB）</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vMerge w:val="continue"/>
                  <w:tcBorders>
                    <w:tl2br w:val="nil"/>
                    <w:tr2bl w:val="nil"/>
                  </w:tcBorders>
                  <w:vAlign w:val="center"/>
                </w:tcPr>
                <w:p>
                  <w:pPr>
                    <w:pStyle w:val="20"/>
                    <w:bidi w:val="0"/>
                  </w:pPr>
                </w:p>
              </w:tc>
              <w:tc>
                <w:tcPr>
                  <w:tcW w:w="1028" w:type="pct"/>
                  <w:vMerge w:val="continue"/>
                  <w:tcBorders>
                    <w:tl2br w:val="nil"/>
                    <w:tr2bl w:val="nil"/>
                  </w:tcBorders>
                  <w:vAlign w:val="center"/>
                </w:tcPr>
                <w:p>
                  <w:pPr>
                    <w:pStyle w:val="20"/>
                    <w:bidi w:val="0"/>
                  </w:pPr>
                </w:p>
              </w:tc>
              <w:tc>
                <w:tcPr>
                  <w:tcW w:w="838" w:type="pct"/>
                  <w:vMerge w:val="continue"/>
                  <w:tcBorders>
                    <w:tl2br w:val="nil"/>
                    <w:tr2bl w:val="nil"/>
                  </w:tcBorders>
                  <w:vAlign w:val="center"/>
                </w:tcPr>
                <w:p>
                  <w:pPr>
                    <w:pStyle w:val="20"/>
                    <w:bidi w:val="0"/>
                  </w:pPr>
                </w:p>
              </w:tc>
              <w:tc>
                <w:tcPr>
                  <w:tcW w:w="718" w:type="pct"/>
                  <w:tcBorders>
                    <w:tl2br w:val="nil"/>
                    <w:tr2bl w:val="nil"/>
                  </w:tcBorders>
                  <w:vAlign w:val="center"/>
                </w:tcPr>
                <w:p>
                  <w:pPr>
                    <w:pStyle w:val="20"/>
                    <w:bidi w:val="0"/>
                  </w:pPr>
                  <w:r>
                    <w:t>昼</w:t>
                  </w:r>
                </w:p>
              </w:tc>
              <w:tc>
                <w:tcPr>
                  <w:tcW w:w="718" w:type="pct"/>
                  <w:tcBorders>
                    <w:tl2br w:val="nil"/>
                    <w:tr2bl w:val="nil"/>
                  </w:tcBorders>
                  <w:vAlign w:val="center"/>
                </w:tcPr>
                <w:p>
                  <w:pPr>
                    <w:pStyle w:val="20"/>
                    <w:bidi w:val="0"/>
                  </w:pPr>
                  <w:r>
                    <w:t>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restart"/>
                  <w:tcBorders>
                    <w:tl2br w:val="nil"/>
                    <w:tr2bl w:val="nil"/>
                  </w:tcBorders>
                  <w:vAlign w:val="center"/>
                </w:tcPr>
                <w:p>
                  <w:pPr>
                    <w:pStyle w:val="20"/>
                    <w:bidi w:val="0"/>
                  </w:pPr>
                  <w:r>
                    <w:t>噪声</w:t>
                  </w:r>
                </w:p>
              </w:tc>
              <w:tc>
                <w:tcPr>
                  <w:tcW w:w="928" w:type="pct"/>
                  <w:tcBorders>
                    <w:tl2br w:val="nil"/>
                    <w:tr2bl w:val="nil"/>
                  </w:tcBorders>
                </w:tcPr>
                <w:p>
                  <w:pPr>
                    <w:pStyle w:val="20"/>
                    <w:bidi w:val="0"/>
                  </w:pPr>
                  <w:r>
                    <w:t>202</w:t>
                  </w:r>
                  <w:r>
                    <w:rPr>
                      <w:rFonts w:hint="eastAsia"/>
                    </w:rPr>
                    <w:t>3</w:t>
                  </w:r>
                  <w:r>
                    <w:t>.</w:t>
                  </w:r>
                  <w:r>
                    <w:rPr>
                      <w:rFonts w:hint="eastAsia"/>
                    </w:rPr>
                    <w:t>10.27</w:t>
                  </w:r>
                </w:p>
              </w:tc>
              <w:tc>
                <w:tcPr>
                  <w:tcW w:w="1028" w:type="pct"/>
                  <w:tcBorders>
                    <w:tl2br w:val="nil"/>
                    <w:tr2bl w:val="nil"/>
                  </w:tcBorders>
                  <w:vAlign w:val="center"/>
                </w:tcPr>
                <w:p>
                  <w:pPr>
                    <w:pStyle w:val="20"/>
                    <w:bidi w:val="0"/>
                  </w:pPr>
                  <w:r>
                    <w:rPr>
                      <w:rFonts w:hint="eastAsia"/>
                    </w:rPr>
                    <w:t>N</w:t>
                  </w:r>
                  <w:r>
                    <w:t xml:space="preserve">1 </w:t>
                  </w:r>
                  <w:r>
                    <w:rPr>
                      <w:rFonts w:hint="eastAsia"/>
                    </w:rPr>
                    <w:t>北</w:t>
                  </w:r>
                  <w:r>
                    <w:t>厂界</w:t>
                  </w:r>
                </w:p>
              </w:tc>
              <w:tc>
                <w:tcPr>
                  <w:tcW w:w="838" w:type="pct"/>
                  <w:tcBorders>
                    <w:tl2br w:val="nil"/>
                    <w:tr2bl w:val="nil"/>
                  </w:tcBorders>
                  <w:vAlign w:val="center"/>
                </w:tcPr>
                <w:p>
                  <w:pPr>
                    <w:pStyle w:val="20"/>
                    <w:bidi w:val="0"/>
                  </w:pPr>
                  <w:r>
                    <w:t>Leq（A）</w:t>
                  </w:r>
                </w:p>
              </w:tc>
              <w:tc>
                <w:tcPr>
                  <w:tcW w:w="718" w:type="pct"/>
                  <w:tcBorders>
                    <w:tl2br w:val="nil"/>
                    <w:tr2bl w:val="nil"/>
                  </w:tcBorders>
                  <w:vAlign w:val="center"/>
                </w:tcPr>
                <w:p>
                  <w:pPr>
                    <w:pStyle w:val="20"/>
                    <w:bidi w:val="0"/>
                  </w:pPr>
                  <w:r>
                    <w:t>49</w:t>
                  </w:r>
                  <w:r>
                    <w:rPr>
                      <w:rFonts w:hint="eastAsia"/>
                    </w:rPr>
                    <w:t>.6</w:t>
                  </w:r>
                </w:p>
              </w:tc>
              <w:tc>
                <w:tcPr>
                  <w:tcW w:w="718" w:type="pct"/>
                  <w:tcBorders>
                    <w:tl2br w:val="nil"/>
                    <w:tr2bl w:val="nil"/>
                  </w:tcBorders>
                  <w:vAlign w:val="center"/>
                </w:tcPr>
                <w:p>
                  <w:pPr>
                    <w:pStyle w:val="20"/>
                    <w:bidi w:val="0"/>
                  </w:pPr>
                  <w:r>
                    <w:rPr>
                      <w:rFonts w:hint="eastAsia"/>
                    </w:rPr>
                    <w:t>43.4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10.27</w:t>
                  </w:r>
                </w:p>
              </w:tc>
              <w:tc>
                <w:tcPr>
                  <w:tcW w:w="1028" w:type="pct"/>
                  <w:tcBorders>
                    <w:tl2br w:val="nil"/>
                    <w:tr2bl w:val="nil"/>
                  </w:tcBorders>
                  <w:vAlign w:val="center"/>
                </w:tcPr>
                <w:p>
                  <w:pPr>
                    <w:pStyle w:val="20"/>
                    <w:bidi w:val="0"/>
                  </w:pPr>
                  <w:r>
                    <w:rPr>
                      <w:rFonts w:hint="eastAsia"/>
                    </w:rPr>
                    <w:t>N</w:t>
                  </w:r>
                  <w:r>
                    <w:t xml:space="preserve">2 </w:t>
                  </w:r>
                  <w:r>
                    <w:rPr>
                      <w:rFonts w:hint="eastAsia"/>
                    </w:rPr>
                    <w:t>东</w:t>
                  </w:r>
                  <w:r>
                    <w:t>厂界</w:t>
                  </w:r>
                </w:p>
              </w:tc>
              <w:tc>
                <w:tcPr>
                  <w:tcW w:w="838" w:type="pct"/>
                  <w:tcBorders>
                    <w:tl2br w:val="nil"/>
                    <w:tr2bl w:val="nil"/>
                  </w:tcBorders>
                  <w:vAlign w:val="center"/>
                </w:tcPr>
                <w:p>
                  <w:pPr>
                    <w:pStyle w:val="20"/>
                    <w:bidi w:val="0"/>
                  </w:pPr>
                  <w:r>
                    <w:t>Leq（A）</w:t>
                  </w:r>
                </w:p>
              </w:tc>
              <w:tc>
                <w:tcPr>
                  <w:tcW w:w="718" w:type="pct"/>
                  <w:tcBorders>
                    <w:tl2br w:val="nil"/>
                    <w:tr2bl w:val="nil"/>
                  </w:tcBorders>
                  <w:vAlign w:val="center"/>
                </w:tcPr>
                <w:p>
                  <w:pPr>
                    <w:pStyle w:val="20"/>
                    <w:bidi w:val="0"/>
                  </w:pPr>
                  <w:r>
                    <w:t>48.5</w:t>
                  </w:r>
                </w:p>
              </w:tc>
              <w:tc>
                <w:tcPr>
                  <w:tcW w:w="718" w:type="pct"/>
                  <w:tcBorders>
                    <w:tl2br w:val="nil"/>
                    <w:tr2bl w:val="nil"/>
                  </w:tcBorders>
                  <w:vAlign w:val="center"/>
                </w:tcPr>
                <w:p>
                  <w:pPr>
                    <w:pStyle w:val="20"/>
                    <w:bidi w:val="0"/>
                  </w:pPr>
                  <w:r>
                    <w:rPr>
                      <w:rFonts w:hint="eastAsia"/>
                    </w:rPr>
                    <w:t>42.6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10.27</w:t>
                  </w:r>
                </w:p>
              </w:tc>
              <w:tc>
                <w:tcPr>
                  <w:tcW w:w="1028" w:type="pct"/>
                  <w:tcBorders>
                    <w:tl2br w:val="nil"/>
                    <w:tr2bl w:val="nil"/>
                  </w:tcBorders>
                </w:tcPr>
                <w:p>
                  <w:pPr>
                    <w:pStyle w:val="20"/>
                    <w:bidi w:val="0"/>
                  </w:pPr>
                  <w:r>
                    <w:rPr>
                      <w:rFonts w:hint="eastAsia"/>
                    </w:rPr>
                    <w:t>N</w:t>
                  </w:r>
                  <w:r>
                    <w:t>3</w:t>
                  </w:r>
                  <w:r>
                    <w:rPr>
                      <w:rFonts w:hint="eastAsia"/>
                    </w:rPr>
                    <w:t xml:space="preserve"> 西</w:t>
                  </w:r>
                  <w:r>
                    <w:t>厂界</w:t>
                  </w:r>
                </w:p>
              </w:tc>
              <w:tc>
                <w:tcPr>
                  <w:tcW w:w="838" w:type="pct"/>
                  <w:tcBorders>
                    <w:tl2br w:val="nil"/>
                    <w:tr2bl w:val="nil"/>
                  </w:tcBorders>
                </w:tcPr>
                <w:p>
                  <w:pPr>
                    <w:pStyle w:val="20"/>
                    <w:bidi w:val="0"/>
                  </w:pPr>
                  <w:r>
                    <w:t>Leq（A）</w:t>
                  </w:r>
                </w:p>
              </w:tc>
              <w:tc>
                <w:tcPr>
                  <w:tcW w:w="718" w:type="pct"/>
                  <w:tcBorders>
                    <w:tl2br w:val="nil"/>
                    <w:tr2bl w:val="nil"/>
                  </w:tcBorders>
                  <w:vAlign w:val="center"/>
                </w:tcPr>
                <w:p>
                  <w:pPr>
                    <w:pStyle w:val="20"/>
                    <w:bidi w:val="0"/>
                  </w:pPr>
                  <w:r>
                    <w:t>50.2</w:t>
                  </w:r>
                </w:p>
              </w:tc>
              <w:tc>
                <w:tcPr>
                  <w:tcW w:w="718" w:type="pct"/>
                  <w:tcBorders>
                    <w:tl2br w:val="nil"/>
                    <w:tr2bl w:val="nil"/>
                  </w:tcBorders>
                  <w:vAlign w:val="center"/>
                </w:tcPr>
                <w:p>
                  <w:pPr>
                    <w:pStyle w:val="20"/>
                    <w:bidi w:val="0"/>
                  </w:pPr>
                  <w:r>
                    <w:rPr>
                      <w:rFonts w:hint="eastAsia"/>
                    </w:rPr>
                    <w:t>44.0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10.27</w:t>
                  </w:r>
                </w:p>
              </w:tc>
              <w:tc>
                <w:tcPr>
                  <w:tcW w:w="1028" w:type="pct"/>
                  <w:tcBorders>
                    <w:tl2br w:val="nil"/>
                    <w:tr2bl w:val="nil"/>
                  </w:tcBorders>
                </w:tcPr>
                <w:p>
                  <w:pPr>
                    <w:pStyle w:val="20"/>
                    <w:bidi w:val="0"/>
                  </w:pPr>
                  <w:r>
                    <w:rPr>
                      <w:rFonts w:hint="eastAsia"/>
                    </w:rPr>
                    <w:t>N</w:t>
                  </w:r>
                  <w:r>
                    <w:t>4</w:t>
                  </w:r>
                  <w:r>
                    <w:rPr>
                      <w:rFonts w:hint="eastAsia"/>
                    </w:rPr>
                    <w:t xml:space="preserve"> 南</w:t>
                  </w:r>
                  <w:r>
                    <w:t>厂界</w:t>
                  </w:r>
                </w:p>
              </w:tc>
              <w:tc>
                <w:tcPr>
                  <w:tcW w:w="838" w:type="pct"/>
                  <w:tcBorders>
                    <w:tl2br w:val="nil"/>
                    <w:tr2bl w:val="nil"/>
                  </w:tcBorders>
                </w:tcPr>
                <w:p>
                  <w:pPr>
                    <w:pStyle w:val="20"/>
                    <w:bidi w:val="0"/>
                  </w:pPr>
                  <w:r>
                    <w:t>Leq（A）</w:t>
                  </w:r>
                </w:p>
              </w:tc>
              <w:tc>
                <w:tcPr>
                  <w:tcW w:w="718" w:type="pct"/>
                  <w:tcBorders>
                    <w:tl2br w:val="nil"/>
                    <w:tr2bl w:val="nil"/>
                  </w:tcBorders>
                  <w:vAlign w:val="center"/>
                </w:tcPr>
                <w:p>
                  <w:pPr>
                    <w:pStyle w:val="20"/>
                    <w:bidi w:val="0"/>
                  </w:pPr>
                  <w:r>
                    <w:rPr>
                      <w:rFonts w:hint="eastAsia"/>
                    </w:rPr>
                    <w:t>5</w:t>
                  </w:r>
                  <w:r>
                    <w:t>1</w:t>
                  </w:r>
                  <w:r>
                    <w:rPr>
                      <w:rFonts w:hint="eastAsia"/>
                    </w:rPr>
                    <w:t>.</w:t>
                  </w:r>
                  <w:r>
                    <w:t>5</w:t>
                  </w:r>
                </w:p>
              </w:tc>
              <w:tc>
                <w:tcPr>
                  <w:tcW w:w="718" w:type="pct"/>
                  <w:tcBorders>
                    <w:tl2br w:val="nil"/>
                    <w:tr2bl w:val="nil"/>
                  </w:tcBorders>
                  <w:vAlign w:val="center"/>
                </w:tcPr>
                <w:p>
                  <w:pPr>
                    <w:pStyle w:val="20"/>
                    <w:bidi w:val="0"/>
                  </w:pPr>
                  <w:r>
                    <w:rPr>
                      <w:rFonts w:hint="eastAsia"/>
                    </w:rPr>
                    <w:t>4</w:t>
                  </w:r>
                  <w:r>
                    <w:t>5</w:t>
                  </w:r>
                  <w:r>
                    <w:rPr>
                      <w:rFonts w:hint="eastAsia"/>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10.27</w:t>
                  </w:r>
                </w:p>
              </w:tc>
              <w:tc>
                <w:tcPr>
                  <w:tcW w:w="1028" w:type="pct"/>
                  <w:tcBorders>
                    <w:tl2br w:val="nil"/>
                    <w:tr2bl w:val="nil"/>
                  </w:tcBorders>
                  <w:vAlign w:val="center"/>
                </w:tcPr>
                <w:p>
                  <w:pPr>
                    <w:pStyle w:val="20"/>
                    <w:bidi w:val="0"/>
                  </w:pPr>
                  <w:r>
                    <w:rPr>
                      <w:rFonts w:hint="eastAsia"/>
                    </w:rPr>
                    <w:t>N5 卡地村</w:t>
                  </w:r>
                  <w:r>
                    <w:rPr>
                      <w:rFonts w:hint="eastAsia"/>
                      <w:lang w:val="en-US" w:eastAsia="zh-CN"/>
                    </w:rPr>
                    <w:t>四</w:t>
                  </w:r>
                  <w:r>
                    <w:rPr>
                      <w:rFonts w:hint="eastAsia"/>
                    </w:rPr>
                    <w:t>组</w:t>
                  </w:r>
                </w:p>
              </w:tc>
              <w:tc>
                <w:tcPr>
                  <w:tcW w:w="838" w:type="pct"/>
                  <w:tcBorders>
                    <w:tl2br w:val="nil"/>
                    <w:tr2bl w:val="nil"/>
                  </w:tcBorders>
                  <w:vAlign w:val="center"/>
                </w:tcPr>
                <w:p>
                  <w:pPr>
                    <w:pStyle w:val="20"/>
                    <w:bidi w:val="0"/>
                  </w:pPr>
                  <w:r>
                    <w:t>Leq（A）</w:t>
                  </w:r>
                </w:p>
              </w:tc>
              <w:tc>
                <w:tcPr>
                  <w:tcW w:w="718" w:type="pct"/>
                  <w:tcBorders>
                    <w:tl2br w:val="nil"/>
                    <w:tr2bl w:val="nil"/>
                  </w:tcBorders>
                  <w:vAlign w:val="center"/>
                </w:tcPr>
                <w:p>
                  <w:pPr>
                    <w:pStyle w:val="20"/>
                    <w:bidi w:val="0"/>
                  </w:pPr>
                  <w:r>
                    <w:t>49.2</w:t>
                  </w:r>
                </w:p>
              </w:tc>
              <w:tc>
                <w:tcPr>
                  <w:tcW w:w="718" w:type="pct"/>
                  <w:tcBorders>
                    <w:tl2br w:val="nil"/>
                    <w:tr2bl w:val="nil"/>
                  </w:tcBorders>
                  <w:vAlign w:val="center"/>
                </w:tcPr>
                <w:p>
                  <w:pPr>
                    <w:pStyle w:val="20"/>
                    <w:bidi w:val="0"/>
                  </w:pPr>
                  <w:r>
                    <w:rPr>
                      <w:rFonts w:hint="eastAsia"/>
                    </w:rPr>
                    <w:t>4</w:t>
                  </w:r>
                  <w:r>
                    <w:t>3</w:t>
                  </w:r>
                  <w:r>
                    <w:rPr>
                      <w:rFonts w:hint="eastAsia"/>
                    </w:rPr>
                    <w:t>.</w:t>
                  </w:r>
                  <w: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10.27</w:t>
                  </w:r>
                </w:p>
              </w:tc>
              <w:tc>
                <w:tcPr>
                  <w:tcW w:w="1028" w:type="pct"/>
                  <w:tcBorders>
                    <w:tl2br w:val="nil"/>
                    <w:tr2bl w:val="nil"/>
                  </w:tcBorders>
                  <w:vAlign w:val="center"/>
                </w:tcPr>
                <w:p>
                  <w:pPr>
                    <w:pStyle w:val="20"/>
                    <w:bidi w:val="0"/>
                  </w:pPr>
                  <w:r>
                    <w:rPr>
                      <w:rFonts w:hint="eastAsia"/>
                    </w:rPr>
                    <w:t>N6 卡</w:t>
                  </w:r>
                  <w:r>
                    <w:rPr>
                      <w:rFonts w:hint="eastAsia"/>
                      <w:lang w:val="en-US" w:eastAsia="zh-CN"/>
                    </w:rPr>
                    <w:t>地</w:t>
                  </w:r>
                  <w:r>
                    <w:rPr>
                      <w:rFonts w:hint="eastAsia"/>
                    </w:rPr>
                    <w:t>村</w:t>
                  </w:r>
                  <w:r>
                    <w:rPr>
                      <w:rFonts w:hint="eastAsia"/>
                      <w:lang w:val="en-US" w:eastAsia="zh-CN"/>
                    </w:rPr>
                    <w:t>二</w:t>
                  </w:r>
                  <w:r>
                    <w:rPr>
                      <w:rFonts w:hint="eastAsia"/>
                    </w:rPr>
                    <w:t>组</w:t>
                  </w:r>
                </w:p>
              </w:tc>
              <w:tc>
                <w:tcPr>
                  <w:tcW w:w="838" w:type="pct"/>
                  <w:tcBorders>
                    <w:tl2br w:val="nil"/>
                    <w:tr2bl w:val="nil"/>
                  </w:tcBorders>
                  <w:vAlign w:val="center"/>
                </w:tcPr>
                <w:p>
                  <w:pPr>
                    <w:pStyle w:val="20"/>
                    <w:bidi w:val="0"/>
                  </w:pPr>
                  <w:r>
                    <w:t>Leq（A）</w:t>
                  </w:r>
                </w:p>
              </w:tc>
              <w:tc>
                <w:tcPr>
                  <w:tcW w:w="718" w:type="pct"/>
                  <w:tcBorders>
                    <w:tl2br w:val="nil"/>
                    <w:tr2bl w:val="nil"/>
                  </w:tcBorders>
                  <w:vAlign w:val="center"/>
                </w:tcPr>
                <w:p>
                  <w:pPr>
                    <w:pStyle w:val="20"/>
                    <w:bidi w:val="0"/>
                  </w:pPr>
                  <w:r>
                    <w:t>48.7</w:t>
                  </w:r>
                </w:p>
              </w:tc>
              <w:tc>
                <w:tcPr>
                  <w:tcW w:w="718" w:type="pct"/>
                  <w:tcBorders>
                    <w:tl2br w:val="nil"/>
                    <w:tr2bl w:val="nil"/>
                  </w:tcBorders>
                  <w:vAlign w:val="center"/>
                </w:tcPr>
                <w:p>
                  <w:pPr>
                    <w:pStyle w:val="20"/>
                    <w:bidi w:val="0"/>
                  </w:pPr>
                  <w:r>
                    <w:rPr>
                      <w:rFonts w:hint="eastAsia"/>
                    </w:rPr>
                    <w:t>4</w:t>
                  </w:r>
                  <w:r>
                    <w:t>2</w:t>
                  </w:r>
                  <w:r>
                    <w:rPr>
                      <w:rFonts w:hint="eastAsia"/>
                    </w:rPr>
                    <w:t>.</w:t>
                  </w:r>
                  <w: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10.28</w:t>
                  </w:r>
                </w:p>
              </w:tc>
              <w:tc>
                <w:tcPr>
                  <w:tcW w:w="1028" w:type="pct"/>
                  <w:tcBorders>
                    <w:tl2br w:val="nil"/>
                    <w:tr2bl w:val="nil"/>
                  </w:tcBorders>
                  <w:vAlign w:val="center"/>
                </w:tcPr>
                <w:p>
                  <w:pPr>
                    <w:pStyle w:val="20"/>
                    <w:bidi w:val="0"/>
                  </w:pPr>
                  <w:r>
                    <w:rPr>
                      <w:rFonts w:hint="eastAsia"/>
                    </w:rPr>
                    <w:t>N</w:t>
                  </w:r>
                  <w:r>
                    <w:t xml:space="preserve">1 </w:t>
                  </w:r>
                  <w:r>
                    <w:rPr>
                      <w:rFonts w:hint="eastAsia"/>
                    </w:rPr>
                    <w:t>北</w:t>
                  </w:r>
                  <w:r>
                    <w:t>厂界</w:t>
                  </w:r>
                </w:p>
              </w:tc>
              <w:tc>
                <w:tcPr>
                  <w:tcW w:w="838" w:type="pct"/>
                  <w:tcBorders>
                    <w:tl2br w:val="nil"/>
                    <w:tr2bl w:val="nil"/>
                  </w:tcBorders>
                  <w:vAlign w:val="center"/>
                </w:tcPr>
                <w:p>
                  <w:pPr>
                    <w:pStyle w:val="20"/>
                    <w:bidi w:val="0"/>
                  </w:pPr>
                  <w:r>
                    <w:t>Leq（A）</w:t>
                  </w:r>
                </w:p>
              </w:tc>
              <w:tc>
                <w:tcPr>
                  <w:tcW w:w="718" w:type="pct"/>
                  <w:tcBorders>
                    <w:tl2br w:val="nil"/>
                    <w:tr2bl w:val="nil"/>
                  </w:tcBorders>
                  <w:vAlign w:val="center"/>
                </w:tcPr>
                <w:p>
                  <w:pPr>
                    <w:pStyle w:val="20"/>
                    <w:bidi w:val="0"/>
                  </w:pPr>
                  <w:r>
                    <w:t>50.3</w:t>
                  </w:r>
                </w:p>
              </w:tc>
              <w:tc>
                <w:tcPr>
                  <w:tcW w:w="718" w:type="pct"/>
                  <w:tcBorders>
                    <w:tl2br w:val="nil"/>
                    <w:tr2bl w:val="nil"/>
                  </w:tcBorders>
                  <w:vAlign w:val="center"/>
                </w:tcPr>
                <w:p>
                  <w:pPr>
                    <w:pStyle w:val="20"/>
                    <w:bidi w:val="0"/>
                  </w:pPr>
                  <w:r>
                    <w:rPr>
                      <w:rFonts w:hint="eastAsia"/>
                    </w:rPr>
                    <w:t>43.</w:t>
                  </w:r>
                  <w:r>
                    <w:t>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10.28</w:t>
                  </w:r>
                </w:p>
              </w:tc>
              <w:tc>
                <w:tcPr>
                  <w:tcW w:w="1028" w:type="pct"/>
                  <w:tcBorders>
                    <w:tl2br w:val="nil"/>
                    <w:tr2bl w:val="nil"/>
                  </w:tcBorders>
                  <w:vAlign w:val="center"/>
                </w:tcPr>
                <w:p>
                  <w:pPr>
                    <w:pStyle w:val="20"/>
                    <w:bidi w:val="0"/>
                  </w:pPr>
                  <w:r>
                    <w:rPr>
                      <w:rFonts w:hint="eastAsia"/>
                    </w:rPr>
                    <w:t>N</w:t>
                  </w:r>
                  <w:r>
                    <w:t xml:space="preserve">2 </w:t>
                  </w:r>
                  <w:r>
                    <w:rPr>
                      <w:rFonts w:hint="eastAsia"/>
                    </w:rPr>
                    <w:t>东</w:t>
                  </w:r>
                  <w:r>
                    <w:t>厂界</w:t>
                  </w:r>
                </w:p>
              </w:tc>
              <w:tc>
                <w:tcPr>
                  <w:tcW w:w="838" w:type="pct"/>
                  <w:tcBorders>
                    <w:tl2br w:val="nil"/>
                    <w:tr2bl w:val="nil"/>
                  </w:tcBorders>
                  <w:vAlign w:val="center"/>
                </w:tcPr>
                <w:p>
                  <w:pPr>
                    <w:pStyle w:val="20"/>
                    <w:bidi w:val="0"/>
                  </w:pPr>
                  <w:r>
                    <w:t>Leq（A）</w:t>
                  </w:r>
                </w:p>
              </w:tc>
              <w:tc>
                <w:tcPr>
                  <w:tcW w:w="718" w:type="pct"/>
                  <w:tcBorders>
                    <w:tl2br w:val="nil"/>
                    <w:tr2bl w:val="nil"/>
                  </w:tcBorders>
                  <w:vAlign w:val="center"/>
                </w:tcPr>
                <w:p>
                  <w:pPr>
                    <w:pStyle w:val="20"/>
                    <w:bidi w:val="0"/>
                  </w:pPr>
                  <w:r>
                    <w:t>49.6</w:t>
                  </w:r>
                </w:p>
              </w:tc>
              <w:tc>
                <w:tcPr>
                  <w:tcW w:w="718" w:type="pct"/>
                  <w:tcBorders>
                    <w:tl2br w:val="nil"/>
                    <w:tr2bl w:val="nil"/>
                  </w:tcBorders>
                  <w:vAlign w:val="center"/>
                </w:tcPr>
                <w:p>
                  <w:pPr>
                    <w:pStyle w:val="20"/>
                    <w:bidi w:val="0"/>
                  </w:pPr>
                  <w:r>
                    <w:rPr>
                      <w:rFonts w:hint="eastAsia"/>
                    </w:rPr>
                    <w:t>4</w:t>
                  </w:r>
                  <w:r>
                    <w:t>3</w:t>
                  </w:r>
                  <w:r>
                    <w:rPr>
                      <w:rFonts w:hint="eastAsia"/>
                    </w:rPr>
                    <w:t>.</w:t>
                  </w:r>
                  <w: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10.28</w:t>
                  </w:r>
                </w:p>
              </w:tc>
              <w:tc>
                <w:tcPr>
                  <w:tcW w:w="1028" w:type="pct"/>
                  <w:tcBorders>
                    <w:tl2br w:val="nil"/>
                    <w:tr2bl w:val="nil"/>
                  </w:tcBorders>
                </w:tcPr>
                <w:p>
                  <w:pPr>
                    <w:pStyle w:val="20"/>
                    <w:bidi w:val="0"/>
                  </w:pPr>
                  <w:r>
                    <w:rPr>
                      <w:rFonts w:hint="eastAsia"/>
                    </w:rPr>
                    <w:t>N</w:t>
                  </w:r>
                  <w:r>
                    <w:t>3</w:t>
                  </w:r>
                  <w:r>
                    <w:rPr>
                      <w:rFonts w:hint="eastAsia"/>
                    </w:rPr>
                    <w:t xml:space="preserve"> 西</w:t>
                  </w:r>
                  <w:r>
                    <w:t>厂界</w:t>
                  </w:r>
                </w:p>
              </w:tc>
              <w:tc>
                <w:tcPr>
                  <w:tcW w:w="838" w:type="pct"/>
                  <w:tcBorders>
                    <w:tl2br w:val="nil"/>
                    <w:tr2bl w:val="nil"/>
                  </w:tcBorders>
                </w:tcPr>
                <w:p>
                  <w:pPr>
                    <w:pStyle w:val="20"/>
                    <w:bidi w:val="0"/>
                  </w:pPr>
                  <w:r>
                    <w:t>Leq（A）</w:t>
                  </w:r>
                </w:p>
              </w:tc>
              <w:tc>
                <w:tcPr>
                  <w:tcW w:w="718" w:type="pct"/>
                  <w:tcBorders>
                    <w:tl2br w:val="nil"/>
                    <w:tr2bl w:val="nil"/>
                  </w:tcBorders>
                  <w:vAlign w:val="center"/>
                </w:tcPr>
                <w:p>
                  <w:pPr>
                    <w:pStyle w:val="20"/>
                    <w:bidi w:val="0"/>
                  </w:pPr>
                  <w:r>
                    <w:t>51.1</w:t>
                  </w:r>
                </w:p>
              </w:tc>
              <w:tc>
                <w:tcPr>
                  <w:tcW w:w="718" w:type="pct"/>
                  <w:tcBorders>
                    <w:tl2br w:val="nil"/>
                    <w:tr2bl w:val="nil"/>
                  </w:tcBorders>
                  <w:vAlign w:val="center"/>
                </w:tcPr>
                <w:p>
                  <w:pPr>
                    <w:pStyle w:val="20"/>
                    <w:bidi w:val="0"/>
                  </w:pPr>
                  <w:r>
                    <w:rPr>
                      <w:rFonts w:hint="eastAsia"/>
                    </w:rPr>
                    <w:t>4</w:t>
                  </w:r>
                  <w:r>
                    <w:t>5</w:t>
                  </w:r>
                  <w:r>
                    <w:rPr>
                      <w:rFonts w:hint="eastAsia"/>
                    </w:rPr>
                    <w:t>.</w:t>
                  </w:r>
                  <w: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10.28</w:t>
                  </w:r>
                </w:p>
              </w:tc>
              <w:tc>
                <w:tcPr>
                  <w:tcW w:w="1028" w:type="pct"/>
                  <w:tcBorders>
                    <w:tl2br w:val="nil"/>
                    <w:tr2bl w:val="nil"/>
                  </w:tcBorders>
                </w:tcPr>
                <w:p>
                  <w:pPr>
                    <w:pStyle w:val="20"/>
                    <w:bidi w:val="0"/>
                  </w:pPr>
                  <w:r>
                    <w:rPr>
                      <w:rFonts w:hint="eastAsia"/>
                    </w:rPr>
                    <w:t>N</w:t>
                  </w:r>
                  <w:r>
                    <w:t>4</w:t>
                  </w:r>
                  <w:r>
                    <w:rPr>
                      <w:rFonts w:hint="eastAsia"/>
                    </w:rPr>
                    <w:t xml:space="preserve"> 南</w:t>
                  </w:r>
                  <w:r>
                    <w:t>厂界</w:t>
                  </w:r>
                </w:p>
              </w:tc>
              <w:tc>
                <w:tcPr>
                  <w:tcW w:w="838" w:type="pct"/>
                  <w:tcBorders>
                    <w:tl2br w:val="nil"/>
                    <w:tr2bl w:val="nil"/>
                  </w:tcBorders>
                </w:tcPr>
                <w:p>
                  <w:pPr>
                    <w:pStyle w:val="20"/>
                    <w:bidi w:val="0"/>
                  </w:pPr>
                  <w:r>
                    <w:t>Leq（A）</w:t>
                  </w:r>
                </w:p>
              </w:tc>
              <w:tc>
                <w:tcPr>
                  <w:tcW w:w="718" w:type="pct"/>
                  <w:tcBorders>
                    <w:tl2br w:val="nil"/>
                    <w:tr2bl w:val="nil"/>
                  </w:tcBorders>
                  <w:vAlign w:val="center"/>
                </w:tcPr>
                <w:p>
                  <w:pPr>
                    <w:pStyle w:val="20"/>
                    <w:bidi w:val="0"/>
                  </w:pPr>
                  <w:r>
                    <w:rPr>
                      <w:rFonts w:hint="eastAsia"/>
                    </w:rPr>
                    <w:t>5</w:t>
                  </w:r>
                  <w:r>
                    <w:t>2</w:t>
                  </w:r>
                  <w:r>
                    <w:rPr>
                      <w:rFonts w:hint="eastAsia"/>
                    </w:rPr>
                    <w:t>.</w:t>
                  </w:r>
                  <w:r>
                    <w:t>4</w:t>
                  </w:r>
                </w:p>
              </w:tc>
              <w:tc>
                <w:tcPr>
                  <w:tcW w:w="718" w:type="pct"/>
                  <w:tcBorders>
                    <w:tl2br w:val="nil"/>
                    <w:tr2bl w:val="nil"/>
                  </w:tcBorders>
                  <w:vAlign w:val="center"/>
                </w:tcPr>
                <w:p>
                  <w:pPr>
                    <w:pStyle w:val="20"/>
                    <w:bidi w:val="0"/>
                  </w:pPr>
                  <w:r>
                    <w:rPr>
                      <w:rFonts w:hint="eastAsia"/>
                    </w:rPr>
                    <w:t>4</w:t>
                  </w:r>
                  <w:r>
                    <w:t>5</w:t>
                  </w:r>
                  <w:r>
                    <w:rPr>
                      <w:rFonts w:hint="eastAsia"/>
                    </w:rPr>
                    <w:t>.</w:t>
                  </w:r>
                  <w: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10.28</w:t>
                  </w:r>
                </w:p>
              </w:tc>
              <w:tc>
                <w:tcPr>
                  <w:tcW w:w="1028" w:type="pct"/>
                  <w:tcBorders>
                    <w:tl2br w:val="nil"/>
                    <w:tr2bl w:val="nil"/>
                  </w:tcBorders>
                  <w:vAlign w:val="center"/>
                </w:tcPr>
                <w:p>
                  <w:pPr>
                    <w:pStyle w:val="20"/>
                    <w:bidi w:val="0"/>
                  </w:pPr>
                  <w:r>
                    <w:rPr>
                      <w:rFonts w:hint="eastAsia"/>
                    </w:rPr>
                    <w:t>N5 卡地村</w:t>
                  </w:r>
                  <w:r>
                    <w:rPr>
                      <w:rFonts w:hint="eastAsia"/>
                      <w:lang w:val="en-US" w:eastAsia="zh-CN"/>
                    </w:rPr>
                    <w:t>四</w:t>
                  </w:r>
                  <w:r>
                    <w:rPr>
                      <w:rFonts w:hint="eastAsia"/>
                    </w:rPr>
                    <w:t>组</w:t>
                  </w:r>
                </w:p>
              </w:tc>
              <w:tc>
                <w:tcPr>
                  <w:tcW w:w="838" w:type="pct"/>
                  <w:tcBorders>
                    <w:tl2br w:val="nil"/>
                    <w:tr2bl w:val="nil"/>
                  </w:tcBorders>
                  <w:vAlign w:val="center"/>
                </w:tcPr>
                <w:p>
                  <w:pPr>
                    <w:pStyle w:val="20"/>
                    <w:bidi w:val="0"/>
                  </w:pPr>
                  <w:r>
                    <w:t>Leq（A）</w:t>
                  </w:r>
                </w:p>
              </w:tc>
              <w:tc>
                <w:tcPr>
                  <w:tcW w:w="718" w:type="pct"/>
                  <w:tcBorders>
                    <w:tl2br w:val="nil"/>
                    <w:tr2bl w:val="nil"/>
                  </w:tcBorders>
                  <w:vAlign w:val="center"/>
                </w:tcPr>
                <w:p>
                  <w:pPr>
                    <w:pStyle w:val="20"/>
                    <w:bidi w:val="0"/>
                  </w:pPr>
                  <w:r>
                    <w:t>50.3</w:t>
                  </w:r>
                </w:p>
              </w:tc>
              <w:tc>
                <w:tcPr>
                  <w:tcW w:w="718" w:type="pct"/>
                  <w:tcBorders>
                    <w:tl2br w:val="nil"/>
                    <w:tr2bl w:val="nil"/>
                  </w:tcBorders>
                  <w:vAlign w:val="center"/>
                </w:tcPr>
                <w:p>
                  <w:pPr>
                    <w:pStyle w:val="20"/>
                    <w:bidi w:val="0"/>
                  </w:pPr>
                  <w:r>
                    <w:t>44.8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767" w:type="pct"/>
                  <w:vMerge w:val="continue"/>
                  <w:tcBorders>
                    <w:tl2br w:val="nil"/>
                    <w:tr2bl w:val="nil"/>
                  </w:tcBorders>
                  <w:vAlign w:val="center"/>
                </w:tcPr>
                <w:p>
                  <w:pPr>
                    <w:pStyle w:val="20"/>
                    <w:bidi w:val="0"/>
                  </w:pPr>
                </w:p>
              </w:tc>
              <w:tc>
                <w:tcPr>
                  <w:tcW w:w="928" w:type="pct"/>
                  <w:tcBorders>
                    <w:tl2br w:val="nil"/>
                    <w:tr2bl w:val="nil"/>
                  </w:tcBorders>
                </w:tcPr>
                <w:p>
                  <w:pPr>
                    <w:pStyle w:val="20"/>
                    <w:bidi w:val="0"/>
                  </w:pPr>
                  <w:r>
                    <w:t>202</w:t>
                  </w:r>
                  <w:r>
                    <w:rPr>
                      <w:rFonts w:hint="eastAsia"/>
                    </w:rPr>
                    <w:t>3</w:t>
                  </w:r>
                  <w:r>
                    <w:t>.</w:t>
                  </w:r>
                  <w:r>
                    <w:rPr>
                      <w:rFonts w:hint="eastAsia"/>
                    </w:rPr>
                    <w:t>10.28</w:t>
                  </w:r>
                </w:p>
              </w:tc>
              <w:tc>
                <w:tcPr>
                  <w:tcW w:w="1028" w:type="pct"/>
                  <w:tcBorders>
                    <w:tl2br w:val="nil"/>
                    <w:tr2bl w:val="nil"/>
                  </w:tcBorders>
                  <w:vAlign w:val="center"/>
                </w:tcPr>
                <w:p>
                  <w:pPr>
                    <w:pStyle w:val="20"/>
                    <w:bidi w:val="0"/>
                  </w:pPr>
                  <w:r>
                    <w:rPr>
                      <w:rFonts w:hint="eastAsia"/>
                    </w:rPr>
                    <w:t>N6 卡</w:t>
                  </w:r>
                  <w:r>
                    <w:rPr>
                      <w:rFonts w:hint="eastAsia"/>
                      <w:lang w:val="en-US" w:eastAsia="zh-CN"/>
                    </w:rPr>
                    <w:t>地</w:t>
                  </w:r>
                  <w:r>
                    <w:rPr>
                      <w:rFonts w:hint="eastAsia"/>
                    </w:rPr>
                    <w:t>村</w:t>
                  </w:r>
                  <w:r>
                    <w:rPr>
                      <w:rFonts w:hint="eastAsia"/>
                      <w:lang w:val="en-US" w:eastAsia="zh-CN"/>
                    </w:rPr>
                    <w:t>二</w:t>
                  </w:r>
                  <w:r>
                    <w:rPr>
                      <w:rFonts w:hint="eastAsia"/>
                    </w:rPr>
                    <w:t>组</w:t>
                  </w:r>
                </w:p>
              </w:tc>
              <w:tc>
                <w:tcPr>
                  <w:tcW w:w="838" w:type="pct"/>
                  <w:tcBorders>
                    <w:tl2br w:val="nil"/>
                    <w:tr2bl w:val="nil"/>
                  </w:tcBorders>
                  <w:vAlign w:val="center"/>
                </w:tcPr>
                <w:p>
                  <w:pPr>
                    <w:pStyle w:val="20"/>
                    <w:bidi w:val="0"/>
                  </w:pPr>
                  <w:r>
                    <w:t>Leq（A）</w:t>
                  </w:r>
                </w:p>
              </w:tc>
              <w:tc>
                <w:tcPr>
                  <w:tcW w:w="718" w:type="pct"/>
                  <w:tcBorders>
                    <w:tl2br w:val="nil"/>
                    <w:tr2bl w:val="nil"/>
                  </w:tcBorders>
                  <w:vAlign w:val="center"/>
                </w:tcPr>
                <w:p>
                  <w:pPr>
                    <w:pStyle w:val="20"/>
                    <w:bidi w:val="0"/>
                  </w:pPr>
                  <w:r>
                    <w:t>49.7</w:t>
                  </w:r>
                </w:p>
              </w:tc>
              <w:tc>
                <w:tcPr>
                  <w:tcW w:w="718" w:type="pct"/>
                  <w:tcBorders>
                    <w:tl2br w:val="nil"/>
                    <w:tr2bl w:val="nil"/>
                  </w:tcBorders>
                  <w:vAlign w:val="center"/>
                </w:tcPr>
                <w:p>
                  <w:pPr>
                    <w:pStyle w:val="20"/>
                    <w:bidi w:val="0"/>
                  </w:pPr>
                  <w:r>
                    <w:rPr>
                      <w:rFonts w:hint="eastAsia"/>
                    </w:rPr>
                    <w:t>4</w:t>
                  </w:r>
                  <w:r>
                    <w:t>3</w:t>
                  </w:r>
                  <w:r>
                    <w:rPr>
                      <w:rFonts w:hint="eastAsia"/>
                    </w:rPr>
                    <w:t>.</w:t>
                  </w:r>
                  <w:r>
                    <w:t>6</w:t>
                  </w:r>
                </w:p>
              </w:tc>
            </w:tr>
          </w:tbl>
          <w:p>
            <w:pPr>
              <w:pStyle w:val="19"/>
              <w:bidi w:val="0"/>
              <w:rPr>
                <w:rFonts w:hint="default"/>
                <w:lang w:val="en-US" w:eastAsia="zh-CN"/>
              </w:rPr>
            </w:pPr>
            <w:r>
              <w:rPr>
                <w:rFonts w:hint="default"/>
                <w:lang w:val="en-US" w:eastAsia="zh-CN"/>
              </w:rPr>
              <w:t>由上表的分析结果可知，项目厂界四周各噪声监测点昼夜噪声值均满足《声环境质量标准》（GB3096-2008）中 3 类标准要求。</w:t>
            </w:r>
            <w:r>
              <w:rPr>
                <w:rFonts w:hint="eastAsia"/>
                <w:lang w:val="en-US" w:eastAsia="zh-CN"/>
              </w:rPr>
              <w:t>卡地村</w:t>
            </w:r>
            <w:r>
              <w:rPr>
                <w:rFonts w:hint="default"/>
                <w:lang w:val="en-US" w:eastAsia="zh-CN"/>
              </w:rPr>
              <w:t>监测点昼夜噪声值均满足《声环境质量标准》（GB3096-2008）中 2 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vAlign w:val="center"/>
          </w:tcPr>
          <w:p>
            <w:pPr>
              <w:numPr>
                <w:ilvl w:val="0"/>
                <w:numId w:val="0"/>
              </w:numPr>
              <w:ind w:right="40" w:rightChars="0"/>
              <w:jc w:val="center"/>
              <w:rPr>
                <w:rFonts w:hint="default"/>
                <w:vertAlign w:val="baseline"/>
                <w:lang w:val="en-US" w:eastAsia="zh-CN"/>
              </w:rPr>
            </w:pPr>
            <w:r>
              <w:rPr>
                <w:rFonts w:hint="eastAsia"/>
                <w:vertAlign w:val="baseline"/>
                <w:lang w:val="en-US" w:eastAsia="zh-CN"/>
              </w:rPr>
              <w:t>环境保护目标</w:t>
            </w:r>
          </w:p>
        </w:tc>
        <w:tc>
          <w:tcPr>
            <w:tcW w:w="8841" w:type="dxa"/>
          </w:tcPr>
          <w:p>
            <w:pPr>
              <w:numPr>
                <w:ilvl w:val="0"/>
                <w:numId w:val="0"/>
              </w:numPr>
              <w:ind w:leftChars="0" w:right="40" w:rightChars="0" w:firstLine="480" w:firstLineChars="200"/>
              <w:rPr>
                <w:rFonts w:hint="default"/>
                <w:lang w:val="en-US" w:eastAsia="zh-CN"/>
              </w:rPr>
            </w:pPr>
            <w:r>
              <w:rPr>
                <w:rFonts w:hint="default"/>
                <w:lang w:val="en-US" w:eastAsia="zh-CN"/>
              </w:rPr>
              <w:t>通过现场踏勘，同时根据《建设项目环境影响报告表编制技术指南（污染影响类）》（试行）要求，本项目厂界外500米范围内无地下水集中式饮用水水源和热水、矿泉水、温泉等特殊地下水资源；项目位于</w:t>
            </w:r>
            <w:r>
              <w:rPr>
                <w:rFonts w:hint="eastAsia"/>
                <w:lang w:val="en-US" w:eastAsia="zh-CN"/>
              </w:rPr>
              <w:t>花垣</w:t>
            </w:r>
            <w:r>
              <w:rPr>
                <w:rFonts w:hint="default"/>
                <w:lang w:val="en-US" w:eastAsia="zh-CN"/>
              </w:rPr>
              <w:t>产业</w:t>
            </w:r>
            <w:r>
              <w:rPr>
                <w:rFonts w:hint="eastAsia"/>
                <w:lang w:val="en-US" w:eastAsia="zh-CN"/>
              </w:rPr>
              <w:t>开发</w:t>
            </w:r>
            <w:r>
              <w:rPr>
                <w:rFonts w:hint="default"/>
                <w:lang w:val="en-US" w:eastAsia="zh-CN"/>
              </w:rPr>
              <w:t>区内，项目选址范围内不涉及重要物种、生态敏感区以及其他需要保护的物种、种群、生物群落及生态空间等相关的生态环境保护目标。</w:t>
            </w:r>
          </w:p>
          <w:p>
            <w:pPr>
              <w:numPr>
                <w:ilvl w:val="0"/>
                <w:numId w:val="0"/>
              </w:numPr>
              <w:ind w:leftChars="0" w:right="40" w:rightChars="0" w:firstLine="480" w:firstLineChars="200"/>
              <w:rPr>
                <w:rFonts w:hint="default"/>
                <w:lang w:val="en-US" w:eastAsia="zh-CN"/>
              </w:rPr>
            </w:pPr>
            <w:r>
              <w:rPr>
                <w:rFonts w:hint="eastAsia"/>
                <w:lang w:val="en-US" w:eastAsia="zh-CN"/>
              </w:rPr>
              <w:t>项目涉及大气环境保护目标和噪声环境保护目标，具体如下。</w:t>
            </w:r>
          </w:p>
          <w:p>
            <w:pPr>
              <w:bidi w:val="0"/>
              <w:jc w:val="center"/>
              <w:rPr>
                <w:rFonts w:hint="default"/>
                <w:b/>
                <w:bCs/>
                <w:lang w:val="en-US" w:eastAsia="zh-CN"/>
              </w:rPr>
            </w:pPr>
            <w:r>
              <w:rPr>
                <w:rFonts w:hint="eastAsia"/>
                <w:b/>
                <w:bCs/>
                <w:lang w:val="en-US" w:eastAsia="zh-CN"/>
              </w:rPr>
              <w:t>表3-13  大气环境保护目标</w:t>
            </w:r>
          </w:p>
          <w:tbl>
            <w:tblPr>
              <w:tblStyle w:val="15"/>
              <w:tblW w:w="4995"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042"/>
              <w:gridCol w:w="1410"/>
              <w:gridCol w:w="1527"/>
              <w:gridCol w:w="755"/>
              <w:gridCol w:w="925"/>
              <w:gridCol w:w="810"/>
              <w:gridCol w:w="951"/>
              <w:gridCol w:w="116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4" w:hRule="exact"/>
                <w:jc w:val="center"/>
              </w:trPr>
              <w:tc>
                <w:tcPr>
                  <w:tcW w:w="606" w:type="pct"/>
                  <w:vMerge w:val="restart"/>
                  <w:tcBorders>
                    <w:tl2br w:val="nil"/>
                    <w:tr2bl w:val="nil"/>
                  </w:tcBorders>
                  <w:noWrap w:val="0"/>
                  <w:vAlign w:val="center"/>
                </w:tcPr>
                <w:p>
                  <w:pPr>
                    <w:pStyle w:val="20"/>
                    <w:bidi w:val="0"/>
                  </w:pPr>
                  <w:r>
                    <w:t>名称</w:t>
                  </w:r>
                </w:p>
              </w:tc>
              <w:tc>
                <w:tcPr>
                  <w:tcW w:w="1710" w:type="pct"/>
                  <w:gridSpan w:val="2"/>
                  <w:tcBorders>
                    <w:tl2br w:val="nil"/>
                    <w:tr2bl w:val="nil"/>
                  </w:tcBorders>
                  <w:noWrap w:val="0"/>
                  <w:vAlign w:val="center"/>
                </w:tcPr>
                <w:p>
                  <w:pPr>
                    <w:pStyle w:val="20"/>
                    <w:bidi w:val="0"/>
                  </w:pPr>
                  <w:r>
                    <w:t>坐标(GCJ-02 坐标)</w:t>
                  </w:r>
                </w:p>
              </w:tc>
              <w:tc>
                <w:tcPr>
                  <w:tcW w:w="439" w:type="pct"/>
                  <w:vMerge w:val="restart"/>
                  <w:tcBorders>
                    <w:tl2br w:val="nil"/>
                    <w:tr2bl w:val="nil"/>
                  </w:tcBorders>
                  <w:noWrap w:val="0"/>
                  <w:vAlign w:val="center"/>
                </w:tcPr>
                <w:p>
                  <w:pPr>
                    <w:pStyle w:val="20"/>
                    <w:bidi w:val="0"/>
                  </w:pPr>
                  <w:r>
                    <w:t>保护对象</w:t>
                  </w:r>
                </w:p>
              </w:tc>
              <w:tc>
                <w:tcPr>
                  <w:tcW w:w="538" w:type="pct"/>
                  <w:vMerge w:val="restart"/>
                  <w:tcBorders>
                    <w:tl2br w:val="nil"/>
                    <w:tr2bl w:val="nil"/>
                  </w:tcBorders>
                  <w:noWrap w:val="0"/>
                  <w:vAlign w:val="center"/>
                </w:tcPr>
                <w:p>
                  <w:pPr>
                    <w:pStyle w:val="20"/>
                    <w:bidi w:val="0"/>
                  </w:pPr>
                  <w:r>
                    <w:t>保护内容</w:t>
                  </w:r>
                </w:p>
              </w:tc>
              <w:tc>
                <w:tcPr>
                  <w:tcW w:w="471" w:type="pct"/>
                  <w:vMerge w:val="restart"/>
                  <w:tcBorders>
                    <w:tl2br w:val="nil"/>
                    <w:tr2bl w:val="nil"/>
                  </w:tcBorders>
                  <w:noWrap w:val="0"/>
                  <w:vAlign w:val="center"/>
                </w:tcPr>
                <w:p>
                  <w:pPr>
                    <w:pStyle w:val="20"/>
                    <w:bidi w:val="0"/>
                  </w:pPr>
                  <w:r>
                    <w:t>环境功能区</w:t>
                  </w:r>
                </w:p>
              </w:tc>
              <w:tc>
                <w:tcPr>
                  <w:tcW w:w="553" w:type="pct"/>
                  <w:vMerge w:val="restart"/>
                  <w:tcBorders>
                    <w:tl2br w:val="nil"/>
                    <w:tr2bl w:val="nil"/>
                  </w:tcBorders>
                  <w:noWrap w:val="0"/>
                  <w:vAlign w:val="center"/>
                </w:tcPr>
                <w:p>
                  <w:pPr>
                    <w:pStyle w:val="20"/>
                    <w:bidi w:val="0"/>
                  </w:pPr>
                  <w:r>
                    <w:t>相对本项目方位</w:t>
                  </w:r>
                </w:p>
              </w:tc>
              <w:tc>
                <w:tcPr>
                  <w:tcW w:w="679" w:type="pct"/>
                  <w:vMerge w:val="restart"/>
                  <w:tcBorders>
                    <w:tl2br w:val="nil"/>
                    <w:tr2bl w:val="nil"/>
                  </w:tcBorders>
                  <w:noWrap w:val="0"/>
                  <w:vAlign w:val="center"/>
                </w:tcPr>
                <w:p>
                  <w:pPr>
                    <w:pStyle w:val="20"/>
                    <w:bidi w:val="0"/>
                  </w:pPr>
                  <w:r>
                    <w:t>相对本项目距离（m）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95" w:hRule="exact"/>
                <w:jc w:val="center"/>
              </w:trPr>
              <w:tc>
                <w:tcPr>
                  <w:tcW w:w="606" w:type="pct"/>
                  <w:vMerge w:val="continue"/>
                  <w:tcBorders>
                    <w:tl2br w:val="nil"/>
                    <w:tr2bl w:val="nil"/>
                  </w:tcBorders>
                  <w:noWrap w:val="0"/>
                  <w:vAlign w:val="center"/>
                </w:tcPr>
                <w:p>
                  <w:pPr>
                    <w:pStyle w:val="20"/>
                    <w:bidi w:val="0"/>
                  </w:pPr>
                </w:p>
              </w:tc>
              <w:tc>
                <w:tcPr>
                  <w:tcW w:w="821" w:type="pct"/>
                  <w:tcBorders>
                    <w:tl2br w:val="nil"/>
                    <w:tr2bl w:val="nil"/>
                  </w:tcBorders>
                  <w:noWrap w:val="0"/>
                  <w:vAlign w:val="center"/>
                </w:tcPr>
                <w:p>
                  <w:pPr>
                    <w:pStyle w:val="20"/>
                    <w:bidi w:val="0"/>
                  </w:pPr>
                  <w:r>
                    <w:t>E</w:t>
                  </w:r>
                </w:p>
              </w:tc>
              <w:tc>
                <w:tcPr>
                  <w:tcW w:w="889" w:type="pct"/>
                  <w:tcBorders>
                    <w:tl2br w:val="nil"/>
                    <w:tr2bl w:val="nil"/>
                  </w:tcBorders>
                  <w:noWrap w:val="0"/>
                  <w:vAlign w:val="center"/>
                </w:tcPr>
                <w:p>
                  <w:pPr>
                    <w:pStyle w:val="20"/>
                    <w:bidi w:val="0"/>
                  </w:pPr>
                  <w:r>
                    <w:t>N</w:t>
                  </w:r>
                </w:p>
              </w:tc>
              <w:tc>
                <w:tcPr>
                  <w:tcW w:w="439" w:type="pct"/>
                  <w:vMerge w:val="continue"/>
                  <w:tcBorders>
                    <w:tl2br w:val="nil"/>
                    <w:tr2bl w:val="nil"/>
                  </w:tcBorders>
                  <w:noWrap w:val="0"/>
                  <w:vAlign w:val="center"/>
                </w:tcPr>
                <w:p>
                  <w:pPr>
                    <w:pStyle w:val="20"/>
                    <w:bidi w:val="0"/>
                  </w:pPr>
                </w:p>
              </w:tc>
              <w:tc>
                <w:tcPr>
                  <w:tcW w:w="538" w:type="pct"/>
                  <w:vMerge w:val="continue"/>
                  <w:tcBorders>
                    <w:tl2br w:val="nil"/>
                    <w:tr2bl w:val="nil"/>
                  </w:tcBorders>
                  <w:noWrap w:val="0"/>
                  <w:vAlign w:val="center"/>
                </w:tcPr>
                <w:p>
                  <w:pPr>
                    <w:pStyle w:val="20"/>
                    <w:bidi w:val="0"/>
                  </w:pPr>
                </w:p>
              </w:tc>
              <w:tc>
                <w:tcPr>
                  <w:tcW w:w="471" w:type="pct"/>
                  <w:vMerge w:val="continue"/>
                  <w:tcBorders>
                    <w:tl2br w:val="nil"/>
                    <w:tr2bl w:val="nil"/>
                  </w:tcBorders>
                  <w:noWrap w:val="0"/>
                  <w:vAlign w:val="center"/>
                </w:tcPr>
                <w:p>
                  <w:pPr>
                    <w:pStyle w:val="20"/>
                    <w:bidi w:val="0"/>
                  </w:pPr>
                </w:p>
              </w:tc>
              <w:tc>
                <w:tcPr>
                  <w:tcW w:w="553" w:type="pct"/>
                  <w:vMerge w:val="continue"/>
                  <w:tcBorders>
                    <w:tl2br w:val="nil"/>
                    <w:tr2bl w:val="nil"/>
                  </w:tcBorders>
                  <w:noWrap w:val="0"/>
                  <w:vAlign w:val="center"/>
                </w:tcPr>
                <w:p>
                  <w:pPr>
                    <w:pStyle w:val="20"/>
                    <w:bidi w:val="0"/>
                  </w:pPr>
                </w:p>
              </w:tc>
              <w:tc>
                <w:tcPr>
                  <w:tcW w:w="679" w:type="pct"/>
                  <w:vMerge w:val="continue"/>
                  <w:tcBorders>
                    <w:tl2br w:val="nil"/>
                    <w:tr2bl w:val="nil"/>
                  </w:tcBorders>
                  <w:noWrap w:val="0"/>
                  <w:vAlign w:val="center"/>
                </w:tcPr>
                <w:p>
                  <w:pPr>
                    <w:pStyle w:val="20"/>
                    <w:bidi w:val="0"/>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85" w:hRule="exact"/>
                <w:jc w:val="center"/>
              </w:trPr>
              <w:tc>
                <w:tcPr>
                  <w:tcW w:w="606" w:type="pct"/>
                  <w:tcBorders>
                    <w:tl2br w:val="nil"/>
                    <w:tr2bl w:val="nil"/>
                  </w:tcBorders>
                  <w:noWrap w:val="0"/>
                  <w:vAlign w:val="center"/>
                </w:tcPr>
                <w:p>
                  <w:pPr>
                    <w:pStyle w:val="20"/>
                    <w:bidi w:val="0"/>
                    <w:rPr>
                      <w:rFonts w:hint="default"/>
                      <w:lang w:val="en-US" w:eastAsia="zh-CN"/>
                    </w:rPr>
                  </w:pPr>
                  <w:r>
                    <w:rPr>
                      <w:rFonts w:hint="eastAsia"/>
                      <w:lang w:val="en-US" w:eastAsia="zh-CN"/>
                    </w:rPr>
                    <w:t>卡地村四组</w:t>
                  </w:r>
                </w:p>
              </w:tc>
              <w:tc>
                <w:tcPr>
                  <w:tcW w:w="821" w:type="pct"/>
                  <w:tcBorders>
                    <w:tl2br w:val="nil"/>
                    <w:tr2bl w:val="nil"/>
                  </w:tcBorders>
                  <w:noWrap w:val="0"/>
                  <w:vAlign w:val="center"/>
                </w:tcPr>
                <w:p>
                  <w:pPr>
                    <w:pStyle w:val="20"/>
                    <w:bidi w:val="0"/>
                  </w:pPr>
                  <w:r>
                    <w:rPr>
                      <w:rFonts w:hint="eastAsia"/>
                    </w:rPr>
                    <w:t>109.43658</w:t>
                  </w:r>
                </w:p>
              </w:tc>
              <w:tc>
                <w:tcPr>
                  <w:tcW w:w="889" w:type="pct"/>
                  <w:tcBorders>
                    <w:tl2br w:val="nil"/>
                    <w:tr2bl w:val="nil"/>
                  </w:tcBorders>
                  <w:noWrap w:val="0"/>
                  <w:vAlign w:val="center"/>
                </w:tcPr>
                <w:p>
                  <w:pPr>
                    <w:pStyle w:val="20"/>
                    <w:bidi w:val="0"/>
                  </w:pPr>
                  <w:r>
                    <w:rPr>
                      <w:rFonts w:hint="eastAsia"/>
                    </w:rPr>
                    <w:t>28.59329</w:t>
                  </w:r>
                </w:p>
              </w:tc>
              <w:tc>
                <w:tcPr>
                  <w:tcW w:w="439" w:type="pct"/>
                  <w:tcBorders>
                    <w:tl2br w:val="nil"/>
                    <w:tr2bl w:val="nil"/>
                  </w:tcBorders>
                  <w:noWrap w:val="0"/>
                  <w:vAlign w:val="center"/>
                </w:tcPr>
                <w:p>
                  <w:pPr>
                    <w:pStyle w:val="20"/>
                    <w:bidi w:val="0"/>
                  </w:pPr>
                  <w:r>
                    <w:t>居民区</w:t>
                  </w:r>
                </w:p>
              </w:tc>
              <w:tc>
                <w:tcPr>
                  <w:tcW w:w="538" w:type="pct"/>
                  <w:tcBorders>
                    <w:tl2br w:val="nil"/>
                    <w:tr2bl w:val="nil"/>
                  </w:tcBorders>
                  <w:noWrap w:val="0"/>
                  <w:vAlign w:val="center"/>
                </w:tcPr>
                <w:p>
                  <w:pPr>
                    <w:pStyle w:val="20"/>
                    <w:bidi w:val="0"/>
                    <w:rPr>
                      <w:rFonts w:hint="eastAsia"/>
                      <w:lang w:val="en-US" w:eastAsia="zh-CN"/>
                    </w:rPr>
                  </w:pPr>
                  <w:r>
                    <w:rPr>
                      <w:rFonts w:hint="eastAsia"/>
                      <w:lang w:val="en-US" w:eastAsia="zh-CN"/>
                    </w:rPr>
                    <w:t>居民</w:t>
                  </w:r>
                </w:p>
                <w:p>
                  <w:pPr>
                    <w:pStyle w:val="20"/>
                    <w:bidi w:val="0"/>
                    <w:rPr>
                      <w:rFonts w:hint="default"/>
                      <w:lang w:val="en-US" w:eastAsia="zh-CN"/>
                    </w:rPr>
                  </w:pPr>
                  <w:r>
                    <w:rPr>
                      <w:rFonts w:hint="eastAsia"/>
                      <w:lang w:val="en-US" w:eastAsia="zh-CN"/>
                    </w:rPr>
                    <w:t>约60户</w:t>
                  </w:r>
                </w:p>
              </w:tc>
              <w:tc>
                <w:tcPr>
                  <w:tcW w:w="471" w:type="pct"/>
                  <w:tcBorders>
                    <w:tl2br w:val="nil"/>
                    <w:tr2bl w:val="nil"/>
                  </w:tcBorders>
                  <w:noWrap w:val="0"/>
                  <w:vAlign w:val="center"/>
                </w:tcPr>
                <w:p>
                  <w:pPr>
                    <w:pStyle w:val="20"/>
                    <w:bidi w:val="0"/>
                  </w:pPr>
                  <w:r>
                    <w:t>二类</w:t>
                  </w:r>
                </w:p>
              </w:tc>
              <w:tc>
                <w:tcPr>
                  <w:tcW w:w="553" w:type="pct"/>
                  <w:tcBorders>
                    <w:tl2br w:val="nil"/>
                    <w:tr2bl w:val="nil"/>
                  </w:tcBorders>
                  <w:noWrap w:val="0"/>
                  <w:vAlign w:val="center"/>
                </w:tcPr>
                <w:p>
                  <w:pPr>
                    <w:pStyle w:val="20"/>
                    <w:bidi w:val="0"/>
                    <w:rPr>
                      <w:rFonts w:hint="default"/>
                      <w:lang w:val="en-US" w:eastAsia="zh-CN"/>
                    </w:rPr>
                  </w:pPr>
                  <w:r>
                    <w:rPr>
                      <w:rFonts w:hint="eastAsia"/>
                      <w:lang w:val="en-US" w:eastAsia="zh-CN"/>
                    </w:rPr>
                    <w:t>N</w:t>
                  </w:r>
                </w:p>
              </w:tc>
              <w:tc>
                <w:tcPr>
                  <w:tcW w:w="679" w:type="pct"/>
                  <w:tcBorders>
                    <w:tl2br w:val="nil"/>
                    <w:tr2bl w:val="nil"/>
                  </w:tcBorders>
                  <w:noWrap w:val="0"/>
                  <w:vAlign w:val="center"/>
                </w:tcPr>
                <w:p>
                  <w:pPr>
                    <w:pStyle w:val="20"/>
                    <w:bidi w:val="0"/>
                    <w:rPr>
                      <w:rFonts w:hint="default"/>
                      <w:lang w:val="en-US" w:eastAsia="zh-CN"/>
                    </w:rPr>
                  </w:pPr>
                  <w:r>
                    <w:rPr>
                      <w:rFonts w:hint="eastAsia"/>
                      <w:lang w:val="en-US" w:eastAsia="zh-CN"/>
                    </w:rPr>
                    <w:t>150m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06" w:hRule="exact"/>
                <w:jc w:val="center"/>
              </w:trPr>
              <w:tc>
                <w:tcPr>
                  <w:tcW w:w="606" w:type="pct"/>
                  <w:tcBorders>
                    <w:tl2br w:val="nil"/>
                    <w:tr2bl w:val="nil"/>
                  </w:tcBorders>
                  <w:noWrap w:val="0"/>
                  <w:vAlign w:val="center"/>
                </w:tcPr>
                <w:p>
                  <w:pPr>
                    <w:pStyle w:val="20"/>
                    <w:bidi w:val="0"/>
                    <w:rPr>
                      <w:rFonts w:hint="default"/>
                      <w:lang w:val="en-US" w:eastAsia="zh-CN"/>
                    </w:rPr>
                  </w:pPr>
                  <w:r>
                    <w:rPr>
                      <w:rFonts w:hint="eastAsia"/>
                      <w:lang w:val="en-US" w:eastAsia="zh-CN"/>
                    </w:rPr>
                    <w:t>卡地村二组</w:t>
                  </w:r>
                </w:p>
              </w:tc>
              <w:tc>
                <w:tcPr>
                  <w:tcW w:w="821" w:type="pct"/>
                  <w:tcBorders>
                    <w:tl2br w:val="nil"/>
                    <w:tr2bl w:val="nil"/>
                  </w:tcBorders>
                  <w:noWrap w:val="0"/>
                  <w:vAlign w:val="center"/>
                </w:tcPr>
                <w:p>
                  <w:pPr>
                    <w:pStyle w:val="20"/>
                    <w:bidi w:val="0"/>
                  </w:pPr>
                  <w:r>
                    <w:rPr>
                      <w:rFonts w:hint="eastAsia"/>
                    </w:rPr>
                    <w:t>109.43904</w:t>
                  </w:r>
                </w:p>
              </w:tc>
              <w:tc>
                <w:tcPr>
                  <w:tcW w:w="889" w:type="pct"/>
                  <w:tcBorders>
                    <w:tl2br w:val="nil"/>
                    <w:tr2bl w:val="nil"/>
                  </w:tcBorders>
                  <w:noWrap w:val="0"/>
                  <w:vAlign w:val="center"/>
                </w:tcPr>
                <w:p>
                  <w:pPr>
                    <w:pStyle w:val="20"/>
                    <w:bidi w:val="0"/>
                  </w:pPr>
                  <w:r>
                    <w:rPr>
                      <w:rFonts w:hint="eastAsia"/>
                    </w:rPr>
                    <w:t>28.59538</w:t>
                  </w:r>
                </w:p>
              </w:tc>
              <w:tc>
                <w:tcPr>
                  <w:tcW w:w="439" w:type="pct"/>
                  <w:tcBorders>
                    <w:tl2br w:val="nil"/>
                    <w:tr2bl w:val="nil"/>
                  </w:tcBorders>
                  <w:noWrap w:val="0"/>
                  <w:vAlign w:val="center"/>
                </w:tcPr>
                <w:p>
                  <w:pPr>
                    <w:pStyle w:val="20"/>
                    <w:bidi w:val="0"/>
                  </w:pPr>
                  <w:r>
                    <w:t>居民区</w:t>
                  </w:r>
                </w:p>
              </w:tc>
              <w:tc>
                <w:tcPr>
                  <w:tcW w:w="538" w:type="pct"/>
                  <w:tcBorders>
                    <w:tl2br w:val="nil"/>
                    <w:tr2bl w:val="nil"/>
                  </w:tcBorders>
                  <w:noWrap w:val="0"/>
                  <w:vAlign w:val="center"/>
                </w:tcPr>
                <w:p>
                  <w:pPr>
                    <w:pStyle w:val="20"/>
                    <w:bidi w:val="0"/>
                  </w:pPr>
                  <w:r>
                    <w:t>居民</w:t>
                  </w:r>
                </w:p>
                <w:p>
                  <w:pPr>
                    <w:pStyle w:val="20"/>
                    <w:bidi w:val="0"/>
                    <w:rPr>
                      <w:rFonts w:hint="default"/>
                      <w:lang w:val="en-US" w:eastAsia="zh-CN"/>
                    </w:rPr>
                  </w:pPr>
                  <w:r>
                    <w:rPr>
                      <w:rFonts w:hint="eastAsia"/>
                      <w:lang w:val="en-US" w:eastAsia="zh-CN"/>
                    </w:rPr>
                    <w:t>约80户</w:t>
                  </w:r>
                </w:p>
              </w:tc>
              <w:tc>
                <w:tcPr>
                  <w:tcW w:w="471" w:type="pct"/>
                  <w:tcBorders>
                    <w:tl2br w:val="nil"/>
                    <w:tr2bl w:val="nil"/>
                  </w:tcBorders>
                  <w:noWrap w:val="0"/>
                  <w:vAlign w:val="center"/>
                </w:tcPr>
                <w:p>
                  <w:pPr>
                    <w:pStyle w:val="20"/>
                    <w:bidi w:val="0"/>
                  </w:pPr>
                  <w:r>
                    <w:t>二类</w:t>
                  </w:r>
                </w:p>
              </w:tc>
              <w:tc>
                <w:tcPr>
                  <w:tcW w:w="553" w:type="pct"/>
                  <w:tcBorders>
                    <w:tl2br w:val="nil"/>
                    <w:tr2bl w:val="nil"/>
                  </w:tcBorders>
                  <w:noWrap w:val="0"/>
                  <w:vAlign w:val="center"/>
                </w:tcPr>
                <w:p>
                  <w:pPr>
                    <w:pStyle w:val="20"/>
                    <w:bidi w:val="0"/>
                    <w:rPr>
                      <w:rFonts w:hint="eastAsia"/>
                      <w:lang w:val="en-US" w:eastAsia="zh-CN"/>
                    </w:rPr>
                  </w:pPr>
                  <w:r>
                    <w:rPr>
                      <w:rFonts w:hint="eastAsia"/>
                      <w:lang w:val="en-US" w:eastAsia="zh-CN"/>
                    </w:rPr>
                    <w:t>N</w:t>
                  </w:r>
                </w:p>
              </w:tc>
              <w:tc>
                <w:tcPr>
                  <w:tcW w:w="679" w:type="pct"/>
                  <w:tcBorders>
                    <w:tl2br w:val="nil"/>
                    <w:tr2bl w:val="nil"/>
                  </w:tcBorders>
                  <w:noWrap w:val="0"/>
                  <w:vAlign w:val="center"/>
                </w:tcPr>
                <w:p>
                  <w:pPr>
                    <w:pStyle w:val="20"/>
                    <w:bidi w:val="0"/>
                    <w:rPr>
                      <w:rFonts w:hint="default"/>
                      <w:lang w:val="en-US" w:eastAsia="zh-CN"/>
                    </w:rPr>
                  </w:pPr>
                  <w:r>
                    <w:rPr>
                      <w:rFonts w:hint="eastAsia"/>
                      <w:lang w:val="en-US" w:eastAsia="zh-CN"/>
                    </w:rPr>
                    <w:t>50m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06" w:hRule="exact"/>
                <w:jc w:val="center"/>
              </w:trPr>
              <w:tc>
                <w:tcPr>
                  <w:tcW w:w="606" w:type="pct"/>
                  <w:tcBorders>
                    <w:tl2br w:val="nil"/>
                    <w:tr2bl w:val="nil"/>
                  </w:tcBorders>
                  <w:noWrap w:val="0"/>
                  <w:vAlign w:val="center"/>
                </w:tcPr>
                <w:p>
                  <w:pPr>
                    <w:pStyle w:val="20"/>
                    <w:bidi w:val="0"/>
                    <w:rPr>
                      <w:rFonts w:hint="default"/>
                      <w:lang w:val="en-US" w:eastAsia="zh-CN"/>
                    </w:rPr>
                  </w:pPr>
                  <w:r>
                    <w:rPr>
                      <w:rFonts w:hint="eastAsia"/>
                      <w:lang w:val="en-US" w:eastAsia="zh-CN"/>
                    </w:rPr>
                    <w:t>卡地村三组</w:t>
                  </w:r>
                </w:p>
              </w:tc>
              <w:tc>
                <w:tcPr>
                  <w:tcW w:w="821" w:type="pct"/>
                  <w:tcBorders>
                    <w:tl2br w:val="nil"/>
                    <w:tr2bl w:val="nil"/>
                  </w:tcBorders>
                  <w:noWrap w:val="0"/>
                  <w:vAlign w:val="center"/>
                </w:tcPr>
                <w:p>
                  <w:pPr>
                    <w:pStyle w:val="20"/>
                    <w:bidi w:val="0"/>
                  </w:pPr>
                  <w:r>
                    <w:rPr>
                      <w:rFonts w:hint="eastAsia"/>
                    </w:rPr>
                    <w:t>109.44024</w:t>
                  </w:r>
                </w:p>
              </w:tc>
              <w:tc>
                <w:tcPr>
                  <w:tcW w:w="889" w:type="pct"/>
                  <w:tcBorders>
                    <w:tl2br w:val="nil"/>
                    <w:tr2bl w:val="nil"/>
                  </w:tcBorders>
                  <w:noWrap w:val="0"/>
                  <w:vAlign w:val="center"/>
                </w:tcPr>
                <w:p>
                  <w:pPr>
                    <w:pStyle w:val="20"/>
                    <w:bidi w:val="0"/>
                  </w:pPr>
                  <w:r>
                    <w:rPr>
                      <w:rFonts w:hint="eastAsia"/>
                    </w:rPr>
                    <w:t>28.59156</w:t>
                  </w:r>
                </w:p>
              </w:tc>
              <w:tc>
                <w:tcPr>
                  <w:tcW w:w="757" w:type="dxa"/>
                  <w:tcBorders>
                    <w:tl2br w:val="nil"/>
                    <w:tr2bl w:val="nil"/>
                  </w:tcBorders>
                  <w:noWrap w:val="0"/>
                  <w:vAlign w:val="center"/>
                </w:tcPr>
                <w:p>
                  <w:pPr>
                    <w:pStyle w:val="20"/>
                    <w:bidi w:val="0"/>
                  </w:pPr>
                  <w:r>
                    <w:t>居民区</w:t>
                  </w:r>
                </w:p>
              </w:tc>
              <w:tc>
                <w:tcPr>
                  <w:tcW w:w="928" w:type="dxa"/>
                  <w:tcBorders>
                    <w:tl2br w:val="nil"/>
                    <w:tr2bl w:val="nil"/>
                  </w:tcBorders>
                  <w:noWrap w:val="0"/>
                  <w:vAlign w:val="center"/>
                </w:tcPr>
                <w:p>
                  <w:pPr>
                    <w:pStyle w:val="20"/>
                    <w:bidi w:val="0"/>
                    <w:rPr>
                      <w:rFonts w:hint="eastAsia"/>
                      <w:lang w:val="en-US" w:eastAsia="zh-CN"/>
                    </w:rPr>
                  </w:pPr>
                  <w:r>
                    <w:rPr>
                      <w:rFonts w:hint="eastAsia"/>
                      <w:lang w:val="en-US" w:eastAsia="zh-CN"/>
                    </w:rPr>
                    <w:t>居民</w:t>
                  </w:r>
                </w:p>
                <w:p>
                  <w:pPr>
                    <w:pStyle w:val="20"/>
                    <w:bidi w:val="0"/>
                    <w:rPr>
                      <w:rFonts w:hint="default"/>
                      <w:lang w:val="en-US"/>
                    </w:rPr>
                  </w:pPr>
                  <w:r>
                    <w:rPr>
                      <w:rFonts w:hint="eastAsia"/>
                      <w:lang w:val="en-US" w:eastAsia="zh-CN"/>
                    </w:rPr>
                    <w:t>约70户</w:t>
                  </w:r>
                </w:p>
              </w:tc>
              <w:tc>
                <w:tcPr>
                  <w:tcW w:w="812" w:type="dxa"/>
                  <w:tcBorders>
                    <w:tl2br w:val="nil"/>
                    <w:tr2bl w:val="nil"/>
                  </w:tcBorders>
                  <w:noWrap w:val="0"/>
                  <w:vAlign w:val="center"/>
                </w:tcPr>
                <w:p>
                  <w:pPr>
                    <w:pStyle w:val="20"/>
                    <w:bidi w:val="0"/>
                  </w:pPr>
                  <w:r>
                    <w:t>二类</w:t>
                  </w:r>
                </w:p>
              </w:tc>
              <w:tc>
                <w:tcPr>
                  <w:tcW w:w="553" w:type="pct"/>
                  <w:tcBorders>
                    <w:tl2br w:val="nil"/>
                    <w:tr2bl w:val="nil"/>
                  </w:tcBorders>
                  <w:noWrap w:val="0"/>
                  <w:vAlign w:val="center"/>
                </w:tcPr>
                <w:p>
                  <w:pPr>
                    <w:pStyle w:val="20"/>
                    <w:bidi w:val="0"/>
                    <w:rPr>
                      <w:rFonts w:hint="eastAsia"/>
                      <w:lang w:val="en-US" w:eastAsia="zh-CN"/>
                    </w:rPr>
                  </w:pPr>
                  <w:r>
                    <w:rPr>
                      <w:rFonts w:hint="eastAsia"/>
                      <w:lang w:val="en-US" w:eastAsia="zh-CN"/>
                    </w:rPr>
                    <w:t>E</w:t>
                  </w:r>
                </w:p>
              </w:tc>
              <w:tc>
                <w:tcPr>
                  <w:tcW w:w="679" w:type="pct"/>
                  <w:tcBorders>
                    <w:tl2br w:val="nil"/>
                    <w:tr2bl w:val="nil"/>
                  </w:tcBorders>
                  <w:noWrap w:val="0"/>
                  <w:vAlign w:val="center"/>
                </w:tcPr>
                <w:p>
                  <w:pPr>
                    <w:pStyle w:val="20"/>
                    <w:bidi w:val="0"/>
                    <w:rPr>
                      <w:rFonts w:hint="default"/>
                      <w:lang w:val="en-US" w:eastAsia="zh-CN"/>
                    </w:rPr>
                  </w:pPr>
                  <w:r>
                    <w:rPr>
                      <w:rFonts w:hint="eastAsia"/>
                      <w:lang w:val="en-US" w:eastAsia="zh-CN"/>
                    </w:rPr>
                    <w:t>300m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06" w:hRule="exact"/>
                <w:jc w:val="center"/>
              </w:trPr>
              <w:tc>
                <w:tcPr>
                  <w:tcW w:w="606" w:type="pct"/>
                  <w:tcBorders>
                    <w:tl2br w:val="nil"/>
                    <w:tr2bl w:val="nil"/>
                  </w:tcBorders>
                  <w:noWrap w:val="0"/>
                  <w:vAlign w:val="center"/>
                </w:tcPr>
                <w:p>
                  <w:pPr>
                    <w:pStyle w:val="20"/>
                    <w:bidi w:val="0"/>
                    <w:rPr>
                      <w:rFonts w:hint="default"/>
                      <w:lang w:val="en-US" w:eastAsia="zh-CN"/>
                    </w:rPr>
                  </w:pPr>
                  <w:r>
                    <w:rPr>
                      <w:rFonts w:hint="eastAsia"/>
                      <w:lang w:val="en-US" w:eastAsia="zh-CN"/>
                    </w:rPr>
                    <w:t>卡地村一组</w:t>
                  </w:r>
                </w:p>
              </w:tc>
              <w:tc>
                <w:tcPr>
                  <w:tcW w:w="821" w:type="pct"/>
                  <w:tcBorders>
                    <w:tl2br w:val="nil"/>
                    <w:tr2bl w:val="nil"/>
                  </w:tcBorders>
                  <w:noWrap w:val="0"/>
                  <w:vAlign w:val="center"/>
                </w:tcPr>
                <w:p>
                  <w:pPr>
                    <w:pStyle w:val="20"/>
                    <w:bidi w:val="0"/>
                  </w:pPr>
                  <w:r>
                    <w:rPr>
                      <w:rFonts w:hint="eastAsia"/>
                    </w:rPr>
                    <w:t>109.44209</w:t>
                  </w:r>
                </w:p>
              </w:tc>
              <w:tc>
                <w:tcPr>
                  <w:tcW w:w="889" w:type="pct"/>
                  <w:tcBorders>
                    <w:tl2br w:val="nil"/>
                    <w:tr2bl w:val="nil"/>
                  </w:tcBorders>
                  <w:noWrap w:val="0"/>
                  <w:vAlign w:val="center"/>
                </w:tcPr>
                <w:p>
                  <w:pPr>
                    <w:pStyle w:val="20"/>
                    <w:bidi w:val="0"/>
                  </w:pPr>
                  <w:r>
                    <w:rPr>
                      <w:rFonts w:hint="eastAsia"/>
                    </w:rPr>
                    <w:t>28.59142</w:t>
                  </w:r>
                </w:p>
              </w:tc>
              <w:tc>
                <w:tcPr>
                  <w:tcW w:w="757" w:type="dxa"/>
                  <w:tcBorders>
                    <w:tl2br w:val="nil"/>
                    <w:tr2bl w:val="nil"/>
                  </w:tcBorders>
                  <w:noWrap w:val="0"/>
                  <w:vAlign w:val="center"/>
                </w:tcPr>
                <w:p>
                  <w:pPr>
                    <w:pStyle w:val="20"/>
                    <w:bidi w:val="0"/>
                  </w:pPr>
                  <w:r>
                    <w:t>居民区</w:t>
                  </w:r>
                </w:p>
              </w:tc>
              <w:tc>
                <w:tcPr>
                  <w:tcW w:w="928" w:type="dxa"/>
                  <w:tcBorders>
                    <w:tl2br w:val="nil"/>
                    <w:tr2bl w:val="nil"/>
                  </w:tcBorders>
                  <w:noWrap w:val="0"/>
                  <w:vAlign w:val="center"/>
                </w:tcPr>
                <w:p>
                  <w:pPr>
                    <w:pStyle w:val="20"/>
                    <w:bidi w:val="0"/>
                  </w:pPr>
                  <w:r>
                    <w:t>居民</w:t>
                  </w:r>
                </w:p>
                <w:p>
                  <w:pPr>
                    <w:pStyle w:val="20"/>
                    <w:bidi w:val="0"/>
                    <w:rPr>
                      <w:rFonts w:hint="default"/>
                      <w:lang w:val="en-US" w:eastAsia="zh-CN"/>
                    </w:rPr>
                  </w:pPr>
                  <w:r>
                    <w:rPr>
                      <w:rFonts w:hint="eastAsia"/>
                      <w:lang w:val="en-US" w:eastAsia="zh-CN"/>
                    </w:rPr>
                    <w:t>约40户</w:t>
                  </w:r>
                </w:p>
              </w:tc>
              <w:tc>
                <w:tcPr>
                  <w:tcW w:w="812" w:type="dxa"/>
                  <w:tcBorders>
                    <w:tl2br w:val="nil"/>
                    <w:tr2bl w:val="nil"/>
                  </w:tcBorders>
                  <w:noWrap w:val="0"/>
                  <w:vAlign w:val="center"/>
                </w:tcPr>
                <w:p>
                  <w:pPr>
                    <w:pStyle w:val="20"/>
                    <w:bidi w:val="0"/>
                  </w:pPr>
                  <w:r>
                    <w:t>二类</w:t>
                  </w:r>
                </w:p>
              </w:tc>
              <w:tc>
                <w:tcPr>
                  <w:tcW w:w="553" w:type="pct"/>
                  <w:tcBorders>
                    <w:tl2br w:val="nil"/>
                    <w:tr2bl w:val="nil"/>
                  </w:tcBorders>
                  <w:noWrap w:val="0"/>
                  <w:vAlign w:val="center"/>
                </w:tcPr>
                <w:p>
                  <w:pPr>
                    <w:pStyle w:val="20"/>
                    <w:bidi w:val="0"/>
                    <w:rPr>
                      <w:rFonts w:hint="eastAsia"/>
                      <w:lang w:val="en-US" w:eastAsia="zh-CN"/>
                    </w:rPr>
                  </w:pPr>
                  <w:r>
                    <w:rPr>
                      <w:rFonts w:hint="eastAsia"/>
                      <w:lang w:val="en-US" w:eastAsia="zh-CN"/>
                    </w:rPr>
                    <w:t>E</w:t>
                  </w:r>
                </w:p>
              </w:tc>
              <w:tc>
                <w:tcPr>
                  <w:tcW w:w="679" w:type="pct"/>
                  <w:tcBorders>
                    <w:tl2br w:val="nil"/>
                    <w:tr2bl w:val="nil"/>
                  </w:tcBorders>
                  <w:noWrap w:val="0"/>
                  <w:vAlign w:val="center"/>
                </w:tcPr>
                <w:p>
                  <w:pPr>
                    <w:pStyle w:val="20"/>
                    <w:bidi w:val="0"/>
                    <w:rPr>
                      <w:rFonts w:hint="default"/>
                      <w:lang w:val="en-US" w:eastAsia="zh-CN"/>
                    </w:rPr>
                  </w:pPr>
                  <w:r>
                    <w:rPr>
                      <w:rFonts w:hint="eastAsia"/>
                      <w:lang w:val="en-US" w:eastAsia="zh-CN"/>
                    </w:rPr>
                    <w:t>420m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23" w:hRule="exact"/>
                <w:jc w:val="center"/>
              </w:trPr>
              <w:tc>
                <w:tcPr>
                  <w:tcW w:w="606" w:type="pct"/>
                  <w:tcBorders>
                    <w:tl2br w:val="nil"/>
                    <w:tr2bl w:val="nil"/>
                  </w:tcBorders>
                  <w:noWrap w:val="0"/>
                  <w:vAlign w:val="center"/>
                </w:tcPr>
                <w:p>
                  <w:pPr>
                    <w:pStyle w:val="20"/>
                    <w:bidi w:val="0"/>
                    <w:rPr>
                      <w:rFonts w:hint="default"/>
                      <w:lang w:val="en-US" w:eastAsia="zh-CN"/>
                    </w:rPr>
                  </w:pPr>
                  <w:r>
                    <w:rPr>
                      <w:rFonts w:hint="eastAsia"/>
                      <w:lang w:val="en-US" w:eastAsia="zh-CN"/>
                    </w:rPr>
                    <w:t>花垣产业园办公楼</w:t>
                  </w:r>
                </w:p>
              </w:tc>
              <w:tc>
                <w:tcPr>
                  <w:tcW w:w="821" w:type="pct"/>
                  <w:tcBorders>
                    <w:tl2br w:val="nil"/>
                    <w:tr2bl w:val="nil"/>
                  </w:tcBorders>
                  <w:noWrap w:val="0"/>
                  <w:vAlign w:val="center"/>
                </w:tcPr>
                <w:p>
                  <w:pPr>
                    <w:pStyle w:val="20"/>
                    <w:bidi w:val="0"/>
                  </w:pPr>
                  <w:r>
                    <w:rPr>
                      <w:rFonts w:hint="eastAsia"/>
                    </w:rPr>
                    <w:t>109.43831</w:t>
                  </w:r>
                </w:p>
              </w:tc>
              <w:tc>
                <w:tcPr>
                  <w:tcW w:w="889" w:type="pct"/>
                  <w:tcBorders>
                    <w:tl2br w:val="nil"/>
                    <w:tr2bl w:val="nil"/>
                  </w:tcBorders>
                  <w:noWrap w:val="0"/>
                  <w:vAlign w:val="center"/>
                </w:tcPr>
                <w:p>
                  <w:pPr>
                    <w:pStyle w:val="20"/>
                    <w:bidi w:val="0"/>
                  </w:pPr>
                  <w:r>
                    <w:t>28.58815</w:t>
                  </w:r>
                </w:p>
              </w:tc>
              <w:tc>
                <w:tcPr>
                  <w:tcW w:w="439" w:type="pct"/>
                  <w:tcBorders>
                    <w:tl2br w:val="nil"/>
                    <w:tr2bl w:val="nil"/>
                  </w:tcBorders>
                  <w:noWrap w:val="0"/>
                  <w:vAlign w:val="center"/>
                </w:tcPr>
                <w:p>
                  <w:pPr>
                    <w:pStyle w:val="20"/>
                    <w:bidi w:val="0"/>
                    <w:rPr>
                      <w:rFonts w:hint="default"/>
                      <w:lang w:val="en-US" w:eastAsia="zh-CN"/>
                    </w:rPr>
                  </w:pPr>
                  <w:r>
                    <w:rPr>
                      <w:rFonts w:hint="eastAsia"/>
                      <w:lang w:val="en-US" w:eastAsia="zh-CN"/>
                    </w:rPr>
                    <w:t>人口集中区</w:t>
                  </w:r>
                </w:p>
              </w:tc>
              <w:tc>
                <w:tcPr>
                  <w:tcW w:w="538" w:type="pct"/>
                  <w:tcBorders>
                    <w:tl2br w:val="nil"/>
                    <w:tr2bl w:val="nil"/>
                  </w:tcBorders>
                  <w:noWrap w:val="0"/>
                  <w:vAlign w:val="center"/>
                </w:tcPr>
                <w:p>
                  <w:pPr>
                    <w:pStyle w:val="20"/>
                    <w:bidi w:val="0"/>
                    <w:rPr>
                      <w:rFonts w:hint="default"/>
                      <w:lang w:val="en-US" w:eastAsia="zh-CN"/>
                    </w:rPr>
                  </w:pPr>
                  <w:r>
                    <w:rPr>
                      <w:rFonts w:hint="eastAsia"/>
                      <w:lang w:val="en-US" w:eastAsia="zh-CN"/>
                    </w:rPr>
                    <w:t>办公人员</w:t>
                  </w:r>
                </w:p>
              </w:tc>
              <w:tc>
                <w:tcPr>
                  <w:tcW w:w="471" w:type="pct"/>
                  <w:tcBorders>
                    <w:tl2br w:val="nil"/>
                    <w:tr2bl w:val="nil"/>
                  </w:tcBorders>
                  <w:noWrap w:val="0"/>
                  <w:vAlign w:val="center"/>
                </w:tcPr>
                <w:p>
                  <w:pPr>
                    <w:pStyle w:val="20"/>
                    <w:bidi w:val="0"/>
                    <w:rPr>
                      <w:rFonts w:hint="eastAsia"/>
                      <w:lang w:val="en-US" w:eastAsia="zh-CN"/>
                    </w:rPr>
                  </w:pPr>
                  <w:r>
                    <w:rPr>
                      <w:rFonts w:hint="eastAsia"/>
                      <w:lang w:val="en-US" w:eastAsia="zh-CN"/>
                    </w:rPr>
                    <w:t>二类</w:t>
                  </w:r>
                </w:p>
              </w:tc>
              <w:tc>
                <w:tcPr>
                  <w:tcW w:w="553" w:type="pct"/>
                  <w:tcBorders>
                    <w:tl2br w:val="nil"/>
                    <w:tr2bl w:val="nil"/>
                  </w:tcBorders>
                  <w:noWrap w:val="0"/>
                  <w:vAlign w:val="center"/>
                </w:tcPr>
                <w:p>
                  <w:pPr>
                    <w:pStyle w:val="20"/>
                    <w:bidi w:val="0"/>
                    <w:rPr>
                      <w:rFonts w:hint="eastAsia"/>
                      <w:lang w:val="en-US" w:eastAsia="zh-CN"/>
                    </w:rPr>
                  </w:pPr>
                  <w:r>
                    <w:rPr>
                      <w:rFonts w:hint="eastAsia"/>
                      <w:lang w:val="en-US" w:eastAsia="zh-CN"/>
                    </w:rPr>
                    <w:t>E</w:t>
                  </w:r>
                </w:p>
              </w:tc>
              <w:tc>
                <w:tcPr>
                  <w:tcW w:w="679" w:type="pct"/>
                  <w:tcBorders>
                    <w:tl2br w:val="nil"/>
                    <w:tr2bl w:val="nil"/>
                  </w:tcBorders>
                  <w:noWrap w:val="0"/>
                  <w:vAlign w:val="center"/>
                </w:tcPr>
                <w:p>
                  <w:pPr>
                    <w:pStyle w:val="20"/>
                    <w:bidi w:val="0"/>
                    <w:rPr>
                      <w:rFonts w:hint="default"/>
                      <w:lang w:val="en-US" w:eastAsia="zh-CN"/>
                    </w:rPr>
                  </w:pPr>
                  <w:r>
                    <w:rPr>
                      <w:rFonts w:hint="eastAsia"/>
                      <w:lang w:val="en-US" w:eastAsia="zh-CN"/>
                    </w:rPr>
                    <w:t>30m</w:t>
                  </w:r>
                </w:p>
              </w:tc>
            </w:tr>
          </w:tbl>
          <w:p>
            <w:pPr>
              <w:bidi w:val="0"/>
              <w:jc w:val="center"/>
              <w:rPr>
                <w:rFonts w:hint="default"/>
                <w:b/>
                <w:bCs/>
                <w:lang w:val="en-US" w:eastAsia="zh-CN"/>
              </w:rPr>
            </w:pPr>
            <w:r>
              <w:rPr>
                <w:rFonts w:hint="eastAsia"/>
                <w:b/>
                <w:bCs/>
                <w:lang w:val="en-US" w:eastAsia="zh-CN"/>
              </w:rPr>
              <w:t>表3-14  声环境保护目标</w:t>
            </w:r>
          </w:p>
          <w:tbl>
            <w:tblPr>
              <w:tblStyle w:val="15"/>
              <w:tblW w:w="499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49"/>
              <w:gridCol w:w="1137"/>
              <w:gridCol w:w="1332"/>
              <w:gridCol w:w="3310"/>
              <w:gridCol w:w="195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94" w:type="pct"/>
                  <w:noWrap w:val="0"/>
                  <w:vAlign w:val="center"/>
                </w:tcPr>
                <w:p>
                  <w:pPr>
                    <w:pStyle w:val="18"/>
                    <w:bidi w:val="0"/>
                    <w:jc w:val="center"/>
                  </w:pPr>
                  <w:r>
                    <w:t>环境要素</w:t>
                  </w:r>
                </w:p>
              </w:tc>
              <w:tc>
                <w:tcPr>
                  <w:tcW w:w="662" w:type="pct"/>
                  <w:noWrap w:val="0"/>
                  <w:vAlign w:val="center"/>
                </w:tcPr>
                <w:p>
                  <w:pPr>
                    <w:pStyle w:val="18"/>
                    <w:bidi w:val="0"/>
                    <w:jc w:val="center"/>
                  </w:pPr>
                  <w:r>
                    <w:t>保护目标</w:t>
                  </w:r>
                </w:p>
              </w:tc>
              <w:tc>
                <w:tcPr>
                  <w:tcW w:w="775" w:type="pct"/>
                  <w:noWrap w:val="0"/>
                  <w:vAlign w:val="center"/>
                </w:tcPr>
                <w:p>
                  <w:pPr>
                    <w:pStyle w:val="18"/>
                    <w:bidi w:val="0"/>
                    <w:jc w:val="center"/>
                  </w:pPr>
                  <w:r>
                    <w:t>与厂区位置关系</w:t>
                  </w:r>
                </w:p>
              </w:tc>
              <w:tc>
                <w:tcPr>
                  <w:tcW w:w="1927" w:type="pct"/>
                  <w:noWrap w:val="0"/>
                  <w:vAlign w:val="center"/>
                </w:tcPr>
                <w:p>
                  <w:pPr>
                    <w:pStyle w:val="18"/>
                    <w:bidi w:val="0"/>
                    <w:jc w:val="center"/>
                  </w:pPr>
                  <w:r>
                    <w:t>功能及规模</w:t>
                  </w:r>
                </w:p>
              </w:tc>
              <w:tc>
                <w:tcPr>
                  <w:tcW w:w="1140" w:type="pct"/>
                  <w:noWrap w:val="0"/>
                  <w:vAlign w:val="center"/>
                </w:tcPr>
                <w:p>
                  <w:pPr>
                    <w:pStyle w:val="18"/>
                    <w:bidi w:val="0"/>
                    <w:jc w:val="center"/>
                  </w:pPr>
                  <w: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94" w:type="pct"/>
                  <w:noWrap w:val="0"/>
                  <w:vAlign w:val="center"/>
                </w:tcPr>
                <w:p>
                  <w:pPr>
                    <w:pStyle w:val="18"/>
                    <w:bidi w:val="0"/>
                    <w:jc w:val="center"/>
                    <w:rPr>
                      <w:rFonts w:hint="eastAsia" w:eastAsia="宋体"/>
                      <w:lang w:val="en-US" w:eastAsia="zh-CN"/>
                    </w:rPr>
                  </w:pPr>
                  <w:r>
                    <w:rPr>
                      <w:rFonts w:hint="eastAsia"/>
                      <w:lang w:val="en-US" w:eastAsia="zh-CN"/>
                    </w:rPr>
                    <w:t>噪声</w:t>
                  </w:r>
                </w:p>
              </w:tc>
              <w:tc>
                <w:tcPr>
                  <w:tcW w:w="662" w:type="pct"/>
                  <w:noWrap w:val="0"/>
                  <w:vAlign w:val="center"/>
                </w:tcPr>
                <w:p>
                  <w:pPr>
                    <w:pStyle w:val="18"/>
                    <w:bidi w:val="0"/>
                    <w:jc w:val="center"/>
                    <w:rPr>
                      <w:rFonts w:hint="default" w:eastAsia="宋体"/>
                      <w:lang w:val="en-US" w:eastAsia="zh-CN"/>
                    </w:rPr>
                  </w:pPr>
                  <w:r>
                    <w:rPr>
                      <w:rFonts w:hint="eastAsia"/>
                      <w:lang w:val="en-US" w:eastAsia="zh-CN"/>
                    </w:rPr>
                    <w:t>卡地村二组部分居民</w:t>
                  </w:r>
                </w:p>
              </w:tc>
              <w:tc>
                <w:tcPr>
                  <w:tcW w:w="775" w:type="pct"/>
                  <w:noWrap w:val="0"/>
                  <w:vAlign w:val="center"/>
                </w:tcPr>
                <w:p>
                  <w:pPr>
                    <w:pStyle w:val="18"/>
                    <w:bidi w:val="0"/>
                    <w:jc w:val="center"/>
                    <w:rPr>
                      <w:rFonts w:hint="default" w:eastAsia="宋体"/>
                      <w:lang w:val="en-US" w:eastAsia="zh-CN"/>
                    </w:rPr>
                  </w:pPr>
                  <w:r>
                    <w:rPr>
                      <w:rFonts w:hint="eastAsia"/>
                      <w:lang w:val="en-US" w:eastAsia="zh-CN"/>
                    </w:rPr>
                    <w:t>N，50m</w:t>
                  </w:r>
                </w:p>
              </w:tc>
              <w:tc>
                <w:tcPr>
                  <w:tcW w:w="1927" w:type="pct"/>
                  <w:noWrap w:val="0"/>
                  <w:vAlign w:val="center"/>
                </w:tcPr>
                <w:p>
                  <w:pPr>
                    <w:pStyle w:val="18"/>
                    <w:bidi w:val="0"/>
                    <w:jc w:val="center"/>
                    <w:rPr>
                      <w:rFonts w:hint="default" w:eastAsia="宋体"/>
                      <w:lang w:val="en-US" w:eastAsia="zh-CN"/>
                    </w:rPr>
                  </w:pPr>
                  <w:r>
                    <w:rPr>
                      <w:rFonts w:hint="eastAsia"/>
                      <w:lang w:val="en-US" w:eastAsia="zh-CN"/>
                    </w:rPr>
                    <w:t>居民区，大约10户</w:t>
                  </w:r>
                </w:p>
              </w:tc>
              <w:tc>
                <w:tcPr>
                  <w:tcW w:w="1140" w:type="pct"/>
                  <w:noWrap w:val="0"/>
                  <w:vAlign w:val="center"/>
                </w:tcPr>
                <w:p>
                  <w:pPr>
                    <w:pStyle w:val="18"/>
                    <w:bidi w:val="0"/>
                    <w:jc w:val="center"/>
                    <w:rPr>
                      <w:rFonts w:hint="default" w:eastAsia="宋体"/>
                      <w:lang w:val="en-US" w:eastAsia="zh-CN"/>
                    </w:rPr>
                  </w:pPr>
                  <w:r>
                    <w:rPr>
                      <w:rFonts w:hint="eastAsia"/>
                    </w:rPr>
                    <w:t>声环境质量标准（GB 3096－2008 ）</w:t>
                  </w:r>
                  <w:r>
                    <w:rPr>
                      <w:rFonts w:hint="eastAsia"/>
                      <w:lang w:val="en-US" w:eastAsia="zh-CN"/>
                    </w:rPr>
                    <w:t>II类声环境功能区环境噪声限值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94" w:type="pct"/>
                  <w:noWrap w:val="0"/>
                  <w:vAlign w:val="center"/>
                </w:tcPr>
                <w:p>
                  <w:pPr>
                    <w:pStyle w:val="18"/>
                    <w:bidi w:val="0"/>
                    <w:jc w:val="center"/>
                    <w:rPr>
                      <w:rFonts w:hint="eastAsia" w:eastAsia="宋体"/>
                      <w:lang w:val="en-US" w:eastAsia="zh-CN"/>
                    </w:rPr>
                  </w:pPr>
                  <w:r>
                    <w:rPr>
                      <w:rFonts w:hint="eastAsia"/>
                      <w:lang w:val="en-US" w:eastAsia="zh-CN"/>
                    </w:rPr>
                    <w:t>噪声</w:t>
                  </w:r>
                </w:p>
              </w:tc>
              <w:tc>
                <w:tcPr>
                  <w:tcW w:w="662" w:type="pct"/>
                  <w:noWrap w:val="0"/>
                  <w:vAlign w:val="center"/>
                </w:tcPr>
                <w:p>
                  <w:pPr>
                    <w:pStyle w:val="18"/>
                    <w:bidi w:val="0"/>
                    <w:jc w:val="center"/>
                    <w:rPr>
                      <w:rFonts w:hint="default" w:eastAsia="宋体"/>
                      <w:lang w:val="en-US" w:eastAsia="zh-CN"/>
                    </w:rPr>
                  </w:pPr>
                  <w:r>
                    <w:rPr>
                      <w:rFonts w:hint="eastAsia"/>
                      <w:lang w:val="en-US" w:eastAsia="zh-CN"/>
                    </w:rPr>
                    <w:t>花垣产业园办公楼</w:t>
                  </w:r>
                </w:p>
              </w:tc>
              <w:tc>
                <w:tcPr>
                  <w:tcW w:w="775" w:type="pct"/>
                  <w:noWrap w:val="0"/>
                  <w:vAlign w:val="center"/>
                </w:tcPr>
                <w:p>
                  <w:pPr>
                    <w:pStyle w:val="18"/>
                    <w:bidi w:val="0"/>
                    <w:jc w:val="center"/>
                    <w:rPr>
                      <w:rFonts w:hint="default" w:eastAsia="宋体"/>
                      <w:lang w:val="en-US" w:eastAsia="zh-CN"/>
                    </w:rPr>
                  </w:pPr>
                  <w:r>
                    <w:rPr>
                      <w:rFonts w:hint="eastAsia"/>
                      <w:lang w:val="en-US" w:eastAsia="zh-CN"/>
                    </w:rPr>
                    <w:t>E，30m</w:t>
                  </w:r>
                </w:p>
              </w:tc>
              <w:tc>
                <w:tcPr>
                  <w:tcW w:w="1927" w:type="pct"/>
                  <w:noWrap w:val="0"/>
                  <w:vAlign w:val="center"/>
                </w:tcPr>
                <w:p>
                  <w:pPr>
                    <w:pStyle w:val="18"/>
                    <w:bidi w:val="0"/>
                    <w:jc w:val="center"/>
                    <w:rPr>
                      <w:rFonts w:hint="eastAsia" w:eastAsia="宋体"/>
                      <w:lang w:val="en-US" w:eastAsia="zh-CN"/>
                    </w:rPr>
                  </w:pPr>
                  <w:r>
                    <w:rPr>
                      <w:rFonts w:hint="eastAsia"/>
                      <w:lang w:val="en-US" w:eastAsia="zh-CN"/>
                    </w:rPr>
                    <w:t>办公区</w:t>
                  </w:r>
                </w:p>
              </w:tc>
              <w:tc>
                <w:tcPr>
                  <w:tcW w:w="1140" w:type="pct"/>
                  <w:noWrap w:val="0"/>
                  <w:vAlign w:val="center"/>
                </w:tcPr>
                <w:p>
                  <w:pPr>
                    <w:pStyle w:val="18"/>
                    <w:bidi w:val="0"/>
                    <w:jc w:val="center"/>
                  </w:pPr>
                  <w:r>
                    <w:rPr>
                      <w:rFonts w:hint="eastAsia"/>
                    </w:rPr>
                    <w:t>声环境质量标准（GB 3096－2008 ）</w:t>
                  </w:r>
                  <w:r>
                    <w:rPr>
                      <w:rFonts w:hint="eastAsia"/>
                      <w:lang w:val="en-US" w:eastAsia="zh-CN"/>
                    </w:rPr>
                    <w:t>II类声环境功能区环境噪声限值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94"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噪声</w:t>
                  </w:r>
                </w:p>
              </w:tc>
              <w:tc>
                <w:tcPr>
                  <w:tcW w:w="662"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卡地村部分居民</w:t>
                  </w:r>
                </w:p>
              </w:tc>
              <w:tc>
                <w:tcPr>
                  <w:tcW w:w="775"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E，20m</w:t>
                  </w:r>
                </w:p>
              </w:tc>
              <w:tc>
                <w:tcPr>
                  <w:tcW w:w="1927"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居民区，大约5户</w:t>
                  </w:r>
                </w:p>
              </w:tc>
              <w:tc>
                <w:tcPr>
                  <w:tcW w:w="1140"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声环境质量标准（GB 3096－2008 ）</w:t>
                  </w:r>
                  <w:r>
                    <w:rPr>
                      <w:rFonts w:hint="eastAsia"/>
                      <w:lang w:val="en-US" w:eastAsia="zh-CN"/>
                    </w:rPr>
                    <w:t>II类声环境功能区环境噪声限值</w:t>
                  </w:r>
                </w:p>
              </w:tc>
            </w:tr>
          </w:tbl>
          <w:p>
            <w:pPr>
              <w:bidi w:val="0"/>
              <w:jc w:val="center"/>
              <w:rPr>
                <w:rFonts w:hint="eastAsia"/>
                <w:b/>
                <w:bCs/>
                <w:lang w:val="en-US" w:eastAsia="zh-CN"/>
              </w:rPr>
            </w:pPr>
            <w:r>
              <w:drawing>
                <wp:inline distT="0" distB="0" distL="114300" distR="114300">
                  <wp:extent cx="5320030" cy="4076700"/>
                  <wp:effectExtent l="0" t="0" r="4445" b="0"/>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18"/>
                          <a:stretch>
                            <a:fillRect/>
                          </a:stretch>
                        </pic:blipFill>
                        <pic:spPr>
                          <a:xfrm>
                            <a:off x="0" y="0"/>
                            <a:ext cx="5320030" cy="4076700"/>
                          </a:xfrm>
                          <a:prstGeom prst="rect">
                            <a:avLst/>
                          </a:prstGeom>
                          <a:noFill/>
                          <a:ln>
                            <a:noFill/>
                          </a:ln>
                        </pic:spPr>
                      </pic:pic>
                    </a:graphicData>
                  </a:graphic>
                </wp:inline>
              </w:drawing>
            </w:r>
          </w:p>
          <w:p>
            <w:pPr>
              <w:bidi w:val="0"/>
              <w:jc w:val="center"/>
              <w:rPr>
                <w:rFonts w:hint="default"/>
                <w:lang w:val="en-US" w:eastAsia="zh-CN"/>
              </w:rPr>
            </w:pPr>
            <w:r>
              <w:rPr>
                <w:rFonts w:hint="eastAsia"/>
                <w:b/>
                <w:bCs/>
                <w:lang w:val="en-US" w:eastAsia="zh-CN"/>
              </w:rPr>
              <w:t>图3-7  环境保护目标示意图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vAlign w:val="center"/>
          </w:tcPr>
          <w:p>
            <w:pPr>
              <w:numPr>
                <w:ilvl w:val="0"/>
                <w:numId w:val="0"/>
              </w:numPr>
              <w:ind w:right="40" w:rightChars="0"/>
              <w:jc w:val="center"/>
              <w:rPr>
                <w:rFonts w:hint="default"/>
                <w:vertAlign w:val="baseline"/>
                <w:lang w:val="en-US" w:eastAsia="zh-CN"/>
              </w:rPr>
            </w:pPr>
            <w:r>
              <w:rPr>
                <w:rFonts w:hint="eastAsia"/>
                <w:vertAlign w:val="baseline"/>
                <w:lang w:val="en-US" w:eastAsia="zh-CN"/>
              </w:rPr>
              <w:t>污染物排放控制标准</w:t>
            </w:r>
          </w:p>
        </w:tc>
        <w:tc>
          <w:tcPr>
            <w:tcW w:w="8841" w:type="dxa"/>
          </w:tcPr>
          <w:p>
            <w:pPr>
              <w:bidi w:val="0"/>
            </w:pPr>
            <w:r>
              <w:t>1、废气</w:t>
            </w:r>
          </w:p>
          <w:p>
            <w:pPr>
              <w:bidi w:val="0"/>
              <w:ind w:firstLine="480" w:firstLineChars="200"/>
            </w:pPr>
            <w:r>
              <w:rPr>
                <w:rFonts w:hint="eastAsia"/>
                <w:lang w:val="en-US" w:eastAsia="zh-CN"/>
              </w:rPr>
              <w:t>按照《锰渣污染控制技术规范》</w:t>
            </w:r>
            <w:r>
              <w:t>本项目排放废气</w:t>
            </w:r>
            <w:r>
              <w:rPr>
                <w:rFonts w:hint="eastAsia"/>
                <w:lang w:val="en-US" w:eastAsia="zh-CN"/>
              </w:rPr>
              <w:t>中氨气应符合《恶臭污染物排放标准》（GB 14554-93）规定的排放限值要求，其他污染物应符合</w:t>
            </w:r>
            <w:r>
              <w:t>《</w:t>
            </w:r>
            <w:r>
              <w:rPr>
                <w:rFonts w:hint="eastAsia"/>
                <w:lang w:val="en-US" w:eastAsia="zh-CN"/>
              </w:rPr>
              <w:t>大气</w:t>
            </w:r>
            <w:r>
              <w:t>污染物</w:t>
            </w:r>
            <w:r>
              <w:rPr>
                <w:rFonts w:hint="eastAsia"/>
                <w:lang w:val="en-US" w:eastAsia="zh-CN"/>
              </w:rPr>
              <w:t>综合</w:t>
            </w:r>
            <w:r>
              <w:t>排放标准》（</w:t>
            </w:r>
            <w:r>
              <w:rPr>
                <w:rFonts w:hint="eastAsia"/>
              </w:rPr>
              <w:t>GB 16297-1996</w:t>
            </w:r>
            <w:r>
              <w:t>）表</w:t>
            </w:r>
            <w:r>
              <w:rPr>
                <w:rFonts w:hint="eastAsia"/>
                <w:lang w:val="en-US" w:eastAsia="zh-CN"/>
              </w:rPr>
              <w:t>2</w:t>
            </w:r>
            <w:r>
              <w:t>限值标准</w:t>
            </w:r>
            <w:r>
              <w:rPr>
                <w:rFonts w:hint="eastAsia"/>
                <w:lang w:eastAsia="zh-CN"/>
              </w:rPr>
              <w:t>，</w:t>
            </w:r>
            <w:r>
              <w:t>标准限制详见表。</w:t>
            </w:r>
          </w:p>
          <w:p>
            <w:pPr>
              <w:jc w:val="center"/>
              <w:outlineLvl w:val="5"/>
              <w:rPr>
                <w:b/>
                <w:szCs w:val="21"/>
                <w:u w:val="none"/>
              </w:rPr>
            </w:pPr>
            <w:bookmarkStart w:id="42" w:name="_Toc23632"/>
            <w:r>
              <w:rPr>
                <w:b/>
                <w:szCs w:val="21"/>
                <w:u w:val="none"/>
              </w:rPr>
              <w:t>表</w:t>
            </w:r>
            <w:r>
              <w:rPr>
                <w:rFonts w:hint="eastAsia"/>
                <w:b/>
                <w:szCs w:val="21"/>
                <w:u w:val="none"/>
                <w:lang w:val="en-US" w:eastAsia="zh-CN"/>
              </w:rPr>
              <w:t>3-15</w:t>
            </w:r>
            <w:r>
              <w:rPr>
                <w:b/>
                <w:szCs w:val="21"/>
                <w:u w:val="none"/>
              </w:rPr>
              <w:t xml:space="preserve">  项目大气污染物排放标准值</w:t>
            </w:r>
            <w:bookmarkEnd w:id="42"/>
          </w:p>
          <w:tbl>
            <w:tblPr>
              <w:tblStyle w:val="15"/>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14"/>
              <w:gridCol w:w="1018"/>
              <w:gridCol w:w="1266"/>
              <w:gridCol w:w="1200"/>
              <w:gridCol w:w="1265"/>
              <w:gridCol w:w="975"/>
              <w:gridCol w:w="776"/>
              <w:gridCol w:w="157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99" w:type="pct"/>
                  <w:vMerge w:val="restart"/>
                  <w:shd w:val="clear" w:color="auto" w:fill="auto"/>
                  <w:noWrap w:val="0"/>
                  <w:vAlign w:val="center"/>
                </w:tcPr>
                <w:p>
                  <w:pPr>
                    <w:pStyle w:val="18"/>
                    <w:bidi w:val="0"/>
                    <w:jc w:val="center"/>
                  </w:pPr>
                  <w:r>
                    <w:t>序号</w:t>
                  </w:r>
                </w:p>
              </w:tc>
              <w:tc>
                <w:tcPr>
                  <w:tcW w:w="592" w:type="pct"/>
                  <w:vMerge w:val="restart"/>
                  <w:shd w:val="clear" w:color="auto" w:fill="auto"/>
                  <w:noWrap w:val="0"/>
                  <w:vAlign w:val="center"/>
                </w:tcPr>
                <w:p>
                  <w:pPr>
                    <w:pStyle w:val="18"/>
                    <w:bidi w:val="0"/>
                    <w:jc w:val="center"/>
                  </w:pPr>
                  <w:r>
                    <w:t>污染物</w:t>
                  </w:r>
                </w:p>
              </w:tc>
              <w:tc>
                <w:tcPr>
                  <w:tcW w:w="736" w:type="pct"/>
                  <w:vMerge w:val="restart"/>
                  <w:shd w:val="clear" w:color="auto" w:fill="auto"/>
                  <w:noWrap w:val="0"/>
                  <w:vAlign w:val="center"/>
                </w:tcPr>
                <w:p>
                  <w:pPr>
                    <w:pStyle w:val="18"/>
                    <w:bidi w:val="0"/>
                    <w:jc w:val="center"/>
                  </w:pPr>
                  <w:r>
                    <w:t>最高允许排放浓度（mg/m</w:t>
                  </w:r>
                  <w:r>
                    <w:rPr>
                      <w:vertAlign w:val="superscript"/>
                    </w:rPr>
                    <w:t>3</w:t>
                  </w:r>
                  <w:r>
                    <w:t>）</w:t>
                  </w:r>
                </w:p>
              </w:tc>
              <w:tc>
                <w:tcPr>
                  <w:tcW w:w="1434" w:type="pct"/>
                  <w:gridSpan w:val="2"/>
                  <w:shd w:val="clear" w:color="auto" w:fill="auto"/>
                  <w:noWrap w:val="0"/>
                  <w:vAlign w:val="center"/>
                </w:tcPr>
                <w:p>
                  <w:pPr>
                    <w:pStyle w:val="18"/>
                    <w:bidi w:val="0"/>
                    <w:jc w:val="center"/>
                  </w:pPr>
                  <w:r>
                    <w:t>无组织排放监控浓度限制（mg/m</w:t>
                  </w:r>
                  <w:r>
                    <w:rPr>
                      <w:vertAlign w:val="superscript"/>
                    </w:rPr>
                    <w:t>3</w:t>
                  </w:r>
                  <w:r>
                    <w:t>）</w:t>
                  </w:r>
                </w:p>
              </w:tc>
              <w:tc>
                <w:tcPr>
                  <w:tcW w:w="1018" w:type="pct"/>
                  <w:gridSpan w:val="2"/>
                  <w:shd w:val="clear" w:color="auto" w:fill="auto"/>
                  <w:noWrap w:val="0"/>
                  <w:vAlign w:val="center"/>
                </w:tcPr>
                <w:p>
                  <w:pPr>
                    <w:pStyle w:val="18"/>
                    <w:bidi w:val="0"/>
                    <w:jc w:val="center"/>
                  </w:pPr>
                  <w:r>
                    <w:rPr>
                      <w:rFonts w:hint="eastAsia"/>
                    </w:rPr>
                    <w:t>最高允许排放速率（kg/h）</w:t>
                  </w:r>
                </w:p>
              </w:tc>
              <w:tc>
                <w:tcPr>
                  <w:tcW w:w="918" w:type="pct"/>
                  <w:vMerge w:val="restart"/>
                  <w:shd w:val="clear" w:color="auto" w:fill="auto"/>
                  <w:noWrap w:val="0"/>
                  <w:vAlign w:val="center"/>
                </w:tcPr>
                <w:p>
                  <w:pPr>
                    <w:pStyle w:val="18"/>
                    <w:bidi w:val="0"/>
                    <w:jc w:val="center"/>
                  </w:pPr>
                  <w: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99" w:type="pct"/>
                  <w:vMerge w:val="continue"/>
                  <w:shd w:val="clear" w:color="auto" w:fill="auto"/>
                  <w:noWrap w:val="0"/>
                  <w:vAlign w:val="center"/>
                </w:tcPr>
                <w:p>
                  <w:pPr>
                    <w:pStyle w:val="18"/>
                    <w:bidi w:val="0"/>
                    <w:jc w:val="center"/>
                  </w:pPr>
                </w:p>
              </w:tc>
              <w:tc>
                <w:tcPr>
                  <w:tcW w:w="592" w:type="pct"/>
                  <w:vMerge w:val="continue"/>
                  <w:shd w:val="clear" w:color="auto" w:fill="auto"/>
                  <w:noWrap w:val="0"/>
                  <w:vAlign w:val="center"/>
                </w:tcPr>
                <w:p>
                  <w:pPr>
                    <w:pStyle w:val="18"/>
                    <w:bidi w:val="0"/>
                    <w:jc w:val="center"/>
                  </w:pPr>
                </w:p>
              </w:tc>
              <w:tc>
                <w:tcPr>
                  <w:tcW w:w="736" w:type="pct"/>
                  <w:vMerge w:val="continue"/>
                  <w:shd w:val="clear" w:color="auto" w:fill="auto"/>
                  <w:noWrap w:val="0"/>
                  <w:vAlign w:val="center"/>
                </w:tcPr>
                <w:p>
                  <w:pPr>
                    <w:pStyle w:val="18"/>
                    <w:bidi w:val="0"/>
                    <w:jc w:val="center"/>
                  </w:pPr>
                </w:p>
              </w:tc>
              <w:tc>
                <w:tcPr>
                  <w:tcW w:w="698" w:type="pct"/>
                  <w:shd w:val="clear" w:color="auto" w:fill="auto"/>
                  <w:noWrap w:val="0"/>
                  <w:vAlign w:val="center"/>
                </w:tcPr>
                <w:p>
                  <w:pPr>
                    <w:pStyle w:val="18"/>
                    <w:bidi w:val="0"/>
                    <w:jc w:val="center"/>
                  </w:pPr>
                  <w:r>
                    <w:rPr>
                      <w:rFonts w:hint="eastAsia"/>
                    </w:rPr>
                    <w:t>监控点</w:t>
                  </w:r>
                </w:p>
              </w:tc>
              <w:tc>
                <w:tcPr>
                  <w:tcW w:w="736" w:type="pct"/>
                  <w:shd w:val="clear" w:color="auto" w:fill="auto"/>
                  <w:noWrap w:val="0"/>
                  <w:vAlign w:val="center"/>
                </w:tcPr>
                <w:p>
                  <w:pPr>
                    <w:pStyle w:val="18"/>
                    <w:bidi w:val="0"/>
                    <w:jc w:val="center"/>
                  </w:pPr>
                  <w:r>
                    <w:rPr>
                      <w:rFonts w:hint="eastAsia"/>
                    </w:rPr>
                    <w:t>浓度（mg/m</w:t>
                  </w:r>
                  <w:r>
                    <w:rPr>
                      <w:rFonts w:hint="eastAsia"/>
                      <w:vertAlign w:val="superscript"/>
                    </w:rPr>
                    <w:t>3</w:t>
                  </w:r>
                  <w:r>
                    <w:rPr>
                      <w:rFonts w:hint="eastAsia"/>
                    </w:rPr>
                    <w:t>）</w:t>
                  </w:r>
                </w:p>
              </w:tc>
              <w:tc>
                <w:tcPr>
                  <w:tcW w:w="567" w:type="pct"/>
                  <w:shd w:val="clear" w:color="auto" w:fill="auto"/>
                  <w:noWrap w:val="0"/>
                  <w:vAlign w:val="center"/>
                </w:tcPr>
                <w:p>
                  <w:pPr>
                    <w:pStyle w:val="18"/>
                    <w:bidi w:val="0"/>
                    <w:jc w:val="center"/>
                    <w:rPr>
                      <w:rFonts w:hint="eastAsia" w:eastAsia="宋体"/>
                      <w:lang w:val="en-US" w:eastAsia="zh-CN"/>
                    </w:rPr>
                  </w:pPr>
                  <w:r>
                    <w:rPr>
                      <w:rFonts w:hint="eastAsia" w:eastAsia="宋体"/>
                      <w:lang w:val="en-US" w:eastAsia="zh-CN"/>
                    </w:rPr>
                    <w:t>排气筒（m）</w:t>
                  </w:r>
                </w:p>
              </w:tc>
              <w:tc>
                <w:tcPr>
                  <w:tcW w:w="451" w:type="pct"/>
                  <w:shd w:val="clear" w:color="auto" w:fill="auto"/>
                  <w:noWrap w:val="0"/>
                  <w:vAlign w:val="center"/>
                </w:tcPr>
                <w:p>
                  <w:pPr>
                    <w:pStyle w:val="18"/>
                    <w:bidi w:val="0"/>
                    <w:jc w:val="center"/>
                    <w:rPr>
                      <w:rFonts w:hint="eastAsia"/>
                      <w:lang w:val="en-US" w:eastAsia="zh-CN"/>
                    </w:rPr>
                  </w:pPr>
                  <w:r>
                    <w:rPr>
                      <w:rFonts w:hint="eastAsia"/>
                      <w:lang w:val="en-US" w:eastAsia="zh-CN"/>
                    </w:rPr>
                    <w:t>二级</w:t>
                  </w:r>
                </w:p>
              </w:tc>
              <w:tc>
                <w:tcPr>
                  <w:tcW w:w="918" w:type="pct"/>
                  <w:vMerge w:val="continue"/>
                  <w:shd w:val="clear" w:color="auto" w:fill="auto"/>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99" w:type="pct"/>
                  <w:shd w:val="clear" w:color="auto" w:fill="auto"/>
                  <w:noWrap w:val="0"/>
                  <w:vAlign w:val="center"/>
                </w:tcPr>
                <w:p>
                  <w:pPr>
                    <w:pStyle w:val="18"/>
                    <w:bidi w:val="0"/>
                    <w:jc w:val="center"/>
                  </w:pPr>
                  <w:r>
                    <w:t>1</w:t>
                  </w:r>
                </w:p>
              </w:tc>
              <w:tc>
                <w:tcPr>
                  <w:tcW w:w="592" w:type="pct"/>
                  <w:shd w:val="clear" w:color="auto" w:fill="auto"/>
                  <w:noWrap w:val="0"/>
                  <w:vAlign w:val="center"/>
                </w:tcPr>
                <w:p>
                  <w:pPr>
                    <w:pStyle w:val="18"/>
                    <w:bidi w:val="0"/>
                    <w:jc w:val="center"/>
                  </w:pPr>
                  <w:r>
                    <w:t>颗粒物</w:t>
                  </w:r>
                </w:p>
              </w:tc>
              <w:tc>
                <w:tcPr>
                  <w:tcW w:w="736"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120</w:t>
                  </w:r>
                </w:p>
              </w:tc>
              <w:tc>
                <w:tcPr>
                  <w:tcW w:w="698" w:type="pct"/>
                  <w:shd w:val="clear" w:color="auto" w:fill="auto"/>
                  <w:noWrap w:val="0"/>
                  <w:vAlign w:val="center"/>
                </w:tcPr>
                <w:p>
                  <w:pPr>
                    <w:pStyle w:val="18"/>
                    <w:bidi w:val="0"/>
                    <w:jc w:val="center"/>
                  </w:pPr>
                  <w:r>
                    <w:rPr>
                      <w:rFonts w:hint="eastAsia"/>
                    </w:rPr>
                    <w:t>周界外浓度最高点</w:t>
                  </w:r>
                </w:p>
              </w:tc>
              <w:tc>
                <w:tcPr>
                  <w:tcW w:w="736"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1.0</w:t>
                  </w:r>
                </w:p>
              </w:tc>
              <w:tc>
                <w:tcPr>
                  <w:tcW w:w="567"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15</w:t>
                  </w:r>
                </w:p>
              </w:tc>
              <w:tc>
                <w:tcPr>
                  <w:tcW w:w="451"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3.5</w:t>
                  </w:r>
                </w:p>
              </w:tc>
              <w:tc>
                <w:tcPr>
                  <w:tcW w:w="918" w:type="pct"/>
                  <w:vMerge w:val="restart"/>
                  <w:shd w:val="clear" w:color="auto" w:fill="auto"/>
                  <w:noWrap w:val="0"/>
                  <w:vAlign w:val="center"/>
                </w:tcPr>
                <w:p>
                  <w:pPr>
                    <w:pStyle w:val="18"/>
                    <w:bidi w:val="0"/>
                    <w:jc w:val="center"/>
                  </w:pPr>
                  <w:r>
                    <w:t>《</w:t>
                  </w:r>
                  <w:r>
                    <w:rPr>
                      <w:rFonts w:hint="eastAsia"/>
                      <w:lang w:val="en-US" w:eastAsia="zh-CN"/>
                    </w:rPr>
                    <w:t>大气</w:t>
                  </w:r>
                  <w:r>
                    <w:t>污染物</w:t>
                  </w:r>
                  <w:r>
                    <w:rPr>
                      <w:rFonts w:hint="eastAsia"/>
                      <w:lang w:val="en-US" w:eastAsia="zh-CN"/>
                    </w:rPr>
                    <w:t>综合</w:t>
                  </w:r>
                  <w:r>
                    <w:t>排放标准》（</w:t>
                  </w:r>
                  <w:r>
                    <w:rPr>
                      <w:rFonts w:hint="eastAsia"/>
                    </w:rPr>
                    <w:t>GB 16297-1996</w:t>
                  </w:r>
                  <w:r>
                    <w:t>）</w:t>
                  </w:r>
                </w:p>
                <w:p>
                  <w:pPr>
                    <w:pStyle w:val="18"/>
                    <w:bidi w:val="0"/>
                    <w:jc w:val="center"/>
                    <w:rPr>
                      <w:rFonts w:hint="default" w:eastAsia="宋体"/>
                      <w:lang w:val="en-US" w:eastAsia="zh-CN"/>
                    </w:rPr>
                  </w:pPr>
                  <w:r>
                    <w:rPr>
                      <w:rFonts w:hint="eastAsia"/>
                      <w:lang w:val="en-US" w:eastAsia="zh-CN"/>
                    </w:rPr>
                    <w:t>氨气为《恶臭污染物排放标准》（GB 14554-93）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99" w:type="pct"/>
                  <w:shd w:val="clear" w:color="auto" w:fill="auto"/>
                  <w:noWrap w:val="0"/>
                  <w:vAlign w:val="center"/>
                </w:tcPr>
                <w:p>
                  <w:pPr>
                    <w:pStyle w:val="18"/>
                    <w:bidi w:val="0"/>
                    <w:jc w:val="center"/>
                  </w:pPr>
                  <w:r>
                    <w:t>2</w:t>
                  </w:r>
                </w:p>
              </w:tc>
              <w:tc>
                <w:tcPr>
                  <w:tcW w:w="592" w:type="pct"/>
                  <w:shd w:val="clear" w:color="auto" w:fill="auto"/>
                  <w:noWrap w:val="0"/>
                  <w:vAlign w:val="center"/>
                </w:tcPr>
                <w:p>
                  <w:pPr>
                    <w:pStyle w:val="18"/>
                    <w:bidi w:val="0"/>
                    <w:jc w:val="center"/>
                  </w:pPr>
                  <w:r>
                    <w:t>SO</w:t>
                  </w:r>
                  <w:r>
                    <w:rPr>
                      <w:vertAlign w:val="subscript"/>
                    </w:rPr>
                    <w:t>2</w:t>
                  </w:r>
                </w:p>
              </w:tc>
              <w:tc>
                <w:tcPr>
                  <w:tcW w:w="736"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550</w:t>
                  </w:r>
                </w:p>
              </w:tc>
              <w:tc>
                <w:tcPr>
                  <w:tcW w:w="698" w:type="pct"/>
                  <w:shd w:val="clear" w:color="auto" w:fill="auto"/>
                  <w:noWrap w:val="0"/>
                  <w:vAlign w:val="center"/>
                </w:tcPr>
                <w:p>
                  <w:pPr>
                    <w:pStyle w:val="18"/>
                    <w:bidi w:val="0"/>
                    <w:jc w:val="center"/>
                  </w:pPr>
                  <w:r>
                    <w:rPr>
                      <w:rFonts w:hint="eastAsia"/>
                    </w:rPr>
                    <w:t>周界外浓度最高点</w:t>
                  </w:r>
                </w:p>
              </w:tc>
              <w:tc>
                <w:tcPr>
                  <w:tcW w:w="736"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0.40</w:t>
                  </w:r>
                </w:p>
              </w:tc>
              <w:tc>
                <w:tcPr>
                  <w:tcW w:w="567"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15</w:t>
                  </w:r>
                </w:p>
              </w:tc>
              <w:tc>
                <w:tcPr>
                  <w:tcW w:w="451"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2.6</w:t>
                  </w:r>
                </w:p>
              </w:tc>
              <w:tc>
                <w:tcPr>
                  <w:tcW w:w="918" w:type="pct"/>
                  <w:vMerge w:val="continue"/>
                  <w:shd w:val="clear" w:color="auto" w:fill="auto"/>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99" w:type="pct"/>
                  <w:shd w:val="clear" w:color="auto" w:fill="auto"/>
                  <w:noWrap w:val="0"/>
                  <w:vAlign w:val="center"/>
                </w:tcPr>
                <w:p>
                  <w:pPr>
                    <w:pStyle w:val="18"/>
                    <w:bidi w:val="0"/>
                    <w:jc w:val="center"/>
                  </w:pPr>
                  <w:r>
                    <w:t>4</w:t>
                  </w:r>
                </w:p>
              </w:tc>
              <w:tc>
                <w:tcPr>
                  <w:tcW w:w="592" w:type="pct"/>
                  <w:shd w:val="clear" w:color="auto" w:fill="auto"/>
                  <w:noWrap w:val="0"/>
                  <w:vAlign w:val="center"/>
                </w:tcPr>
                <w:p>
                  <w:pPr>
                    <w:pStyle w:val="18"/>
                    <w:bidi w:val="0"/>
                    <w:jc w:val="center"/>
                  </w:pPr>
                  <w:r>
                    <w:rPr>
                      <w:rFonts w:hint="eastAsia"/>
                    </w:rPr>
                    <w:t>NO</w:t>
                  </w:r>
                  <w:r>
                    <w:rPr>
                      <w:rFonts w:hint="eastAsia"/>
                      <w:vertAlign w:val="subscript"/>
                    </w:rPr>
                    <w:t>X</w:t>
                  </w:r>
                </w:p>
              </w:tc>
              <w:tc>
                <w:tcPr>
                  <w:tcW w:w="736"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240</w:t>
                  </w:r>
                </w:p>
              </w:tc>
              <w:tc>
                <w:tcPr>
                  <w:tcW w:w="698" w:type="pct"/>
                  <w:shd w:val="clear" w:color="auto" w:fill="auto"/>
                  <w:noWrap w:val="0"/>
                  <w:vAlign w:val="center"/>
                </w:tcPr>
                <w:p>
                  <w:pPr>
                    <w:pStyle w:val="18"/>
                    <w:bidi w:val="0"/>
                    <w:jc w:val="center"/>
                  </w:pPr>
                  <w:r>
                    <w:rPr>
                      <w:rFonts w:hint="eastAsia"/>
                    </w:rPr>
                    <w:t>周界外浓度最高点</w:t>
                  </w:r>
                </w:p>
              </w:tc>
              <w:tc>
                <w:tcPr>
                  <w:tcW w:w="736"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0.12</w:t>
                  </w:r>
                </w:p>
              </w:tc>
              <w:tc>
                <w:tcPr>
                  <w:tcW w:w="567"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15</w:t>
                  </w:r>
                </w:p>
              </w:tc>
              <w:tc>
                <w:tcPr>
                  <w:tcW w:w="451"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0.77</w:t>
                  </w:r>
                </w:p>
              </w:tc>
              <w:tc>
                <w:tcPr>
                  <w:tcW w:w="918" w:type="pct"/>
                  <w:vMerge w:val="continue"/>
                  <w:shd w:val="clear" w:color="auto" w:fill="auto"/>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99" w:type="pct"/>
                  <w:shd w:val="clear" w:color="auto" w:fill="auto"/>
                  <w:noWrap w:val="0"/>
                  <w:vAlign w:val="center"/>
                </w:tcPr>
                <w:p>
                  <w:pPr>
                    <w:pStyle w:val="18"/>
                    <w:bidi w:val="0"/>
                    <w:jc w:val="center"/>
                  </w:pPr>
                  <w:r>
                    <w:t>5</w:t>
                  </w:r>
                </w:p>
              </w:tc>
              <w:tc>
                <w:tcPr>
                  <w:tcW w:w="592" w:type="pct"/>
                  <w:shd w:val="clear" w:color="auto" w:fill="auto"/>
                  <w:noWrap w:val="0"/>
                  <w:vAlign w:val="center"/>
                </w:tcPr>
                <w:p>
                  <w:pPr>
                    <w:pStyle w:val="18"/>
                    <w:bidi w:val="0"/>
                    <w:jc w:val="center"/>
                  </w:pPr>
                  <w:r>
                    <w:t>硫酸雾</w:t>
                  </w:r>
                </w:p>
              </w:tc>
              <w:tc>
                <w:tcPr>
                  <w:tcW w:w="736"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45</w:t>
                  </w:r>
                </w:p>
              </w:tc>
              <w:tc>
                <w:tcPr>
                  <w:tcW w:w="698" w:type="pct"/>
                  <w:shd w:val="clear" w:color="auto" w:fill="auto"/>
                  <w:noWrap w:val="0"/>
                  <w:vAlign w:val="center"/>
                </w:tcPr>
                <w:p>
                  <w:pPr>
                    <w:pStyle w:val="18"/>
                    <w:bidi w:val="0"/>
                    <w:jc w:val="center"/>
                  </w:pPr>
                  <w:r>
                    <w:rPr>
                      <w:rFonts w:hint="eastAsia"/>
                    </w:rPr>
                    <w:t>周界外浓度最高点</w:t>
                  </w:r>
                </w:p>
              </w:tc>
              <w:tc>
                <w:tcPr>
                  <w:tcW w:w="736"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1.2</w:t>
                  </w:r>
                </w:p>
              </w:tc>
              <w:tc>
                <w:tcPr>
                  <w:tcW w:w="567"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15</w:t>
                  </w:r>
                </w:p>
              </w:tc>
              <w:tc>
                <w:tcPr>
                  <w:tcW w:w="451"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1.5</w:t>
                  </w:r>
                </w:p>
              </w:tc>
              <w:tc>
                <w:tcPr>
                  <w:tcW w:w="918" w:type="pct"/>
                  <w:vMerge w:val="continue"/>
                  <w:shd w:val="clear" w:color="auto" w:fill="auto"/>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299" w:type="pct"/>
                  <w:shd w:val="clear" w:color="auto" w:fill="auto"/>
                  <w:noWrap w:val="0"/>
                  <w:vAlign w:val="center"/>
                </w:tcPr>
                <w:p>
                  <w:pPr>
                    <w:pStyle w:val="18"/>
                    <w:bidi w:val="0"/>
                    <w:jc w:val="center"/>
                  </w:pPr>
                  <w:r>
                    <w:t>6</w:t>
                  </w:r>
                </w:p>
              </w:tc>
              <w:tc>
                <w:tcPr>
                  <w:tcW w:w="592" w:type="pct"/>
                  <w:shd w:val="clear" w:color="auto" w:fill="auto"/>
                  <w:noWrap w:val="0"/>
                  <w:vAlign w:val="center"/>
                </w:tcPr>
                <w:p>
                  <w:pPr>
                    <w:pStyle w:val="18"/>
                    <w:bidi w:val="0"/>
                    <w:jc w:val="center"/>
                  </w:pPr>
                  <w:r>
                    <w:t>氨</w:t>
                  </w:r>
                </w:p>
              </w:tc>
              <w:tc>
                <w:tcPr>
                  <w:tcW w:w="736" w:type="pct"/>
                  <w:shd w:val="clear" w:color="auto" w:fill="auto"/>
                  <w:noWrap w:val="0"/>
                  <w:vAlign w:val="center"/>
                </w:tcPr>
                <w:p>
                  <w:pPr>
                    <w:pStyle w:val="18"/>
                    <w:bidi w:val="0"/>
                    <w:jc w:val="center"/>
                    <w:rPr>
                      <w:rFonts w:hint="eastAsia" w:eastAsia="宋体"/>
                      <w:lang w:val="en-US" w:eastAsia="zh-CN"/>
                    </w:rPr>
                  </w:pPr>
                  <w:r>
                    <w:rPr>
                      <w:rFonts w:hint="eastAsia"/>
                      <w:lang w:val="en-US" w:eastAsia="zh-CN"/>
                    </w:rPr>
                    <w:t>-</w:t>
                  </w:r>
                </w:p>
              </w:tc>
              <w:tc>
                <w:tcPr>
                  <w:tcW w:w="698" w:type="pct"/>
                  <w:shd w:val="clear" w:color="auto" w:fill="auto"/>
                  <w:noWrap w:val="0"/>
                  <w:vAlign w:val="center"/>
                </w:tcPr>
                <w:p>
                  <w:pPr>
                    <w:pStyle w:val="18"/>
                    <w:bidi w:val="0"/>
                    <w:jc w:val="center"/>
                  </w:pPr>
                  <w:r>
                    <w:rPr>
                      <w:rFonts w:hint="eastAsia"/>
                    </w:rPr>
                    <w:t>周界外浓度最高点</w:t>
                  </w:r>
                </w:p>
              </w:tc>
              <w:tc>
                <w:tcPr>
                  <w:tcW w:w="736"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0.2</w:t>
                  </w:r>
                </w:p>
              </w:tc>
              <w:tc>
                <w:tcPr>
                  <w:tcW w:w="567"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15</w:t>
                  </w:r>
                </w:p>
              </w:tc>
              <w:tc>
                <w:tcPr>
                  <w:tcW w:w="451" w:type="pct"/>
                  <w:shd w:val="clear" w:color="auto" w:fill="auto"/>
                  <w:noWrap w:val="0"/>
                  <w:vAlign w:val="center"/>
                </w:tcPr>
                <w:p>
                  <w:pPr>
                    <w:pStyle w:val="18"/>
                    <w:bidi w:val="0"/>
                    <w:jc w:val="center"/>
                    <w:rPr>
                      <w:rFonts w:hint="default" w:eastAsia="宋体"/>
                      <w:lang w:val="en-US" w:eastAsia="zh-CN"/>
                    </w:rPr>
                  </w:pPr>
                  <w:r>
                    <w:rPr>
                      <w:rFonts w:hint="eastAsia"/>
                      <w:lang w:val="en-US" w:eastAsia="zh-CN"/>
                    </w:rPr>
                    <w:t>0.6</w:t>
                  </w:r>
                </w:p>
              </w:tc>
              <w:tc>
                <w:tcPr>
                  <w:tcW w:w="918" w:type="pct"/>
                  <w:vMerge w:val="continue"/>
                  <w:shd w:val="clear" w:color="auto" w:fill="auto"/>
                  <w:noWrap w:val="0"/>
                  <w:vAlign w:val="center"/>
                </w:tcPr>
                <w:p>
                  <w:pPr>
                    <w:pStyle w:val="18"/>
                    <w:bidi w:val="0"/>
                    <w:jc w:val="center"/>
                  </w:pPr>
                </w:p>
              </w:tc>
            </w:tr>
          </w:tbl>
          <w:p>
            <w:pPr>
              <w:numPr>
                <w:ilvl w:val="0"/>
                <w:numId w:val="8"/>
              </w:numPr>
              <w:bidi w:val="0"/>
            </w:pPr>
            <w:r>
              <w:t>废水</w:t>
            </w:r>
          </w:p>
          <w:p>
            <w:pPr>
              <w:pStyle w:val="19"/>
              <w:bidi w:val="0"/>
            </w:pPr>
            <w:r>
              <w:t>本项目生活污水</w:t>
            </w:r>
            <w:r>
              <w:rPr>
                <w:rFonts w:hint="eastAsia"/>
              </w:rPr>
              <w:t>经</w:t>
            </w:r>
            <w:r>
              <w:rPr>
                <w:rFonts w:hint="eastAsia"/>
                <w:lang w:val="en-US" w:eastAsia="zh-CN"/>
              </w:rPr>
              <w:t>化粪池</w:t>
            </w:r>
            <w:r>
              <w:rPr>
                <w:rFonts w:hint="eastAsia"/>
              </w:rPr>
              <w:t>，排入园区污水管道，由</w:t>
            </w:r>
            <w:r>
              <w:rPr>
                <w:bCs/>
                <w:szCs w:val="21"/>
              </w:rPr>
              <w:t>花垣县工业园污水处理厂</w:t>
            </w:r>
            <w:r>
              <w:rPr>
                <w:rFonts w:hint="eastAsia"/>
              </w:rPr>
              <w:t>处理达标排放</w:t>
            </w:r>
            <w:r>
              <w:rPr>
                <w:rFonts w:hint="eastAsia"/>
                <w:lang w:eastAsia="zh-CN"/>
              </w:rPr>
              <w:t>。</w:t>
            </w:r>
            <w:r>
              <w:t>生产废水回用于生产，不外排。生活污水排放执行《污水综合排放标准》（GB8978-1996）中三级标准限值及花垣县城市生活污水处理厂进水水质要求。</w:t>
            </w:r>
          </w:p>
          <w:p>
            <w:pPr>
              <w:jc w:val="center"/>
              <w:outlineLvl w:val="5"/>
              <w:rPr>
                <w:b/>
                <w:szCs w:val="21"/>
                <w:u w:val="none"/>
              </w:rPr>
            </w:pPr>
            <w:bookmarkStart w:id="43" w:name="_Toc32714"/>
            <w:r>
              <w:rPr>
                <w:b/>
                <w:szCs w:val="21"/>
                <w:u w:val="none"/>
              </w:rPr>
              <w:t>表3-1</w:t>
            </w:r>
            <w:r>
              <w:rPr>
                <w:rFonts w:hint="eastAsia"/>
                <w:b/>
                <w:szCs w:val="21"/>
                <w:u w:val="none"/>
                <w:lang w:val="en-US" w:eastAsia="zh-CN"/>
              </w:rPr>
              <w:t>6</w:t>
            </w:r>
            <w:r>
              <w:rPr>
                <w:b/>
                <w:szCs w:val="21"/>
                <w:u w:val="none"/>
              </w:rPr>
              <w:t xml:space="preserve">  项目生活污水排放标准值</w:t>
            </w:r>
            <w:bookmarkEnd w:id="43"/>
          </w:p>
          <w:tbl>
            <w:tblPr>
              <w:tblStyle w:val="1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55"/>
              <w:gridCol w:w="841"/>
              <w:gridCol w:w="1159"/>
              <w:gridCol w:w="1159"/>
              <w:gridCol w:w="1160"/>
              <w:gridCol w:w="1159"/>
              <w:gridCol w:w="11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38" w:type="pct"/>
                  <w:tcBorders>
                    <w:tl2br w:val="nil"/>
                    <w:tr2bl w:val="nil"/>
                  </w:tcBorders>
                  <w:noWrap w:val="0"/>
                  <w:vAlign w:val="center"/>
                </w:tcPr>
                <w:p>
                  <w:pPr>
                    <w:pStyle w:val="18"/>
                    <w:bidi w:val="0"/>
                  </w:pPr>
                  <w:r>
                    <w:t>标准</w:t>
                  </w:r>
                </w:p>
              </w:tc>
              <w:tc>
                <w:tcPr>
                  <w:tcW w:w="3862" w:type="pct"/>
                  <w:gridSpan w:val="6"/>
                  <w:tcBorders>
                    <w:tl2br w:val="nil"/>
                    <w:tr2bl w:val="nil"/>
                  </w:tcBorders>
                  <w:noWrap w:val="0"/>
                  <w:vAlign w:val="center"/>
                </w:tcPr>
                <w:p>
                  <w:pPr>
                    <w:pStyle w:val="18"/>
                    <w:bidi w:val="0"/>
                  </w:pPr>
                  <w: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38" w:type="pct"/>
                  <w:vMerge w:val="restart"/>
                  <w:tcBorders>
                    <w:tl2br w:val="nil"/>
                    <w:tr2bl w:val="nil"/>
                  </w:tcBorders>
                  <w:noWrap w:val="0"/>
                  <w:vAlign w:val="center"/>
                </w:tcPr>
                <w:p>
                  <w:pPr>
                    <w:pStyle w:val="18"/>
                    <w:bidi w:val="0"/>
                  </w:pPr>
                  <w:r>
                    <w:t>（GB8978-1996）三级(mg/L)</w:t>
                  </w:r>
                </w:p>
              </w:tc>
              <w:tc>
                <w:tcPr>
                  <w:tcW w:w="489" w:type="pct"/>
                  <w:tcBorders>
                    <w:tl2br w:val="nil"/>
                    <w:tr2bl w:val="nil"/>
                  </w:tcBorders>
                  <w:noWrap w:val="0"/>
                  <w:vAlign w:val="center"/>
                </w:tcPr>
                <w:p>
                  <w:pPr>
                    <w:pStyle w:val="18"/>
                    <w:bidi w:val="0"/>
                  </w:pPr>
                  <w:r>
                    <w:t>因子</w:t>
                  </w:r>
                </w:p>
              </w:tc>
              <w:tc>
                <w:tcPr>
                  <w:tcW w:w="674" w:type="pct"/>
                  <w:tcBorders>
                    <w:tl2br w:val="nil"/>
                    <w:tr2bl w:val="nil"/>
                  </w:tcBorders>
                  <w:noWrap w:val="0"/>
                  <w:vAlign w:val="center"/>
                </w:tcPr>
                <w:p>
                  <w:pPr>
                    <w:pStyle w:val="18"/>
                    <w:bidi w:val="0"/>
                  </w:pPr>
                  <w:r>
                    <w:t>pH</w:t>
                  </w:r>
                </w:p>
              </w:tc>
              <w:tc>
                <w:tcPr>
                  <w:tcW w:w="674" w:type="pct"/>
                  <w:tcBorders>
                    <w:tl2br w:val="nil"/>
                    <w:tr2bl w:val="nil"/>
                  </w:tcBorders>
                  <w:noWrap w:val="0"/>
                  <w:vAlign w:val="center"/>
                </w:tcPr>
                <w:p>
                  <w:pPr>
                    <w:pStyle w:val="18"/>
                    <w:bidi w:val="0"/>
                  </w:pPr>
                  <w:r>
                    <w:t>COD</w:t>
                  </w:r>
                  <w:r>
                    <w:rPr>
                      <w:vertAlign w:val="subscript"/>
                    </w:rPr>
                    <w:t>Cr</w:t>
                  </w:r>
                </w:p>
              </w:tc>
              <w:tc>
                <w:tcPr>
                  <w:tcW w:w="675" w:type="pct"/>
                  <w:tcBorders>
                    <w:tl2br w:val="nil"/>
                    <w:tr2bl w:val="nil"/>
                  </w:tcBorders>
                  <w:noWrap w:val="0"/>
                  <w:vAlign w:val="center"/>
                </w:tcPr>
                <w:p>
                  <w:pPr>
                    <w:pStyle w:val="18"/>
                    <w:bidi w:val="0"/>
                  </w:pPr>
                  <w:r>
                    <w:t>BOD</w:t>
                  </w:r>
                  <w:r>
                    <w:rPr>
                      <w:vertAlign w:val="subscript"/>
                    </w:rPr>
                    <w:t>5</w:t>
                  </w:r>
                </w:p>
              </w:tc>
              <w:tc>
                <w:tcPr>
                  <w:tcW w:w="674" w:type="pct"/>
                  <w:tcBorders>
                    <w:tl2br w:val="nil"/>
                    <w:tr2bl w:val="nil"/>
                  </w:tcBorders>
                  <w:noWrap w:val="0"/>
                  <w:vAlign w:val="center"/>
                </w:tcPr>
                <w:p>
                  <w:pPr>
                    <w:pStyle w:val="18"/>
                    <w:bidi w:val="0"/>
                  </w:pPr>
                  <w:r>
                    <w:t>NH</w:t>
                  </w:r>
                  <w:r>
                    <w:rPr>
                      <w:vertAlign w:val="subscript"/>
                    </w:rPr>
                    <w:t>3</w:t>
                  </w:r>
                  <w:r>
                    <w:t>-N</w:t>
                  </w:r>
                </w:p>
              </w:tc>
              <w:tc>
                <w:tcPr>
                  <w:tcW w:w="676" w:type="pct"/>
                  <w:tcBorders>
                    <w:tl2br w:val="nil"/>
                    <w:tr2bl w:val="nil"/>
                  </w:tcBorders>
                  <w:noWrap w:val="0"/>
                  <w:vAlign w:val="center"/>
                </w:tcPr>
                <w:p>
                  <w:pPr>
                    <w:pStyle w:val="18"/>
                    <w:bidi w:val="0"/>
                  </w:pPr>
                  <w:r>
                    <w:t>SS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38" w:type="pct"/>
                  <w:vMerge w:val="continue"/>
                  <w:tcBorders>
                    <w:tl2br w:val="nil"/>
                    <w:tr2bl w:val="nil"/>
                  </w:tcBorders>
                  <w:noWrap w:val="0"/>
                  <w:vAlign w:val="center"/>
                </w:tcPr>
                <w:p>
                  <w:pPr>
                    <w:pStyle w:val="18"/>
                    <w:bidi w:val="0"/>
                  </w:pPr>
                </w:p>
              </w:tc>
              <w:tc>
                <w:tcPr>
                  <w:tcW w:w="489" w:type="pct"/>
                  <w:tcBorders>
                    <w:tl2br w:val="nil"/>
                    <w:tr2bl w:val="nil"/>
                  </w:tcBorders>
                  <w:noWrap w:val="0"/>
                  <w:vAlign w:val="center"/>
                </w:tcPr>
                <w:p>
                  <w:pPr>
                    <w:pStyle w:val="18"/>
                    <w:bidi w:val="0"/>
                  </w:pPr>
                  <w:r>
                    <w:t>限值</w:t>
                  </w:r>
                </w:p>
              </w:tc>
              <w:tc>
                <w:tcPr>
                  <w:tcW w:w="674" w:type="pct"/>
                  <w:tcBorders>
                    <w:tl2br w:val="nil"/>
                    <w:tr2bl w:val="nil"/>
                  </w:tcBorders>
                  <w:noWrap w:val="0"/>
                  <w:vAlign w:val="center"/>
                </w:tcPr>
                <w:p>
                  <w:pPr>
                    <w:pStyle w:val="18"/>
                    <w:bidi w:val="0"/>
                  </w:pPr>
                  <w:r>
                    <w:t>6~9</w:t>
                  </w:r>
                </w:p>
              </w:tc>
              <w:tc>
                <w:tcPr>
                  <w:tcW w:w="674" w:type="pct"/>
                  <w:tcBorders>
                    <w:tl2br w:val="nil"/>
                    <w:tr2bl w:val="nil"/>
                  </w:tcBorders>
                  <w:noWrap w:val="0"/>
                  <w:vAlign w:val="center"/>
                </w:tcPr>
                <w:p>
                  <w:pPr>
                    <w:pStyle w:val="18"/>
                    <w:bidi w:val="0"/>
                  </w:pPr>
                  <w:r>
                    <w:t>500</w:t>
                  </w:r>
                </w:p>
              </w:tc>
              <w:tc>
                <w:tcPr>
                  <w:tcW w:w="675" w:type="pct"/>
                  <w:tcBorders>
                    <w:tl2br w:val="nil"/>
                    <w:tr2bl w:val="nil"/>
                  </w:tcBorders>
                  <w:noWrap w:val="0"/>
                  <w:vAlign w:val="center"/>
                </w:tcPr>
                <w:p>
                  <w:pPr>
                    <w:pStyle w:val="18"/>
                    <w:bidi w:val="0"/>
                  </w:pPr>
                  <w:r>
                    <w:t>300</w:t>
                  </w:r>
                </w:p>
              </w:tc>
              <w:tc>
                <w:tcPr>
                  <w:tcW w:w="674" w:type="pct"/>
                  <w:tcBorders>
                    <w:tl2br w:val="nil"/>
                    <w:tr2bl w:val="nil"/>
                  </w:tcBorders>
                  <w:noWrap w:val="0"/>
                  <w:vAlign w:val="center"/>
                </w:tcPr>
                <w:p>
                  <w:pPr>
                    <w:pStyle w:val="18"/>
                    <w:bidi w:val="0"/>
                  </w:pPr>
                  <w:r>
                    <w:t>/</w:t>
                  </w:r>
                </w:p>
              </w:tc>
              <w:tc>
                <w:tcPr>
                  <w:tcW w:w="676" w:type="pct"/>
                  <w:tcBorders>
                    <w:tl2br w:val="nil"/>
                    <w:tr2bl w:val="nil"/>
                  </w:tcBorders>
                  <w:noWrap w:val="0"/>
                  <w:vAlign w:val="center"/>
                </w:tcPr>
                <w:p>
                  <w:pPr>
                    <w:pStyle w:val="18"/>
                    <w:bidi w:val="0"/>
                  </w:pPr>
                  <w: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38" w:type="pct"/>
                  <w:vMerge w:val="restart"/>
                  <w:tcBorders>
                    <w:tl2br w:val="nil"/>
                    <w:tr2bl w:val="nil"/>
                  </w:tcBorders>
                  <w:noWrap w:val="0"/>
                  <w:vAlign w:val="center"/>
                </w:tcPr>
                <w:p>
                  <w:pPr>
                    <w:pStyle w:val="18"/>
                    <w:bidi w:val="0"/>
                  </w:pPr>
                  <w:r>
                    <w:rPr>
                      <w:rFonts w:hint="eastAsia"/>
                    </w:rPr>
                    <w:t>污水</w:t>
                  </w:r>
                  <w:r>
                    <w:rPr>
                      <w:rFonts w:hint="eastAsia"/>
                      <w:lang w:val="en-US" w:eastAsia="zh-CN"/>
                    </w:rPr>
                    <w:t>处理</w:t>
                  </w:r>
                  <w:r>
                    <w:rPr>
                      <w:rFonts w:hint="eastAsia"/>
                    </w:rPr>
                    <w:t>厂进水水质要求</w:t>
                  </w:r>
                </w:p>
              </w:tc>
              <w:tc>
                <w:tcPr>
                  <w:tcW w:w="489" w:type="pct"/>
                  <w:tcBorders>
                    <w:tl2br w:val="nil"/>
                    <w:tr2bl w:val="nil"/>
                  </w:tcBorders>
                  <w:noWrap w:val="0"/>
                  <w:vAlign w:val="center"/>
                </w:tcPr>
                <w:p>
                  <w:pPr>
                    <w:pStyle w:val="18"/>
                    <w:bidi w:val="0"/>
                  </w:pPr>
                  <w:r>
                    <w:t>因子</w:t>
                  </w:r>
                </w:p>
              </w:tc>
              <w:tc>
                <w:tcPr>
                  <w:tcW w:w="674" w:type="pct"/>
                  <w:tcBorders>
                    <w:tl2br w:val="nil"/>
                    <w:tr2bl w:val="nil"/>
                  </w:tcBorders>
                  <w:noWrap w:val="0"/>
                  <w:vAlign w:val="center"/>
                </w:tcPr>
                <w:p>
                  <w:pPr>
                    <w:pStyle w:val="18"/>
                    <w:bidi w:val="0"/>
                  </w:pPr>
                  <w:r>
                    <w:t>pH</w:t>
                  </w:r>
                </w:p>
              </w:tc>
              <w:tc>
                <w:tcPr>
                  <w:tcW w:w="674" w:type="pct"/>
                  <w:tcBorders>
                    <w:tl2br w:val="nil"/>
                    <w:tr2bl w:val="nil"/>
                  </w:tcBorders>
                  <w:noWrap w:val="0"/>
                  <w:vAlign w:val="center"/>
                </w:tcPr>
                <w:p>
                  <w:pPr>
                    <w:pStyle w:val="18"/>
                    <w:bidi w:val="0"/>
                  </w:pPr>
                  <w:r>
                    <w:t>COD</w:t>
                  </w:r>
                  <w:r>
                    <w:rPr>
                      <w:vertAlign w:val="subscript"/>
                    </w:rPr>
                    <w:t>Cr</w:t>
                  </w:r>
                </w:p>
              </w:tc>
              <w:tc>
                <w:tcPr>
                  <w:tcW w:w="675" w:type="pct"/>
                  <w:tcBorders>
                    <w:tl2br w:val="nil"/>
                    <w:tr2bl w:val="nil"/>
                  </w:tcBorders>
                  <w:noWrap w:val="0"/>
                  <w:vAlign w:val="center"/>
                </w:tcPr>
                <w:p>
                  <w:pPr>
                    <w:pStyle w:val="18"/>
                    <w:bidi w:val="0"/>
                  </w:pPr>
                  <w:r>
                    <w:t>BOD</w:t>
                  </w:r>
                  <w:r>
                    <w:rPr>
                      <w:vertAlign w:val="subscript"/>
                    </w:rPr>
                    <w:t>5</w:t>
                  </w:r>
                </w:p>
              </w:tc>
              <w:tc>
                <w:tcPr>
                  <w:tcW w:w="674" w:type="pct"/>
                  <w:tcBorders>
                    <w:tl2br w:val="nil"/>
                    <w:tr2bl w:val="nil"/>
                  </w:tcBorders>
                  <w:noWrap w:val="0"/>
                  <w:vAlign w:val="center"/>
                </w:tcPr>
                <w:p>
                  <w:pPr>
                    <w:pStyle w:val="18"/>
                    <w:bidi w:val="0"/>
                  </w:pPr>
                  <w:r>
                    <w:t>NH</w:t>
                  </w:r>
                  <w:r>
                    <w:rPr>
                      <w:vertAlign w:val="subscript"/>
                    </w:rPr>
                    <w:t>3</w:t>
                  </w:r>
                  <w:r>
                    <w:t>-N</w:t>
                  </w:r>
                </w:p>
              </w:tc>
              <w:tc>
                <w:tcPr>
                  <w:tcW w:w="676" w:type="pct"/>
                  <w:tcBorders>
                    <w:tl2br w:val="nil"/>
                    <w:tr2bl w:val="nil"/>
                  </w:tcBorders>
                  <w:noWrap w:val="0"/>
                  <w:vAlign w:val="center"/>
                </w:tcPr>
                <w:p>
                  <w:pPr>
                    <w:pStyle w:val="18"/>
                    <w:bidi w:val="0"/>
                  </w:pPr>
                  <w:r>
                    <w:t>SS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38" w:type="pct"/>
                  <w:vMerge w:val="continue"/>
                  <w:tcBorders>
                    <w:tl2br w:val="nil"/>
                    <w:tr2bl w:val="nil"/>
                  </w:tcBorders>
                  <w:noWrap w:val="0"/>
                  <w:vAlign w:val="center"/>
                </w:tcPr>
                <w:p>
                  <w:pPr>
                    <w:pStyle w:val="18"/>
                    <w:bidi w:val="0"/>
                  </w:pPr>
                </w:p>
              </w:tc>
              <w:tc>
                <w:tcPr>
                  <w:tcW w:w="489" w:type="pct"/>
                  <w:tcBorders>
                    <w:tl2br w:val="nil"/>
                    <w:tr2bl w:val="nil"/>
                  </w:tcBorders>
                  <w:noWrap w:val="0"/>
                  <w:vAlign w:val="center"/>
                </w:tcPr>
                <w:p>
                  <w:pPr>
                    <w:pStyle w:val="18"/>
                    <w:bidi w:val="0"/>
                  </w:pPr>
                  <w:r>
                    <w:t>限值</w:t>
                  </w:r>
                </w:p>
              </w:tc>
              <w:tc>
                <w:tcPr>
                  <w:tcW w:w="674" w:type="pct"/>
                  <w:tcBorders>
                    <w:tl2br w:val="nil"/>
                    <w:tr2bl w:val="nil"/>
                  </w:tcBorders>
                  <w:noWrap w:val="0"/>
                  <w:vAlign w:val="center"/>
                </w:tcPr>
                <w:p>
                  <w:pPr>
                    <w:pStyle w:val="18"/>
                    <w:bidi w:val="0"/>
                  </w:pPr>
                  <w:r>
                    <w:rPr>
                      <w:rFonts w:hint="eastAsia"/>
                    </w:rPr>
                    <w:t>/</w:t>
                  </w:r>
                </w:p>
              </w:tc>
              <w:tc>
                <w:tcPr>
                  <w:tcW w:w="674" w:type="pct"/>
                  <w:tcBorders>
                    <w:tl2br w:val="nil"/>
                    <w:tr2bl w:val="nil"/>
                  </w:tcBorders>
                  <w:noWrap w:val="0"/>
                  <w:vAlign w:val="center"/>
                </w:tcPr>
                <w:p>
                  <w:pPr>
                    <w:pStyle w:val="18"/>
                    <w:bidi w:val="0"/>
                  </w:pPr>
                  <w:r>
                    <w:t>/</w:t>
                  </w:r>
                </w:p>
              </w:tc>
              <w:tc>
                <w:tcPr>
                  <w:tcW w:w="675" w:type="pct"/>
                  <w:tcBorders>
                    <w:tl2br w:val="nil"/>
                    <w:tr2bl w:val="nil"/>
                  </w:tcBorders>
                  <w:noWrap w:val="0"/>
                  <w:vAlign w:val="center"/>
                </w:tcPr>
                <w:p>
                  <w:pPr>
                    <w:pStyle w:val="18"/>
                    <w:bidi w:val="0"/>
                  </w:pPr>
                  <w:r>
                    <w:t>/</w:t>
                  </w:r>
                </w:p>
              </w:tc>
              <w:tc>
                <w:tcPr>
                  <w:tcW w:w="674" w:type="pct"/>
                  <w:tcBorders>
                    <w:tl2br w:val="nil"/>
                    <w:tr2bl w:val="nil"/>
                  </w:tcBorders>
                  <w:noWrap w:val="0"/>
                  <w:vAlign w:val="center"/>
                </w:tcPr>
                <w:p>
                  <w:pPr>
                    <w:pStyle w:val="18"/>
                    <w:bidi w:val="0"/>
                  </w:pPr>
                  <w:r>
                    <w:t>45</w:t>
                  </w:r>
                </w:p>
              </w:tc>
              <w:tc>
                <w:tcPr>
                  <w:tcW w:w="676" w:type="pct"/>
                  <w:tcBorders>
                    <w:tl2br w:val="nil"/>
                    <w:tr2bl w:val="nil"/>
                  </w:tcBorders>
                  <w:noWrap w:val="0"/>
                  <w:vAlign w:val="center"/>
                </w:tcPr>
                <w:p>
                  <w:pPr>
                    <w:pStyle w:val="18"/>
                    <w:bidi w:val="0"/>
                  </w:pPr>
                  <w:r>
                    <w:t>/</w:t>
                  </w:r>
                </w:p>
              </w:tc>
            </w:tr>
          </w:tbl>
          <w:p>
            <w:pPr>
              <w:numPr>
                <w:ilvl w:val="0"/>
                <w:numId w:val="8"/>
              </w:numPr>
              <w:bidi w:val="0"/>
            </w:pPr>
            <w:r>
              <w:t>噪声</w:t>
            </w:r>
          </w:p>
          <w:p>
            <w:pPr>
              <w:pStyle w:val="19"/>
              <w:numPr>
                <w:ilvl w:val="0"/>
                <w:numId w:val="0"/>
              </w:numPr>
              <w:bidi w:val="0"/>
              <w:ind w:right="40" w:rightChars="0" w:firstLine="480" w:firstLineChars="200"/>
            </w:pPr>
            <w:r>
              <w:t>运营期厂界四周执行《工业企业厂界环境噪声排放标准》（GB12348-2008）</w:t>
            </w:r>
            <w:r>
              <w:rPr>
                <w:rFonts w:hint="eastAsia"/>
                <w:lang w:val="en-US" w:eastAsia="zh-CN"/>
              </w:rPr>
              <w:t>3</w:t>
            </w:r>
            <w:r>
              <w:t>类标准。</w:t>
            </w:r>
          </w:p>
          <w:p>
            <w:pPr>
              <w:jc w:val="center"/>
              <w:outlineLvl w:val="5"/>
              <w:rPr>
                <w:b/>
                <w:szCs w:val="21"/>
                <w:u w:val="none"/>
              </w:rPr>
            </w:pPr>
            <w:bookmarkStart w:id="44" w:name="_Toc13357"/>
            <w:r>
              <w:rPr>
                <w:b/>
                <w:szCs w:val="21"/>
                <w:u w:val="none"/>
              </w:rPr>
              <w:t>表3-</w:t>
            </w:r>
            <w:r>
              <w:rPr>
                <w:rFonts w:hint="eastAsia"/>
                <w:b/>
                <w:szCs w:val="21"/>
                <w:u w:val="none"/>
                <w:lang w:val="en-US" w:eastAsia="zh-CN"/>
              </w:rPr>
              <w:t>17</w:t>
            </w:r>
            <w:r>
              <w:rPr>
                <w:b/>
                <w:szCs w:val="21"/>
                <w:u w:val="none"/>
              </w:rPr>
              <w:t xml:space="preserve">  噪声污染物排放标准限值</w:t>
            </w:r>
            <w:bookmarkEnd w:id="44"/>
          </w:p>
          <w:tbl>
            <w:tblPr>
              <w:tblStyle w:val="15"/>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85" w:type="dxa"/>
                <w:bottom w:w="0" w:type="dxa"/>
                <w:right w:w="85" w:type="dxa"/>
              </w:tblCellMar>
            </w:tblPr>
            <w:tblGrid>
              <w:gridCol w:w="2099"/>
              <w:gridCol w:w="1870"/>
              <w:gridCol w:w="462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85" w:type="dxa"/>
                  <w:bottom w:w="0" w:type="dxa"/>
                  <w:right w:w="85" w:type="dxa"/>
                </w:tblCellMar>
              </w:tblPrEx>
              <w:trPr>
                <w:trHeight w:val="454" w:hRule="atLeast"/>
                <w:jc w:val="center"/>
              </w:trPr>
              <w:tc>
                <w:tcPr>
                  <w:tcW w:w="2309" w:type="pct"/>
                  <w:gridSpan w:val="2"/>
                  <w:noWrap w:val="0"/>
                  <w:vAlign w:val="center"/>
                </w:tcPr>
                <w:p>
                  <w:pPr>
                    <w:pStyle w:val="18"/>
                    <w:bidi w:val="0"/>
                    <w:jc w:val="center"/>
                  </w:pPr>
                  <w:r>
                    <w:t>标准值</w:t>
                  </w:r>
                </w:p>
              </w:tc>
              <w:tc>
                <w:tcPr>
                  <w:tcW w:w="2690" w:type="pct"/>
                  <w:noWrap w:val="0"/>
                  <w:vAlign w:val="center"/>
                </w:tcPr>
                <w:p>
                  <w:pPr>
                    <w:pStyle w:val="18"/>
                    <w:bidi w:val="0"/>
                    <w:jc w:val="center"/>
                  </w:pPr>
                  <w: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85" w:type="dxa"/>
                  <w:bottom w:w="0" w:type="dxa"/>
                  <w:right w:w="85" w:type="dxa"/>
                </w:tblCellMar>
              </w:tblPrEx>
              <w:trPr>
                <w:trHeight w:val="454" w:hRule="atLeast"/>
                <w:jc w:val="center"/>
              </w:trPr>
              <w:tc>
                <w:tcPr>
                  <w:tcW w:w="1221" w:type="pct"/>
                  <w:noWrap w:val="0"/>
                  <w:vAlign w:val="center"/>
                </w:tcPr>
                <w:p>
                  <w:pPr>
                    <w:pStyle w:val="18"/>
                    <w:bidi w:val="0"/>
                    <w:jc w:val="center"/>
                  </w:pPr>
                  <w:r>
                    <w:t>昼间</w:t>
                  </w:r>
                </w:p>
              </w:tc>
              <w:tc>
                <w:tcPr>
                  <w:tcW w:w="1088" w:type="pct"/>
                  <w:noWrap w:val="0"/>
                  <w:vAlign w:val="center"/>
                </w:tcPr>
                <w:p>
                  <w:pPr>
                    <w:pStyle w:val="18"/>
                    <w:bidi w:val="0"/>
                    <w:jc w:val="center"/>
                  </w:pPr>
                  <w:r>
                    <w:rPr>
                      <w:rFonts w:hint="eastAsia"/>
                      <w:lang w:val="en-US" w:eastAsia="zh-CN"/>
                    </w:rPr>
                    <w:t>65</w:t>
                  </w:r>
                  <w:r>
                    <w:t>dB（A）</w:t>
                  </w:r>
                </w:p>
              </w:tc>
              <w:tc>
                <w:tcPr>
                  <w:tcW w:w="2690" w:type="pct"/>
                  <w:vMerge w:val="restart"/>
                  <w:noWrap w:val="0"/>
                  <w:vAlign w:val="center"/>
                </w:tcPr>
                <w:p>
                  <w:pPr>
                    <w:pStyle w:val="18"/>
                    <w:bidi w:val="0"/>
                    <w:jc w:val="center"/>
                  </w:pPr>
                  <w:r>
                    <w:t>《工业企业厂界环境噪声排放标准》（GB12348-2008）标准限值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85" w:type="dxa"/>
                  <w:bottom w:w="0" w:type="dxa"/>
                  <w:right w:w="85" w:type="dxa"/>
                </w:tblCellMar>
              </w:tblPrEx>
              <w:trPr>
                <w:trHeight w:val="454" w:hRule="atLeast"/>
                <w:jc w:val="center"/>
              </w:trPr>
              <w:tc>
                <w:tcPr>
                  <w:tcW w:w="1221" w:type="pct"/>
                  <w:noWrap w:val="0"/>
                  <w:vAlign w:val="center"/>
                </w:tcPr>
                <w:p>
                  <w:pPr>
                    <w:pStyle w:val="18"/>
                    <w:bidi w:val="0"/>
                    <w:jc w:val="center"/>
                  </w:pPr>
                  <w:r>
                    <w:t>夜间</w:t>
                  </w:r>
                </w:p>
              </w:tc>
              <w:tc>
                <w:tcPr>
                  <w:tcW w:w="1088" w:type="pct"/>
                  <w:noWrap w:val="0"/>
                  <w:vAlign w:val="center"/>
                </w:tcPr>
                <w:p>
                  <w:pPr>
                    <w:pStyle w:val="18"/>
                    <w:bidi w:val="0"/>
                    <w:jc w:val="center"/>
                  </w:pPr>
                  <w:r>
                    <w:rPr>
                      <w:rFonts w:hint="eastAsia"/>
                      <w:lang w:val="en-US" w:eastAsia="zh-CN"/>
                    </w:rPr>
                    <w:t>55</w:t>
                  </w:r>
                  <w:r>
                    <w:t>dB（A）</w:t>
                  </w:r>
                </w:p>
              </w:tc>
              <w:tc>
                <w:tcPr>
                  <w:tcW w:w="2690" w:type="pct"/>
                  <w:vMerge w:val="continue"/>
                  <w:noWrap w:val="0"/>
                  <w:vAlign w:val="center"/>
                </w:tcPr>
                <w:p>
                  <w:pPr>
                    <w:pStyle w:val="18"/>
                    <w:bidi w:val="0"/>
                    <w:jc w:val="center"/>
                  </w:pPr>
                </w:p>
              </w:tc>
            </w:tr>
          </w:tbl>
          <w:p>
            <w:pPr>
              <w:numPr>
                <w:ilvl w:val="0"/>
                <w:numId w:val="8"/>
              </w:numPr>
              <w:bidi w:val="0"/>
            </w:pPr>
            <w:r>
              <w:t>固体废物</w:t>
            </w:r>
          </w:p>
          <w:p>
            <w:pPr>
              <w:pStyle w:val="19"/>
              <w:bidi w:val="0"/>
              <w:rPr>
                <w:rFonts w:hint="default"/>
                <w:lang w:val="en-US" w:eastAsia="zh-CN"/>
              </w:rPr>
            </w:pPr>
            <w:r>
              <w:rPr>
                <w:rFonts w:hint="eastAsia"/>
                <w:lang w:val="en-US" w:eastAsia="zh-CN"/>
              </w:rPr>
              <w:t>锰渣仓库按照危险废物贮存污染控制标准GB18597-2023的要求进行防渗处理，</w:t>
            </w:r>
            <w:r>
              <w:t>一般工业废物执行《一般工业固体废物贮存和填埋污染控制标准》（GB 18599-2020）；危险固体废物执行《危险废物贮存污染控制标准》（GB</w:t>
            </w:r>
            <w:r>
              <w:rPr>
                <w:rFonts w:hint="eastAsia"/>
                <w:lang w:val="en-US" w:eastAsia="zh-CN"/>
              </w:rPr>
              <w:t xml:space="preserve"> </w:t>
            </w:r>
            <w:r>
              <w:t>18597-20</w:t>
            </w:r>
            <w:r>
              <w:rPr>
                <w:rFonts w:hint="eastAsia"/>
                <w:lang w:val="en-US" w:eastAsia="zh-CN"/>
              </w:rPr>
              <w:t>23</w:t>
            </w:r>
            <w:r>
              <w:t>）；生活垃圾处置执行</w:t>
            </w:r>
            <w:r>
              <w:rPr>
                <w:rFonts w:hint="eastAsia"/>
              </w:rPr>
              <w:t>《生活垃圾焚烧污染控制标准及修改单》（GB</w:t>
            </w:r>
            <w:r>
              <w:rPr>
                <w:rFonts w:hint="eastAsia"/>
                <w:lang w:val="en-US" w:eastAsia="zh-CN"/>
              </w:rPr>
              <w:t xml:space="preserve"> </w:t>
            </w:r>
            <w:r>
              <w:rPr>
                <w:rFonts w:hint="eastAsia"/>
              </w:rPr>
              <w:t>18485-2014）</w:t>
            </w: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 w:type="dxa"/>
          </w:tcPr>
          <w:p>
            <w:pPr>
              <w:numPr>
                <w:ilvl w:val="0"/>
                <w:numId w:val="0"/>
              </w:numPr>
              <w:ind w:right="40" w:rightChars="0"/>
              <w:rPr>
                <w:rFonts w:hint="default"/>
                <w:vertAlign w:val="baseline"/>
                <w:lang w:val="en-US" w:eastAsia="zh-CN"/>
              </w:rPr>
            </w:pPr>
            <w:r>
              <w:rPr>
                <w:rFonts w:hint="eastAsia"/>
                <w:vertAlign w:val="baseline"/>
                <w:lang w:val="en-US" w:eastAsia="zh-CN"/>
              </w:rPr>
              <w:t>总量控制指标</w:t>
            </w:r>
          </w:p>
        </w:tc>
        <w:tc>
          <w:tcPr>
            <w:tcW w:w="8841" w:type="dxa"/>
          </w:tcPr>
          <w:p>
            <w:pPr>
              <w:numPr>
                <w:ilvl w:val="0"/>
                <w:numId w:val="0"/>
              </w:numPr>
              <w:ind w:leftChars="0" w:right="40" w:rightChars="0" w:firstLine="480" w:firstLineChars="200"/>
              <w:rPr>
                <w:rFonts w:hint="default"/>
                <w:lang w:val="en-US" w:eastAsia="zh-CN"/>
              </w:rPr>
            </w:pPr>
            <w:r>
              <w:rPr>
                <w:rFonts w:hint="default"/>
                <w:lang w:val="en-US" w:eastAsia="zh-CN"/>
              </w:rPr>
              <w:t>根据国家污染物排放总量控制原则，目前对 COD、NH</w:t>
            </w:r>
            <w:r>
              <w:rPr>
                <w:rFonts w:hint="default"/>
                <w:vertAlign w:val="subscript"/>
                <w:lang w:val="en-US" w:eastAsia="zh-CN"/>
              </w:rPr>
              <w:t>3</w:t>
            </w:r>
            <w:r>
              <w:rPr>
                <w:rFonts w:hint="default"/>
                <w:lang w:val="en-US" w:eastAsia="zh-CN"/>
              </w:rPr>
              <w:t>-N、SO</w:t>
            </w:r>
            <w:r>
              <w:rPr>
                <w:rFonts w:hint="default"/>
                <w:vertAlign w:val="subscript"/>
                <w:lang w:val="en-US" w:eastAsia="zh-CN"/>
              </w:rPr>
              <w:t>2</w:t>
            </w:r>
            <w:r>
              <w:rPr>
                <w:rFonts w:hint="default"/>
                <w:lang w:val="en-US" w:eastAsia="zh-CN"/>
              </w:rPr>
              <w:t>、NO</w:t>
            </w:r>
            <w:r>
              <w:rPr>
                <w:rFonts w:hint="default"/>
                <w:vertAlign w:val="subscript"/>
                <w:lang w:val="en-US" w:eastAsia="zh-CN"/>
              </w:rPr>
              <w:t>X</w:t>
            </w:r>
            <w:r>
              <w:rPr>
                <w:rFonts w:hint="default"/>
                <w:lang w:val="en-US" w:eastAsia="zh-CN"/>
              </w:rPr>
              <w:t>、VOCs 五项污染物实施总量控制。</w:t>
            </w:r>
          </w:p>
          <w:p>
            <w:pPr>
              <w:numPr>
                <w:ilvl w:val="0"/>
                <w:numId w:val="0"/>
              </w:numPr>
              <w:ind w:leftChars="0" w:right="40" w:rightChars="0" w:firstLine="480" w:firstLineChars="200"/>
              <w:rPr>
                <w:rFonts w:hint="default"/>
                <w:lang w:val="en-US" w:eastAsia="zh-CN"/>
              </w:rPr>
            </w:pPr>
            <w:r>
              <w:rPr>
                <w:rFonts w:hint="default"/>
                <w:lang w:val="en-US" w:eastAsia="zh-CN"/>
              </w:rPr>
              <w:t>本项目生产过程中不产生 VOCs，本项目无生产废水</w:t>
            </w:r>
            <w:r>
              <w:rPr>
                <w:rFonts w:hint="eastAsia"/>
                <w:lang w:val="en-US" w:eastAsia="zh-CN"/>
              </w:rPr>
              <w:t>外排</w:t>
            </w:r>
            <w:r>
              <w:rPr>
                <w:rFonts w:hint="default"/>
                <w:lang w:val="en-US" w:eastAsia="zh-CN"/>
              </w:rPr>
              <w:t>，生活污水经化粪池处理后排入</w:t>
            </w:r>
            <w:r>
              <w:rPr>
                <w:bCs/>
                <w:szCs w:val="21"/>
              </w:rPr>
              <w:t>花垣县工业园污水处理厂</w:t>
            </w:r>
            <w:r>
              <w:rPr>
                <w:rFonts w:hint="default"/>
                <w:lang w:val="en-US" w:eastAsia="zh-CN"/>
              </w:rPr>
              <w:t>进行处理，本项目生活污水中所含总量纳入</w:t>
            </w:r>
            <w:r>
              <w:rPr>
                <w:bCs/>
                <w:szCs w:val="21"/>
              </w:rPr>
              <w:t>花垣县工业园污水处理厂</w:t>
            </w:r>
            <w:r>
              <w:rPr>
                <w:rFonts w:hint="default"/>
                <w:lang w:val="en-US" w:eastAsia="zh-CN"/>
              </w:rPr>
              <w:t>中，因此本项目无需另设污水（COD、NH</w:t>
            </w:r>
            <w:r>
              <w:rPr>
                <w:rFonts w:hint="default"/>
                <w:vertAlign w:val="subscript"/>
                <w:lang w:val="en-US" w:eastAsia="zh-CN"/>
              </w:rPr>
              <w:t>3</w:t>
            </w:r>
            <w:r>
              <w:rPr>
                <w:rFonts w:hint="default"/>
                <w:lang w:val="en-US" w:eastAsia="zh-CN"/>
              </w:rPr>
              <w:t>-N）总量控制指标。</w:t>
            </w:r>
          </w:p>
          <w:p>
            <w:pPr>
              <w:pStyle w:val="19"/>
              <w:bidi w:val="0"/>
              <w:rPr>
                <w:rFonts w:hint="default"/>
                <w:lang w:val="en-US" w:eastAsia="zh-CN"/>
              </w:rPr>
            </w:pPr>
            <w:r>
              <w:rPr>
                <w:rFonts w:hint="eastAsia"/>
                <w:lang w:val="en-US" w:eastAsia="zh-CN"/>
              </w:rPr>
              <w:t>本项目新增的SO</w:t>
            </w:r>
            <w:r>
              <w:rPr>
                <w:rFonts w:hint="eastAsia"/>
                <w:vertAlign w:val="subscript"/>
                <w:lang w:val="en-US" w:eastAsia="zh-CN"/>
              </w:rPr>
              <w:t>2</w:t>
            </w:r>
            <w:r>
              <w:rPr>
                <w:rFonts w:hint="eastAsia"/>
                <w:lang w:val="en-US" w:eastAsia="zh-CN"/>
              </w:rPr>
              <w:t>排放约为1.958t/a，</w:t>
            </w:r>
            <w:r>
              <w:rPr>
                <w:rFonts w:hint="default"/>
                <w:lang w:val="en-US" w:eastAsia="zh-CN"/>
              </w:rPr>
              <w:t>NO</w:t>
            </w:r>
            <w:r>
              <w:rPr>
                <w:rFonts w:hint="default"/>
                <w:vertAlign w:val="subscript"/>
                <w:lang w:val="en-US" w:eastAsia="zh-CN"/>
              </w:rPr>
              <w:t>X</w:t>
            </w:r>
            <w:r>
              <w:rPr>
                <w:rFonts w:hint="eastAsia"/>
                <w:lang w:val="en-US" w:eastAsia="zh-CN"/>
              </w:rPr>
              <w:t>约为1.175t/a。</w:t>
            </w:r>
          </w:p>
        </w:tc>
      </w:tr>
    </w:tbl>
    <w:p>
      <w:pPr>
        <w:rPr>
          <w:rFonts w:hint="default"/>
          <w:lang w:val="en-US" w:eastAsia="zh-CN"/>
        </w:rPr>
      </w:pPr>
      <w:r>
        <w:rPr>
          <w:rFonts w:hint="default"/>
          <w:lang w:val="en-US" w:eastAsia="zh-CN"/>
        </w:rPr>
        <w:br w:type="page"/>
      </w:r>
    </w:p>
    <w:p>
      <w:pPr>
        <w:pStyle w:val="3"/>
        <w:numPr>
          <w:ilvl w:val="0"/>
          <w:numId w:val="0"/>
        </w:numPr>
        <w:bidi w:val="0"/>
        <w:ind w:left="40" w:leftChars="0" w:right="40" w:rightChars="0"/>
        <w:jc w:val="center"/>
        <w:rPr>
          <w:rFonts w:hint="eastAsia"/>
          <w:lang w:val="en-US" w:eastAsia="zh-CN"/>
        </w:rPr>
      </w:pPr>
      <w:bookmarkStart w:id="45" w:name="_Toc6656"/>
      <w:bookmarkStart w:id="46" w:name="_Toc18221"/>
      <w:r>
        <w:rPr>
          <w:rFonts w:hint="eastAsia"/>
          <w:lang w:val="en-US" w:eastAsia="zh-CN"/>
        </w:rPr>
        <w:t>四、主要环境影响和保护措施</w:t>
      </w:r>
      <w:bookmarkEnd w:id="45"/>
      <w:bookmarkEnd w:id="46"/>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8"/>
        <w:gridCol w:w="8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vAlign w:val="center"/>
          </w:tcPr>
          <w:p>
            <w:pPr>
              <w:numPr>
                <w:ilvl w:val="0"/>
                <w:numId w:val="0"/>
              </w:numPr>
              <w:ind w:right="40" w:rightChars="0"/>
              <w:jc w:val="center"/>
              <w:rPr>
                <w:rFonts w:hint="default"/>
                <w:vertAlign w:val="baseline"/>
                <w:lang w:val="en-US" w:eastAsia="zh-CN"/>
              </w:rPr>
            </w:pPr>
            <w:r>
              <w:rPr>
                <w:rFonts w:hint="eastAsia"/>
                <w:vertAlign w:val="baseline"/>
                <w:lang w:val="en-US" w:eastAsia="zh-CN"/>
              </w:rPr>
              <w:t>施工期环境保护措施</w:t>
            </w:r>
          </w:p>
        </w:tc>
        <w:tc>
          <w:tcPr>
            <w:tcW w:w="8848" w:type="dxa"/>
          </w:tcPr>
          <w:p>
            <w:pPr>
              <w:numPr>
                <w:ilvl w:val="0"/>
                <w:numId w:val="0"/>
              </w:numPr>
              <w:ind w:right="40" w:rightChars="0" w:firstLine="480" w:firstLineChars="200"/>
              <w:rPr>
                <w:rFonts w:hint="eastAsia"/>
                <w:vertAlign w:val="baseline"/>
                <w:lang w:val="en-US" w:eastAsia="zh-CN"/>
              </w:rPr>
            </w:pPr>
            <w:r>
              <w:rPr>
                <w:rFonts w:hint="default"/>
                <w:vertAlign w:val="baseline"/>
                <w:lang w:val="en-US" w:eastAsia="zh-CN"/>
              </w:rPr>
              <w:t>施工建设期主要污染源为作业产生的各种机械噪声、施工废水、施工人员生活污水、施工扬尘及建筑废渣等</w:t>
            </w:r>
            <w:r>
              <w:rPr>
                <w:rFonts w:hint="eastAsia"/>
                <w:vertAlign w:val="baseline"/>
                <w:lang w:val="en-US" w:eastAsia="zh-CN"/>
              </w:rPr>
              <w:t>。</w:t>
            </w:r>
          </w:p>
          <w:p>
            <w:pPr>
              <w:pStyle w:val="4"/>
              <w:bidi w:val="0"/>
              <w:rPr>
                <w:rFonts w:hint="default"/>
                <w:lang w:val="en-US" w:eastAsia="zh-CN"/>
              </w:rPr>
            </w:pPr>
            <w:bookmarkStart w:id="47" w:name="_Toc1392"/>
            <w:bookmarkStart w:id="48" w:name="_Toc322"/>
            <w:r>
              <w:rPr>
                <w:rFonts w:hint="eastAsia"/>
                <w:lang w:val="en-US" w:eastAsia="zh-CN"/>
              </w:rPr>
              <w:t>1、大气环境影响分析及防治措施</w:t>
            </w:r>
            <w:bookmarkEnd w:id="47"/>
            <w:bookmarkEnd w:id="48"/>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（1）扬尘</w:t>
            </w:r>
          </w:p>
          <w:p>
            <w:pPr>
              <w:pStyle w:val="19"/>
              <w:bidi w:val="0"/>
              <w:rPr>
                <w:rFonts w:hint="eastAsia"/>
                <w:lang w:val="en-US" w:eastAsia="zh-CN"/>
              </w:rPr>
            </w:pPr>
            <w:r>
              <w:rPr>
                <w:rFonts w:hint="eastAsia"/>
                <w:lang w:val="en-US" w:eastAsia="zh-CN"/>
              </w:rPr>
              <w:t>在整个施工期间，产生扬尘的作业主要有土地平整、打桩开挖回填建材运输、露天堆放装卸和搅拌等过程，如遇干旱无雨季节，加上大风，施工扬尘将更严重。</w:t>
            </w:r>
          </w:p>
          <w:p>
            <w:pPr>
              <w:pStyle w:val="19"/>
              <w:bidi w:val="0"/>
              <w:rPr>
                <w:rFonts w:hint="eastAsia"/>
                <w:lang w:val="en-US" w:eastAsia="zh-CN"/>
              </w:rPr>
            </w:pPr>
            <w:r>
              <w:rPr>
                <w:rFonts w:hint="eastAsia"/>
                <w:lang w:val="en-US" w:eastAsia="zh-CN"/>
              </w:rPr>
              <w:t>根据有关调查，施工工地的扬尘主要是由于运输车辆行驶产生，扬尘量产生大小与道路路面及车辆行驶速度有关，约占扬尘总量的60%。在同样道路清洁情况下，车速越快，扬尘量越大；在同样车速情况下，路面清洁度越差，则扬尘量越大。根据类比调查，一般情况下，施工场地在自然风作用下产生的扬尘所影响的范围是 100m 以内。</w:t>
            </w:r>
          </w:p>
          <w:p>
            <w:pPr>
              <w:pStyle w:val="19"/>
              <w:bidi w:val="0"/>
              <w:rPr>
                <w:rFonts w:hint="eastAsia"/>
                <w:lang w:val="en-US" w:eastAsia="zh-CN"/>
              </w:rPr>
            </w:pPr>
            <w:r>
              <w:rPr>
                <w:rFonts w:hint="eastAsia"/>
                <w:lang w:val="en-US" w:eastAsia="zh-CN"/>
              </w:rPr>
              <w:t>抑制扬尘的一个简洁有效的措施是洒水。如果在施工期内对车辆行驶的路面实施洒水抑尘，每天洒水 4~5 次，可使扬尘减少 70%左右，可有效地控制施工扬尘，并可将 TSP 污染距离缩小到 20~50m 范围。</w:t>
            </w:r>
          </w:p>
          <w:p>
            <w:pPr>
              <w:pStyle w:val="19"/>
              <w:bidi w:val="0"/>
              <w:rPr>
                <w:rFonts w:hint="eastAsia"/>
                <w:lang w:val="en-US" w:eastAsia="zh-CN"/>
              </w:rPr>
            </w:pPr>
            <w:r>
              <w:rPr>
                <w:rFonts w:hint="eastAsia"/>
                <w:lang w:val="en-US" w:eastAsia="zh-CN"/>
              </w:rPr>
              <w:t>施工期施工单位按照国家和当地的有关要求以及本次评价提出的扬尘防治措施，做到科学施工、设置施工围墙或者采用防尘布覆盖易起尘材料、采取密目安全网、洒水抑尘、对撒落在路面的渣土及时清除、施工现场主要运输道路采用硬化路面、自卸车、垃圾运输车等运输车辆不允许超载、出场前一律清洗轮胎、用毡布覆盖、并且在施工区出口设置防尘飞扬垫、限制车速、风速大于 3m/s 时应停止施工等一系列措施后，可大大减少施工扬尘对周边居民生活区的环境空气的影响。</w:t>
            </w:r>
          </w:p>
          <w:p>
            <w:pPr>
              <w:pStyle w:val="19"/>
              <w:bidi w:val="0"/>
              <w:rPr>
                <w:rFonts w:hint="eastAsia"/>
                <w:lang w:val="en-US" w:eastAsia="zh-CN"/>
              </w:rPr>
            </w:pPr>
            <w:r>
              <w:rPr>
                <w:rFonts w:hint="eastAsia"/>
                <w:lang w:val="en-US" w:eastAsia="zh-CN"/>
              </w:rPr>
              <w:t>通过采取上述措施后，施工扬尘对周边大气环境影响不大，且施工扬尘对周边的影响是短暂的，局部的，也是施工中不可避免的，其将随着施工的结束而消失。</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（2）施工机械排放的燃油废气</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施工期间，施工设备运转时会产生一定量的燃油废气。产生的燃油废气特点是排放量小。只要做好施工场地的交通组织，减少车辆怠速产生的废气排放；在施工期内多加注意施工设备的维护，使其处于正常运行状态，施工机械排放的燃油废气对环境影响较小。</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（3）施工装修废气</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油漆废气主要产生于室内室外装修阶段。油漆废气排放属无组织排放，其过程持续时间较长，是一个缓慢挥发的过程，对周围环境的影响不大，但对室内装修人员的身体健康将会产生影响。因此，装修人员工作时应采取佩戴防毒面罩和口罩等措施，并保证装修空间通风良好，以减少对装修人员的影响。装修工作完成以后，应每天进行通风换气一段时间后方可进入。</w:t>
            </w:r>
          </w:p>
          <w:p>
            <w:pPr>
              <w:pStyle w:val="19"/>
              <w:bidi w:val="0"/>
            </w:pPr>
            <w:r>
              <w:rPr>
                <w:rFonts w:hint="eastAsia"/>
                <w:lang w:val="en-US" w:eastAsia="zh-CN"/>
              </w:rPr>
              <w:t>（4）施工期大气保护措施</w:t>
            </w:r>
          </w:p>
          <w:p>
            <w:pPr>
              <w:pStyle w:val="19"/>
              <w:bidi w:val="0"/>
            </w:pPr>
            <w:r>
              <w:rPr>
                <w:rFonts w:hint="eastAsia"/>
                <w:lang w:val="en-US" w:eastAsia="zh-CN"/>
              </w:rPr>
              <w:t xml:space="preserve">本施工期对空气环境的影响主要是扬尘。针对本项目，施工扬尘主要产生于地面土石方开挖工程、运输过程等环节，需采取以下措施防止扬尘的污染影响： </w:t>
            </w:r>
          </w:p>
          <w:p>
            <w:pPr>
              <w:pStyle w:val="19"/>
              <w:numPr>
                <w:ilvl w:val="0"/>
                <w:numId w:val="9"/>
              </w:numPr>
              <w:bidi w:val="0"/>
              <w:ind w:left="0" w:leftChars="0" w:firstLine="480" w:firstLineChars="200"/>
            </w:pPr>
            <w:r>
              <w:rPr>
                <w:rFonts w:hint="eastAsia"/>
                <w:lang w:val="en-US" w:eastAsia="zh-CN"/>
              </w:rPr>
              <w:t xml:space="preserve">项目施工使用商品砼（预拌混凝土），施工场地不进行现场混凝土搅拌。同时应在工地边界设置 </w:t>
            </w:r>
            <w:r>
              <w:rPr>
                <w:rFonts w:hint="default"/>
                <w:lang w:val="en-US" w:eastAsia="zh-CN"/>
              </w:rPr>
              <w:t xml:space="preserve">2.5m </w:t>
            </w:r>
            <w:r>
              <w:rPr>
                <w:rFonts w:hint="eastAsia"/>
                <w:lang w:val="en-US" w:eastAsia="zh-CN"/>
              </w:rPr>
              <w:t xml:space="preserve">以上的围墙围挡，严禁敞开式作业。 </w:t>
            </w:r>
          </w:p>
          <w:p>
            <w:pPr>
              <w:pStyle w:val="19"/>
              <w:numPr>
                <w:ilvl w:val="0"/>
                <w:numId w:val="9"/>
              </w:numPr>
              <w:bidi w:val="0"/>
              <w:ind w:left="0" w:leftChars="0" w:firstLine="480" w:firstLineChars="200"/>
            </w:pPr>
            <w:r>
              <w:rPr>
                <w:rFonts w:hint="eastAsia"/>
                <w:lang w:val="en-US" w:eastAsia="zh-CN"/>
              </w:rPr>
              <w:t xml:space="preserve">地面开挖与及时清运、处置建筑垃圾相结合，建筑垃圾转运前要喷洒水。土石方开挖时，遇到四级以上大风天气时停止作业，同时作业面覆盖防尘网。 </w:t>
            </w:r>
          </w:p>
          <w:p>
            <w:pPr>
              <w:pStyle w:val="19"/>
              <w:numPr>
                <w:ilvl w:val="0"/>
                <w:numId w:val="9"/>
              </w:numPr>
              <w:bidi w:val="0"/>
              <w:ind w:left="0" w:leftChars="0" w:firstLine="480" w:firstLineChars="200"/>
            </w:pPr>
            <w:r>
              <w:rPr>
                <w:rFonts w:hint="eastAsia"/>
                <w:lang w:val="en-US" w:eastAsia="zh-CN"/>
              </w:rPr>
              <w:t xml:space="preserve">对于工地内的裸露地面，采取覆盖防尘网或防尘布等，防治风力扬尘产生；施工场地内车行道路进行硬化，防止机动车运输道路扬尘产生；对施工场地地面和路 面进行定期洒水，大风和干燥天气适当增加洒水次数。 </w:t>
            </w:r>
          </w:p>
          <w:p>
            <w:pPr>
              <w:pStyle w:val="19"/>
              <w:numPr>
                <w:ilvl w:val="0"/>
                <w:numId w:val="9"/>
              </w:numPr>
              <w:bidi w:val="0"/>
              <w:ind w:left="0" w:leftChars="0" w:firstLine="480" w:firstLineChars="200"/>
            </w:pPr>
            <w:r>
              <w:rPr>
                <w:rFonts w:hint="eastAsia"/>
                <w:lang w:val="en-US" w:eastAsia="zh-CN"/>
              </w:rPr>
              <w:t xml:space="preserve">建筑垃圾、渣土等运输车辆的出入口内侧设置洗车平台（水洗），出入工地的车辆在驶离工地前应在洗车平台内冲洗轮胎及车身，其表面不得附着污泥。清洗设施符合下列要求：洗车平台四周设置防溢座或其他设施，防止洗车废水溢出工地；设置废水收集坑及沉砂池。车辆运输应尽量避开交通高峰期，以缓解交通压力。 </w:t>
            </w:r>
          </w:p>
          <w:p>
            <w:pPr>
              <w:pStyle w:val="19"/>
              <w:numPr>
                <w:ilvl w:val="0"/>
                <w:numId w:val="9"/>
              </w:numPr>
              <w:bidi w:val="0"/>
              <w:ind w:left="0" w:leftChars="0" w:firstLine="480" w:firstLineChars="200"/>
            </w:pPr>
            <w:r>
              <w:rPr>
                <w:rFonts w:hint="eastAsia"/>
                <w:lang w:val="en-US" w:eastAsia="zh-CN"/>
              </w:rPr>
              <w:t>物料、渣土等运输车辆装载的物料、渣土高度不得超过车辆帮槽上沿，车斗用防尘布覆盖或采取密闭式车斗，严禁超载运输。</w:t>
            </w:r>
          </w:p>
          <w:p>
            <w:pPr>
              <w:pStyle w:val="19"/>
              <w:numPr>
                <w:ilvl w:val="0"/>
                <w:numId w:val="9"/>
              </w:numPr>
              <w:bidi w:val="0"/>
              <w:ind w:left="0" w:leftChars="0" w:firstLine="480" w:firstLineChars="200"/>
            </w:pPr>
            <w:r>
              <w:rPr>
                <w:rFonts w:hint="eastAsia"/>
                <w:lang w:val="en-US" w:eastAsia="zh-CN"/>
              </w:rPr>
              <w:t>限制车速：在同样清洁程度的条件下，车速越慢，扬尘量越小。本场地施工车辆在进入施工场地后，需减速行驶，以减少施工场地扬尘，建议行驶车速不大于</w:t>
            </w:r>
            <w:r>
              <w:rPr>
                <w:rFonts w:hint="default"/>
                <w:lang w:val="en-US" w:eastAsia="zh-CN"/>
              </w:rPr>
              <w:t>5km/h</w:t>
            </w:r>
            <w:r>
              <w:rPr>
                <w:rFonts w:hint="eastAsia"/>
                <w:lang w:val="en-US" w:eastAsia="zh-CN"/>
              </w:rPr>
              <w:t>。</w:t>
            </w:r>
          </w:p>
          <w:p>
            <w:pPr>
              <w:pStyle w:val="19"/>
              <w:numPr>
                <w:ilvl w:val="0"/>
                <w:numId w:val="9"/>
              </w:numPr>
              <w:bidi w:val="0"/>
              <w:ind w:left="0" w:leftChars="0" w:firstLine="480" w:firstLineChars="200"/>
            </w:pPr>
            <w:r>
              <w:rPr>
                <w:rFonts w:hint="eastAsia" w:ascii="宋体" w:hAnsi="宋体" w:eastAsia="宋体" w:cs="宋体"/>
                <w:color w:val="000000"/>
                <w:kern w:val="0"/>
                <w:sz w:val="24"/>
                <w:szCs w:val="24"/>
                <w:lang w:val="en-US" w:eastAsia="zh-CN" w:bidi="ar"/>
              </w:rPr>
              <w:t xml:space="preserve">对于运输车辆和施工机械产生的废气应采取如下措施：尽量使用低能耗、低污染排放的施工机械、车辆，对于排放废气较多的车辆，应安装尾气净化装置。要加强机械、车辆的管理和维修保养，尽量减少因机械、车辆状况不佳造成的空气污染。 </w:t>
            </w:r>
          </w:p>
          <w:p>
            <w:pPr>
              <w:pStyle w:val="19"/>
              <w:numPr>
                <w:ilvl w:val="0"/>
                <w:numId w:val="9"/>
              </w:numPr>
              <w:bidi w:val="0"/>
              <w:ind w:left="0" w:leftChars="0" w:firstLine="480" w:firstLineChars="200"/>
            </w:pPr>
            <w:r>
              <w:rPr>
                <w:rFonts w:hint="eastAsia" w:ascii="宋体" w:hAnsi="宋体" w:eastAsia="宋体" w:cs="宋体"/>
                <w:color w:val="000000"/>
                <w:kern w:val="0"/>
                <w:sz w:val="24"/>
                <w:szCs w:val="24"/>
                <w:lang w:val="en-US" w:eastAsia="zh-CN" w:bidi="ar"/>
              </w:rPr>
              <w:t>装修阶段产生一定的扬尘和有机废气。粉尘及装修产生的苯系物、甲醛、酚等污染物扩散到空气中，对项目区内大气造成一定影响。装修阶段对装修场地经常通风换气等措施降低装修对环境的影响。施工期大气影响是短暂的，会随着施工的结束而消失。</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综上，经过相应的控制措施后，本项目施工期废气度周边环境的影响不大。</w:t>
            </w:r>
          </w:p>
          <w:p>
            <w:pPr>
              <w:pStyle w:val="4"/>
              <w:bidi w:val="0"/>
              <w:rPr>
                <w:rFonts w:hint="default"/>
                <w:lang w:val="en-US" w:eastAsia="zh-CN"/>
              </w:rPr>
            </w:pPr>
            <w:bookmarkStart w:id="49" w:name="_Toc25933"/>
            <w:bookmarkStart w:id="50" w:name="_Toc23613"/>
            <w:r>
              <w:rPr>
                <w:rFonts w:hint="eastAsia"/>
                <w:lang w:val="en-US" w:eastAsia="zh-CN"/>
              </w:rPr>
              <w:t>2、水环境影响分析及防治措施</w:t>
            </w:r>
            <w:bookmarkEnd w:id="49"/>
            <w:bookmarkEnd w:id="50"/>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施工期地表水环境影响主要来自施工废水和施工人员的生活污水。</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（1）施工人员生活污水</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施工期设置施工营地，项目施工人员绝大多数为本地居民，有部分员工在施工现场住宿，就餐依托周边。在施工场地设置移动式卫生间，生活污水委托市政部门吸粪车运至污水处理厂处理。</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（2）施工废水</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本项目工程用水量约为10m</w:t>
            </w:r>
            <w:r>
              <w:rPr>
                <w:rFonts w:hint="eastAsia"/>
                <w:vertAlign w:val="superscript"/>
                <w:lang w:val="en-US" w:eastAsia="zh-CN"/>
              </w:rPr>
              <w:t>3</w:t>
            </w:r>
            <w:r>
              <w:rPr>
                <w:rFonts w:hint="eastAsia"/>
                <w:vertAlign w:val="baseline"/>
                <w:lang w:val="en-US" w:eastAsia="zh-CN"/>
              </w:rPr>
              <w:t>/d。主要为设备及机械冲洗水、运输车辆冲洗和道路冲洗水等，主要含泥沙，并带有少量油污。可通过设施简易隔油沉淀池进行处理后进行回用，作为场内降尘洒水，不排放，对环境影响不大。</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综上，经过相应的控制措施后，本项目施工期废水对当地地表水影响不大。</w:t>
            </w:r>
          </w:p>
          <w:p>
            <w:pPr>
              <w:pStyle w:val="4"/>
              <w:bidi w:val="0"/>
              <w:rPr>
                <w:rFonts w:hint="default"/>
                <w:lang w:val="en-US" w:eastAsia="zh-CN"/>
              </w:rPr>
            </w:pPr>
            <w:bookmarkStart w:id="51" w:name="_Toc16887"/>
            <w:bookmarkStart w:id="52" w:name="_Toc18486"/>
            <w:r>
              <w:rPr>
                <w:rFonts w:hint="eastAsia"/>
                <w:lang w:val="en-US" w:eastAsia="zh-CN"/>
              </w:rPr>
              <w:t>3、声环境影响分析及防治措施</w:t>
            </w:r>
            <w:bookmarkEnd w:id="51"/>
            <w:bookmarkEnd w:id="52"/>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施工期噪声主要是各类施工机械的设备噪声及材料运输车辆的交通噪声等，噪声值强度在 85～100dB(A)之间。施工噪声一般对施工场地附近 50m 范围影响较大，且其影响是短期的、暂时的，随着施工结束，其影响也随之消失。为避免或减轻施工机械噪声对环境的影响，本评价建议采取如下防治措施：</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1）合理安排施工计划和施工机械设备组合以及施工时间，避免在中午（12:00-14:00）和夜间（23:00-7:00）施工，避免在同一时间集中使用大量的动力机械设备。施工单位严格执行《建筑施工场界噪声限值》（GB12523-2011）的要求，在施工过程中，尽量减少运行动力机械设备的数量，尽可能使动力机械设备比较均匀地使用。在施工期应经常对施工设备进行维修保养，避免由设备性能减退使噪声增强现象的发生。</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（2）施工机械产生的噪声对现场施工人员，特别是机械操作人员影响较大。为此，建议在声源附近的施工人员配备防噪声耳罩。施工单位应合理安排人员，使他们有条件轮流操作，减少接触高噪声时间。</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（3）车辆运输应避开沿途居民的休息时间，对交通车辆造成的噪声影响要加强管理，运输车辆尽量采用较低声级的喇叭，并在环境敏感点限制车辆鸣笛。另外，尽量避免在周围居民休息期间作业。</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综上所述，在采取以上措施后，施工期噪声对评价区域的环境影响较小。</w:t>
            </w:r>
          </w:p>
          <w:p>
            <w:pPr>
              <w:pStyle w:val="4"/>
              <w:bidi w:val="0"/>
              <w:rPr>
                <w:rFonts w:hint="default"/>
                <w:lang w:val="en-US" w:eastAsia="zh-CN"/>
              </w:rPr>
            </w:pPr>
            <w:bookmarkStart w:id="53" w:name="_Toc16382"/>
            <w:bookmarkStart w:id="54" w:name="_Toc4775"/>
            <w:r>
              <w:rPr>
                <w:rFonts w:hint="eastAsia"/>
                <w:lang w:val="en-US" w:eastAsia="zh-CN"/>
              </w:rPr>
              <w:t>4、固废影响分析及防治措施</w:t>
            </w:r>
            <w:bookmarkEnd w:id="53"/>
            <w:bookmarkEnd w:id="54"/>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施工期固体废弃物包括施工人员产生的生活垃圾、各种建筑垃圾和废弃土石方。</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（1）生活垃圾：经袋装收集后，由环卫部门统一清运。对于施工期施工人员产生的生活垃圾，除了对施工人员加强环境保护教育和宣传外，应该增设一些分散的小型垃圾收集器，派专人定期打扫清运。</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2）建筑垃圾：对钢筋、钢板、木材等下脚料进行分类回收，交废物收购站处理；对不能回收的建筑垃圾及时清运到建设部门指定的建筑垃圾堆放场，禁止随意倾倒、填埋，从而可以避免工程废料造成二次污染。</w:t>
            </w:r>
          </w:p>
          <w:p>
            <w:pPr>
              <w:numPr>
                <w:ilvl w:val="0"/>
                <w:numId w:val="0"/>
              </w:numPr>
              <w:ind w:right="40" w:rightChars="0" w:firstLine="480" w:firstLineChars="200"/>
              <w:rPr>
                <w:rFonts w:hint="eastAsia"/>
                <w:vertAlign w:val="baseline"/>
                <w:lang w:val="en-US" w:eastAsia="zh-CN"/>
              </w:rPr>
            </w:pPr>
            <w:r>
              <w:rPr>
                <w:rFonts w:hint="eastAsia"/>
                <w:vertAlign w:val="baseline"/>
                <w:lang w:val="en-US" w:eastAsia="zh-CN"/>
              </w:rPr>
              <w:t>（3）施工土石方：项目土方能实现挖填平衡，在暂未回填的土石方须在土石堆上覆盖塑料薄膜，且在临时堆放场地周围设置导流明渠，将雨水引导到沉淀池循环使用。</w:t>
            </w:r>
          </w:p>
          <w:p>
            <w:pPr>
              <w:numPr>
                <w:ilvl w:val="0"/>
                <w:numId w:val="0"/>
              </w:numPr>
              <w:ind w:right="40" w:rightChars="0" w:firstLine="480" w:firstLineChars="200"/>
              <w:rPr>
                <w:rFonts w:hint="default"/>
                <w:vertAlign w:val="baseline"/>
                <w:lang w:val="en-US" w:eastAsia="zh-CN"/>
              </w:rPr>
            </w:pPr>
            <w:r>
              <w:rPr>
                <w:rFonts w:hint="eastAsia"/>
                <w:vertAlign w:val="baseline"/>
                <w:lang w:val="en-US" w:eastAsia="zh-CN"/>
              </w:rPr>
              <w:t>综上，项目施工期的固体废弃物采取合理可行的处置措施后，施工期固体废弃对环境不会造成不利影响。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8" w:type="dxa"/>
          </w:tcPr>
          <w:p>
            <w:pPr>
              <w:numPr>
                <w:ilvl w:val="0"/>
                <w:numId w:val="0"/>
              </w:numPr>
              <w:ind w:right="40" w:rightChars="0"/>
              <w:rPr>
                <w:rFonts w:hint="default"/>
                <w:vertAlign w:val="baseline"/>
                <w:lang w:val="en-US" w:eastAsia="zh-CN"/>
              </w:rPr>
            </w:pPr>
            <w:r>
              <w:rPr>
                <w:rFonts w:hint="eastAsia"/>
                <w:vertAlign w:val="baseline"/>
                <w:lang w:val="en-US" w:eastAsia="zh-CN"/>
              </w:rPr>
              <w:t>运营期环境影响和保护措施</w:t>
            </w:r>
          </w:p>
        </w:tc>
        <w:tc>
          <w:tcPr>
            <w:tcW w:w="8848" w:type="dxa"/>
          </w:tcPr>
          <w:p>
            <w:pPr>
              <w:pStyle w:val="4"/>
              <w:numPr>
                <w:ilvl w:val="0"/>
                <w:numId w:val="10"/>
              </w:numPr>
              <w:bidi w:val="0"/>
              <w:rPr>
                <w:rFonts w:hint="eastAsia"/>
                <w:lang w:val="en-US" w:eastAsia="zh-CN"/>
              </w:rPr>
            </w:pPr>
            <w:bookmarkStart w:id="55" w:name="_Toc20029"/>
            <w:bookmarkStart w:id="56" w:name="_Toc6713"/>
            <w:r>
              <w:rPr>
                <w:rFonts w:hint="eastAsia"/>
                <w:lang w:val="en-US" w:eastAsia="zh-CN"/>
              </w:rPr>
              <w:t>地表水环境影响分析</w:t>
            </w:r>
            <w:bookmarkEnd w:id="55"/>
            <w:bookmarkEnd w:id="56"/>
          </w:p>
          <w:p>
            <w:pPr>
              <w:pStyle w:val="19"/>
              <w:bidi w:val="0"/>
              <w:rPr>
                <w:rFonts w:hint="eastAsia"/>
                <w:lang w:val="en-US" w:eastAsia="zh-CN"/>
              </w:rPr>
            </w:pPr>
            <w:r>
              <w:rPr>
                <w:rFonts w:hint="eastAsia"/>
                <w:lang w:val="en-US" w:eastAsia="zh-CN"/>
              </w:rPr>
              <w:t>（1）废水源强分析</w:t>
            </w:r>
          </w:p>
          <w:p>
            <w:pPr>
              <w:pStyle w:val="19"/>
              <w:bidi w:val="0"/>
              <w:rPr>
                <w:rFonts w:hint="eastAsia"/>
                <w:lang w:val="en-US" w:eastAsia="zh-CN"/>
              </w:rPr>
            </w:pPr>
            <w:r>
              <w:rPr>
                <w:rFonts w:hint="eastAsia"/>
                <w:lang w:val="en-US" w:eastAsia="zh-CN"/>
              </w:rPr>
              <w:t>1.生活污水</w:t>
            </w:r>
          </w:p>
          <w:p>
            <w:pPr>
              <w:pStyle w:val="19"/>
              <w:bidi w:val="0"/>
              <w:rPr>
                <w:rFonts w:hint="eastAsia"/>
                <w:lang w:val="en-US" w:eastAsia="zh-CN"/>
              </w:rPr>
            </w:pPr>
            <w:r>
              <w:rPr>
                <w:rFonts w:hint="eastAsia"/>
                <w:lang w:val="en-US" w:eastAsia="zh-CN"/>
              </w:rPr>
              <w:t>根据《用水定额》（DB43/T388-2020），职工用水按小城市生活用水定额140L/人</w:t>
            </w:r>
            <w:r>
              <w:rPr>
                <w:rFonts w:hint="default"/>
                <w:lang w:val="en-US" w:eastAsia="zh-CN"/>
              </w:rPr>
              <w:t>·</w:t>
            </w:r>
            <w:r>
              <w:rPr>
                <w:rFonts w:hint="eastAsia"/>
                <w:lang w:val="en-US" w:eastAsia="zh-CN"/>
              </w:rPr>
              <w:t>d计，则用水量为51.52m</w:t>
            </w:r>
            <w:r>
              <w:rPr>
                <w:rFonts w:hint="eastAsia"/>
                <w:vertAlign w:val="superscript"/>
                <w:lang w:val="en-US" w:eastAsia="zh-CN"/>
              </w:rPr>
              <w:t>3</w:t>
            </w:r>
            <w:r>
              <w:rPr>
                <w:rFonts w:hint="eastAsia"/>
                <w:lang w:val="en-US" w:eastAsia="zh-CN"/>
              </w:rPr>
              <w:t>/d，废水排放系数取0.85，本项目生活污水排水量为43.79m</w:t>
            </w:r>
            <w:r>
              <w:rPr>
                <w:rFonts w:hint="eastAsia"/>
                <w:vertAlign w:val="superscript"/>
                <w:lang w:val="en-US" w:eastAsia="zh-CN"/>
              </w:rPr>
              <w:t>3</w:t>
            </w:r>
            <w:r>
              <w:rPr>
                <w:rFonts w:hint="eastAsia"/>
                <w:lang w:val="en-US" w:eastAsia="zh-CN"/>
              </w:rPr>
              <w:t>/d，项目生活污水中主要污染物为COD、BOD，经化粪池处理后达到《污水综合排放标准》（GB8978-1996）三级标准排入</w:t>
            </w:r>
            <w:r>
              <w:rPr>
                <w:bCs/>
                <w:szCs w:val="21"/>
              </w:rPr>
              <w:t>花垣县工业园污水处理厂</w:t>
            </w:r>
            <w:r>
              <w:rPr>
                <w:rFonts w:hint="eastAsia"/>
                <w:lang w:val="en-US" w:eastAsia="zh-CN"/>
              </w:rPr>
              <w:t>进一步处理。</w:t>
            </w:r>
          </w:p>
          <w:p>
            <w:pPr>
              <w:pStyle w:val="19"/>
              <w:bidi w:val="0"/>
              <w:rPr>
                <w:rFonts w:hint="default"/>
                <w:lang w:val="en-US" w:eastAsia="zh-CN"/>
              </w:rPr>
            </w:pPr>
            <w:r>
              <w:rPr>
                <w:rFonts w:hint="eastAsia"/>
                <w:lang w:val="en-US" w:eastAsia="zh-CN"/>
              </w:rPr>
              <w:t>2.初期雨水</w:t>
            </w:r>
          </w:p>
          <w:p>
            <w:pPr>
              <w:pStyle w:val="19"/>
              <w:bidi w:val="0"/>
              <w:rPr>
                <w:rFonts w:hint="eastAsia"/>
                <w:lang w:val="en-US" w:eastAsia="zh-CN"/>
              </w:rPr>
            </w:pPr>
            <w:r>
              <w:rPr>
                <w:rFonts w:hint="eastAsia"/>
                <w:lang w:val="en-US" w:eastAsia="zh-CN"/>
              </w:rPr>
              <w:t>初期雨水主要含锰、氨等有害成分，但浓度较低。设置初期雨水贮水池，截留厂区的初期雨水量。厂区雨水设置厂区雨水管道收集，初期受污染雨水由雨水管自流至初期雨水池中经过澄清处理后，作为生产补充用水。</w:t>
            </w:r>
          </w:p>
          <w:p>
            <w:pPr>
              <w:pStyle w:val="19"/>
              <w:bidi w:val="0"/>
              <w:rPr>
                <w:rFonts w:hint="default"/>
                <w:lang w:val="en-US" w:eastAsia="zh-CN"/>
              </w:rPr>
            </w:pPr>
            <w:r>
              <w:rPr>
                <w:rFonts w:hint="default"/>
                <w:lang w:val="en-US" w:eastAsia="zh-CN"/>
              </w:rPr>
              <w:t>本项目占地共计</w:t>
            </w:r>
            <w:r>
              <w:rPr>
                <w:rFonts w:hint="eastAsia"/>
                <w:lang w:val="en-US" w:eastAsia="zh-CN"/>
              </w:rPr>
              <w:t>75</w:t>
            </w:r>
            <w:r>
              <w:rPr>
                <w:rFonts w:hint="default"/>
                <w:lang w:val="en-US" w:eastAsia="zh-CN"/>
              </w:rPr>
              <w:t>亩，收集15mm降水量作为初期雨水</w:t>
            </w:r>
            <w:r>
              <w:rPr>
                <w:rFonts w:hint="eastAsia"/>
                <w:lang w:val="en-US" w:eastAsia="zh-CN"/>
              </w:rPr>
              <w:t>，</w:t>
            </w:r>
            <w:r>
              <w:rPr>
                <w:rFonts w:hint="default"/>
                <w:lang w:val="en-US" w:eastAsia="zh-CN"/>
              </w:rPr>
              <w:t>则初期雨水产生量为</w:t>
            </w:r>
            <w:r>
              <w:rPr>
                <w:rFonts w:hint="eastAsia"/>
                <w:lang w:val="en-US" w:eastAsia="zh-CN"/>
              </w:rPr>
              <w:t>749</w:t>
            </w:r>
            <w:r>
              <w:rPr>
                <w:rFonts w:hint="default"/>
                <w:lang w:val="en-US" w:eastAsia="zh-CN"/>
              </w:rPr>
              <w:t>m</w:t>
            </w:r>
            <w:r>
              <w:rPr>
                <w:rFonts w:hint="default"/>
                <w:vertAlign w:val="superscript"/>
                <w:lang w:val="en-US" w:eastAsia="zh-CN"/>
              </w:rPr>
              <w:t>3</w:t>
            </w:r>
            <w:r>
              <w:rPr>
                <w:rFonts w:hint="default"/>
                <w:lang w:val="en-US" w:eastAsia="zh-CN"/>
              </w:rPr>
              <w:t>。</w:t>
            </w:r>
          </w:p>
          <w:p>
            <w:pPr>
              <w:pStyle w:val="19"/>
              <w:numPr>
                <w:ilvl w:val="0"/>
                <w:numId w:val="0"/>
              </w:numPr>
              <w:bidi w:val="0"/>
              <w:ind w:leftChars="200" w:right="40" w:rightChars="0"/>
              <w:rPr>
                <w:rFonts w:hint="default"/>
                <w:lang w:val="en-US" w:eastAsia="zh-CN"/>
              </w:rPr>
            </w:pPr>
            <w:r>
              <w:rPr>
                <w:rFonts w:hint="eastAsia"/>
                <w:lang w:val="en-US" w:eastAsia="zh-CN"/>
              </w:rPr>
              <w:t>3.车间清洗废水</w:t>
            </w:r>
          </w:p>
          <w:p>
            <w:pPr>
              <w:pStyle w:val="19"/>
              <w:bidi w:val="0"/>
              <w:rPr>
                <w:rFonts w:hint="default"/>
                <w:lang w:val="en-US" w:eastAsia="zh-CN"/>
              </w:rPr>
            </w:pPr>
            <w:r>
              <w:rPr>
                <w:rFonts w:hint="eastAsia"/>
                <w:lang w:val="en-US" w:eastAsia="zh-CN"/>
              </w:rPr>
              <w:t>在无害化车间和资源化车间会产生地面卫生水，水量约为0.89m</w:t>
            </w:r>
            <w:r>
              <w:rPr>
                <w:rFonts w:hint="eastAsia"/>
                <w:vertAlign w:val="superscript"/>
                <w:lang w:val="en-US" w:eastAsia="zh-CN"/>
              </w:rPr>
              <w:t>3</w:t>
            </w:r>
            <w:r>
              <w:rPr>
                <w:rFonts w:hint="eastAsia"/>
                <w:lang w:val="en-US" w:eastAsia="zh-CN"/>
              </w:rPr>
              <w:t>/d，主要污染因子为SS、锰等，车间清洗用水将返回制浆工艺作为生产补充水，不外排。</w:t>
            </w:r>
          </w:p>
          <w:p>
            <w:pPr>
              <w:pStyle w:val="19"/>
              <w:bidi w:val="0"/>
              <w:rPr>
                <w:rFonts w:hint="default"/>
                <w:lang w:val="en-US" w:eastAsia="zh-CN"/>
              </w:rPr>
            </w:pPr>
            <w:r>
              <w:rPr>
                <w:rFonts w:hint="eastAsia"/>
                <w:lang w:val="en-US" w:eastAsia="zh-CN"/>
              </w:rPr>
              <w:t>4.设备冲洗废水</w:t>
            </w:r>
          </w:p>
          <w:p>
            <w:pPr>
              <w:pStyle w:val="19"/>
              <w:bidi w:val="0"/>
              <w:rPr>
                <w:rFonts w:hint="eastAsia"/>
                <w:lang w:val="en-US" w:eastAsia="zh-CN"/>
              </w:rPr>
            </w:pPr>
            <w:r>
              <w:rPr>
                <w:rFonts w:hint="eastAsia"/>
                <w:lang w:val="en-US" w:eastAsia="zh-CN"/>
              </w:rPr>
              <w:t>本项目资源化工艺相关设备需要定期清洗，水量约为0.78m</w:t>
            </w:r>
            <w:r>
              <w:rPr>
                <w:rFonts w:hint="eastAsia"/>
                <w:vertAlign w:val="superscript"/>
                <w:lang w:val="en-US" w:eastAsia="zh-CN"/>
              </w:rPr>
              <w:t>3</w:t>
            </w:r>
            <w:r>
              <w:rPr>
                <w:rFonts w:hint="eastAsia"/>
                <w:lang w:val="en-US" w:eastAsia="zh-CN"/>
              </w:rPr>
              <w:t>/d，清洗废水作为生产补充水，不外排。</w:t>
            </w:r>
          </w:p>
          <w:p>
            <w:pPr>
              <w:pStyle w:val="19"/>
              <w:numPr>
                <w:ilvl w:val="0"/>
                <w:numId w:val="0"/>
              </w:numPr>
              <w:bidi w:val="0"/>
              <w:ind w:leftChars="200" w:right="40" w:rightChars="0"/>
              <w:rPr>
                <w:rFonts w:hint="eastAsia"/>
                <w:lang w:val="en-US" w:eastAsia="zh-CN"/>
              </w:rPr>
            </w:pPr>
            <w:r>
              <w:rPr>
                <w:rFonts w:hint="eastAsia"/>
                <w:lang w:val="en-US" w:eastAsia="zh-CN"/>
              </w:rPr>
              <w:t>5.实验检测室废水</w:t>
            </w:r>
          </w:p>
          <w:p>
            <w:pPr>
              <w:pStyle w:val="19"/>
              <w:bidi w:val="0"/>
              <w:rPr>
                <w:rFonts w:hint="default"/>
                <w:lang w:val="en-US" w:eastAsia="zh-CN"/>
              </w:rPr>
            </w:pPr>
            <w:r>
              <w:rPr>
                <w:rFonts w:hint="eastAsia"/>
                <w:lang w:val="en-US" w:eastAsia="zh-CN"/>
              </w:rPr>
              <w:t>试验检测室中的废酸、废碱等实验废液作为危废处理，产生的废水约为0.5m</w:t>
            </w:r>
            <w:r>
              <w:rPr>
                <w:rFonts w:hint="eastAsia"/>
                <w:vertAlign w:val="superscript"/>
                <w:lang w:val="en-US" w:eastAsia="zh-CN"/>
              </w:rPr>
              <w:t>3</w:t>
            </w:r>
            <w:r>
              <w:rPr>
                <w:rFonts w:hint="eastAsia"/>
                <w:lang w:val="en-US" w:eastAsia="zh-CN"/>
              </w:rPr>
              <w:t>/d，废水将返回作为生产补充水，不外排。</w:t>
            </w:r>
          </w:p>
          <w:p>
            <w:pPr>
              <w:pStyle w:val="19"/>
              <w:bidi w:val="0"/>
              <w:rPr>
                <w:rFonts w:hint="default"/>
                <w:lang w:val="en-US" w:eastAsia="zh-CN"/>
              </w:rPr>
            </w:pPr>
            <w:r>
              <w:rPr>
                <w:rFonts w:hint="eastAsia"/>
                <w:lang w:val="en-US" w:eastAsia="zh-CN"/>
              </w:rPr>
              <w:t>（2）废水排放情况</w:t>
            </w:r>
          </w:p>
          <w:p>
            <w:pPr>
              <w:pStyle w:val="19"/>
              <w:bidi w:val="0"/>
              <w:rPr>
                <w:rFonts w:hint="eastAsia"/>
                <w:lang w:val="en-US" w:eastAsia="zh-CN"/>
              </w:rPr>
            </w:pPr>
            <w:r>
              <w:rPr>
                <w:rFonts w:hint="eastAsia"/>
                <w:lang w:val="en-US" w:eastAsia="zh-CN"/>
              </w:rPr>
              <w:t>综上所述，本项目生产废水及实验检测室废水回用不外排。生活污水产生量约43.97m</w:t>
            </w:r>
            <w:r>
              <w:rPr>
                <w:rFonts w:hint="eastAsia"/>
                <w:vertAlign w:val="superscript"/>
                <w:lang w:val="en-US" w:eastAsia="zh-CN"/>
              </w:rPr>
              <w:t>3</w:t>
            </w:r>
            <w:r>
              <w:rPr>
                <w:rFonts w:hint="eastAsia"/>
                <w:lang w:val="en-US" w:eastAsia="zh-CN"/>
              </w:rPr>
              <w:t>/d，经化粪池处理后，排入园区污水处理厂进一步处理，经园区污水处理厂处理达到《城镇污水处理厂污染物排放标准》GB18918-2002 一级 A 标准后通过园区管网外排花垣河。</w:t>
            </w:r>
          </w:p>
          <w:p>
            <w:pPr>
              <w:bidi w:val="0"/>
              <w:jc w:val="center"/>
              <w:rPr>
                <w:rFonts w:hint="default"/>
                <w:b/>
                <w:bCs/>
                <w:lang w:val="en-US" w:eastAsia="zh-CN"/>
              </w:rPr>
            </w:pPr>
            <w:r>
              <w:rPr>
                <w:rFonts w:hint="eastAsia"/>
                <w:b/>
                <w:bCs/>
                <w:lang w:val="en-US" w:eastAsia="zh-CN"/>
              </w:rPr>
              <w:t>表4-1  废水排放情况表</w:t>
            </w:r>
          </w:p>
          <w:tbl>
            <w:tblPr>
              <w:tblStyle w:val="15"/>
              <w:tblW w:w="861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6"/>
              <w:gridCol w:w="731"/>
              <w:gridCol w:w="828"/>
              <w:gridCol w:w="851"/>
              <w:gridCol w:w="1134"/>
              <w:gridCol w:w="850"/>
              <w:gridCol w:w="1753"/>
              <w:gridCol w:w="1224"/>
              <w:gridCol w:w="73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506" w:type="dxa"/>
                  <w:vMerge w:val="restart"/>
                  <w:noWrap w:val="0"/>
                  <w:vAlign w:val="center"/>
                </w:tcPr>
                <w:p>
                  <w:pPr>
                    <w:pStyle w:val="18"/>
                    <w:bidi w:val="0"/>
                    <w:jc w:val="center"/>
                  </w:pPr>
                  <w:r>
                    <w:t>污水类型</w:t>
                  </w:r>
                </w:p>
              </w:tc>
              <w:tc>
                <w:tcPr>
                  <w:tcW w:w="731" w:type="dxa"/>
                  <w:vMerge w:val="restart"/>
                  <w:noWrap w:val="0"/>
                  <w:vAlign w:val="center"/>
                </w:tcPr>
                <w:p>
                  <w:pPr>
                    <w:pStyle w:val="18"/>
                    <w:bidi w:val="0"/>
                    <w:jc w:val="center"/>
                  </w:pPr>
                  <w:r>
                    <w:t>指标</w:t>
                  </w:r>
                </w:p>
              </w:tc>
              <w:tc>
                <w:tcPr>
                  <w:tcW w:w="1679" w:type="dxa"/>
                  <w:gridSpan w:val="2"/>
                  <w:noWrap w:val="0"/>
                  <w:vAlign w:val="center"/>
                </w:tcPr>
                <w:p>
                  <w:pPr>
                    <w:pStyle w:val="18"/>
                    <w:bidi w:val="0"/>
                    <w:jc w:val="center"/>
                  </w:pPr>
                  <w:r>
                    <w:t>产生情况</w:t>
                  </w:r>
                </w:p>
              </w:tc>
              <w:tc>
                <w:tcPr>
                  <w:tcW w:w="4961" w:type="dxa"/>
                  <w:gridSpan w:val="4"/>
                  <w:noWrap w:val="0"/>
                  <w:vAlign w:val="center"/>
                </w:tcPr>
                <w:p>
                  <w:pPr>
                    <w:pStyle w:val="18"/>
                    <w:bidi w:val="0"/>
                    <w:jc w:val="center"/>
                  </w:pPr>
                  <w:r>
                    <w:t>排放情况</w:t>
                  </w:r>
                </w:p>
              </w:tc>
              <w:tc>
                <w:tcPr>
                  <w:tcW w:w="734" w:type="dxa"/>
                  <w:vMerge w:val="restart"/>
                  <w:noWrap w:val="0"/>
                  <w:vAlign w:val="center"/>
                </w:tcPr>
                <w:p>
                  <w:pPr>
                    <w:pStyle w:val="18"/>
                    <w:bidi w:val="0"/>
                    <w:jc w:val="center"/>
                  </w:pPr>
                  <w:r>
                    <w:t>处理设施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7" w:hRule="atLeast"/>
              </w:trPr>
              <w:tc>
                <w:tcPr>
                  <w:tcW w:w="506" w:type="dxa"/>
                  <w:vMerge w:val="continue"/>
                  <w:noWrap w:val="0"/>
                  <w:vAlign w:val="center"/>
                </w:tcPr>
                <w:p>
                  <w:pPr>
                    <w:pStyle w:val="18"/>
                    <w:bidi w:val="0"/>
                    <w:jc w:val="center"/>
                  </w:pPr>
                </w:p>
              </w:tc>
              <w:tc>
                <w:tcPr>
                  <w:tcW w:w="731" w:type="dxa"/>
                  <w:vMerge w:val="continue"/>
                  <w:noWrap w:val="0"/>
                  <w:vAlign w:val="center"/>
                </w:tcPr>
                <w:p>
                  <w:pPr>
                    <w:pStyle w:val="18"/>
                    <w:bidi w:val="0"/>
                    <w:jc w:val="center"/>
                  </w:pPr>
                </w:p>
              </w:tc>
              <w:tc>
                <w:tcPr>
                  <w:tcW w:w="828" w:type="dxa"/>
                  <w:vMerge w:val="restart"/>
                  <w:noWrap w:val="0"/>
                  <w:vAlign w:val="center"/>
                </w:tcPr>
                <w:p>
                  <w:pPr>
                    <w:pStyle w:val="18"/>
                    <w:bidi w:val="0"/>
                    <w:jc w:val="center"/>
                  </w:pPr>
                  <w:r>
                    <w:t>产生浓度mg/L</w:t>
                  </w:r>
                </w:p>
              </w:tc>
              <w:tc>
                <w:tcPr>
                  <w:tcW w:w="851" w:type="dxa"/>
                  <w:vMerge w:val="restart"/>
                  <w:noWrap w:val="0"/>
                  <w:vAlign w:val="center"/>
                </w:tcPr>
                <w:p>
                  <w:pPr>
                    <w:pStyle w:val="18"/>
                    <w:bidi w:val="0"/>
                    <w:jc w:val="center"/>
                  </w:pPr>
                  <w:r>
                    <w:t>产生量t/a</w:t>
                  </w:r>
                </w:p>
              </w:tc>
              <w:tc>
                <w:tcPr>
                  <w:tcW w:w="1984" w:type="dxa"/>
                  <w:gridSpan w:val="2"/>
                  <w:noWrap w:val="0"/>
                  <w:vAlign w:val="center"/>
                </w:tcPr>
                <w:p>
                  <w:pPr>
                    <w:pStyle w:val="18"/>
                    <w:bidi w:val="0"/>
                    <w:jc w:val="center"/>
                  </w:pPr>
                  <w:r>
                    <w:t>厂区排放口</w:t>
                  </w:r>
                </w:p>
              </w:tc>
              <w:tc>
                <w:tcPr>
                  <w:tcW w:w="2977" w:type="dxa"/>
                  <w:gridSpan w:val="2"/>
                  <w:noWrap w:val="0"/>
                  <w:vAlign w:val="center"/>
                </w:tcPr>
                <w:p>
                  <w:pPr>
                    <w:pStyle w:val="18"/>
                    <w:bidi w:val="0"/>
                    <w:jc w:val="center"/>
                  </w:pPr>
                  <w:r>
                    <w:t>花垣县工业园综合污水处理厂</w:t>
                  </w:r>
                </w:p>
              </w:tc>
              <w:tc>
                <w:tcPr>
                  <w:tcW w:w="734"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5" w:hRule="atLeast"/>
              </w:trPr>
              <w:tc>
                <w:tcPr>
                  <w:tcW w:w="506" w:type="dxa"/>
                  <w:vMerge w:val="continue"/>
                  <w:noWrap w:val="0"/>
                  <w:vAlign w:val="center"/>
                </w:tcPr>
                <w:p>
                  <w:pPr>
                    <w:pStyle w:val="18"/>
                    <w:bidi w:val="0"/>
                    <w:jc w:val="center"/>
                  </w:pPr>
                </w:p>
              </w:tc>
              <w:tc>
                <w:tcPr>
                  <w:tcW w:w="731" w:type="dxa"/>
                  <w:vMerge w:val="continue"/>
                  <w:noWrap w:val="0"/>
                  <w:vAlign w:val="center"/>
                </w:tcPr>
                <w:p>
                  <w:pPr>
                    <w:pStyle w:val="18"/>
                    <w:bidi w:val="0"/>
                    <w:jc w:val="center"/>
                  </w:pPr>
                </w:p>
              </w:tc>
              <w:tc>
                <w:tcPr>
                  <w:tcW w:w="828" w:type="dxa"/>
                  <w:vMerge w:val="continue"/>
                  <w:noWrap w:val="0"/>
                  <w:vAlign w:val="center"/>
                </w:tcPr>
                <w:p>
                  <w:pPr>
                    <w:pStyle w:val="18"/>
                    <w:bidi w:val="0"/>
                    <w:jc w:val="center"/>
                  </w:pPr>
                </w:p>
              </w:tc>
              <w:tc>
                <w:tcPr>
                  <w:tcW w:w="851" w:type="dxa"/>
                  <w:vMerge w:val="continue"/>
                  <w:noWrap w:val="0"/>
                  <w:vAlign w:val="center"/>
                </w:tcPr>
                <w:p>
                  <w:pPr>
                    <w:pStyle w:val="18"/>
                    <w:bidi w:val="0"/>
                    <w:jc w:val="center"/>
                  </w:pPr>
                </w:p>
              </w:tc>
              <w:tc>
                <w:tcPr>
                  <w:tcW w:w="1134" w:type="dxa"/>
                  <w:noWrap w:val="0"/>
                  <w:vAlign w:val="center"/>
                </w:tcPr>
                <w:p>
                  <w:pPr>
                    <w:pStyle w:val="18"/>
                    <w:bidi w:val="0"/>
                    <w:jc w:val="center"/>
                  </w:pPr>
                  <w:r>
                    <w:t>排放浓度mg/L</w:t>
                  </w:r>
                </w:p>
              </w:tc>
              <w:tc>
                <w:tcPr>
                  <w:tcW w:w="850" w:type="dxa"/>
                  <w:noWrap w:val="0"/>
                  <w:vAlign w:val="center"/>
                </w:tcPr>
                <w:p>
                  <w:pPr>
                    <w:pStyle w:val="18"/>
                    <w:bidi w:val="0"/>
                    <w:jc w:val="center"/>
                  </w:pPr>
                  <w:r>
                    <w:t>排放量t/a</w:t>
                  </w:r>
                </w:p>
              </w:tc>
              <w:tc>
                <w:tcPr>
                  <w:tcW w:w="1753" w:type="dxa"/>
                  <w:noWrap w:val="0"/>
                  <w:vAlign w:val="center"/>
                </w:tcPr>
                <w:p>
                  <w:pPr>
                    <w:pStyle w:val="18"/>
                    <w:bidi w:val="0"/>
                    <w:jc w:val="center"/>
                  </w:pPr>
                  <w:r>
                    <w:t>排放浓度mg/L</w:t>
                  </w:r>
                </w:p>
              </w:tc>
              <w:tc>
                <w:tcPr>
                  <w:tcW w:w="1224" w:type="dxa"/>
                  <w:noWrap w:val="0"/>
                  <w:vAlign w:val="center"/>
                </w:tcPr>
                <w:p>
                  <w:pPr>
                    <w:pStyle w:val="18"/>
                    <w:bidi w:val="0"/>
                    <w:jc w:val="center"/>
                  </w:pPr>
                  <w:r>
                    <w:t>排放量t/a</w:t>
                  </w:r>
                </w:p>
              </w:tc>
              <w:tc>
                <w:tcPr>
                  <w:tcW w:w="734"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4" w:hRule="atLeast"/>
              </w:trPr>
              <w:tc>
                <w:tcPr>
                  <w:tcW w:w="506" w:type="dxa"/>
                  <w:vMerge w:val="restart"/>
                  <w:shd w:val="clear" w:color="auto" w:fill="auto"/>
                  <w:noWrap w:val="0"/>
                  <w:vAlign w:val="center"/>
                </w:tcPr>
                <w:p>
                  <w:pPr>
                    <w:pStyle w:val="18"/>
                    <w:bidi w:val="0"/>
                    <w:jc w:val="center"/>
                  </w:pPr>
                  <w:r>
                    <w:t>生活污水</w:t>
                  </w:r>
                </w:p>
              </w:tc>
              <w:tc>
                <w:tcPr>
                  <w:tcW w:w="731" w:type="dxa"/>
                  <w:shd w:val="clear" w:color="auto" w:fill="auto"/>
                  <w:noWrap w:val="0"/>
                  <w:vAlign w:val="center"/>
                </w:tcPr>
                <w:p>
                  <w:pPr>
                    <w:pStyle w:val="18"/>
                    <w:bidi w:val="0"/>
                    <w:jc w:val="center"/>
                  </w:pPr>
                  <w:r>
                    <w:t>水量</w:t>
                  </w:r>
                </w:p>
              </w:tc>
              <w:tc>
                <w:tcPr>
                  <w:tcW w:w="828" w:type="dxa"/>
                  <w:shd w:val="clear" w:color="auto" w:fill="auto"/>
                  <w:noWrap w:val="0"/>
                  <w:vAlign w:val="center"/>
                </w:tcPr>
                <w:p>
                  <w:pPr>
                    <w:pStyle w:val="18"/>
                    <w:bidi w:val="0"/>
                    <w:jc w:val="center"/>
                  </w:pPr>
                  <w:r>
                    <w:t>/</w:t>
                  </w:r>
                </w:p>
              </w:tc>
              <w:tc>
                <w:tcPr>
                  <w:tcW w:w="85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13191</w:t>
                  </w:r>
                </w:p>
              </w:tc>
              <w:tc>
                <w:tcPr>
                  <w:tcW w:w="1134" w:type="dxa"/>
                  <w:shd w:val="clear" w:color="auto" w:fill="auto"/>
                  <w:noWrap w:val="0"/>
                  <w:vAlign w:val="center"/>
                </w:tcPr>
                <w:p>
                  <w:pPr>
                    <w:pStyle w:val="18"/>
                    <w:bidi w:val="0"/>
                    <w:jc w:val="center"/>
                  </w:pPr>
                  <w:r>
                    <w:t>/</w:t>
                  </w:r>
                </w:p>
              </w:tc>
              <w:tc>
                <w:tcPr>
                  <w:tcW w:w="850"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13191</w:t>
                  </w:r>
                </w:p>
              </w:tc>
              <w:tc>
                <w:tcPr>
                  <w:tcW w:w="1753" w:type="dxa"/>
                  <w:noWrap w:val="0"/>
                  <w:vAlign w:val="center"/>
                </w:tcPr>
                <w:p>
                  <w:pPr>
                    <w:pStyle w:val="18"/>
                    <w:bidi w:val="0"/>
                    <w:jc w:val="center"/>
                  </w:pPr>
                  <w:r>
                    <w:t>/</w:t>
                  </w:r>
                </w:p>
              </w:tc>
              <w:tc>
                <w:tcPr>
                  <w:tcW w:w="1224" w:type="dxa"/>
                  <w:noWrap w:val="0"/>
                  <w:vAlign w:val="center"/>
                </w:tcPr>
                <w:p>
                  <w:pPr>
                    <w:pStyle w:val="18"/>
                    <w:bidi w:val="0"/>
                    <w:jc w:val="center"/>
                    <w:rPr>
                      <w:rFonts w:hint="default" w:eastAsia="宋体"/>
                      <w:lang w:val="en-US" w:eastAsia="zh-CN"/>
                    </w:rPr>
                  </w:pPr>
                  <w:r>
                    <w:rPr>
                      <w:rFonts w:hint="eastAsia"/>
                      <w:lang w:val="en-US" w:eastAsia="zh-CN"/>
                    </w:rPr>
                    <w:t>13191</w:t>
                  </w:r>
                </w:p>
              </w:tc>
              <w:tc>
                <w:tcPr>
                  <w:tcW w:w="734" w:type="dxa"/>
                  <w:vMerge w:val="restart"/>
                  <w:noWrap w:val="0"/>
                  <w:vAlign w:val="center"/>
                </w:tcPr>
                <w:p>
                  <w:pPr>
                    <w:pStyle w:val="18"/>
                    <w:bidi w:val="0"/>
                    <w:jc w:val="center"/>
                    <w:rPr>
                      <w:rFonts w:hint="eastAsia" w:eastAsia="宋体"/>
                      <w:lang w:val="en-US" w:eastAsia="zh-CN"/>
                    </w:rPr>
                  </w:pPr>
                  <w:r>
                    <w:rPr>
                      <w:rFonts w:hint="eastAsia"/>
                      <w:lang w:val="en-US" w:eastAsia="zh-CN"/>
                    </w:rPr>
                    <w:t>化粪池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4" w:hRule="atLeast"/>
              </w:trPr>
              <w:tc>
                <w:tcPr>
                  <w:tcW w:w="506" w:type="dxa"/>
                  <w:vMerge w:val="continue"/>
                  <w:shd w:val="clear" w:color="auto" w:fill="auto"/>
                  <w:noWrap w:val="0"/>
                  <w:vAlign w:val="center"/>
                </w:tcPr>
                <w:p>
                  <w:pPr>
                    <w:pStyle w:val="18"/>
                    <w:bidi w:val="0"/>
                    <w:jc w:val="center"/>
                  </w:pPr>
                </w:p>
              </w:tc>
              <w:tc>
                <w:tcPr>
                  <w:tcW w:w="731" w:type="dxa"/>
                  <w:shd w:val="clear" w:color="auto" w:fill="auto"/>
                  <w:noWrap w:val="0"/>
                  <w:vAlign w:val="center"/>
                </w:tcPr>
                <w:p>
                  <w:pPr>
                    <w:pStyle w:val="18"/>
                    <w:bidi w:val="0"/>
                    <w:jc w:val="center"/>
                  </w:pPr>
                  <w:r>
                    <w:t>COD</w:t>
                  </w:r>
                </w:p>
              </w:tc>
              <w:tc>
                <w:tcPr>
                  <w:tcW w:w="828" w:type="dxa"/>
                  <w:shd w:val="clear" w:color="auto" w:fill="auto"/>
                  <w:noWrap w:val="0"/>
                  <w:vAlign w:val="center"/>
                </w:tcPr>
                <w:p>
                  <w:pPr>
                    <w:pStyle w:val="18"/>
                    <w:bidi w:val="0"/>
                    <w:jc w:val="center"/>
                  </w:pPr>
                  <w:r>
                    <w:t>350</w:t>
                  </w:r>
                </w:p>
              </w:tc>
              <w:tc>
                <w:tcPr>
                  <w:tcW w:w="85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4.616</w:t>
                  </w:r>
                </w:p>
              </w:tc>
              <w:tc>
                <w:tcPr>
                  <w:tcW w:w="1134" w:type="dxa"/>
                  <w:shd w:val="clear" w:color="auto" w:fill="auto"/>
                  <w:noWrap w:val="0"/>
                  <w:vAlign w:val="center"/>
                </w:tcPr>
                <w:p>
                  <w:pPr>
                    <w:pStyle w:val="18"/>
                    <w:bidi w:val="0"/>
                    <w:jc w:val="center"/>
                  </w:pPr>
                  <w:r>
                    <w:t>300</w:t>
                  </w:r>
                </w:p>
              </w:tc>
              <w:tc>
                <w:tcPr>
                  <w:tcW w:w="850"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3.957</w:t>
                  </w:r>
                </w:p>
              </w:tc>
              <w:tc>
                <w:tcPr>
                  <w:tcW w:w="1753" w:type="dxa"/>
                  <w:shd w:val="clear" w:color="auto" w:fill="auto"/>
                  <w:noWrap w:val="0"/>
                  <w:vAlign w:val="center"/>
                </w:tcPr>
                <w:p>
                  <w:pPr>
                    <w:pStyle w:val="18"/>
                    <w:bidi w:val="0"/>
                    <w:jc w:val="center"/>
                  </w:pPr>
                  <w:r>
                    <w:t>50</w:t>
                  </w:r>
                </w:p>
              </w:tc>
              <w:tc>
                <w:tcPr>
                  <w:tcW w:w="1224" w:type="dxa"/>
                  <w:shd w:val="clear" w:color="auto" w:fill="auto"/>
                  <w:noWrap w:val="0"/>
                  <w:vAlign w:val="center"/>
                </w:tcPr>
                <w:p>
                  <w:pPr>
                    <w:pStyle w:val="18"/>
                    <w:bidi w:val="0"/>
                    <w:jc w:val="center"/>
                    <w:rPr>
                      <w:rFonts w:hint="default" w:eastAsia="宋体"/>
                      <w:lang w:val="en-US" w:eastAsia="zh-CN"/>
                    </w:rPr>
                  </w:pPr>
                  <w:r>
                    <w:t>0.</w:t>
                  </w:r>
                  <w:r>
                    <w:rPr>
                      <w:rFonts w:hint="eastAsia"/>
                      <w:lang w:val="en-US" w:eastAsia="zh-CN"/>
                    </w:rPr>
                    <w:t>659</w:t>
                  </w:r>
                </w:p>
              </w:tc>
              <w:tc>
                <w:tcPr>
                  <w:tcW w:w="734"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4" w:hRule="atLeast"/>
              </w:trPr>
              <w:tc>
                <w:tcPr>
                  <w:tcW w:w="506" w:type="dxa"/>
                  <w:vMerge w:val="continue"/>
                  <w:shd w:val="clear" w:color="auto" w:fill="auto"/>
                  <w:noWrap w:val="0"/>
                  <w:vAlign w:val="center"/>
                </w:tcPr>
                <w:p>
                  <w:pPr>
                    <w:pStyle w:val="18"/>
                    <w:bidi w:val="0"/>
                    <w:jc w:val="center"/>
                  </w:pPr>
                </w:p>
              </w:tc>
              <w:tc>
                <w:tcPr>
                  <w:tcW w:w="731" w:type="dxa"/>
                  <w:shd w:val="clear" w:color="auto" w:fill="auto"/>
                  <w:noWrap w:val="0"/>
                  <w:vAlign w:val="center"/>
                </w:tcPr>
                <w:p>
                  <w:pPr>
                    <w:pStyle w:val="18"/>
                    <w:bidi w:val="0"/>
                    <w:jc w:val="center"/>
                  </w:pPr>
                  <w:r>
                    <w:t>BOD</w:t>
                  </w:r>
                  <w:r>
                    <w:rPr>
                      <w:vertAlign w:val="subscript"/>
                    </w:rPr>
                    <w:t>5</w:t>
                  </w:r>
                </w:p>
              </w:tc>
              <w:tc>
                <w:tcPr>
                  <w:tcW w:w="828" w:type="dxa"/>
                  <w:shd w:val="clear" w:color="auto" w:fill="auto"/>
                  <w:noWrap w:val="0"/>
                  <w:vAlign w:val="center"/>
                </w:tcPr>
                <w:p>
                  <w:pPr>
                    <w:pStyle w:val="18"/>
                    <w:bidi w:val="0"/>
                    <w:jc w:val="center"/>
                  </w:pPr>
                  <w:r>
                    <w:t>250</w:t>
                  </w:r>
                </w:p>
              </w:tc>
              <w:tc>
                <w:tcPr>
                  <w:tcW w:w="85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3.297</w:t>
                  </w:r>
                </w:p>
              </w:tc>
              <w:tc>
                <w:tcPr>
                  <w:tcW w:w="1134" w:type="dxa"/>
                  <w:shd w:val="clear" w:color="auto" w:fill="auto"/>
                  <w:noWrap w:val="0"/>
                  <w:vAlign w:val="center"/>
                </w:tcPr>
                <w:p>
                  <w:pPr>
                    <w:pStyle w:val="18"/>
                    <w:bidi w:val="0"/>
                    <w:jc w:val="center"/>
                  </w:pPr>
                  <w:r>
                    <w:t>200</w:t>
                  </w:r>
                </w:p>
              </w:tc>
              <w:tc>
                <w:tcPr>
                  <w:tcW w:w="850"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2.638</w:t>
                  </w:r>
                </w:p>
              </w:tc>
              <w:tc>
                <w:tcPr>
                  <w:tcW w:w="1753" w:type="dxa"/>
                  <w:shd w:val="clear" w:color="auto" w:fill="auto"/>
                  <w:noWrap w:val="0"/>
                  <w:vAlign w:val="center"/>
                </w:tcPr>
                <w:p>
                  <w:pPr>
                    <w:pStyle w:val="18"/>
                    <w:bidi w:val="0"/>
                    <w:jc w:val="center"/>
                  </w:pPr>
                  <w:r>
                    <w:t>10</w:t>
                  </w:r>
                </w:p>
              </w:tc>
              <w:tc>
                <w:tcPr>
                  <w:tcW w:w="1224" w:type="dxa"/>
                  <w:shd w:val="clear" w:color="auto" w:fill="auto"/>
                  <w:noWrap w:val="0"/>
                  <w:vAlign w:val="center"/>
                </w:tcPr>
                <w:p>
                  <w:pPr>
                    <w:pStyle w:val="18"/>
                    <w:bidi w:val="0"/>
                    <w:jc w:val="center"/>
                    <w:rPr>
                      <w:rFonts w:hint="default" w:eastAsia="宋体"/>
                      <w:lang w:val="en-US" w:eastAsia="zh-CN"/>
                    </w:rPr>
                  </w:pPr>
                  <w:r>
                    <w:t>0.</w:t>
                  </w:r>
                  <w:r>
                    <w:rPr>
                      <w:rFonts w:hint="eastAsia"/>
                      <w:lang w:val="en-US" w:eastAsia="zh-CN"/>
                    </w:rPr>
                    <w:t>131</w:t>
                  </w:r>
                </w:p>
              </w:tc>
              <w:tc>
                <w:tcPr>
                  <w:tcW w:w="734"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4" w:hRule="atLeast"/>
              </w:trPr>
              <w:tc>
                <w:tcPr>
                  <w:tcW w:w="506" w:type="dxa"/>
                  <w:vMerge w:val="continue"/>
                  <w:shd w:val="clear" w:color="auto" w:fill="auto"/>
                  <w:noWrap w:val="0"/>
                  <w:vAlign w:val="center"/>
                </w:tcPr>
                <w:p>
                  <w:pPr>
                    <w:pStyle w:val="18"/>
                    <w:bidi w:val="0"/>
                    <w:jc w:val="center"/>
                  </w:pPr>
                </w:p>
              </w:tc>
              <w:tc>
                <w:tcPr>
                  <w:tcW w:w="731" w:type="dxa"/>
                  <w:shd w:val="clear" w:color="auto" w:fill="auto"/>
                  <w:noWrap w:val="0"/>
                  <w:vAlign w:val="center"/>
                </w:tcPr>
                <w:p>
                  <w:pPr>
                    <w:pStyle w:val="18"/>
                    <w:bidi w:val="0"/>
                    <w:jc w:val="center"/>
                  </w:pPr>
                  <w:r>
                    <w:t>SS</w:t>
                  </w:r>
                </w:p>
              </w:tc>
              <w:tc>
                <w:tcPr>
                  <w:tcW w:w="828" w:type="dxa"/>
                  <w:shd w:val="clear" w:color="auto" w:fill="auto"/>
                  <w:noWrap w:val="0"/>
                  <w:vAlign w:val="center"/>
                </w:tcPr>
                <w:p>
                  <w:pPr>
                    <w:pStyle w:val="18"/>
                    <w:bidi w:val="0"/>
                    <w:jc w:val="center"/>
                  </w:pPr>
                  <w:r>
                    <w:t>300</w:t>
                  </w:r>
                </w:p>
              </w:tc>
              <w:tc>
                <w:tcPr>
                  <w:tcW w:w="85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3.957</w:t>
                  </w:r>
                </w:p>
              </w:tc>
              <w:tc>
                <w:tcPr>
                  <w:tcW w:w="1134" w:type="dxa"/>
                  <w:shd w:val="clear" w:color="auto" w:fill="auto"/>
                  <w:noWrap w:val="0"/>
                  <w:vAlign w:val="center"/>
                </w:tcPr>
                <w:p>
                  <w:pPr>
                    <w:pStyle w:val="18"/>
                    <w:bidi w:val="0"/>
                    <w:jc w:val="center"/>
                  </w:pPr>
                  <w:r>
                    <w:t>200</w:t>
                  </w:r>
                </w:p>
              </w:tc>
              <w:tc>
                <w:tcPr>
                  <w:tcW w:w="850"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2.638</w:t>
                  </w:r>
                </w:p>
              </w:tc>
              <w:tc>
                <w:tcPr>
                  <w:tcW w:w="1753" w:type="dxa"/>
                  <w:shd w:val="clear" w:color="auto" w:fill="auto"/>
                  <w:noWrap w:val="0"/>
                  <w:vAlign w:val="center"/>
                </w:tcPr>
                <w:p>
                  <w:pPr>
                    <w:pStyle w:val="18"/>
                    <w:bidi w:val="0"/>
                    <w:jc w:val="center"/>
                  </w:pPr>
                  <w:r>
                    <w:t>10</w:t>
                  </w:r>
                </w:p>
              </w:tc>
              <w:tc>
                <w:tcPr>
                  <w:tcW w:w="1224" w:type="dxa"/>
                  <w:shd w:val="clear" w:color="auto" w:fill="auto"/>
                  <w:noWrap w:val="0"/>
                  <w:vAlign w:val="center"/>
                </w:tcPr>
                <w:p>
                  <w:pPr>
                    <w:pStyle w:val="18"/>
                    <w:bidi w:val="0"/>
                    <w:jc w:val="center"/>
                    <w:rPr>
                      <w:rFonts w:hint="default" w:eastAsia="宋体"/>
                      <w:lang w:val="en-US" w:eastAsia="zh-CN"/>
                    </w:rPr>
                  </w:pPr>
                  <w:r>
                    <w:t>0.</w:t>
                  </w:r>
                  <w:r>
                    <w:rPr>
                      <w:rFonts w:hint="eastAsia"/>
                      <w:lang w:val="en-US" w:eastAsia="zh-CN"/>
                    </w:rPr>
                    <w:t>131</w:t>
                  </w:r>
                </w:p>
              </w:tc>
              <w:tc>
                <w:tcPr>
                  <w:tcW w:w="734" w:type="dxa"/>
                  <w:vMerge w:val="continue"/>
                  <w:noWrap w:val="0"/>
                  <w:vAlign w:val="center"/>
                </w:tcPr>
                <w:p>
                  <w:pPr>
                    <w:pStyle w:val="18"/>
                    <w:bidi w:val="0"/>
                    <w:jc w:val="cente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4" w:hRule="atLeast"/>
              </w:trPr>
              <w:tc>
                <w:tcPr>
                  <w:tcW w:w="506" w:type="dxa"/>
                  <w:vMerge w:val="continue"/>
                  <w:shd w:val="clear" w:color="auto" w:fill="auto"/>
                  <w:noWrap w:val="0"/>
                  <w:vAlign w:val="center"/>
                </w:tcPr>
                <w:p>
                  <w:pPr>
                    <w:pStyle w:val="18"/>
                    <w:bidi w:val="0"/>
                    <w:jc w:val="center"/>
                  </w:pPr>
                </w:p>
              </w:tc>
              <w:tc>
                <w:tcPr>
                  <w:tcW w:w="731" w:type="dxa"/>
                  <w:shd w:val="clear" w:color="auto" w:fill="auto"/>
                  <w:noWrap w:val="0"/>
                  <w:vAlign w:val="center"/>
                </w:tcPr>
                <w:p>
                  <w:pPr>
                    <w:pStyle w:val="18"/>
                    <w:bidi w:val="0"/>
                    <w:jc w:val="center"/>
                  </w:pPr>
                  <w:r>
                    <w:t>氨氮</w:t>
                  </w:r>
                </w:p>
              </w:tc>
              <w:tc>
                <w:tcPr>
                  <w:tcW w:w="828" w:type="dxa"/>
                  <w:shd w:val="clear" w:color="auto" w:fill="auto"/>
                  <w:noWrap w:val="0"/>
                  <w:vAlign w:val="center"/>
                </w:tcPr>
                <w:p>
                  <w:pPr>
                    <w:pStyle w:val="18"/>
                    <w:bidi w:val="0"/>
                    <w:jc w:val="center"/>
                  </w:pPr>
                  <w:r>
                    <w:t>35</w:t>
                  </w:r>
                </w:p>
              </w:tc>
              <w:tc>
                <w:tcPr>
                  <w:tcW w:w="85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0.461</w:t>
                  </w:r>
                </w:p>
              </w:tc>
              <w:tc>
                <w:tcPr>
                  <w:tcW w:w="1134" w:type="dxa"/>
                  <w:shd w:val="clear" w:color="auto" w:fill="auto"/>
                  <w:noWrap w:val="0"/>
                  <w:vAlign w:val="center"/>
                </w:tcPr>
                <w:p>
                  <w:pPr>
                    <w:pStyle w:val="18"/>
                    <w:bidi w:val="0"/>
                    <w:jc w:val="center"/>
                  </w:pPr>
                  <w:r>
                    <w:t>20</w:t>
                  </w:r>
                </w:p>
              </w:tc>
              <w:tc>
                <w:tcPr>
                  <w:tcW w:w="850" w:type="dxa"/>
                  <w:shd w:val="clear" w:color="auto" w:fill="auto"/>
                  <w:noWrap w:val="0"/>
                  <w:vAlign w:val="center"/>
                </w:tcPr>
                <w:p>
                  <w:pPr>
                    <w:pStyle w:val="18"/>
                    <w:bidi w:val="0"/>
                    <w:jc w:val="center"/>
                    <w:rPr>
                      <w:rFonts w:hint="default" w:eastAsia="宋体"/>
                      <w:lang w:val="en-US" w:eastAsia="zh-CN"/>
                    </w:rPr>
                  </w:pPr>
                  <w:r>
                    <w:t>0.</w:t>
                  </w:r>
                  <w:r>
                    <w:rPr>
                      <w:rFonts w:hint="eastAsia"/>
                      <w:lang w:val="en-US" w:eastAsia="zh-CN"/>
                    </w:rPr>
                    <w:t>263</w:t>
                  </w:r>
                </w:p>
              </w:tc>
              <w:tc>
                <w:tcPr>
                  <w:tcW w:w="1753" w:type="dxa"/>
                  <w:shd w:val="clear" w:color="auto" w:fill="auto"/>
                  <w:noWrap w:val="0"/>
                  <w:vAlign w:val="center"/>
                </w:tcPr>
                <w:p>
                  <w:pPr>
                    <w:pStyle w:val="18"/>
                    <w:bidi w:val="0"/>
                    <w:jc w:val="center"/>
                  </w:pPr>
                  <w:r>
                    <w:t>8</w:t>
                  </w:r>
                </w:p>
              </w:tc>
              <w:tc>
                <w:tcPr>
                  <w:tcW w:w="1224" w:type="dxa"/>
                  <w:shd w:val="clear" w:color="auto" w:fill="auto"/>
                  <w:noWrap w:val="0"/>
                  <w:vAlign w:val="center"/>
                </w:tcPr>
                <w:p>
                  <w:pPr>
                    <w:pStyle w:val="18"/>
                    <w:bidi w:val="0"/>
                    <w:jc w:val="center"/>
                    <w:rPr>
                      <w:rFonts w:hint="default" w:eastAsia="宋体"/>
                      <w:lang w:val="en-US" w:eastAsia="zh-CN"/>
                    </w:rPr>
                  </w:pPr>
                  <w:r>
                    <w:t>0.</w:t>
                  </w:r>
                  <w:r>
                    <w:rPr>
                      <w:rFonts w:hint="eastAsia"/>
                      <w:lang w:val="en-US" w:eastAsia="zh-CN"/>
                    </w:rPr>
                    <w:t>105</w:t>
                  </w:r>
                </w:p>
              </w:tc>
              <w:tc>
                <w:tcPr>
                  <w:tcW w:w="734" w:type="dxa"/>
                  <w:vMerge w:val="continue"/>
                  <w:noWrap w:val="0"/>
                  <w:vAlign w:val="center"/>
                </w:tcPr>
                <w:p>
                  <w:pPr>
                    <w:pStyle w:val="18"/>
                    <w:bidi w:val="0"/>
                    <w:jc w:val="center"/>
                  </w:pPr>
                </w:p>
              </w:tc>
            </w:tr>
          </w:tbl>
          <w:p>
            <w:pPr>
              <w:pStyle w:val="19"/>
              <w:bidi w:val="0"/>
              <w:rPr>
                <w:rFonts w:hint="default"/>
                <w:lang w:val="en-US" w:eastAsia="zh-CN"/>
              </w:rPr>
            </w:pPr>
            <w:r>
              <w:rPr>
                <w:rFonts w:hint="eastAsia"/>
                <w:lang w:val="en-US" w:eastAsia="zh-CN"/>
              </w:rPr>
              <w:t>（3）污染防治措施污染可行性分析</w:t>
            </w:r>
          </w:p>
          <w:p>
            <w:pPr>
              <w:pStyle w:val="19"/>
              <w:bidi w:val="0"/>
              <w:rPr>
                <w:rFonts w:hint="default"/>
                <w:lang w:val="en-US" w:eastAsia="zh-CN"/>
              </w:rPr>
            </w:pPr>
            <w:r>
              <w:rPr>
                <w:rFonts w:hint="eastAsia"/>
                <w:lang w:val="en-US" w:eastAsia="zh-CN"/>
              </w:rPr>
              <w:t>1.车间清洗废水</w:t>
            </w:r>
          </w:p>
          <w:p>
            <w:pPr>
              <w:pStyle w:val="19"/>
              <w:bidi w:val="0"/>
              <w:rPr>
                <w:rFonts w:hint="default"/>
                <w:lang w:val="en-US" w:eastAsia="zh-CN"/>
              </w:rPr>
            </w:pPr>
            <w:r>
              <w:rPr>
                <w:rFonts w:hint="eastAsia"/>
                <w:lang w:val="en-US" w:eastAsia="zh-CN"/>
              </w:rPr>
              <w:t>项目车间可能有少量浆液的滴漏，车间设置有集液沟，汇集后流入车间废液收集池，集液池废水输送至制浆工序综合利用；车间其他地面由工人不定期用拖把清洁，拖把清洗水倒入集液池内，直接回用于锰渣制浆，水量约为0.89 m</w:t>
            </w:r>
            <w:r>
              <w:rPr>
                <w:rFonts w:hint="eastAsia"/>
                <w:vertAlign w:val="superscript"/>
                <w:lang w:val="en-US" w:eastAsia="zh-CN"/>
              </w:rPr>
              <w:t>3</w:t>
            </w:r>
            <w:r>
              <w:rPr>
                <w:rFonts w:hint="eastAsia"/>
                <w:lang w:val="en-US" w:eastAsia="zh-CN"/>
              </w:rPr>
              <w:t>/d。根据项目生产工艺过程分析，废水主要是为清洁生产过程中的液料滴漏、物料洒落而产生的废水，废水中主要含有SS、氨氮、Mn、SO</w:t>
            </w:r>
            <w:r>
              <w:rPr>
                <w:rFonts w:hint="eastAsia"/>
                <w:vertAlign w:val="subscript"/>
                <w:lang w:val="en-US" w:eastAsia="zh-CN"/>
              </w:rPr>
              <w:t>4</w:t>
            </w:r>
            <w:r>
              <w:rPr>
                <w:rFonts w:hint="eastAsia"/>
                <w:vertAlign w:val="superscript"/>
                <w:lang w:val="en-US" w:eastAsia="zh-CN"/>
              </w:rPr>
              <w:t>2-</w:t>
            </w:r>
            <w:r>
              <w:rPr>
                <w:rFonts w:hint="eastAsia"/>
                <w:lang w:val="en-US" w:eastAsia="zh-CN"/>
              </w:rPr>
              <w:t>等相关离子；与浸出液的成分组成类似，回用于生产有利于减少有价金属的流失。因此，项目地面清洁废水回用是可行的。</w:t>
            </w:r>
          </w:p>
          <w:p>
            <w:pPr>
              <w:pStyle w:val="19"/>
              <w:bidi w:val="0"/>
              <w:rPr>
                <w:rFonts w:hint="default"/>
                <w:lang w:val="en-US" w:eastAsia="zh-CN"/>
              </w:rPr>
            </w:pPr>
            <w:r>
              <w:rPr>
                <w:rFonts w:hint="eastAsia"/>
                <w:lang w:val="en-US" w:eastAsia="zh-CN"/>
              </w:rPr>
              <w:t>2.设备冲洗废水</w:t>
            </w:r>
          </w:p>
          <w:p>
            <w:pPr>
              <w:pStyle w:val="19"/>
              <w:bidi w:val="0"/>
              <w:rPr>
                <w:rFonts w:hint="eastAsia"/>
                <w:lang w:val="en-US" w:eastAsia="zh-CN"/>
              </w:rPr>
            </w:pPr>
            <w:r>
              <w:rPr>
                <w:rFonts w:hint="eastAsia"/>
                <w:lang w:val="en-US" w:eastAsia="zh-CN"/>
              </w:rPr>
              <w:t>资源化车间相关设备制造板材后需要定期进行清洗，产生的冲洗废水进入车间收集池内，废水中主要为设备上残留的锰渣和辅料，将废水直接回用于资源化配料工艺不会对产品生产造成影响，并且有利于减少工艺新鲜生产用水。因此，设备冲洗废水回用是可行的。</w:t>
            </w:r>
          </w:p>
          <w:p>
            <w:pPr>
              <w:pStyle w:val="19"/>
              <w:bidi w:val="0"/>
              <w:rPr>
                <w:rFonts w:hint="default"/>
                <w:lang w:val="en-US" w:eastAsia="zh-CN"/>
              </w:rPr>
            </w:pPr>
            <w:r>
              <w:rPr>
                <w:rFonts w:hint="eastAsia"/>
                <w:lang w:val="en-US" w:eastAsia="zh-CN"/>
              </w:rPr>
              <w:t>3.实验检测室废水</w:t>
            </w:r>
          </w:p>
          <w:p>
            <w:pPr>
              <w:pStyle w:val="19"/>
              <w:bidi w:val="0"/>
              <w:rPr>
                <w:rFonts w:hint="default"/>
                <w:lang w:val="en-US" w:eastAsia="zh-CN"/>
              </w:rPr>
            </w:pPr>
            <w:r>
              <w:rPr>
                <w:rFonts w:hint="eastAsia"/>
                <w:lang w:val="en-US" w:eastAsia="zh-CN"/>
              </w:rPr>
              <w:t>实验检测室主要对锰渣进行成分分析，使用的废酸及溶解液作为危废处理，废水主要产生于器具及台面的清洗，该部分废水主要物质主要来自锰渣和残留的少量酸液，回用于生产不会对工艺产生影响，因此实验检测室废水回用是可行的。</w:t>
            </w:r>
          </w:p>
          <w:p>
            <w:pPr>
              <w:pStyle w:val="19"/>
              <w:bidi w:val="0"/>
              <w:rPr>
                <w:rFonts w:hint="default"/>
                <w:lang w:val="en-US" w:eastAsia="zh-CN"/>
              </w:rPr>
            </w:pPr>
            <w:r>
              <w:rPr>
                <w:rFonts w:hint="eastAsia"/>
                <w:lang w:val="en-US" w:eastAsia="zh-CN"/>
              </w:rPr>
              <w:t>（4）污水处理厂受纳可行性分析</w:t>
            </w:r>
          </w:p>
          <w:p>
            <w:pPr>
              <w:pStyle w:val="19"/>
              <w:bidi w:val="0"/>
              <w:rPr>
                <w:rFonts w:hint="eastAsia"/>
                <w:lang w:val="en-US" w:eastAsia="zh-CN"/>
              </w:rPr>
            </w:pPr>
            <w:r>
              <w:rPr>
                <w:rFonts w:hint="eastAsia"/>
                <w:lang w:val="en-US" w:eastAsia="zh-CN"/>
              </w:rPr>
              <w:t>项目位于花垣县工业产业开发区内，园区内已铺设有污水管网，项目产生的废水预处理后进园区污水处理厂进行处理，花垣县产业开发区污水处理厂由花垣博世科环境治理有限公司建设和运营，位于花垣县黑岩塘，总设计规模为处理废水2万t/d，近期处理废水1万t/d，采用“水解酸化+A/O+二沉池+机械絮-纤维滤布滤池+紫外消毒”的工艺，受纳水体为花垣河。花垣县产业开发区污水处理厂目前已完成建设，已于2023年1月开始调试运行，本项目所在区域已修建污水管网，项目废水可排入该污水处理厂。；出水达到《城市污水处理厂污染物排放标准》（GB18918-2002）一级标准的A标准后排入花垣河。本项目排放进入污水处理厂的废水主要为生活废水，水质较为简单，生化性较好，污水处理厂的工艺完全能够处理生活污水的水质。本项目废水排水量为43.79t/d（13191m</w:t>
            </w:r>
            <w:r>
              <w:rPr>
                <w:rFonts w:hint="eastAsia"/>
                <w:vertAlign w:val="superscript"/>
                <w:lang w:val="en-US" w:eastAsia="zh-CN"/>
              </w:rPr>
              <w:t>3</w:t>
            </w:r>
            <w:r>
              <w:rPr>
                <w:rFonts w:hint="eastAsia"/>
                <w:lang w:val="en-US" w:eastAsia="zh-CN"/>
              </w:rPr>
              <w:t>/a），占花垣工业集中区污水处理厂日处理量的比例极小，完全可接纳本项目运营所产生生活废水。</w:t>
            </w:r>
          </w:p>
          <w:p>
            <w:pPr>
              <w:pStyle w:val="19"/>
              <w:bidi w:val="0"/>
              <w:rPr>
                <w:rFonts w:hint="eastAsia"/>
                <w:lang w:val="en-US" w:eastAsia="zh-CN"/>
              </w:rPr>
            </w:pPr>
            <w:r>
              <w:rPr>
                <w:rFonts w:hint="eastAsia"/>
                <w:lang w:val="en-US" w:eastAsia="zh-CN"/>
              </w:rPr>
              <w:t>排污口设置于污水处理厂北侧约100m的花垣河南岸上，地理坐标为东经109°26′17.46″，北纬28°35′47.75″，受纳水体为花垣河。花垣产业开发区污水处理厂处理设计出水浓度为《城镇污水处理厂污染物排放标准》（GB18918-2002）中表1一级A标准。</w:t>
            </w:r>
          </w:p>
          <w:p>
            <w:pPr>
              <w:pStyle w:val="19"/>
              <w:bidi w:val="0"/>
              <w:rPr>
                <w:rFonts w:hint="eastAsia"/>
                <w:lang w:val="en-US" w:eastAsia="zh-CN"/>
              </w:rPr>
            </w:pPr>
            <w:r>
              <w:rPr>
                <w:rFonts w:hint="eastAsia"/>
                <w:lang w:val="en-US" w:eastAsia="zh-CN"/>
              </w:rPr>
              <w:t>综上所述，项目废水采取相应措施后，对外环境影响较小。</w:t>
            </w:r>
          </w:p>
          <w:p>
            <w:pPr>
              <w:pStyle w:val="4"/>
              <w:bidi w:val="0"/>
              <w:rPr>
                <w:rFonts w:hint="default"/>
                <w:lang w:val="en-US" w:eastAsia="zh-CN"/>
              </w:rPr>
            </w:pPr>
            <w:bookmarkStart w:id="57" w:name="_Toc19856"/>
            <w:bookmarkStart w:id="58" w:name="_Toc2215"/>
            <w:r>
              <w:rPr>
                <w:rFonts w:hint="eastAsia"/>
                <w:lang w:val="en-US" w:eastAsia="zh-CN"/>
              </w:rPr>
              <w:t>2、大气环境影响分析</w:t>
            </w:r>
            <w:bookmarkEnd w:id="57"/>
            <w:bookmarkEnd w:id="58"/>
          </w:p>
          <w:p>
            <w:pPr>
              <w:pStyle w:val="19"/>
              <w:bidi w:val="0"/>
              <w:rPr>
                <w:rFonts w:hint="default"/>
                <w:lang w:val="en-US" w:eastAsia="zh-CN"/>
              </w:rPr>
            </w:pPr>
            <w:r>
              <w:rPr>
                <w:rFonts w:hint="eastAsia"/>
                <w:lang w:val="en-US" w:eastAsia="zh-CN"/>
              </w:rPr>
              <w:t>（1）废气源强分析</w:t>
            </w:r>
          </w:p>
          <w:p>
            <w:pPr>
              <w:pStyle w:val="19"/>
              <w:bidi w:val="0"/>
              <w:rPr>
                <w:rFonts w:hint="default"/>
                <w:lang w:val="en-US" w:eastAsia="zh-CN"/>
              </w:rPr>
            </w:pPr>
            <w:r>
              <w:rPr>
                <w:rFonts w:hint="eastAsia"/>
                <w:lang w:val="en-US" w:eastAsia="zh-CN"/>
              </w:rPr>
              <w:t>1.无组织排放废气</w:t>
            </w:r>
          </w:p>
          <w:p>
            <w:pPr>
              <w:pStyle w:val="19"/>
              <w:bidi w:val="0"/>
              <w:rPr>
                <w:rFonts w:hint="default" w:ascii="Times New Roman" w:hAnsi="Times New Roman" w:cs="Times New Roman"/>
                <w:color w:val="000000" w:themeColor="text1"/>
                <w:kern w:val="0"/>
                <w:sz w:val="24"/>
                <w:szCs w:val="20"/>
                <w:lang w:val="en-US" w:eastAsia="zh-CN"/>
                <w14:textFill>
                  <w14:solidFill>
                    <w14:schemeClr w14:val="tx1"/>
                  </w14:solidFill>
                </w14:textFill>
              </w:rPr>
            </w:pPr>
            <w:r>
              <w:rPr>
                <w:rFonts w:hint="eastAsia"/>
                <w:lang w:val="en-US" w:eastAsia="zh-CN"/>
              </w:rPr>
              <w:t>根据建设单位资料，锰渣含水率较高</w:t>
            </w:r>
            <w:r>
              <w:rPr>
                <w:rFonts w:ascii="Times New Roman" w:hAnsi="Times New Roman" w:cs="Times New Roman"/>
                <w:color w:val="000000" w:themeColor="text1"/>
                <w:kern w:val="0"/>
                <w:sz w:val="24"/>
                <w:szCs w:val="20"/>
                <w14:textFill>
                  <w14:solidFill>
                    <w14:schemeClr w14:val="tx1"/>
                  </w14:solidFill>
                </w14:textFill>
              </w:rPr>
              <w:t>达到22-25%</w:t>
            </w:r>
            <w:r>
              <w:rPr>
                <w:rFonts w:hint="eastAsia" w:ascii="Times New Roman" w:hAnsi="Times New Roman" w:cs="Times New Roman"/>
                <w:color w:val="000000" w:themeColor="text1"/>
                <w:kern w:val="0"/>
                <w:sz w:val="24"/>
                <w:szCs w:val="20"/>
                <w:lang w:eastAsia="zh-CN"/>
                <w14:textFill>
                  <w14:solidFill>
                    <w14:schemeClr w14:val="tx1"/>
                  </w14:solidFill>
                </w14:textFill>
              </w:rPr>
              <w:t>，</w:t>
            </w:r>
            <w:r>
              <w:rPr>
                <w:rFonts w:hint="eastAsia" w:ascii="Times New Roman" w:hAnsi="Times New Roman" w:cs="Times New Roman"/>
                <w:color w:val="000000" w:themeColor="text1"/>
                <w:kern w:val="0"/>
                <w:sz w:val="24"/>
                <w:szCs w:val="20"/>
                <w:lang w:val="en-US" w:eastAsia="zh-CN"/>
                <w14:textFill>
                  <w14:solidFill>
                    <w14:schemeClr w14:val="tx1"/>
                  </w14:solidFill>
                </w14:textFill>
              </w:rPr>
              <w:t>并且原料运距只有1km，物料转运方便，不易起尘</w:t>
            </w:r>
            <w:r>
              <w:rPr>
                <w:rFonts w:hint="eastAsia" w:cs="Times New Roman"/>
                <w:color w:val="000000" w:themeColor="text1"/>
                <w:kern w:val="0"/>
                <w:sz w:val="24"/>
                <w:szCs w:val="20"/>
                <w:lang w:val="en-US" w:eastAsia="zh-CN"/>
                <w14:textFill>
                  <w14:solidFill>
                    <w14:schemeClr w14:val="tx1"/>
                  </w14:solidFill>
                </w14:textFill>
              </w:rPr>
              <w:t>，且物料接近中性，不会有硫酸雾的产生</w:t>
            </w:r>
            <w:r>
              <w:rPr>
                <w:rFonts w:hint="eastAsia" w:ascii="Times New Roman" w:hAnsi="Times New Roman" w:cs="Times New Roman"/>
                <w:color w:val="000000" w:themeColor="text1"/>
                <w:kern w:val="0"/>
                <w:sz w:val="24"/>
                <w:szCs w:val="20"/>
                <w:lang w:val="en-US" w:eastAsia="zh-CN"/>
                <w14:textFill>
                  <w14:solidFill>
                    <w14:schemeClr w14:val="tx1"/>
                  </w14:solidFill>
                </w14:textFill>
              </w:rPr>
              <w:t>。无组织排放废气来自于送料过程以及堆存过程中释放</w:t>
            </w:r>
            <w:r>
              <w:rPr>
                <w:rFonts w:hint="eastAsia" w:cs="Times New Roman"/>
                <w:color w:val="000000" w:themeColor="text1"/>
                <w:kern w:val="0"/>
                <w:sz w:val="24"/>
                <w:szCs w:val="20"/>
                <w:lang w:val="en-US" w:eastAsia="zh-CN"/>
                <w14:textFill>
                  <w14:solidFill>
                    <w14:schemeClr w14:val="tx1"/>
                  </w14:solidFill>
                </w14:textFill>
              </w:rPr>
              <w:t>的</w:t>
            </w:r>
            <w:r>
              <w:rPr>
                <w:rFonts w:hint="eastAsia" w:ascii="Times New Roman" w:hAnsi="Times New Roman" w:cs="Times New Roman"/>
                <w:color w:val="000000" w:themeColor="text1"/>
                <w:kern w:val="0"/>
                <w:sz w:val="24"/>
                <w:szCs w:val="20"/>
                <w:lang w:val="en-US" w:eastAsia="zh-CN"/>
                <w14:textFill>
                  <w14:solidFill>
                    <w14:schemeClr w14:val="tx1"/>
                  </w14:solidFill>
                </w14:textFill>
              </w:rPr>
              <w:t>氨气。</w:t>
            </w:r>
          </w:p>
          <w:p>
            <w:pPr>
              <w:pStyle w:val="19"/>
              <w:bidi w:val="0"/>
              <w:rPr>
                <w:rFonts w:hint="eastAsia" w:cs="Times New Roman"/>
                <w:color w:val="000000" w:themeColor="text1"/>
                <w:kern w:val="0"/>
                <w:sz w:val="24"/>
                <w:szCs w:val="20"/>
                <w:lang w:val="en-US" w:eastAsia="zh-CN"/>
                <w14:textFill>
                  <w14:solidFill>
                    <w14:schemeClr w14:val="tx1"/>
                  </w14:solidFill>
                </w14:textFill>
              </w:rPr>
            </w:pPr>
            <w:r>
              <w:rPr>
                <w:rFonts w:hint="eastAsia" w:cs="Times New Roman"/>
                <w:color w:val="000000" w:themeColor="text1"/>
                <w:kern w:val="0"/>
                <w:sz w:val="24"/>
                <w:szCs w:val="20"/>
                <w:lang w:val="en-US" w:eastAsia="zh-CN"/>
                <w14:textFill>
                  <w14:solidFill>
                    <w14:schemeClr w14:val="tx1"/>
                  </w14:solidFill>
                </w14:textFill>
              </w:rPr>
              <w:t>项目年处理30万吨的锰渣，但仓库只堆存约1万吨的锰渣，根据检测报告其中含氨率约为1%，锰电解渣为酸浸渣偏酸性，难以挥发出氨气，按照挥发率为1%计算，每年释放的无组织排放氨气为1t/a，释放速率为0.11kg/h，氨气主要释放在运输途中及仓库内，仓库做好通风措施，对周边大气环境影响较小。</w:t>
            </w:r>
          </w:p>
          <w:p>
            <w:pPr>
              <w:pStyle w:val="19"/>
              <w:bidi w:val="0"/>
              <w:rPr>
                <w:rFonts w:hint="default" w:cs="Times New Roman"/>
                <w:color w:val="000000" w:themeColor="text1"/>
                <w:kern w:val="0"/>
                <w:sz w:val="24"/>
                <w:szCs w:val="20"/>
                <w:lang w:val="en-US" w:eastAsia="zh-CN"/>
                <w14:textFill>
                  <w14:solidFill>
                    <w14:schemeClr w14:val="tx1"/>
                  </w14:solidFill>
                </w14:textFill>
              </w:rPr>
            </w:pPr>
            <w:r>
              <w:rPr>
                <w:rFonts w:hint="eastAsia" w:cs="Times New Roman"/>
                <w:color w:val="000000" w:themeColor="text1"/>
                <w:kern w:val="0"/>
                <w:sz w:val="24"/>
                <w:szCs w:val="20"/>
                <w:lang w:val="en-US" w:eastAsia="zh-CN"/>
                <w14:textFill>
                  <w14:solidFill>
                    <w14:schemeClr w14:val="tx1"/>
                  </w14:solidFill>
                </w14:textFill>
              </w:rPr>
              <w:t>检测中心检测时将会产生少量的酸雾，产生的时间短且频率不固定，大约为0.01t/a。检测室将安装通风橱，产生酸雾的操作将在通风橱内进行，酸雾经通风橱排放到外界空气中，对周边大气环境影响较小。</w:t>
            </w:r>
          </w:p>
          <w:p>
            <w:pPr>
              <w:pStyle w:val="19"/>
              <w:bidi w:val="0"/>
              <w:rPr>
                <w:rFonts w:hint="default" w:cs="Times New Roman"/>
                <w:color w:val="000000" w:themeColor="text1"/>
                <w:kern w:val="0"/>
                <w:sz w:val="24"/>
                <w:szCs w:val="20"/>
                <w:lang w:val="en-US" w:eastAsia="zh-CN"/>
                <w14:textFill>
                  <w14:solidFill>
                    <w14:schemeClr w14:val="tx1"/>
                  </w14:solidFill>
                </w14:textFill>
              </w:rPr>
            </w:pPr>
            <w:r>
              <w:rPr>
                <w:rFonts w:hint="eastAsia" w:cs="Times New Roman"/>
                <w:color w:val="000000" w:themeColor="text1"/>
                <w:kern w:val="0"/>
                <w:sz w:val="24"/>
                <w:szCs w:val="20"/>
                <w:lang w:val="en-US" w:eastAsia="zh-CN"/>
                <w14:textFill>
                  <w14:solidFill>
                    <w14:schemeClr w14:val="tx1"/>
                  </w14:solidFill>
                </w14:textFill>
              </w:rPr>
              <w:t>2、有组织排放废气</w:t>
            </w:r>
          </w:p>
          <w:p>
            <w:pPr>
              <w:pStyle w:val="19"/>
              <w:bidi w:val="0"/>
              <w:rPr>
                <w:rFonts w:hint="default"/>
                <w:lang w:val="en-US" w:eastAsia="zh-CN"/>
              </w:rPr>
            </w:pPr>
            <w:r>
              <w:rPr>
                <w:rFonts w:hint="eastAsia"/>
                <w:lang w:val="en-US" w:eastAsia="zh-CN"/>
              </w:rPr>
              <w:t>项目两台1t的生物质锅炉（用一备一），生物质锅炉消耗生物质为160kg/h，1152t/a。采用布袋除尘+15m烟囱的处理措施。本项目使用的生物质中硫含量约为0.1%。</w:t>
            </w:r>
          </w:p>
          <w:p>
            <w:pPr>
              <w:pStyle w:val="19"/>
              <w:bidi w:val="0"/>
              <w:rPr>
                <w:rFonts w:hint="eastAsia"/>
                <w:lang w:val="en-US" w:eastAsia="zh-CN"/>
              </w:rPr>
            </w:pPr>
            <w:r>
              <w:rPr>
                <w:rFonts w:hint="eastAsia"/>
                <w:lang w:val="en-US" w:eastAsia="zh-CN"/>
              </w:rPr>
              <w:t>本项目生物质燃料废气参照《排污许可证申请与核发技术规范 锅炉》（HJ953-2018），具体产排污系数见下表4-2。</w:t>
            </w:r>
          </w:p>
          <w:p>
            <w:pPr>
              <w:pStyle w:val="19"/>
              <w:bidi w:val="0"/>
              <w:ind w:left="0" w:leftChars="0" w:firstLine="0" w:firstLineChars="0"/>
              <w:jc w:val="center"/>
              <w:rPr>
                <w:rFonts w:hint="default"/>
                <w:b/>
                <w:bCs/>
                <w:lang w:val="en-US" w:eastAsia="zh-CN"/>
              </w:rPr>
            </w:pPr>
            <w:r>
              <w:rPr>
                <w:rFonts w:hint="eastAsia"/>
                <w:b/>
                <w:bCs/>
                <w:lang w:val="en-US" w:eastAsia="zh-CN"/>
              </w:rPr>
              <w:t>表4-2  锅炉污染物产生及排放源强</w:t>
            </w:r>
          </w:p>
          <w:tbl>
            <w:tblPr>
              <w:tblStyle w:val="15"/>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4"/>
              <w:gridCol w:w="1246"/>
              <w:gridCol w:w="1261"/>
              <w:gridCol w:w="1206"/>
              <w:gridCol w:w="1474"/>
              <w:gridCol w:w="1291"/>
              <w:gridCol w:w="148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368" w:type="pct"/>
                  <w:noWrap w:val="0"/>
                  <w:vAlign w:val="center"/>
                </w:tcPr>
                <w:p>
                  <w:pPr>
                    <w:pStyle w:val="18"/>
                    <w:bidi w:val="0"/>
                    <w:jc w:val="center"/>
                  </w:pPr>
                  <w:r>
                    <w:t>项目</w:t>
                  </w:r>
                </w:p>
              </w:tc>
              <w:tc>
                <w:tcPr>
                  <w:tcW w:w="724" w:type="pct"/>
                  <w:noWrap w:val="0"/>
                  <w:vAlign w:val="center"/>
                </w:tcPr>
                <w:p>
                  <w:pPr>
                    <w:pStyle w:val="18"/>
                    <w:bidi w:val="0"/>
                    <w:jc w:val="center"/>
                  </w:pPr>
                  <w:r>
                    <w:t>污染物</w:t>
                  </w:r>
                </w:p>
                <w:p>
                  <w:pPr>
                    <w:pStyle w:val="18"/>
                    <w:bidi w:val="0"/>
                    <w:jc w:val="center"/>
                  </w:pPr>
                  <w:r>
                    <w:t>指标</w:t>
                  </w:r>
                </w:p>
              </w:tc>
              <w:tc>
                <w:tcPr>
                  <w:tcW w:w="733" w:type="pct"/>
                  <w:noWrap w:val="0"/>
                  <w:vAlign w:val="center"/>
                </w:tcPr>
                <w:p>
                  <w:pPr>
                    <w:pStyle w:val="18"/>
                    <w:bidi w:val="0"/>
                    <w:jc w:val="center"/>
                  </w:pPr>
                  <w:r>
                    <w:t>单位</w:t>
                  </w:r>
                </w:p>
              </w:tc>
              <w:tc>
                <w:tcPr>
                  <w:tcW w:w="701" w:type="pct"/>
                  <w:noWrap w:val="0"/>
                  <w:vAlign w:val="center"/>
                </w:tcPr>
                <w:p>
                  <w:pPr>
                    <w:pStyle w:val="18"/>
                    <w:bidi w:val="0"/>
                    <w:jc w:val="center"/>
                  </w:pPr>
                  <w:r>
                    <w:t>产污系数</w:t>
                  </w:r>
                </w:p>
              </w:tc>
              <w:tc>
                <w:tcPr>
                  <w:tcW w:w="857" w:type="pct"/>
                  <w:noWrap w:val="0"/>
                  <w:vAlign w:val="center"/>
                </w:tcPr>
                <w:p>
                  <w:pPr>
                    <w:pStyle w:val="18"/>
                    <w:bidi w:val="0"/>
                    <w:jc w:val="center"/>
                    <w:rPr>
                      <w:rFonts w:hint="default" w:eastAsia="宋体"/>
                      <w:lang w:val="en-US" w:eastAsia="zh-CN"/>
                    </w:rPr>
                  </w:pPr>
                  <w:r>
                    <w:rPr>
                      <w:rFonts w:hint="eastAsia"/>
                      <w:lang w:val="en-US" w:eastAsia="zh-CN"/>
                    </w:rPr>
                    <w:t>排污系数</w:t>
                  </w:r>
                </w:p>
              </w:tc>
              <w:tc>
                <w:tcPr>
                  <w:tcW w:w="750" w:type="pct"/>
                  <w:noWrap w:val="0"/>
                  <w:vAlign w:val="center"/>
                </w:tcPr>
                <w:p>
                  <w:pPr>
                    <w:pStyle w:val="18"/>
                    <w:bidi w:val="0"/>
                    <w:jc w:val="center"/>
                  </w:pPr>
                  <w:r>
                    <w:t>污染物排放量</w:t>
                  </w:r>
                </w:p>
              </w:tc>
              <w:tc>
                <w:tcPr>
                  <w:tcW w:w="864" w:type="pct"/>
                  <w:noWrap w:val="0"/>
                  <w:vAlign w:val="center"/>
                </w:tcPr>
                <w:p>
                  <w:pPr>
                    <w:pStyle w:val="18"/>
                    <w:bidi w:val="0"/>
                    <w:jc w:val="center"/>
                    <w:rPr>
                      <w:rFonts w:hint="default"/>
                      <w:lang w:val="en-US" w:eastAsia="zh-CN"/>
                    </w:rPr>
                  </w:pPr>
                  <w:r>
                    <w:rPr>
                      <w:rFonts w:hint="eastAsia"/>
                      <w:lang w:val="en-US" w:eastAsia="zh-CN"/>
                    </w:rPr>
                    <w:t>排放浓度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368" w:type="pct"/>
                  <w:vMerge w:val="restart"/>
                  <w:noWrap w:val="0"/>
                  <w:vAlign w:val="center"/>
                </w:tcPr>
                <w:p>
                  <w:pPr>
                    <w:pStyle w:val="18"/>
                    <w:bidi w:val="0"/>
                    <w:jc w:val="center"/>
                    <w:rPr>
                      <w:rFonts w:hint="eastAsia"/>
                      <w:lang w:val="en-US" w:eastAsia="zh-CN"/>
                    </w:rPr>
                  </w:pPr>
                  <w:r>
                    <w:rPr>
                      <w:rFonts w:hint="eastAsia"/>
                      <w:lang w:val="en-US" w:eastAsia="zh-CN"/>
                    </w:rPr>
                    <w:t>室燃炉废气</w:t>
                  </w:r>
                </w:p>
              </w:tc>
              <w:tc>
                <w:tcPr>
                  <w:tcW w:w="724" w:type="pct"/>
                  <w:noWrap w:val="0"/>
                  <w:vAlign w:val="center"/>
                </w:tcPr>
                <w:p>
                  <w:pPr>
                    <w:pStyle w:val="18"/>
                    <w:bidi w:val="0"/>
                    <w:jc w:val="center"/>
                    <w:rPr>
                      <w:rFonts w:hint="eastAsia"/>
                      <w:lang w:val="en-US" w:eastAsia="zh-CN"/>
                    </w:rPr>
                  </w:pPr>
                  <w:r>
                    <w:rPr>
                      <w:rFonts w:hint="eastAsia"/>
                      <w:lang w:val="en-US" w:eastAsia="zh-CN"/>
                    </w:rPr>
                    <w:t>颗粒物</w:t>
                  </w:r>
                </w:p>
              </w:tc>
              <w:tc>
                <w:tcPr>
                  <w:tcW w:w="733" w:type="pct"/>
                  <w:noWrap w:val="0"/>
                  <w:vAlign w:val="center"/>
                </w:tcPr>
                <w:p>
                  <w:pPr>
                    <w:pStyle w:val="18"/>
                    <w:bidi w:val="0"/>
                    <w:jc w:val="center"/>
                    <w:rPr>
                      <w:rFonts w:hint="eastAsia"/>
                      <w:lang w:val="en-US" w:eastAsia="zh-CN"/>
                    </w:rPr>
                  </w:pPr>
                  <w:r>
                    <w:rPr>
                      <w:rFonts w:hint="eastAsia"/>
                      <w:lang w:val="en-US" w:eastAsia="zh-CN"/>
                    </w:rPr>
                    <w:t>千克/吨-燃料</w:t>
                  </w:r>
                </w:p>
              </w:tc>
              <w:tc>
                <w:tcPr>
                  <w:tcW w:w="701" w:type="pct"/>
                  <w:noWrap w:val="0"/>
                  <w:vAlign w:val="center"/>
                </w:tcPr>
                <w:p>
                  <w:pPr>
                    <w:pStyle w:val="18"/>
                    <w:bidi w:val="0"/>
                    <w:jc w:val="center"/>
                    <w:rPr>
                      <w:rFonts w:hint="default"/>
                      <w:lang w:val="en-US" w:eastAsia="zh-CN"/>
                    </w:rPr>
                  </w:pPr>
                  <w:r>
                    <w:rPr>
                      <w:rFonts w:hint="eastAsia"/>
                      <w:lang w:val="en-US" w:eastAsia="zh-CN"/>
                    </w:rPr>
                    <w:t>0.5</w:t>
                  </w:r>
                </w:p>
              </w:tc>
              <w:tc>
                <w:tcPr>
                  <w:tcW w:w="857" w:type="pct"/>
                  <w:noWrap w:val="0"/>
                  <w:vAlign w:val="center"/>
                </w:tcPr>
                <w:p>
                  <w:pPr>
                    <w:pStyle w:val="18"/>
                    <w:bidi w:val="0"/>
                    <w:jc w:val="center"/>
                    <w:rPr>
                      <w:rFonts w:hint="default"/>
                      <w:lang w:val="en-US" w:eastAsia="zh-CN"/>
                    </w:rPr>
                  </w:pPr>
                  <w:r>
                    <w:rPr>
                      <w:rFonts w:hint="eastAsia"/>
                      <w:lang w:val="en-US" w:eastAsia="zh-CN"/>
                    </w:rPr>
                    <w:t>0.005（布袋除尘）</w:t>
                  </w:r>
                </w:p>
              </w:tc>
              <w:tc>
                <w:tcPr>
                  <w:tcW w:w="750" w:type="pct"/>
                  <w:noWrap w:val="0"/>
                  <w:vAlign w:val="center"/>
                </w:tcPr>
                <w:p>
                  <w:pPr>
                    <w:pStyle w:val="18"/>
                    <w:bidi w:val="0"/>
                    <w:jc w:val="center"/>
                    <w:rPr>
                      <w:rFonts w:hint="default"/>
                      <w:lang w:val="en-US" w:eastAsia="zh-CN"/>
                    </w:rPr>
                  </w:pPr>
                  <w:r>
                    <w:rPr>
                      <w:rFonts w:hint="eastAsia"/>
                      <w:lang w:val="en-US" w:eastAsia="zh-CN"/>
                    </w:rPr>
                    <w:t>0.00576t/a</w:t>
                  </w:r>
                </w:p>
              </w:tc>
              <w:tc>
                <w:tcPr>
                  <w:tcW w:w="864" w:type="pct"/>
                  <w:noWrap w:val="0"/>
                  <w:vAlign w:val="center"/>
                </w:tcPr>
                <w:p>
                  <w:pPr>
                    <w:pStyle w:val="18"/>
                    <w:bidi w:val="0"/>
                    <w:jc w:val="center"/>
                    <w:rPr>
                      <w:rFonts w:hint="default"/>
                      <w:lang w:val="en-US" w:eastAsia="zh-CN"/>
                    </w:rPr>
                  </w:pPr>
                  <w:r>
                    <w:rPr>
                      <w:rFonts w:hint="eastAsia"/>
                      <w:lang w:val="en-US" w:eastAsia="zh-CN"/>
                    </w:rPr>
                    <w:t>0.80mg/m</w:t>
                  </w:r>
                  <w:r>
                    <w:rPr>
                      <w:rFonts w:hint="eastAsia"/>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368" w:type="pct"/>
                  <w:vMerge w:val="continue"/>
                  <w:noWrap w:val="0"/>
                  <w:vAlign w:val="center"/>
                </w:tcPr>
                <w:p>
                  <w:pPr>
                    <w:pStyle w:val="18"/>
                    <w:bidi w:val="0"/>
                    <w:jc w:val="center"/>
                    <w:rPr>
                      <w:rFonts w:hint="eastAsia"/>
                      <w:lang w:val="en-US" w:eastAsia="zh-CN"/>
                    </w:rPr>
                  </w:pPr>
                </w:p>
              </w:tc>
              <w:tc>
                <w:tcPr>
                  <w:tcW w:w="724" w:type="pct"/>
                  <w:noWrap w:val="0"/>
                  <w:vAlign w:val="center"/>
                </w:tcPr>
                <w:p>
                  <w:pPr>
                    <w:pStyle w:val="18"/>
                    <w:bidi w:val="0"/>
                    <w:jc w:val="center"/>
                    <w:rPr>
                      <w:rFonts w:hint="eastAsia"/>
                      <w:lang w:val="en-US" w:eastAsia="zh-CN"/>
                    </w:rPr>
                  </w:pPr>
                  <w:r>
                    <w:rPr>
                      <w:rFonts w:hint="eastAsia"/>
                      <w:lang w:val="en-US" w:eastAsia="zh-CN"/>
                    </w:rPr>
                    <w:t>二氧化硫</w:t>
                  </w:r>
                </w:p>
              </w:tc>
              <w:tc>
                <w:tcPr>
                  <w:tcW w:w="733" w:type="pct"/>
                  <w:noWrap w:val="0"/>
                  <w:vAlign w:val="center"/>
                </w:tcPr>
                <w:p>
                  <w:pPr>
                    <w:pStyle w:val="18"/>
                    <w:bidi w:val="0"/>
                    <w:jc w:val="center"/>
                    <w:rPr>
                      <w:rFonts w:hint="eastAsia"/>
                      <w:lang w:val="en-US" w:eastAsia="zh-CN"/>
                    </w:rPr>
                  </w:pPr>
                  <w:r>
                    <w:rPr>
                      <w:rFonts w:hint="eastAsia"/>
                      <w:lang w:val="en-US" w:eastAsia="zh-CN"/>
                    </w:rPr>
                    <w:t>千克/吨-燃料</w:t>
                  </w:r>
                </w:p>
              </w:tc>
              <w:tc>
                <w:tcPr>
                  <w:tcW w:w="701" w:type="pct"/>
                  <w:noWrap w:val="0"/>
                  <w:vAlign w:val="center"/>
                </w:tcPr>
                <w:p>
                  <w:pPr>
                    <w:pStyle w:val="18"/>
                    <w:bidi w:val="0"/>
                    <w:jc w:val="center"/>
                    <w:rPr>
                      <w:rFonts w:hint="default"/>
                      <w:lang w:val="en-US" w:eastAsia="zh-CN"/>
                    </w:rPr>
                  </w:pPr>
                  <w:r>
                    <w:rPr>
                      <w:rFonts w:hint="eastAsia"/>
                      <w:lang w:val="en-US" w:eastAsia="zh-CN"/>
                    </w:rPr>
                    <w:t>17S</w:t>
                  </w:r>
                </w:p>
              </w:tc>
              <w:tc>
                <w:tcPr>
                  <w:tcW w:w="857" w:type="pct"/>
                  <w:noWrap w:val="0"/>
                  <w:vAlign w:val="center"/>
                </w:tcPr>
                <w:p>
                  <w:pPr>
                    <w:pStyle w:val="18"/>
                    <w:bidi w:val="0"/>
                    <w:jc w:val="center"/>
                    <w:rPr>
                      <w:rFonts w:hint="default"/>
                      <w:lang w:val="en-US" w:eastAsia="zh-CN"/>
                    </w:rPr>
                  </w:pPr>
                  <w:r>
                    <w:rPr>
                      <w:rFonts w:hint="eastAsia"/>
                      <w:lang w:val="en-US" w:eastAsia="zh-CN"/>
                    </w:rPr>
                    <w:t>17S</w:t>
                  </w:r>
                </w:p>
              </w:tc>
              <w:tc>
                <w:tcPr>
                  <w:tcW w:w="750" w:type="pct"/>
                  <w:noWrap w:val="0"/>
                  <w:vAlign w:val="center"/>
                </w:tcPr>
                <w:p>
                  <w:pPr>
                    <w:pStyle w:val="18"/>
                    <w:bidi w:val="0"/>
                    <w:jc w:val="center"/>
                    <w:rPr>
                      <w:rFonts w:hint="default"/>
                      <w:lang w:val="en-US" w:eastAsia="zh-CN"/>
                    </w:rPr>
                  </w:pPr>
                  <w:r>
                    <w:rPr>
                      <w:rFonts w:hint="eastAsia"/>
                      <w:lang w:val="en-US" w:eastAsia="zh-CN"/>
                    </w:rPr>
                    <w:t>1.958t/a</w:t>
                  </w:r>
                </w:p>
              </w:tc>
              <w:tc>
                <w:tcPr>
                  <w:tcW w:w="864" w:type="pct"/>
                  <w:noWrap w:val="0"/>
                  <w:vAlign w:val="center"/>
                </w:tcPr>
                <w:p>
                  <w:pPr>
                    <w:pStyle w:val="18"/>
                    <w:bidi w:val="0"/>
                    <w:jc w:val="center"/>
                    <w:rPr>
                      <w:rFonts w:hint="default"/>
                      <w:lang w:val="en-US" w:eastAsia="zh-CN"/>
                    </w:rPr>
                  </w:pPr>
                  <w:r>
                    <w:rPr>
                      <w:rFonts w:hint="eastAsia"/>
                      <w:lang w:val="en-US" w:eastAsia="zh-CN"/>
                    </w:rPr>
                    <w:t>272.43mg/m</w:t>
                  </w:r>
                  <w:r>
                    <w:rPr>
                      <w:rFonts w:hint="eastAsia"/>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368" w:type="pct"/>
                  <w:vMerge w:val="continue"/>
                  <w:noWrap w:val="0"/>
                  <w:vAlign w:val="center"/>
                </w:tcPr>
                <w:p>
                  <w:pPr>
                    <w:pStyle w:val="18"/>
                    <w:bidi w:val="0"/>
                    <w:jc w:val="center"/>
                    <w:rPr>
                      <w:rFonts w:hint="eastAsia"/>
                      <w:lang w:val="en-US" w:eastAsia="zh-CN"/>
                    </w:rPr>
                  </w:pPr>
                </w:p>
              </w:tc>
              <w:tc>
                <w:tcPr>
                  <w:tcW w:w="724" w:type="pct"/>
                  <w:noWrap w:val="0"/>
                  <w:vAlign w:val="center"/>
                </w:tcPr>
                <w:p>
                  <w:pPr>
                    <w:pStyle w:val="18"/>
                    <w:bidi w:val="0"/>
                    <w:jc w:val="center"/>
                    <w:rPr>
                      <w:rFonts w:hint="eastAsia"/>
                      <w:lang w:val="en-US" w:eastAsia="zh-CN"/>
                    </w:rPr>
                  </w:pPr>
                  <w:r>
                    <w:rPr>
                      <w:rFonts w:hint="eastAsia"/>
                      <w:lang w:val="en-US" w:eastAsia="zh-CN"/>
                    </w:rPr>
                    <w:t>氮氧化物</w:t>
                  </w:r>
                </w:p>
              </w:tc>
              <w:tc>
                <w:tcPr>
                  <w:tcW w:w="733" w:type="pct"/>
                  <w:noWrap w:val="0"/>
                  <w:vAlign w:val="center"/>
                </w:tcPr>
                <w:p>
                  <w:pPr>
                    <w:pStyle w:val="18"/>
                    <w:bidi w:val="0"/>
                    <w:jc w:val="center"/>
                    <w:rPr>
                      <w:rFonts w:hint="eastAsia"/>
                      <w:lang w:val="en-US" w:eastAsia="zh-CN"/>
                    </w:rPr>
                  </w:pPr>
                  <w:r>
                    <w:rPr>
                      <w:rFonts w:hint="eastAsia"/>
                      <w:lang w:val="en-US" w:eastAsia="zh-CN"/>
                    </w:rPr>
                    <w:t>千克/吨-燃料</w:t>
                  </w:r>
                </w:p>
              </w:tc>
              <w:tc>
                <w:tcPr>
                  <w:tcW w:w="701" w:type="pct"/>
                  <w:noWrap w:val="0"/>
                  <w:vAlign w:val="center"/>
                </w:tcPr>
                <w:p>
                  <w:pPr>
                    <w:pStyle w:val="18"/>
                    <w:bidi w:val="0"/>
                    <w:jc w:val="center"/>
                    <w:rPr>
                      <w:rFonts w:hint="default"/>
                      <w:lang w:val="en-US" w:eastAsia="zh-CN"/>
                    </w:rPr>
                  </w:pPr>
                  <w:r>
                    <w:rPr>
                      <w:rFonts w:hint="eastAsia"/>
                      <w:lang w:val="en-US" w:eastAsia="zh-CN"/>
                    </w:rPr>
                    <w:t>1.02</w:t>
                  </w:r>
                </w:p>
              </w:tc>
              <w:tc>
                <w:tcPr>
                  <w:tcW w:w="857" w:type="pct"/>
                  <w:noWrap w:val="0"/>
                  <w:vAlign w:val="center"/>
                </w:tcPr>
                <w:p>
                  <w:pPr>
                    <w:pStyle w:val="18"/>
                    <w:bidi w:val="0"/>
                    <w:jc w:val="center"/>
                    <w:rPr>
                      <w:rFonts w:hint="default"/>
                      <w:lang w:val="en-US" w:eastAsia="zh-CN"/>
                    </w:rPr>
                  </w:pPr>
                  <w:r>
                    <w:rPr>
                      <w:rFonts w:hint="eastAsia"/>
                      <w:lang w:val="en-US" w:eastAsia="zh-CN"/>
                    </w:rPr>
                    <w:t>1.02</w:t>
                  </w:r>
                </w:p>
              </w:tc>
              <w:tc>
                <w:tcPr>
                  <w:tcW w:w="750" w:type="pct"/>
                  <w:noWrap w:val="0"/>
                  <w:vAlign w:val="center"/>
                </w:tcPr>
                <w:p>
                  <w:pPr>
                    <w:pStyle w:val="18"/>
                    <w:bidi w:val="0"/>
                    <w:jc w:val="center"/>
                    <w:rPr>
                      <w:rFonts w:hint="default"/>
                      <w:lang w:val="en-US" w:eastAsia="zh-CN"/>
                    </w:rPr>
                  </w:pPr>
                  <w:r>
                    <w:rPr>
                      <w:rFonts w:hint="eastAsia"/>
                      <w:lang w:val="en-US" w:eastAsia="zh-CN"/>
                    </w:rPr>
                    <w:t>1.175t/a</w:t>
                  </w:r>
                </w:p>
              </w:tc>
              <w:tc>
                <w:tcPr>
                  <w:tcW w:w="864" w:type="pct"/>
                  <w:noWrap w:val="0"/>
                  <w:vAlign w:val="center"/>
                </w:tcPr>
                <w:p>
                  <w:pPr>
                    <w:pStyle w:val="18"/>
                    <w:bidi w:val="0"/>
                    <w:jc w:val="center"/>
                    <w:rPr>
                      <w:rFonts w:hint="default"/>
                      <w:lang w:val="en-US" w:eastAsia="zh-CN"/>
                    </w:rPr>
                  </w:pPr>
                  <w:r>
                    <w:rPr>
                      <w:rFonts w:hint="eastAsia"/>
                      <w:lang w:val="en-US" w:eastAsia="zh-CN"/>
                    </w:rPr>
                    <w:t>163.46mg/m</w:t>
                  </w:r>
                  <w:r>
                    <w:rPr>
                      <w:rFonts w:hint="eastAsia"/>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4" w:hRule="atLeast"/>
              </w:trPr>
              <w:tc>
                <w:tcPr>
                  <w:tcW w:w="5000" w:type="pct"/>
                  <w:gridSpan w:val="7"/>
                  <w:noWrap w:val="0"/>
                  <w:vAlign w:val="center"/>
                </w:tcPr>
                <w:p>
                  <w:pPr>
                    <w:pStyle w:val="18"/>
                    <w:bidi w:val="0"/>
                    <w:jc w:val="center"/>
                    <w:rPr>
                      <w:rFonts w:hint="default"/>
                      <w:lang w:val="en-US" w:eastAsia="zh-CN"/>
                    </w:rPr>
                  </w:pPr>
                  <w:r>
                    <w:rPr>
                      <w:rFonts w:hint="eastAsia"/>
                      <w:lang w:val="en-US" w:eastAsia="zh-CN"/>
                    </w:rPr>
                    <w:t>注：二氧化硫的产排污系数是以含硫量（S）的形式表示的，其中含硫量（S）是指生物质收到基硫含量，以质量百分数的形式表示。例如生物质中含硫量S为0.1%，则S=0.1</w:t>
                  </w:r>
                </w:p>
              </w:tc>
            </w:tr>
          </w:tbl>
          <w:p>
            <w:pPr>
              <w:pStyle w:val="19"/>
              <w:bidi w:val="0"/>
              <w:rPr>
                <w:rFonts w:hint="default"/>
                <w:lang w:val="en-US" w:eastAsia="zh-CN"/>
              </w:rPr>
            </w:pPr>
            <w:r>
              <w:rPr>
                <w:rFonts w:hint="eastAsia"/>
                <w:lang w:val="en-US" w:eastAsia="zh-CN"/>
              </w:rPr>
              <w:t>综上所述，本项目产生的锅炉废气颗粒物按照99.5%的去除效率，排放总量为0.00576t/a，排放浓度约为0.80mg/m</w:t>
            </w:r>
            <w:r>
              <w:rPr>
                <w:rFonts w:hint="eastAsia"/>
                <w:vertAlign w:val="superscript"/>
                <w:lang w:val="en-US" w:eastAsia="zh-CN"/>
              </w:rPr>
              <w:t>3</w:t>
            </w:r>
            <w:r>
              <w:rPr>
                <w:rFonts w:hint="eastAsia"/>
                <w:lang w:val="en-US" w:eastAsia="zh-CN"/>
              </w:rPr>
              <w:t>；二氧化硫排放总量为1.958t/a，排放浓度约为272.43mg/m</w:t>
            </w:r>
            <w:r>
              <w:rPr>
                <w:rFonts w:hint="eastAsia"/>
                <w:vertAlign w:val="superscript"/>
                <w:lang w:val="en-US" w:eastAsia="zh-CN"/>
              </w:rPr>
              <w:t>3</w:t>
            </w:r>
            <w:r>
              <w:rPr>
                <w:rFonts w:hint="eastAsia"/>
                <w:vertAlign w:val="baseline"/>
                <w:lang w:val="en-US" w:eastAsia="zh-CN"/>
              </w:rPr>
              <w:t>；氮氧化物排放总量为1.175t/a，排放浓度为</w:t>
            </w:r>
            <w:r>
              <w:rPr>
                <w:rFonts w:hint="eastAsia"/>
                <w:lang w:val="en-US" w:eastAsia="zh-CN"/>
              </w:rPr>
              <w:t>163.46mg/m</w:t>
            </w:r>
            <w:r>
              <w:rPr>
                <w:rFonts w:hint="eastAsia"/>
                <w:vertAlign w:val="superscript"/>
                <w:lang w:val="en-US" w:eastAsia="zh-CN"/>
              </w:rPr>
              <w:t>3</w:t>
            </w:r>
            <w:r>
              <w:rPr>
                <w:rFonts w:hint="eastAsia"/>
                <w:vertAlign w:val="baseline"/>
                <w:lang w:val="en-US" w:eastAsia="zh-CN"/>
              </w:rPr>
              <w:t>。</w:t>
            </w:r>
          </w:p>
          <w:p>
            <w:pPr>
              <w:pStyle w:val="19"/>
              <w:numPr>
                <w:ilvl w:val="0"/>
                <w:numId w:val="7"/>
              </w:numPr>
              <w:bidi w:val="0"/>
              <w:ind w:left="40" w:leftChars="0" w:firstLine="480" w:firstLineChars="200"/>
              <w:rPr>
                <w:rFonts w:hint="eastAsia"/>
                <w:lang w:val="en-US" w:eastAsia="zh-CN"/>
              </w:rPr>
            </w:pPr>
            <w:r>
              <w:rPr>
                <w:rFonts w:hint="eastAsia"/>
                <w:lang w:val="en-US" w:eastAsia="zh-CN"/>
              </w:rPr>
              <w:t>废气排放情况</w:t>
            </w:r>
          </w:p>
          <w:p>
            <w:pPr>
              <w:pStyle w:val="19"/>
              <w:numPr>
                <w:ilvl w:val="0"/>
                <w:numId w:val="0"/>
              </w:numPr>
              <w:bidi w:val="0"/>
              <w:ind w:right="40" w:rightChars="0"/>
              <w:jc w:val="center"/>
              <w:rPr>
                <w:rFonts w:hint="default"/>
                <w:b/>
                <w:bCs/>
                <w:lang w:val="en-US" w:eastAsia="zh-CN"/>
              </w:rPr>
            </w:pPr>
            <w:r>
              <w:rPr>
                <w:rFonts w:hint="eastAsia"/>
                <w:b/>
                <w:bCs/>
                <w:lang w:val="en-US" w:eastAsia="zh-CN"/>
              </w:rPr>
              <w:t>表4-3  废气排放情况表</w:t>
            </w:r>
          </w:p>
          <w:tbl>
            <w:tblPr>
              <w:tblStyle w:val="15"/>
              <w:tblW w:w="498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056"/>
              <w:gridCol w:w="747"/>
              <w:gridCol w:w="888"/>
              <w:gridCol w:w="1235"/>
              <w:gridCol w:w="1215"/>
              <w:gridCol w:w="1087"/>
              <w:gridCol w:w="1155"/>
              <w:gridCol w:w="119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615" w:type="pct"/>
                  <w:vMerge w:val="restart"/>
                  <w:tcBorders>
                    <w:tl2br w:val="nil"/>
                    <w:tr2bl w:val="nil"/>
                  </w:tcBorders>
                  <w:noWrap w:val="0"/>
                  <w:vAlign w:val="center"/>
                </w:tcPr>
                <w:p>
                  <w:pPr>
                    <w:pStyle w:val="20"/>
                    <w:bidi w:val="0"/>
                    <w:rPr>
                      <w:b/>
                      <w:bCs/>
                    </w:rPr>
                  </w:pPr>
                  <w:r>
                    <w:rPr>
                      <w:b/>
                      <w:bCs/>
                    </w:rPr>
                    <w:t>产污环节</w:t>
                  </w:r>
                </w:p>
              </w:tc>
              <w:tc>
                <w:tcPr>
                  <w:tcW w:w="435" w:type="pct"/>
                  <w:vMerge w:val="restart"/>
                  <w:tcBorders>
                    <w:tl2br w:val="nil"/>
                    <w:tr2bl w:val="nil"/>
                  </w:tcBorders>
                  <w:noWrap w:val="0"/>
                  <w:vAlign w:val="center"/>
                </w:tcPr>
                <w:p>
                  <w:pPr>
                    <w:pStyle w:val="20"/>
                    <w:bidi w:val="0"/>
                    <w:rPr>
                      <w:b/>
                      <w:bCs/>
                    </w:rPr>
                  </w:pPr>
                  <w:r>
                    <w:rPr>
                      <w:b/>
                      <w:bCs/>
                    </w:rPr>
                    <w:t>污染物</w:t>
                  </w:r>
                </w:p>
              </w:tc>
              <w:tc>
                <w:tcPr>
                  <w:tcW w:w="517" w:type="pct"/>
                  <w:vMerge w:val="restart"/>
                  <w:tcBorders>
                    <w:tl2br w:val="nil"/>
                    <w:tr2bl w:val="nil"/>
                  </w:tcBorders>
                  <w:noWrap w:val="0"/>
                  <w:vAlign w:val="center"/>
                </w:tcPr>
                <w:p>
                  <w:pPr>
                    <w:pStyle w:val="20"/>
                    <w:bidi w:val="0"/>
                    <w:rPr>
                      <w:b/>
                      <w:bCs/>
                    </w:rPr>
                  </w:pPr>
                  <w:r>
                    <w:rPr>
                      <w:b/>
                      <w:bCs/>
                    </w:rPr>
                    <w:t>排放方式</w:t>
                  </w:r>
                </w:p>
              </w:tc>
              <w:tc>
                <w:tcPr>
                  <w:tcW w:w="719" w:type="pct"/>
                  <w:vMerge w:val="restart"/>
                  <w:tcBorders>
                    <w:tl2br w:val="nil"/>
                    <w:tr2bl w:val="nil"/>
                  </w:tcBorders>
                  <w:noWrap w:val="0"/>
                  <w:vAlign w:val="center"/>
                </w:tcPr>
                <w:p>
                  <w:pPr>
                    <w:pStyle w:val="20"/>
                    <w:bidi w:val="0"/>
                    <w:rPr>
                      <w:b/>
                      <w:bCs/>
                    </w:rPr>
                  </w:pPr>
                  <w:r>
                    <w:rPr>
                      <w:b/>
                      <w:bCs/>
                    </w:rPr>
                    <w:t>废气产生量</w:t>
                  </w:r>
                </w:p>
              </w:tc>
              <w:tc>
                <w:tcPr>
                  <w:tcW w:w="708" w:type="pct"/>
                  <w:vMerge w:val="restart"/>
                  <w:tcBorders>
                    <w:tl2br w:val="nil"/>
                    <w:tr2bl w:val="nil"/>
                  </w:tcBorders>
                  <w:noWrap w:val="0"/>
                  <w:vAlign w:val="center"/>
                </w:tcPr>
                <w:p>
                  <w:pPr>
                    <w:pStyle w:val="20"/>
                    <w:bidi w:val="0"/>
                    <w:rPr>
                      <w:b/>
                      <w:bCs/>
                    </w:rPr>
                  </w:pPr>
                  <w:r>
                    <w:rPr>
                      <w:b/>
                      <w:bCs/>
                    </w:rPr>
                    <w:t>产生量</w:t>
                  </w:r>
                </w:p>
                <w:p>
                  <w:pPr>
                    <w:pStyle w:val="20"/>
                    <w:bidi w:val="0"/>
                    <w:rPr>
                      <w:b/>
                      <w:bCs/>
                    </w:rPr>
                  </w:pPr>
                  <w:r>
                    <w:rPr>
                      <w:b/>
                      <w:bCs/>
                    </w:rPr>
                    <w:t>t/a</w:t>
                  </w:r>
                </w:p>
              </w:tc>
              <w:tc>
                <w:tcPr>
                  <w:tcW w:w="2003" w:type="pct"/>
                  <w:gridSpan w:val="3"/>
                  <w:tcBorders>
                    <w:tl2br w:val="nil"/>
                    <w:tr2bl w:val="nil"/>
                  </w:tcBorders>
                  <w:noWrap w:val="0"/>
                  <w:vAlign w:val="center"/>
                </w:tcPr>
                <w:p>
                  <w:pPr>
                    <w:pStyle w:val="20"/>
                    <w:bidi w:val="0"/>
                    <w:rPr>
                      <w:b/>
                      <w:bCs/>
                    </w:rPr>
                  </w:pPr>
                  <w:r>
                    <w:rPr>
                      <w:b/>
                      <w:bCs/>
                    </w:rPr>
                    <w:t>排放情况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615" w:type="pct"/>
                  <w:vMerge w:val="continue"/>
                  <w:tcBorders>
                    <w:tl2br w:val="nil"/>
                    <w:tr2bl w:val="nil"/>
                  </w:tcBorders>
                  <w:noWrap w:val="0"/>
                  <w:vAlign w:val="center"/>
                </w:tcPr>
                <w:p>
                  <w:pPr>
                    <w:pStyle w:val="20"/>
                    <w:bidi w:val="0"/>
                    <w:rPr>
                      <w:b/>
                      <w:bCs/>
                    </w:rPr>
                  </w:pPr>
                </w:p>
              </w:tc>
              <w:tc>
                <w:tcPr>
                  <w:tcW w:w="435" w:type="pct"/>
                  <w:vMerge w:val="continue"/>
                  <w:tcBorders>
                    <w:tl2br w:val="nil"/>
                    <w:tr2bl w:val="nil"/>
                  </w:tcBorders>
                  <w:noWrap w:val="0"/>
                  <w:vAlign w:val="center"/>
                </w:tcPr>
                <w:p>
                  <w:pPr>
                    <w:pStyle w:val="20"/>
                    <w:bidi w:val="0"/>
                    <w:rPr>
                      <w:b/>
                      <w:bCs/>
                    </w:rPr>
                  </w:pPr>
                </w:p>
              </w:tc>
              <w:tc>
                <w:tcPr>
                  <w:tcW w:w="517" w:type="pct"/>
                  <w:vMerge w:val="continue"/>
                  <w:tcBorders>
                    <w:tl2br w:val="nil"/>
                    <w:tr2bl w:val="nil"/>
                  </w:tcBorders>
                  <w:noWrap w:val="0"/>
                  <w:vAlign w:val="center"/>
                </w:tcPr>
                <w:p>
                  <w:pPr>
                    <w:pStyle w:val="20"/>
                    <w:bidi w:val="0"/>
                    <w:rPr>
                      <w:b/>
                      <w:bCs/>
                    </w:rPr>
                  </w:pPr>
                </w:p>
              </w:tc>
              <w:tc>
                <w:tcPr>
                  <w:tcW w:w="719" w:type="pct"/>
                  <w:vMerge w:val="continue"/>
                  <w:tcBorders>
                    <w:tl2br w:val="nil"/>
                    <w:tr2bl w:val="nil"/>
                  </w:tcBorders>
                  <w:noWrap w:val="0"/>
                  <w:vAlign w:val="center"/>
                </w:tcPr>
                <w:p>
                  <w:pPr>
                    <w:pStyle w:val="20"/>
                    <w:bidi w:val="0"/>
                    <w:rPr>
                      <w:b/>
                      <w:bCs/>
                    </w:rPr>
                  </w:pPr>
                </w:p>
              </w:tc>
              <w:tc>
                <w:tcPr>
                  <w:tcW w:w="708" w:type="pct"/>
                  <w:vMerge w:val="continue"/>
                  <w:tcBorders>
                    <w:tl2br w:val="nil"/>
                    <w:tr2bl w:val="nil"/>
                  </w:tcBorders>
                  <w:noWrap w:val="0"/>
                  <w:vAlign w:val="center"/>
                </w:tcPr>
                <w:p>
                  <w:pPr>
                    <w:pStyle w:val="20"/>
                    <w:bidi w:val="0"/>
                    <w:rPr>
                      <w:b/>
                      <w:bCs/>
                    </w:rPr>
                  </w:pPr>
                </w:p>
              </w:tc>
              <w:tc>
                <w:tcPr>
                  <w:tcW w:w="633" w:type="pct"/>
                  <w:tcBorders>
                    <w:tl2br w:val="nil"/>
                    <w:tr2bl w:val="nil"/>
                  </w:tcBorders>
                  <w:noWrap w:val="0"/>
                  <w:vAlign w:val="center"/>
                </w:tcPr>
                <w:p>
                  <w:pPr>
                    <w:pStyle w:val="20"/>
                    <w:bidi w:val="0"/>
                    <w:rPr>
                      <w:b/>
                      <w:bCs/>
                    </w:rPr>
                  </w:pPr>
                  <w:r>
                    <w:rPr>
                      <w:b/>
                      <w:bCs/>
                    </w:rPr>
                    <w:t>排放量t/a</w:t>
                  </w:r>
                </w:p>
              </w:tc>
              <w:tc>
                <w:tcPr>
                  <w:tcW w:w="673" w:type="pct"/>
                  <w:tcBorders>
                    <w:tl2br w:val="nil"/>
                    <w:tr2bl w:val="nil"/>
                  </w:tcBorders>
                  <w:noWrap w:val="0"/>
                  <w:vAlign w:val="center"/>
                </w:tcPr>
                <w:p>
                  <w:pPr>
                    <w:pStyle w:val="20"/>
                    <w:bidi w:val="0"/>
                    <w:rPr>
                      <w:b/>
                      <w:bCs/>
                    </w:rPr>
                  </w:pPr>
                  <w:r>
                    <w:rPr>
                      <w:b/>
                      <w:bCs/>
                    </w:rPr>
                    <w:t>排放速率kg/h</w:t>
                  </w:r>
                </w:p>
              </w:tc>
              <w:tc>
                <w:tcPr>
                  <w:tcW w:w="697" w:type="pct"/>
                  <w:tcBorders>
                    <w:tl2br w:val="nil"/>
                    <w:tr2bl w:val="nil"/>
                  </w:tcBorders>
                  <w:noWrap w:val="0"/>
                  <w:vAlign w:val="center"/>
                </w:tcPr>
                <w:p>
                  <w:pPr>
                    <w:pStyle w:val="20"/>
                    <w:bidi w:val="0"/>
                    <w:rPr>
                      <w:b/>
                      <w:bCs/>
                    </w:rPr>
                  </w:pPr>
                  <w:r>
                    <w:rPr>
                      <w:b/>
                      <w:bCs/>
                    </w:rPr>
                    <w:t>排放浓度mg/m</w:t>
                  </w:r>
                  <w:r>
                    <w:rPr>
                      <w:b/>
                      <w:bCs/>
                      <w:vertAlign w:val="superscript"/>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14" w:hRule="atLeast"/>
                <w:tblHeader/>
                <w:jc w:val="center"/>
              </w:trPr>
              <w:tc>
                <w:tcPr>
                  <w:tcW w:w="615" w:type="pct"/>
                  <w:tcBorders>
                    <w:tl2br w:val="nil"/>
                    <w:tr2bl w:val="nil"/>
                  </w:tcBorders>
                  <w:noWrap w:val="0"/>
                  <w:vAlign w:val="center"/>
                </w:tcPr>
                <w:p>
                  <w:pPr>
                    <w:pStyle w:val="20"/>
                    <w:bidi w:val="0"/>
                    <w:rPr>
                      <w:rFonts w:hint="default" w:eastAsia="宋体"/>
                      <w:lang w:val="en-US" w:eastAsia="zh-CN"/>
                    </w:rPr>
                  </w:pPr>
                  <w:r>
                    <w:rPr>
                      <w:rFonts w:hint="eastAsia"/>
                      <w:lang w:val="en-US" w:eastAsia="zh-CN"/>
                    </w:rPr>
                    <w:t>运输、堆存</w:t>
                  </w:r>
                </w:p>
              </w:tc>
              <w:tc>
                <w:tcPr>
                  <w:tcW w:w="435" w:type="pct"/>
                  <w:tcBorders>
                    <w:tl2br w:val="nil"/>
                    <w:tr2bl w:val="nil"/>
                  </w:tcBorders>
                  <w:noWrap w:val="0"/>
                  <w:vAlign w:val="center"/>
                </w:tcPr>
                <w:p>
                  <w:pPr>
                    <w:pStyle w:val="20"/>
                    <w:bidi w:val="0"/>
                    <w:rPr>
                      <w:rFonts w:hint="eastAsia" w:eastAsia="宋体"/>
                      <w:lang w:eastAsia="zh-CN"/>
                    </w:rPr>
                  </w:pPr>
                  <w:r>
                    <w:rPr>
                      <w:rFonts w:hint="eastAsia"/>
                      <w:lang w:val="en-US" w:eastAsia="zh-CN"/>
                    </w:rPr>
                    <w:t>氨气</w:t>
                  </w:r>
                </w:p>
              </w:tc>
              <w:tc>
                <w:tcPr>
                  <w:tcW w:w="517" w:type="pct"/>
                  <w:tcBorders>
                    <w:tl2br w:val="nil"/>
                    <w:tr2bl w:val="nil"/>
                  </w:tcBorders>
                  <w:noWrap w:val="0"/>
                  <w:vAlign w:val="center"/>
                </w:tcPr>
                <w:p>
                  <w:pPr>
                    <w:pStyle w:val="20"/>
                    <w:bidi w:val="0"/>
                  </w:pPr>
                  <w:r>
                    <w:t>无组织</w:t>
                  </w:r>
                </w:p>
              </w:tc>
              <w:tc>
                <w:tcPr>
                  <w:tcW w:w="719" w:type="pct"/>
                  <w:tcBorders>
                    <w:tl2br w:val="nil"/>
                    <w:tr2bl w:val="nil"/>
                  </w:tcBorders>
                  <w:noWrap w:val="0"/>
                  <w:vAlign w:val="center"/>
                </w:tcPr>
                <w:p>
                  <w:pPr>
                    <w:pStyle w:val="20"/>
                    <w:bidi w:val="0"/>
                  </w:pPr>
                  <w:r>
                    <w:t>/</w:t>
                  </w:r>
                </w:p>
              </w:tc>
              <w:tc>
                <w:tcPr>
                  <w:tcW w:w="708" w:type="pct"/>
                  <w:tcBorders>
                    <w:tl2br w:val="nil"/>
                    <w:tr2bl w:val="nil"/>
                  </w:tcBorders>
                  <w:noWrap w:val="0"/>
                  <w:vAlign w:val="center"/>
                </w:tcPr>
                <w:p>
                  <w:pPr>
                    <w:pStyle w:val="20"/>
                    <w:bidi w:val="0"/>
                    <w:rPr>
                      <w:rFonts w:hint="default" w:eastAsia="宋体"/>
                      <w:lang w:val="en-US" w:eastAsia="zh-CN"/>
                    </w:rPr>
                  </w:pPr>
                  <w:r>
                    <w:rPr>
                      <w:rFonts w:hint="eastAsia"/>
                      <w:lang w:val="en-US" w:eastAsia="zh-CN"/>
                    </w:rPr>
                    <w:t>1</w:t>
                  </w:r>
                </w:p>
              </w:tc>
              <w:tc>
                <w:tcPr>
                  <w:tcW w:w="633" w:type="pct"/>
                  <w:tcBorders>
                    <w:tl2br w:val="nil"/>
                    <w:tr2bl w:val="nil"/>
                  </w:tcBorders>
                  <w:noWrap w:val="0"/>
                  <w:vAlign w:val="center"/>
                </w:tcPr>
                <w:p>
                  <w:pPr>
                    <w:pStyle w:val="20"/>
                    <w:bidi w:val="0"/>
                    <w:rPr>
                      <w:rFonts w:hint="default" w:eastAsia="宋体"/>
                      <w:lang w:val="en-US" w:eastAsia="zh-CN"/>
                    </w:rPr>
                  </w:pPr>
                  <w:r>
                    <w:rPr>
                      <w:rFonts w:hint="eastAsia"/>
                      <w:lang w:val="en-US" w:eastAsia="zh-CN"/>
                    </w:rPr>
                    <w:t>1</w:t>
                  </w:r>
                </w:p>
              </w:tc>
              <w:tc>
                <w:tcPr>
                  <w:tcW w:w="673" w:type="pct"/>
                  <w:tcBorders>
                    <w:tl2br w:val="nil"/>
                    <w:tr2bl w:val="nil"/>
                  </w:tcBorders>
                  <w:noWrap w:val="0"/>
                  <w:vAlign w:val="center"/>
                </w:tcPr>
                <w:p>
                  <w:pPr>
                    <w:pStyle w:val="20"/>
                    <w:bidi w:val="0"/>
                    <w:rPr>
                      <w:rFonts w:hint="default" w:eastAsia="宋体"/>
                      <w:lang w:val="en-US" w:eastAsia="zh-CN"/>
                    </w:rPr>
                  </w:pPr>
                  <w:r>
                    <w:t>0.</w:t>
                  </w:r>
                  <w:r>
                    <w:rPr>
                      <w:rFonts w:hint="eastAsia"/>
                      <w:lang w:val="en-US" w:eastAsia="zh-CN"/>
                    </w:rPr>
                    <w:t>11</w:t>
                  </w:r>
                </w:p>
              </w:tc>
              <w:tc>
                <w:tcPr>
                  <w:tcW w:w="697" w:type="pct"/>
                  <w:tcBorders>
                    <w:tl2br w:val="nil"/>
                    <w:tr2bl w:val="nil"/>
                  </w:tcBorders>
                  <w:noWrap w:val="0"/>
                  <w:vAlign w:val="center"/>
                </w:tcPr>
                <w:p>
                  <w:pPr>
                    <w:pStyle w:val="20"/>
                    <w:bidi w:val="0"/>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14" w:hRule="atLeast"/>
                <w:tblHeader/>
                <w:jc w:val="center"/>
              </w:trPr>
              <w:tc>
                <w:tcPr>
                  <w:tcW w:w="615" w:type="pct"/>
                  <w:tcBorders>
                    <w:tl2br w:val="nil"/>
                    <w:tr2bl w:val="nil"/>
                  </w:tcBorders>
                  <w:noWrap w:val="0"/>
                  <w:vAlign w:val="center"/>
                </w:tcPr>
                <w:p>
                  <w:pPr>
                    <w:pStyle w:val="20"/>
                    <w:bidi w:val="0"/>
                    <w:rPr>
                      <w:rFonts w:hint="default"/>
                      <w:lang w:val="en-US" w:eastAsia="zh-CN"/>
                    </w:rPr>
                  </w:pPr>
                  <w:r>
                    <w:rPr>
                      <w:rFonts w:hint="eastAsia"/>
                      <w:lang w:val="en-US" w:eastAsia="zh-CN"/>
                    </w:rPr>
                    <w:t>实验检测</w:t>
                  </w:r>
                </w:p>
              </w:tc>
              <w:tc>
                <w:tcPr>
                  <w:tcW w:w="435" w:type="pct"/>
                  <w:tcBorders>
                    <w:tl2br w:val="nil"/>
                    <w:tr2bl w:val="nil"/>
                  </w:tcBorders>
                  <w:noWrap w:val="0"/>
                  <w:vAlign w:val="center"/>
                </w:tcPr>
                <w:p>
                  <w:pPr>
                    <w:pStyle w:val="20"/>
                    <w:bidi w:val="0"/>
                    <w:rPr>
                      <w:rFonts w:hint="default"/>
                      <w:lang w:val="en-US" w:eastAsia="zh-CN"/>
                    </w:rPr>
                  </w:pPr>
                  <w:r>
                    <w:rPr>
                      <w:rFonts w:hint="eastAsia"/>
                      <w:lang w:val="en-US" w:eastAsia="zh-CN"/>
                    </w:rPr>
                    <w:t>酸雾</w:t>
                  </w:r>
                </w:p>
              </w:tc>
              <w:tc>
                <w:tcPr>
                  <w:tcW w:w="517" w:type="pct"/>
                  <w:tcBorders>
                    <w:tl2br w:val="nil"/>
                    <w:tr2bl w:val="nil"/>
                  </w:tcBorders>
                  <w:noWrap w:val="0"/>
                  <w:vAlign w:val="center"/>
                </w:tcPr>
                <w:p>
                  <w:pPr>
                    <w:pStyle w:val="20"/>
                    <w:bidi w:val="0"/>
                    <w:rPr>
                      <w:rFonts w:hint="eastAsia" w:eastAsia="宋体"/>
                      <w:lang w:val="en-US" w:eastAsia="zh-CN"/>
                    </w:rPr>
                  </w:pPr>
                  <w:r>
                    <w:rPr>
                      <w:rFonts w:hint="eastAsia"/>
                      <w:lang w:val="en-US" w:eastAsia="zh-CN"/>
                    </w:rPr>
                    <w:t>无组织</w:t>
                  </w:r>
                </w:p>
              </w:tc>
              <w:tc>
                <w:tcPr>
                  <w:tcW w:w="719" w:type="pct"/>
                  <w:tcBorders>
                    <w:tl2br w:val="nil"/>
                    <w:tr2bl w:val="nil"/>
                  </w:tcBorders>
                  <w:noWrap w:val="0"/>
                  <w:vAlign w:val="center"/>
                </w:tcPr>
                <w:p>
                  <w:pPr>
                    <w:pStyle w:val="20"/>
                    <w:bidi w:val="0"/>
                    <w:rPr>
                      <w:rFonts w:hint="eastAsia" w:eastAsia="宋体"/>
                      <w:lang w:val="en-US" w:eastAsia="zh-CN"/>
                    </w:rPr>
                  </w:pPr>
                  <w:r>
                    <w:rPr>
                      <w:rFonts w:hint="eastAsia"/>
                      <w:lang w:val="en-US" w:eastAsia="zh-CN"/>
                    </w:rPr>
                    <w:t>/</w:t>
                  </w:r>
                </w:p>
              </w:tc>
              <w:tc>
                <w:tcPr>
                  <w:tcW w:w="708" w:type="pct"/>
                  <w:tcBorders>
                    <w:tl2br w:val="nil"/>
                    <w:tr2bl w:val="nil"/>
                  </w:tcBorders>
                  <w:noWrap w:val="0"/>
                  <w:vAlign w:val="center"/>
                </w:tcPr>
                <w:p>
                  <w:pPr>
                    <w:pStyle w:val="20"/>
                    <w:bidi w:val="0"/>
                    <w:rPr>
                      <w:rFonts w:hint="default"/>
                      <w:lang w:val="en-US" w:eastAsia="zh-CN"/>
                    </w:rPr>
                  </w:pPr>
                  <w:r>
                    <w:rPr>
                      <w:rFonts w:hint="eastAsia"/>
                      <w:lang w:val="en-US" w:eastAsia="zh-CN"/>
                    </w:rPr>
                    <w:t>0.01</w:t>
                  </w:r>
                </w:p>
              </w:tc>
              <w:tc>
                <w:tcPr>
                  <w:tcW w:w="633" w:type="pct"/>
                  <w:tcBorders>
                    <w:tl2br w:val="nil"/>
                    <w:tr2bl w:val="nil"/>
                  </w:tcBorders>
                  <w:noWrap w:val="0"/>
                  <w:vAlign w:val="center"/>
                </w:tcPr>
                <w:p>
                  <w:pPr>
                    <w:pStyle w:val="20"/>
                    <w:bidi w:val="0"/>
                    <w:rPr>
                      <w:rFonts w:hint="default"/>
                      <w:lang w:val="en-US" w:eastAsia="zh-CN"/>
                    </w:rPr>
                  </w:pPr>
                  <w:r>
                    <w:rPr>
                      <w:rFonts w:hint="eastAsia"/>
                      <w:lang w:val="en-US" w:eastAsia="zh-CN"/>
                    </w:rPr>
                    <w:t>0.01</w:t>
                  </w:r>
                </w:p>
              </w:tc>
              <w:tc>
                <w:tcPr>
                  <w:tcW w:w="673" w:type="pct"/>
                  <w:tcBorders>
                    <w:tl2br w:val="nil"/>
                    <w:tr2bl w:val="nil"/>
                  </w:tcBorders>
                  <w:noWrap w:val="0"/>
                  <w:vAlign w:val="center"/>
                </w:tcPr>
                <w:p>
                  <w:pPr>
                    <w:pStyle w:val="20"/>
                    <w:bidi w:val="0"/>
                    <w:rPr>
                      <w:rFonts w:hint="default" w:eastAsia="宋体"/>
                      <w:lang w:val="en-US" w:eastAsia="zh-CN"/>
                    </w:rPr>
                  </w:pPr>
                  <w:r>
                    <w:rPr>
                      <w:rFonts w:hint="eastAsia"/>
                      <w:lang w:val="en-US" w:eastAsia="zh-CN"/>
                    </w:rPr>
                    <w:t>0.004</w:t>
                  </w:r>
                </w:p>
              </w:tc>
              <w:tc>
                <w:tcPr>
                  <w:tcW w:w="697" w:type="pct"/>
                  <w:tcBorders>
                    <w:tl2br w:val="nil"/>
                    <w:tr2bl w:val="nil"/>
                  </w:tcBorders>
                  <w:noWrap w:val="0"/>
                  <w:vAlign w:val="center"/>
                </w:tcPr>
                <w:p>
                  <w:pPr>
                    <w:pStyle w:val="20"/>
                    <w:bidi w:val="0"/>
                    <w:rPr>
                      <w:rFonts w:hint="eastAsia" w:eastAsia="宋体"/>
                      <w:lang w:val="en-US" w:eastAsia="zh-CN"/>
                    </w:rPr>
                  </w:pPr>
                  <w:r>
                    <w:rPr>
                      <w:rFonts w:hint="eastAsia"/>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5" w:hRule="atLeast"/>
                <w:tblHeader/>
                <w:jc w:val="center"/>
              </w:trPr>
              <w:tc>
                <w:tcPr>
                  <w:tcW w:w="615" w:type="pct"/>
                  <w:vMerge w:val="restart"/>
                  <w:tcBorders>
                    <w:tl2br w:val="nil"/>
                    <w:tr2bl w:val="nil"/>
                  </w:tcBorders>
                  <w:noWrap w:val="0"/>
                  <w:vAlign w:val="center"/>
                </w:tcPr>
                <w:p>
                  <w:pPr>
                    <w:pStyle w:val="20"/>
                    <w:bidi w:val="0"/>
                  </w:pPr>
                  <w:r>
                    <w:t>锅炉燃烧</w:t>
                  </w:r>
                </w:p>
              </w:tc>
              <w:tc>
                <w:tcPr>
                  <w:tcW w:w="435" w:type="pct"/>
                  <w:tcBorders>
                    <w:tl2br w:val="nil"/>
                    <w:tr2bl w:val="nil"/>
                  </w:tcBorders>
                  <w:noWrap w:val="0"/>
                  <w:vAlign w:val="center"/>
                </w:tcPr>
                <w:p>
                  <w:pPr>
                    <w:pStyle w:val="20"/>
                    <w:bidi w:val="0"/>
                    <w:rPr>
                      <w:rFonts w:hint="eastAsia" w:eastAsia="宋体"/>
                      <w:lang w:eastAsia="zh-CN"/>
                    </w:rPr>
                  </w:pPr>
                  <w:r>
                    <w:rPr>
                      <w:rFonts w:hint="eastAsia"/>
                      <w:lang w:val="en-US" w:eastAsia="zh-CN"/>
                    </w:rPr>
                    <w:t>颗粒物</w:t>
                  </w:r>
                </w:p>
              </w:tc>
              <w:tc>
                <w:tcPr>
                  <w:tcW w:w="517" w:type="pct"/>
                  <w:tcBorders>
                    <w:tl2br w:val="nil"/>
                    <w:tr2bl w:val="nil"/>
                  </w:tcBorders>
                  <w:noWrap w:val="0"/>
                  <w:vAlign w:val="center"/>
                </w:tcPr>
                <w:p>
                  <w:pPr>
                    <w:pStyle w:val="20"/>
                    <w:bidi w:val="0"/>
                    <w:rPr>
                      <w:rFonts w:hint="default" w:eastAsia="宋体"/>
                      <w:lang w:val="en-US" w:eastAsia="zh-CN"/>
                    </w:rPr>
                  </w:pPr>
                  <w:r>
                    <w:rPr>
                      <w:rFonts w:hint="eastAsia"/>
                      <w:lang w:val="en-US" w:eastAsia="zh-CN"/>
                    </w:rPr>
                    <w:t>有组织</w:t>
                  </w:r>
                </w:p>
              </w:tc>
              <w:tc>
                <w:tcPr>
                  <w:tcW w:w="719" w:type="pct"/>
                  <w:vMerge w:val="restart"/>
                  <w:tcBorders>
                    <w:tl2br w:val="nil"/>
                    <w:tr2bl w:val="nil"/>
                  </w:tcBorders>
                  <w:noWrap w:val="0"/>
                  <w:vAlign w:val="center"/>
                </w:tcPr>
                <w:p>
                  <w:pPr>
                    <w:pStyle w:val="20"/>
                    <w:bidi w:val="0"/>
                    <w:rPr>
                      <w:rFonts w:hint="default" w:eastAsia="宋体"/>
                      <w:lang w:val="en-US" w:eastAsia="zh-CN"/>
                    </w:rPr>
                  </w:pPr>
                  <w:r>
                    <w:rPr>
                      <w:rFonts w:hint="eastAsia"/>
                      <w:lang w:val="en-US" w:eastAsia="zh-CN"/>
                    </w:rPr>
                    <w:t>998.4</w:t>
                  </w:r>
                  <w:r>
                    <w:t>m</w:t>
                  </w:r>
                  <w:r>
                    <w:rPr>
                      <w:vertAlign w:val="superscript"/>
                    </w:rPr>
                    <w:t>3</w:t>
                  </w:r>
                  <w:r>
                    <w:t>/h</w:t>
                  </w:r>
                  <w:r>
                    <w:rPr>
                      <w:rFonts w:hint="eastAsia"/>
                      <w:lang w:eastAsia="zh-CN"/>
                    </w:rPr>
                    <w:t>（</w:t>
                  </w:r>
                  <w:r>
                    <w:rPr>
                      <w:rFonts w:hint="eastAsia"/>
                      <w:lang w:val="en-US" w:eastAsia="zh-CN"/>
                    </w:rPr>
                    <w:t>参考锅炉产排污量核算系数手册）</w:t>
                  </w:r>
                </w:p>
              </w:tc>
              <w:tc>
                <w:tcPr>
                  <w:tcW w:w="1219" w:type="dxa"/>
                  <w:tcBorders>
                    <w:tl2br w:val="nil"/>
                    <w:tr2bl w:val="nil"/>
                  </w:tcBorders>
                  <w:noWrap w:val="0"/>
                  <w:vAlign w:val="center"/>
                </w:tcPr>
                <w:p>
                  <w:pPr>
                    <w:pStyle w:val="20"/>
                    <w:bidi w:val="0"/>
                    <w:rPr>
                      <w:rFonts w:hint="default"/>
                      <w:lang w:val="en-US"/>
                    </w:rPr>
                  </w:pPr>
                  <w:r>
                    <w:rPr>
                      <w:rFonts w:hint="eastAsia"/>
                      <w:lang w:val="en-US" w:eastAsia="zh-CN"/>
                    </w:rPr>
                    <w:t>0.00576</w:t>
                  </w:r>
                </w:p>
              </w:tc>
              <w:tc>
                <w:tcPr>
                  <w:tcW w:w="1087" w:type="dxa"/>
                  <w:tcBorders>
                    <w:tl2br w:val="nil"/>
                    <w:tr2bl w:val="nil"/>
                  </w:tcBorders>
                  <w:noWrap w:val="0"/>
                  <w:vAlign w:val="center"/>
                </w:tcPr>
                <w:p>
                  <w:pPr>
                    <w:pStyle w:val="20"/>
                    <w:bidi w:val="0"/>
                    <w:rPr>
                      <w:rFonts w:hint="default"/>
                      <w:lang w:val="en-US"/>
                    </w:rPr>
                  </w:pPr>
                  <w:r>
                    <w:rPr>
                      <w:rFonts w:hint="eastAsia"/>
                      <w:lang w:val="en-US" w:eastAsia="zh-CN"/>
                    </w:rPr>
                    <w:t>0.00576</w:t>
                  </w:r>
                </w:p>
              </w:tc>
              <w:tc>
                <w:tcPr>
                  <w:tcW w:w="673" w:type="pct"/>
                  <w:tcBorders>
                    <w:tl2br w:val="nil"/>
                    <w:tr2bl w:val="nil"/>
                  </w:tcBorders>
                  <w:noWrap w:val="0"/>
                  <w:vAlign w:val="center"/>
                </w:tcPr>
                <w:p>
                  <w:pPr>
                    <w:pStyle w:val="20"/>
                    <w:bidi w:val="0"/>
                    <w:rPr>
                      <w:rFonts w:hint="default" w:eastAsia="宋体"/>
                      <w:lang w:val="en-US" w:eastAsia="zh-CN"/>
                    </w:rPr>
                  </w:pPr>
                  <w:r>
                    <w:rPr>
                      <w:rFonts w:hint="eastAsia"/>
                      <w:lang w:val="en-US" w:eastAsia="zh-CN"/>
                    </w:rPr>
                    <w:t>0.0008</w:t>
                  </w:r>
                </w:p>
              </w:tc>
              <w:tc>
                <w:tcPr>
                  <w:tcW w:w="697" w:type="pct"/>
                  <w:tcBorders>
                    <w:tl2br w:val="nil"/>
                    <w:tr2bl w:val="nil"/>
                  </w:tcBorders>
                  <w:noWrap w:val="0"/>
                  <w:vAlign w:val="center"/>
                </w:tcPr>
                <w:p>
                  <w:pPr>
                    <w:pStyle w:val="20"/>
                    <w:bidi w:val="0"/>
                    <w:rPr>
                      <w:rFonts w:hint="default"/>
                      <w:lang w:val="en-US"/>
                    </w:rPr>
                  </w:pPr>
                  <w:r>
                    <w:rPr>
                      <w:rFonts w:hint="eastAsia"/>
                      <w:lang w:val="en-US" w:eastAsia="zh-CN"/>
                    </w:rPr>
                    <w:t>0.80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615" w:type="pct"/>
                  <w:vMerge w:val="continue"/>
                  <w:tcBorders>
                    <w:tl2br w:val="nil"/>
                    <w:tr2bl w:val="nil"/>
                  </w:tcBorders>
                  <w:noWrap w:val="0"/>
                  <w:vAlign w:val="center"/>
                </w:tcPr>
                <w:p>
                  <w:pPr>
                    <w:pStyle w:val="20"/>
                    <w:bidi w:val="0"/>
                  </w:pPr>
                </w:p>
              </w:tc>
              <w:tc>
                <w:tcPr>
                  <w:tcW w:w="435" w:type="pct"/>
                  <w:tcBorders>
                    <w:tl2br w:val="nil"/>
                    <w:tr2bl w:val="nil"/>
                  </w:tcBorders>
                  <w:noWrap w:val="0"/>
                  <w:vAlign w:val="center"/>
                </w:tcPr>
                <w:p>
                  <w:pPr>
                    <w:pStyle w:val="20"/>
                    <w:bidi w:val="0"/>
                  </w:pPr>
                  <w:r>
                    <w:t>SO</w:t>
                  </w:r>
                  <w:r>
                    <w:rPr>
                      <w:vertAlign w:val="subscript"/>
                    </w:rPr>
                    <w:t>2</w:t>
                  </w:r>
                </w:p>
              </w:tc>
              <w:tc>
                <w:tcPr>
                  <w:tcW w:w="517" w:type="pct"/>
                  <w:tcBorders>
                    <w:tl2br w:val="nil"/>
                    <w:tr2bl w:val="nil"/>
                  </w:tcBorders>
                  <w:noWrap w:val="0"/>
                  <w:vAlign w:val="center"/>
                </w:tcPr>
                <w:p>
                  <w:pPr>
                    <w:pStyle w:val="20"/>
                    <w:bidi w:val="0"/>
                  </w:pPr>
                  <w:r>
                    <w:rPr>
                      <w:rFonts w:hint="eastAsia"/>
                      <w:lang w:val="en-US" w:eastAsia="zh-CN"/>
                    </w:rPr>
                    <w:t>有组织</w:t>
                  </w:r>
                </w:p>
              </w:tc>
              <w:tc>
                <w:tcPr>
                  <w:tcW w:w="719" w:type="pct"/>
                  <w:vMerge w:val="continue"/>
                  <w:tcBorders>
                    <w:tl2br w:val="nil"/>
                    <w:tr2bl w:val="nil"/>
                  </w:tcBorders>
                  <w:noWrap w:val="0"/>
                  <w:vAlign w:val="center"/>
                </w:tcPr>
                <w:p>
                  <w:pPr>
                    <w:pStyle w:val="20"/>
                    <w:bidi w:val="0"/>
                  </w:pPr>
                </w:p>
              </w:tc>
              <w:tc>
                <w:tcPr>
                  <w:tcW w:w="1219" w:type="dxa"/>
                  <w:tcBorders>
                    <w:tl2br w:val="nil"/>
                    <w:tr2bl w:val="nil"/>
                  </w:tcBorders>
                  <w:noWrap w:val="0"/>
                  <w:vAlign w:val="center"/>
                </w:tcPr>
                <w:p>
                  <w:pPr>
                    <w:pStyle w:val="20"/>
                    <w:bidi w:val="0"/>
                    <w:rPr>
                      <w:rFonts w:hint="default"/>
                      <w:lang w:val="en-US"/>
                    </w:rPr>
                  </w:pPr>
                  <w:r>
                    <w:rPr>
                      <w:rFonts w:hint="eastAsia"/>
                      <w:lang w:val="en-US" w:eastAsia="zh-CN"/>
                    </w:rPr>
                    <w:t>1.958</w:t>
                  </w:r>
                </w:p>
              </w:tc>
              <w:tc>
                <w:tcPr>
                  <w:tcW w:w="1087" w:type="dxa"/>
                  <w:tcBorders>
                    <w:tl2br w:val="nil"/>
                    <w:tr2bl w:val="nil"/>
                  </w:tcBorders>
                  <w:noWrap w:val="0"/>
                  <w:vAlign w:val="center"/>
                </w:tcPr>
                <w:p>
                  <w:pPr>
                    <w:pStyle w:val="20"/>
                    <w:bidi w:val="0"/>
                    <w:rPr>
                      <w:rFonts w:hint="default"/>
                      <w:lang w:val="en-US"/>
                    </w:rPr>
                  </w:pPr>
                  <w:r>
                    <w:rPr>
                      <w:rFonts w:hint="eastAsia"/>
                      <w:lang w:val="en-US" w:eastAsia="zh-CN"/>
                    </w:rPr>
                    <w:t>1.958</w:t>
                  </w:r>
                </w:p>
              </w:tc>
              <w:tc>
                <w:tcPr>
                  <w:tcW w:w="673" w:type="pct"/>
                  <w:tcBorders>
                    <w:tl2br w:val="nil"/>
                    <w:tr2bl w:val="nil"/>
                  </w:tcBorders>
                  <w:noWrap w:val="0"/>
                  <w:vAlign w:val="center"/>
                </w:tcPr>
                <w:p>
                  <w:pPr>
                    <w:pStyle w:val="20"/>
                    <w:bidi w:val="0"/>
                    <w:rPr>
                      <w:rFonts w:hint="default" w:eastAsia="宋体"/>
                      <w:lang w:val="en-US" w:eastAsia="zh-CN"/>
                    </w:rPr>
                  </w:pPr>
                  <w:r>
                    <w:rPr>
                      <w:rFonts w:hint="eastAsia"/>
                      <w:lang w:val="en-US" w:eastAsia="zh-CN"/>
                    </w:rPr>
                    <w:t>0.272</w:t>
                  </w:r>
                </w:p>
              </w:tc>
              <w:tc>
                <w:tcPr>
                  <w:tcW w:w="697" w:type="pct"/>
                  <w:tcBorders>
                    <w:tl2br w:val="nil"/>
                    <w:tr2bl w:val="nil"/>
                  </w:tcBorders>
                  <w:noWrap w:val="0"/>
                  <w:vAlign w:val="center"/>
                </w:tcPr>
                <w:p>
                  <w:pPr>
                    <w:pStyle w:val="20"/>
                    <w:bidi w:val="0"/>
                    <w:rPr>
                      <w:rFonts w:hint="default"/>
                      <w:lang w:val="en-US"/>
                    </w:rPr>
                  </w:pPr>
                  <w:r>
                    <w:rPr>
                      <w:rFonts w:hint="eastAsia"/>
                      <w:lang w:val="en-US" w:eastAsia="zh-CN"/>
                    </w:rPr>
                    <w:t>272.43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615" w:type="pct"/>
                  <w:vMerge w:val="continue"/>
                  <w:tcBorders>
                    <w:tl2br w:val="nil"/>
                    <w:tr2bl w:val="nil"/>
                  </w:tcBorders>
                  <w:noWrap w:val="0"/>
                  <w:vAlign w:val="center"/>
                </w:tcPr>
                <w:p>
                  <w:pPr>
                    <w:pStyle w:val="20"/>
                    <w:bidi w:val="0"/>
                  </w:pPr>
                </w:p>
              </w:tc>
              <w:tc>
                <w:tcPr>
                  <w:tcW w:w="435" w:type="pct"/>
                  <w:tcBorders>
                    <w:tl2br w:val="nil"/>
                    <w:tr2bl w:val="nil"/>
                  </w:tcBorders>
                  <w:noWrap w:val="0"/>
                  <w:vAlign w:val="center"/>
                </w:tcPr>
                <w:p>
                  <w:pPr>
                    <w:pStyle w:val="20"/>
                    <w:bidi w:val="0"/>
                  </w:pPr>
                  <w:r>
                    <w:t>NOx</w:t>
                  </w:r>
                </w:p>
              </w:tc>
              <w:tc>
                <w:tcPr>
                  <w:tcW w:w="517" w:type="pct"/>
                  <w:tcBorders>
                    <w:tl2br w:val="nil"/>
                    <w:tr2bl w:val="nil"/>
                  </w:tcBorders>
                  <w:noWrap w:val="0"/>
                  <w:vAlign w:val="center"/>
                </w:tcPr>
                <w:p>
                  <w:pPr>
                    <w:pStyle w:val="20"/>
                    <w:bidi w:val="0"/>
                  </w:pPr>
                  <w:r>
                    <w:rPr>
                      <w:rFonts w:hint="eastAsia"/>
                      <w:lang w:val="en-US" w:eastAsia="zh-CN"/>
                    </w:rPr>
                    <w:t>有组织</w:t>
                  </w:r>
                </w:p>
              </w:tc>
              <w:tc>
                <w:tcPr>
                  <w:tcW w:w="719" w:type="pct"/>
                  <w:vMerge w:val="continue"/>
                  <w:tcBorders>
                    <w:tl2br w:val="nil"/>
                    <w:tr2bl w:val="nil"/>
                  </w:tcBorders>
                  <w:noWrap w:val="0"/>
                  <w:vAlign w:val="center"/>
                </w:tcPr>
                <w:p>
                  <w:pPr>
                    <w:pStyle w:val="20"/>
                    <w:bidi w:val="0"/>
                  </w:pPr>
                </w:p>
              </w:tc>
              <w:tc>
                <w:tcPr>
                  <w:tcW w:w="1219" w:type="dxa"/>
                  <w:tcBorders>
                    <w:tl2br w:val="nil"/>
                    <w:tr2bl w:val="nil"/>
                  </w:tcBorders>
                  <w:noWrap w:val="0"/>
                  <w:vAlign w:val="center"/>
                </w:tcPr>
                <w:p>
                  <w:pPr>
                    <w:pStyle w:val="20"/>
                    <w:bidi w:val="0"/>
                    <w:rPr>
                      <w:rFonts w:hint="default"/>
                      <w:lang w:val="en-US"/>
                    </w:rPr>
                  </w:pPr>
                  <w:r>
                    <w:rPr>
                      <w:rFonts w:hint="eastAsia"/>
                      <w:lang w:val="en-US" w:eastAsia="zh-CN"/>
                    </w:rPr>
                    <w:t>1.175</w:t>
                  </w:r>
                </w:p>
              </w:tc>
              <w:tc>
                <w:tcPr>
                  <w:tcW w:w="1087" w:type="dxa"/>
                  <w:tcBorders>
                    <w:tl2br w:val="nil"/>
                    <w:tr2bl w:val="nil"/>
                  </w:tcBorders>
                  <w:noWrap w:val="0"/>
                  <w:vAlign w:val="center"/>
                </w:tcPr>
                <w:p>
                  <w:pPr>
                    <w:pStyle w:val="20"/>
                    <w:bidi w:val="0"/>
                    <w:rPr>
                      <w:rFonts w:hint="default" w:eastAsia="宋体"/>
                      <w:lang w:val="en-US" w:eastAsia="zh-CN"/>
                    </w:rPr>
                  </w:pPr>
                  <w:r>
                    <w:rPr>
                      <w:rFonts w:hint="eastAsia"/>
                      <w:lang w:val="en-US" w:eastAsia="zh-CN"/>
                    </w:rPr>
                    <w:t>1.175</w:t>
                  </w:r>
                </w:p>
              </w:tc>
              <w:tc>
                <w:tcPr>
                  <w:tcW w:w="673" w:type="pct"/>
                  <w:tcBorders>
                    <w:tl2br w:val="nil"/>
                    <w:tr2bl w:val="nil"/>
                  </w:tcBorders>
                  <w:noWrap w:val="0"/>
                  <w:vAlign w:val="center"/>
                </w:tcPr>
                <w:p>
                  <w:pPr>
                    <w:pStyle w:val="20"/>
                    <w:bidi w:val="0"/>
                    <w:rPr>
                      <w:rFonts w:hint="default" w:eastAsia="宋体"/>
                      <w:lang w:val="en-US" w:eastAsia="zh-CN"/>
                    </w:rPr>
                  </w:pPr>
                  <w:r>
                    <w:rPr>
                      <w:rFonts w:hint="eastAsia"/>
                      <w:lang w:val="en-US" w:eastAsia="zh-CN"/>
                    </w:rPr>
                    <w:t>0.163</w:t>
                  </w:r>
                </w:p>
              </w:tc>
              <w:tc>
                <w:tcPr>
                  <w:tcW w:w="697" w:type="pct"/>
                  <w:tcBorders>
                    <w:tl2br w:val="nil"/>
                    <w:tr2bl w:val="nil"/>
                  </w:tcBorders>
                  <w:noWrap w:val="0"/>
                  <w:vAlign w:val="center"/>
                </w:tcPr>
                <w:p>
                  <w:pPr>
                    <w:pStyle w:val="20"/>
                    <w:bidi w:val="0"/>
                    <w:rPr>
                      <w:rFonts w:hint="default"/>
                      <w:lang w:val="en-US"/>
                    </w:rPr>
                  </w:pPr>
                  <w:r>
                    <w:rPr>
                      <w:rFonts w:hint="eastAsia"/>
                      <w:lang w:val="en-US" w:eastAsia="zh-CN"/>
                    </w:rPr>
                    <w:t>163.46</w:t>
                  </w:r>
                </w:p>
              </w:tc>
            </w:tr>
          </w:tbl>
          <w:p>
            <w:pPr>
              <w:pStyle w:val="19"/>
              <w:bidi w:val="0"/>
            </w:pPr>
            <w:r>
              <w:rPr>
                <w:rFonts w:hint="eastAsia"/>
                <w:lang w:val="en-US" w:eastAsia="zh-CN"/>
              </w:rPr>
              <w:t>（3）</w:t>
            </w:r>
            <w:r>
              <w:t>措施可行性影响分析</w:t>
            </w:r>
          </w:p>
          <w:p>
            <w:pPr>
              <w:pStyle w:val="19"/>
              <w:bidi w:val="0"/>
            </w:pPr>
            <w:r>
              <w:rPr>
                <w:rFonts w:hint="eastAsia"/>
                <w:lang w:val="en-US" w:eastAsia="zh-CN"/>
              </w:rPr>
              <w:t>本项目废气产生节点较少，有组织废气为锅炉废气</w:t>
            </w:r>
            <w:r>
              <w:rPr>
                <w:rFonts w:hint="eastAsia"/>
                <w:lang w:eastAsia="zh-CN"/>
              </w:rPr>
              <w:t>，</w:t>
            </w:r>
            <w:r>
              <w:rPr>
                <w:rFonts w:hint="eastAsia"/>
                <w:lang w:val="en-US" w:eastAsia="zh-CN"/>
              </w:rPr>
              <w:t>其颗粒物、</w:t>
            </w:r>
            <w:r>
              <w:t>SO</w:t>
            </w:r>
            <w:r>
              <w:rPr>
                <w:vertAlign w:val="subscript"/>
              </w:rPr>
              <w:t>2</w:t>
            </w:r>
            <w:r>
              <w:t>、NOx可以达到《锅炉大气污染物排放标准》（GB13271-2014）</w:t>
            </w:r>
            <w:r>
              <w:rPr>
                <w:rFonts w:hint="eastAsia"/>
                <w:lang w:val="en-US" w:eastAsia="zh-CN"/>
              </w:rPr>
              <w:t>表2</w:t>
            </w:r>
            <w:r>
              <w:t>排放浓度限值标准要求</w:t>
            </w:r>
            <w:r>
              <w:rPr>
                <w:rFonts w:hint="eastAsia"/>
              </w:rPr>
              <w:t>，</w:t>
            </w:r>
            <w:r>
              <w:t>污染防治措施可行。</w:t>
            </w:r>
          </w:p>
          <w:p>
            <w:pPr>
              <w:pStyle w:val="19"/>
              <w:bidi w:val="0"/>
              <w:rPr>
                <w:rFonts w:hint="default"/>
                <w:lang w:val="en-US" w:eastAsia="zh-CN"/>
              </w:rPr>
            </w:pPr>
            <w:r>
              <w:rPr>
                <w:rFonts w:hint="eastAsia"/>
                <w:lang w:val="en-US" w:eastAsia="zh-CN"/>
              </w:rPr>
              <w:t>综上所述，本项目产生本项目外排气型污染物主要为氨气、颗粒物、SO</w:t>
            </w:r>
            <w:r>
              <w:rPr>
                <w:rFonts w:hint="eastAsia"/>
                <w:vertAlign w:val="subscript"/>
                <w:lang w:val="en-US" w:eastAsia="zh-CN"/>
              </w:rPr>
              <w:t>2</w:t>
            </w:r>
            <w:r>
              <w:rPr>
                <w:rFonts w:hint="eastAsia"/>
                <w:lang w:val="en-US" w:eastAsia="zh-CN"/>
              </w:rPr>
              <w:t>、NOx，经对应污染治理措施处理后可做到稳定达标排放，对区域环境空气及环境保护目标的影响不大。</w:t>
            </w:r>
          </w:p>
          <w:p>
            <w:pPr>
              <w:pStyle w:val="4"/>
              <w:bidi w:val="0"/>
              <w:rPr>
                <w:rFonts w:hint="default"/>
                <w:lang w:val="en-US" w:eastAsia="zh-CN"/>
              </w:rPr>
            </w:pPr>
            <w:bookmarkStart w:id="59" w:name="_Toc28821"/>
            <w:bookmarkStart w:id="60" w:name="_Toc6184"/>
            <w:r>
              <w:rPr>
                <w:rFonts w:hint="eastAsia"/>
                <w:lang w:val="en-US" w:eastAsia="zh-CN"/>
              </w:rPr>
              <w:t>3、声环境影响分析</w:t>
            </w:r>
            <w:bookmarkEnd w:id="59"/>
            <w:bookmarkEnd w:id="60"/>
          </w:p>
          <w:p>
            <w:pPr>
              <w:pStyle w:val="19"/>
              <w:bidi w:val="0"/>
              <w:rPr>
                <w:rFonts w:hint="default"/>
                <w:lang w:val="en-US" w:eastAsia="zh-CN"/>
              </w:rPr>
            </w:pPr>
            <w:r>
              <w:rPr>
                <w:rFonts w:hint="eastAsia"/>
                <w:lang w:val="en-US" w:eastAsia="zh-CN"/>
              </w:rPr>
              <w:t>（1）噪声源强</w:t>
            </w:r>
          </w:p>
          <w:p>
            <w:pPr>
              <w:pStyle w:val="19"/>
              <w:bidi w:val="0"/>
              <w:rPr>
                <w:rFonts w:hint="default"/>
                <w:lang w:val="en-US" w:eastAsia="zh-CN"/>
              </w:rPr>
            </w:pPr>
            <w:r>
              <w:rPr>
                <w:rFonts w:hint="eastAsia"/>
                <w:lang w:val="en-US" w:eastAsia="zh-CN"/>
              </w:rPr>
              <w:t>拟建项目的主要噪声设备为制浆机、压滤机、摆渡车、消泡机、液压定位抽芯一体机、布料机等，噪声值在85 ~ 120dB(A)。拟建工程主要噪声源噪声值及治理措施见表</w:t>
            </w:r>
          </w:p>
          <w:p>
            <w:pPr>
              <w:bidi w:val="0"/>
              <w:jc w:val="center"/>
              <w:rPr>
                <w:rFonts w:hint="default"/>
                <w:b/>
                <w:bCs/>
                <w:lang w:val="en-US" w:eastAsia="zh-CN"/>
              </w:rPr>
            </w:pPr>
            <w:r>
              <w:rPr>
                <w:rFonts w:hint="eastAsia"/>
                <w:b/>
                <w:bCs/>
                <w:lang w:val="en-US" w:eastAsia="zh-CN"/>
              </w:rPr>
              <w:t>表4-4  主要噪声源及拟采取的治理措施</w:t>
            </w:r>
          </w:p>
          <w:tbl>
            <w:tblPr>
              <w:tblStyle w:val="1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795"/>
              <w:gridCol w:w="1558"/>
              <w:gridCol w:w="881"/>
              <w:gridCol w:w="1609"/>
              <w:gridCol w:w="2649"/>
              <w:gridCol w:w="11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462" w:type="pct"/>
                  <w:noWrap w:val="0"/>
                  <w:vAlign w:val="center"/>
                </w:tcPr>
                <w:p>
                  <w:pPr>
                    <w:pStyle w:val="18"/>
                    <w:bidi w:val="0"/>
                    <w:jc w:val="center"/>
                  </w:pPr>
                  <w:bookmarkStart w:id="61" w:name="_Hlk112248641"/>
                  <w:r>
                    <w:t>序 号</w:t>
                  </w:r>
                </w:p>
              </w:tc>
              <w:tc>
                <w:tcPr>
                  <w:tcW w:w="905" w:type="pct"/>
                  <w:noWrap w:val="0"/>
                  <w:vAlign w:val="center"/>
                </w:tcPr>
                <w:p>
                  <w:pPr>
                    <w:pStyle w:val="18"/>
                    <w:bidi w:val="0"/>
                    <w:jc w:val="center"/>
                  </w:pPr>
                  <w:r>
                    <w:t>设备名称</w:t>
                  </w:r>
                </w:p>
              </w:tc>
              <w:tc>
                <w:tcPr>
                  <w:tcW w:w="512" w:type="pct"/>
                  <w:noWrap w:val="0"/>
                  <w:vAlign w:val="center"/>
                </w:tcPr>
                <w:p>
                  <w:pPr>
                    <w:pStyle w:val="18"/>
                    <w:bidi w:val="0"/>
                    <w:jc w:val="center"/>
                  </w:pPr>
                  <w:r>
                    <w:t>数量台</w:t>
                  </w:r>
                </w:p>
              </w:tc>
              <w:tc>
                <w:tcPr>
                  <w:tcW w:w="935" w:type="pct"/>
                  <w:noWrap w:val="0"/>
                  <w:vAlign w:val="center"/>
                </w:tcPr>
                <w:p>
                  <w:pPr>
                    <w:pStyle w:val="18"/>
                    <w:bidi w:val="0"/>
                    <w:jc w:val="center"/>
                  </w:pPr>
                  <w:r>
                    <w:t>声级值dB(A)</w:t>
                  </w:r>
                </w:p>
              </w:tc>
              <w:tc>
                <w:tcPr>
                  <w:tcW w:w="1539" w:type="pct"/>
                  <w:noWrap w:val="0"/>
                  <w:vAlign w:val="center"/>
                </w:tcPr>
                <w:p>
                  <w:pPr>
                    <w:pStyle w:val="18"/>
                    <w:bidi w:val="0"/>
                    <w:jc w:val="center"/>
                  </w:pPr>
                  <w:r>
                    <w:t>拟采取的治理措施</w:t>
                  </w:r>
                </w:p>
              </w:tc>
              <w:tc>
                <w:tcPr>
                  <w:tcW w:w="645" w:type="pct"/>
                  <w:noWrap w:val="0"/>
                  <w:vAlign w:val="center"/>
                </w:tcPr>
                <w:p>
                  <w:pPr>
                    <w:pStyle w:val="18"/>
                    <w:bidi w:val="0"/>
                    <w:jc w:val="center"/>
                  </w:pPr>
                  <w:r>
                    <w:t>隔声dB(A)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462" w:type="pct"/>
                  <w:noWrap w:val="0"/>
                  <w:vAlign w:val="center"/>
                </w:tcPr>
                <w:p>
                  <w:pPr>
                    <w:pStyle w:val="18"/>
                    <w:bidi w:val="0"/>
                    <w:jc w:val="center"/>
                  </w:pPr>
                  <w:r>
                    <w:t>1</w:t>
                  </w:r>
                </w:p>
              </w:tc>
              <w:tc>
                <w:tcPr>
                  <w:tcW w:w="905" w:type="pct"/>
                  <w:noWrap w:val="0"/>
                  <w:vAlign w:val="center"/>
                </w:tcPr>
                <w:p>
                  <w:pPr>
                    <w:pStyle w:val="18"/>
                    <w:bidi w:val="0"/>
                    <w:jc w:val="center"/>
                    <w:rPr>
                      <w:rFonts w:hint="eastAsia" w:eastAsia="宋体"/>
                      <w:lang w:val="en-US" w:eastAsia="zh-CN"/>
                    </w:rPr>
                  </w:pPr>
                  <w:r>
                    <w:rPr>
                      <w:rFonts w:hint="eastAsia"/>
                      <w:lang w:val="en-US" w:eastAsia="zh-CN"/>
                    </w:rPr>
                    <w:t>制浆机</w:t>
                  </w:r>
                </w:p>
              </w:tc>
              <w:tc>
                <w:tcPr>
                  <w:tcW w:w="512" w:type="pct"/>
                  <w:noWrap w:val="0"/>
                  <w:vAlign w:val="center"/>
                </w:tcPr>
                <w:p>
                  <w:pPr>
                    <w:pStyle w:val="18"/>
                    <w:bidi w:val="0"/>
                    <w:jc w:val="center"/>
                    <w:rPr>
                      <w:rFonts w:hint="default" w:eastAsia="宋体"/>
                      <w:lang w:val="en-US" w:eastAsia="zh-CN"/>
                    </w:rPr>
                  </w:pPr>
                  <w:r>
                    <w:rPr>
                      <w:rFonts w:hint="eastAsia"/>
                      <w:lang w:val="en-US" w:eastAsia="zh-CN"/>
                    </w:rPr>
                    <w:t>12</w:t>
                  </w:r>
                </w:p>
              </w:tc>
              <w:tc>
                <w:tcPr>
                  <w:tcW w:w="935" w:type="pct"/>
                  <w:noWrap w:val="0"/>
                  <w:vAlign w:val="center"/>
                </w:tcPr>
                <w:p>
                  <w:pPr>
                    <w:pStyle w:val="18"/>
                    <w:bidi w:val="0"/>
                    <w:jc w:val="center"/>
                    <w:rPr>
                      <w:rFonts w:hint="default" w:eastAsia="宋体"/>
                      <w:lang w:val="en-US" w:eastAsia="zh-CN"/>
                    </w:rPr>
                  </w:pPr>
                  <w:r>
                    <w:rPr>
                      <w:rFonts w:hint="eastAsia"/>
                      <w:lang w:val="en-US" w:eastAsia="zh-CN"/>
                    </w:rPr>
                    <w:t>70-80</w:t>
                  </w:r>
                </w:p>
              </w:tc>
              <w:tc>
                <w:tcPr>
                  <w:tcW w:w="1539" w:type="pct"/>
                  <w:noWrap w:val="0"/>
                  <w:vAlign w:val="center"/>
                </w:tcPr>
                <w:p>
                  <w:pPr>
                    <w:pStyle w:val="18"/>
                    <w:bidi w:val="0"/>
                    <w:jc w:val="center"/>
                  </w:pPr>
                  <w:r>
                    <w:t>厂房隔声、减振垫</w:t>
                  </w:r>
                </w:p>
              </w:tc>
              <w:tc>
                <w:tcPr>
                  <w:tcW w:w="645" w:type="pct"/>
                  <w:noWrap w:val="0"/>
                  <w:vAlign w:val="center"/>
                </w:tcPr>
                <w:p>
                  <w:pPr>
                    <w:pStyle w:val="18"/>
                    <w:bidi w:val="0"/>
                    <w:jc w:val="center"/>
                  </w:pPr>
                  <w: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462" w:type="pct"/>
                  <w:noWrap w:val="0"/>
                  <w:vAlign w:val="center"/>
                </w:tcPr>
                <w:p>
                  <w:pPr>
                    <w:pStyle w:val="18"/>
                    <w:bidi w:val="0"/>
                    <w:jc w:val="center"/>
                  </w:pPr>
                  <w:r>
                    <w:t>2</w:t>
                  </w:r>
                </w:p>
              </w:tc>
              <w:tc>
                <w:tcPr>
                  <w:tcW w:w="905" w:type="pct"/>
                  <w:noWrap w:val="0"/>
                  <w:vAlign w:val="center"/>
                </w:tcPr>
                <w:p>
                  <w:pPr>
                    <w:pStyle w:val="18"/>
                    <w:bidi w:val="0"/>
                    <w:jc w:val="center"/>
                    <w:rPr>
                      <w:rFonts w:hint="eastAsia" w:eastAsia="宋体"/>
                      <w:lang w:val="en-US" w:eastAsia="zh-CN"/>
                    </w:rPr>
                  </w:pPr>
                  <w:r>
                    <w:rPr>
                      <w:rFonts w:hint="eastAsia"/>
                      <w:lang w:val="en-US" w:eastAsia="zh-CN"/>
                    </w:rPr>
                    <w:t>压滤机</w:t>
                  </w:r>
                </w:p>
              </w:tc>
              <w:tc>
                <w:tcPr>
                  <w:tcW w:w="512" w:type="pct"/>
                  <w:noWrap w:val="0"/>
                  <w:vAlign w:val="center"/>
                </w:tcPr>
                <w:p>
                  <w:pPr>
                    <w:pStyle w:val="18"/>
                    <w:bidi w:val="0"/>
                    <w:jc w:val="center"/>
                    <w:rPr>
                      <w:rFonts w:hint="default" w:eastAsia="宋体"/>
                      <w:lang w:val="en-US" w:eastAsia="zh-CN"/>
                    </w:rPr>
                  </w:pPr>
                  <w:r>
                    <w:rPr>
                      <w:rFonts w:hint="eastAsia"/>
                      <w:lang w:val="en-US" w:eastAsia="zh-CN"/>
                    </w:rPr>
                    <w:t>18</w:t>
                  </w:r>
                </w:p>
              </w:tc>
              <w:tc>
                <w:tcPr>
                  <w:tcW w:w="935" w:type="pct"/>
                  <w:noWrap w:val="0"/>
                  <w:vAlign w:val="center"/>
                </w:tcPr>
                <w:p>
                  <w:pPr>
                    <w:pStyle w:val="18"/>
                    <w:bidi w:val="0"/>
                    <w:jc w:val="center"/>
                    <w:rPr>
                      <w:rFonts w:hint="default" w:eastAsia="宋体"/>
                      <w:lang w:val="en-US" w:eastAsia="zh-CN"/>
                    </w:rPr>
                  </w:pPr>
                  <w:r>
                    <w:rPr>
                      <w:rFonts w:hint="eastAsia"/>
                      <w:lang w:val="en-US" w:eastAsia="zh-CN"/>
                    </w:rPr>
                    <w:t>85-90</w:t>
                  </w:r>
                </w:p>
              </w:tc>
              <w:tc>
                <w:tcPr>
                  <w:tcW w:w="1539" w:type="pct"/>
                  <w:noWrap w:val="0"/>
                  <w:vAlign w:val="center"/>
                </w:tcPr>
                <w:p>
                  <w:pPr>
                    <w:pStyle w:val="18"/>
                    <w:bidi w:val="0"/>
                    <w:jc w:val="center"/>
                  </w:pPr>
                  <w:r>
                    <w:t>厂房隔声、减振垫</w:t>
                  </w:r>
                </w:p>
              </w:tc>
              <w:tc>
                <w:tcPr>
                  <w:tcW w:w="645" w:type="pct"/>
                  <w:noWrap w:val="0"/>
                  <w:vAlign w:val="center"/>
                </w:tcPr>
                <w:p>
                  <w:pPr>
                    <w:pStyle w:val="18"/>
                    <w:bidi w:val="0"/>
                    <w:jc w:val="center"/>
                  </w:pPr>
                  <w: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462" w:type="pct"/>
                  <w:noWrap w:val="0"/>
                  <w:vAlign w:val="center"/>
                </w:tcPr>
                <w:p>
                  <w:pPr>
                    <w:pStyle w:val="18"/>
                    <w:bidi w:val="0"/>
                    <w:jc w:val="center"/>
                  </w:pPr>
                  <w:r>
                    <w:t>3</w:t>
                  </w:r>
                </w:p>
              </w:tc>
              <w:tc>
                <w:tcPr>
                  <w:tcW w:w="905" w:type="pct"/>
                  <w:noWrap w:val="0"/>
                  <w:vAlign w:val="center"/>
                </w:tcPr>
                <w:p>
                  <w:pPr>
                    <w:pStyle w:val="18"/>
                    <w:bidi w:val="0"/>
                    <w:jc w:val="center"/>
                    <w:rPr>
                      <w:rFonts w:hint="eastAsia" w:eastAsia="宋体"/>
                      <w:lang w:val="en-US" w:eastAsia="zh-CN"/>
                    </w:rPr>
                  </w:pPr>
                  <w:r>
                    <w:rPr>
                      <w:rFonts w:hint="eastAsia"/>
                      <w:lang w:val="en-US" w:eastAsia="zh-CN"/>
                    </w:rPr>
                    <w:t>摆渡车</w:t>
                  </w:r>
                </w:p>
              </w:tc>
              <w:tc>
                <w:tcPr>
                  <w:tcW w:w="512" w:type="pct"/>
                  <w:noWrap w:val="0"/>
                  <w:vAlign w:val="center"/>
                </w:tcPr>
                <w:p>
                  <w:pPr>
                    <w:pStyle w:val="18"/>
                    <w:bidi w:val="0"/>
                    <w:jc w:val="center"/>
                    <w:rPr>
                      <w:rFonts w:hint="default" w:eastAsia="宋体"/>
                      <w:lang w:val="en-US" w:eastAsia="zh-CN"/>
                    </w:rPr>
                  </w:pPr>
                  <w:r>
                    <w:rPr>
                      <w:rFonts w:hint="eastAsia"/>
                      <w:lang w:val="en-US" w:eastAsia="zh-CN"/>
                    </w:rPr>
                    <w:t>25</w:t>
                  </w:r>
                </w:p>
              </w:tc>
              <w:tc>
                <w:tcPr>
                  <w:tcW w:w="935" w:type="pct"/>
                  <w:noWrap w:val="0"/>
                  <w:vAlign w:val="center"/>
                </w:tcPr>
                <w:p>
                  <w:pPr>
                    <w:pStyle w:val="18"/>
                    <w:bidi w:val="0"/>
                    <w:jc w:val="center"/>
                    <w:rPr>
                      <w:rFonts w:hint="default" w:eastAsia="宋体"/>
                      <w:lang w:val="en-US" w:eastAsia="zh-CN"/>
                    </w:rPr>
                  </w:pPr>
                  <w:r>
                    <w:rPr>
                      <w:rFonts w:hint="eastAsia"/>
                      <w:lang w:val="en-US" w:eastAsia="zh-CN"/>
                    </w:rPr>
                    <w:t>60-70</w:t>
                  </w:r>
                </w:p>
              </w:tc>
              <w:tc>
                <w:tcPr>
                  <w:tcW w:w="1539" w:type="pct"/>
                  <w:noWrap w:val="0"/>
                  <w:vAlign w:val="center"/>
                </w:tcPr>
                <w:p>
                  <w:pPr>
                    <w:pStyle w:val="18"/>
                    <w:bidi w:val="0"/>
                    <w:jc w:val="center"/>
                  </w:pPr>
                  <w:r>
                    <w:t>厂房隔声、减振垫</w:t>
                  </w:r>
                </w:p>
              </w:tc>
              <w:tc>
                <w:tcPr>
                  <w:tcW w:w="645" w:type="pct"/>
                  <w:noWrap w:val="0"/>
                  <w:vAlign w:val="center"/>
                </w:tcPr>
                <w:p>
                  <w:pPr>
                    <w:pStyle w:val="18"/>
                    <w:bidi w:val="0"/>
                    <w:jc w:val="center"/>
                  </w:pPr>
                  <w: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462" w:type="pct"/>
                  <w:noWrap w:val="0"/>
                  <w:vAlign w:val="center"/>
                </w:tcPr>
                <w:p>
                  <w:pPr>
                    <w:pStyle w:val="18"/>
                    <w:bidi w:val="0"/>
                    <w:jc w:val="center"/>
                  </w:pPr>
                  <w:r>
                    <w:t>4</w:t>
                  </w:r>
                </w:p>
              </w:tc>
              <w:tc>
                <w:tcPr>
                  <w:tcW w:w="905" w:type="pct"/>
                  <w:noWrap w:val="0"/>
                  <w:vAlign w:val="center"/>
                </w:tcPr>
                <w:p>
                  <w:pPr>
                    <w:pStyle w:val="18"/>
                    <w:bidi w:val="0"/>
                    <w:jc w:val="center"/>
                    <w:rPr>
                      <w:rFonts w:hint="default" w:eastAsia="宋体"/>
                      <w:lang w:val="en-US" w:eastAsia="zh-CN"/>
                    </w:rPr>
                  </w:pPr>
                  <w:r>
                    <w:rPr>
                      <w:rFonts w:hint="eastAsia"/>
                      <w:lang w:val="en-US" w:eastAsia="zh-CN"/>
                    </w:rPr>
                    <w:t>消泡机</w:t>
                  </w:r>
                </w:p>
              </w:tc>
              <w:tc>
                <w:tcPr>
                  <w:tcW w:w="512" w:type="pct"/>
                  <w:noWrap w:val="0"/>
                  <w:vAlign w:val="center"/>
                </w:tcPr>
                <w:p>
                  <w:pPr>
                    <w:pStyle w:val="18"/>
                    <w:bidi w:val="0"/>
                    <w:jc w:val="center"/>
                    <w:rPr>
                      <w:rFonts w:hint="eastAsia" w:eastAsia="宋体"/>
                      <w:lang w:val="en-US" w:eastAsia="zh-CN"/>
                    </w:rPr>
                  </w:pPr>
                  <w:r>
                    <w:rPr>
                      <w:rFonts w:hint="eastAsia"/>
                      <w:lang w:val="en-US" w:eastAsia="zh-CN"/>
                    </w:rPr>
                    <w:t>6</w:t>
                  </w:r>
                </w:p>
              </w:tc>
              <w:tc>
                <w:tcPr>
                  <w:tcW w:w="935" w:type="pct"/>
                  <w:noWrap w:val="0"/>
                  <w:vAlign w:val="center"/>
                </w:tcPr>
                <w:p>
                  <w:pPr>
                    <w:pStyle w:val="18"/>
                    <w:bidi w:val="0"/>
                    <w:jc w:val="center"/>
                    <w:rPr>
                      <w:rFonts w:hint="default" w:eastAsia="宋体"/>
                      <w:lang w:val="en-US" w:eastAsia="zh-CN"/>
                    </w:rPr>
                  </w:pPr>
                  <w:r>
                    <w:rPr>
                      <w:rFonts w:hint="eastAsia"/>
                      <w:lang w:val="en-US" w:eastAsia="zh-CN"/>
                    </w:rPr>
                    <w:t>80-90</w:t>
                  </w:r>
                </w:p>
              </w:tc>
              <w:tc>
                <w:tcPr>
                  <w:tcW w:w="1539" w:type="pct"/>
                  <w:noWrap w:val="0"/>
                  <w:vAlign w:val="center"/>
                </w:tcPr>
                <w:p>
                  <w:pPr>
                    <w:pStyle w:val="18"/>
                    <w:bidi w:val="0"/>
                    <w:jc w:val="center"/>
                  </w:pPr>
                  <w:r>
                    <w:t>厂房隔声、减振垫</w:t>
                  </w:r>
                </w:p>
              </w:tc>
              <w:tc>
                <w:tcPr>
                  <w:tcW w:w="645" w:type="pct"/>
                  <w:noWrap w:val="0"/>
                  <w:vAlign w:val="center"/>
                </w:tcPr>
                <w:p>
                  <w:pPr>
                    <w:pStyle w:val="18"/>
                    <w:bidi w:val="0"/>
                    <w:jc w:val="center"/>
                  </w:pPr>
                  <w: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462" w:type="pct"/>
                  <w:noWrap w:val="0"/>
                  <w:vAlign w:val="center"/>
                </w:tcPr>
                <w:p>
                  <w:pPr>
                    <w:pStyle w:val="18"/>
                    <w:bidi w:val="0"/>
                    <w:jc w:val="center"/>
                  </w:pPr>
                  <w:r>
                    <w:t>5</w:t>
                  </w:r>
                </w:p>
              </w:tc>
              <w:tc>
                <w:tcPr>
                  <w:tcW w:w="905" w:type="pct"/>
                  <w:noWrap w:val="0"/>
                  <w:vAlign w:val="center"/>
                </w:tcPr>
                <w:p>
                  <w:pPr>
                    <w:pStyle w:val="18"/>
                    <w:bidi w:val="0"/>
                    <w:jc w:val="center"/>
                  </w:pPr>
                  <w:r>
                    <w:rPr>
                      <w:rFonts w:hint="eastAsia"/>
                    </w:rPr>
                    <w:t>液压定位抽芯一体机</w:t>
                  </w:r>
                </w:p>
              </w:tc>
              <w:tc>
                <w:tcPr>
                  <w:tcW w:w="512" w:type="pct"/>
                  <w:noWrap w:val="0"/>
                  <w:vAlign w:val="center"/>
                </w:tcPr>
                <w:p>
                  <w:pPr>
                    <w:pStyle w:val="18"/>
                    <w:bidi w:val="0"/>
                    <w:jc w:val="center"/>
                    <w:rPr>
                      <w:rFonts w:hint="eastAsia" w:eastAsia="宋体"/>
                      <w:lang w:val="en-US" w:eastAsia="zh-CN"/>
                    </w:rPr>
                  </w:pPr>
                  <w:r>
                    <w:rPr>
                      <w:rFonts w:hint="eastAsia"/>
                      <w:lang w:val="en-US" w:eastAsia="zh-CN"/>
                    </w:rPr>
                    <w:t>2</w:t>
                  </w:r>
                </w:p>
              </w:tc>
              <w:tc>
                <w:tcPr>
                  <w:tcW w:w="935" w:type="pct"/>
                  <w:noWrap w:val="0"/>
                  <w:vAlign w:val="center"/>
                </w:tcPr>
                <w:p>
                  <w:pPr>
                    <w:pStyle w:val="18"/>
                    <w:bidi w:val="0"/>
                    <w:jc w:val="center"/>
                    <w:rPr>
                      <w:rFonts w:hint="default" w:eastAsia="宋体"/>
                      <w:lang w:val="en-US" w:eastAsia="zh-CN"/>
                    </w:rPr>
                  </w:pPr>
                  <w:r>
                    <w:rPr>
                      <w:rFonts w:hint="eastAsia"/>
                      <w:lang w:val="en-US" w:eastAsia="zh-CN"/>
                    </w:rPr>
                    <w:t>70-80</w:t>
                  </w:r>
                </w:p>
              </w:tc>
              <w:tc>
                <w:tcPr>
                  <w:tcW w:w="1539" w:type="pct"/>
                  <w:noWrap w:val="0"/>
                  <w:vAlign w:val="center"/>
                </w:tcPr>
                <w:p>
                  <w:pPr>
                    <w:pStyle w:val="18"/>
                    <w:bidi w:val="0"/>
                    <w:jc w:val="center"/>
                  </w:pPr>
                  <w:r>
                    <w:t>厂房隔声、减振垫</w:t>
                  </w:r>
                </w:p>
              </w:tc>
              <w:tc>
                <w:tcPr>
                  <w:tcW w:w="645" w:type="pct"/>
                  <w:noWrap w:val="0"/>
                  <w:vAlign w:val="center"/>
                </w:tcPr>
                <w:p>
                  <w:pPr>
                    <w:pStyle w:val="18"/>
                    <w:bidi w:val="0"/>
                    <w:jc w:val="center"/>
                  </w:pPr>
                  <w: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462" w:type="pct"/>
                  <w:noWrap w:val="0"/>
                  <w:vAlign w:val="center"/>
                </w:tcPr>
                <w:p>
                  <w:pPr>
                    <w:pStyle w:val="18"/>
                    <w:bidi w:val="0"/>
                    <w:jc w:val="center"/>
                  </w:pPr>
                  <w:r>
                    <w:t>6</w:t>
                  </w:r>
                </w:p>
              </w:tc>
              <w:tc>
                <w:tcPr>
                  <w:tcW w:w="905" w:type="pct"/>
                  <w:noWrap w:val="0"/>
                  <w:vAlign w:val="center"/>
                </w:tcPr>
                <w:p>
                  <w:pPr>
                    <w:pStyle w:val="18"/>
                    <w:bidi w:val="0"/>
                    <w:jc w:val="center"/>
                    <w:rPr>
                      <w:rFonts w:hint="eastAsia" w:eastAsia="宋体"/>
                      <w:lang w:val="en-US" w:eastAsia="zh-CN"/>
                    </w:rPr>
                  </w:pPr>
                  <w:r>
                    <w:rPr>
                      <w:rFonts w:hint="eastAsia"/>
                      <w:lang w:val="en-US" w:eastAsia="zh-CN"/>
                    </w:rPr>
                    <w:t>布料机</w:t>
                  </w:r>
                </w:p>
              </w:tc>
              <w:tc>
                <w:tcPr>
                  <w:tcW w:w="512" w:type="pct"/>
                  <w:noWrap w:val="0"/>
                  <w:vAlign w:val="center"/>
                </w:tcPr>
                <w:p>
                  <w:pPr>
                    <w:pStyle w:val="18"/>
                    <w:bidi w:val="0"/>
                    <w:jc w:val="center"/>
                    <w:rPr>
                      <w:rFonts w:hint="eastAsia" w:eastAsia="宋体"/>
                      <w:lang w:val="en-US" w:eastAsia="zh-CN"/>
                    </w:rPr>
                  </w:pPr>
                  <w:r>
                    <w:rPr>
                      <w:rFonts w:hint="eastAsia"/>
                      <w:lang w:val="en-US" w:eastAsia="zh-CN"/>
                    </w:rPr>
                    <w:t>2</w:t>
                  </w:r>
                </w:p>
              </w:tc>
              <w:tc>
                <w:tcPr>
                  <w:tcW w:w="935" w:type="pct"/>
                  <w:noWrap w:val="0"/>
                  <w:vAlign w:val="center"/>
                </w:tcPr>
                <w:p>
                  <w:pPr>
                    <w:pStyle w:val="18"/>
                    <w:bidi w:val="0"/>
                    <w:jc w:val="center"/>
                    <w:rPr>
                      <w:rFonts w:hint="default" w:eastAsia="宋体"/>
                      <w:lang w:val="en-US" w:eastAsia="zh-CN"/>
                    </w:rPr>
                  </w:pPr>
                  <w:r>
                    <w:rPr>
                      <w:rFonts w:hint="eastAsia"/>
                      <w:lang w:val="en-US" w:eastAsia="zh-CN"/>
                    </w:rPr>
                    <w:t>75-85</w:t>
                  </w:r>
                </w:p>
              </w:tc>
              <w:tc>
                <w:tcPr>
                  <w:tcW w:w="1539" w:type="pct"/>
                  <w:noWrap w:val="0"/>
                  <w:vAlign w:val="center"/>
                </w:tcPr>
                <w:p>
                  <w:pPr>
                    <w:pStyle w:val="18"/>
                    <w:bidi w:val="0"/>
                    <w:jc w:val="center"/>
                  </w:pPr>
                  <w:r>
                    <w:t>厂房隔声、减振垫</w:t>
                  </w:r>
                </w:p>
              </w:tc>
              <w:tc>
                <w:tcPr>
                  <w:tcW w:w="645" w:type="pct"/>
                  <w:noWrap w:val="0"/>
                  <w:vAlign w:val="center"/>
                </w:tcPr>
                <w:p>
                  <w:pPr>
                    <w:pStyle w:val="18"/>
                    <w:bidi w:val="0"/>
                    <w:jc w:val="center"/>
                  </w:pPr>
                  <w: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462" w:type="pct"/>
                  <w:noWrap w:val="0"/>
                  <w:vAlign w:val="center"/>
                </w:tcPr>
                <w:p>
                  <w:pPr>
                    <w:pStyle w:val="18"/>
                    <w:bidi w:val="0"/>
                    <w:jc w:val="center"/>
                  </w:pPr>
                  <w:r>
                    <w:t>7</w:t>
                  </w:r>
                </w:p>
              </w:tc>
              <w:tc>
                <w:tcPr>
                  <w:tcW w:w="905" w:type="pct"/>
                  <w:noWrap w:val="0"/>
                  <w:vAlign w:val="center"/>
                </w:tcPr>
                <w:p>
                  <w:pPr>
                    <w:pStyle w:val="18"/>
                    <w:bidi w:val="0"/>
                    <w:jc w:val="center"/>
                  </w:pPr>
                  <w:r>
                    <w:rPr>
                      <w:rFonts w:hint="eastAsia"/>
                    </w:rPr>
                    <w:t>成型抹面机</w:t>
                  </w:r>
                </w:p>
              </w:tc>
              <w:tc>
                <w:tcPr>
                  <w:tcW w:w="512" w:type="pct"/>
                  <w:noWrap w:val="0"/>
                  <w:vAlign w:val="center"/>
                </w:tcPr>
                <w:p>
                  <w:pPr>
                    <w:pStyle w:val="18"/>
                    <w:bidi w:val="0"/>
                    <w:jc w:val="center"/>
                    <w:rPr>
                      <w:rFonts w:hint="eastAsia" w:eastAsia="宋体"/>
                      <w:lang w:val="en-US" w:eastAsia="zh-CN"/>
                    </w:rPr>
                  </w:pPr>
                  <w:r>
                    <w:rPr>
                      <w:rFonts w:hint="eastAsia"/>
                      <w:lang w:val="en-US" w:eastAsia="zh-CN"/>
                    </w:rPr>
                    <w:t>6</w:t>
                  </w:r>
                </w:p>
              </w:tc>
              <w:tc>
                <w:tcPr>
                  <w:tcW w:w="935" w:type="pct"/>
                  <w:noWrap w:val="0"/>
                  <w:vAlign w:val="center"/>
                </w:tcPr>
                <w:p>
                  <w:pPr>
                    <w:pStyle w:val="18"/>
                    <w:bidi w:val="0"/>
                    <w:jc w:val="center"/>
                    <w:rPr>
                      <w:rFonts w:hint="default" w:eastAsia="宋体"/>
                      <w:lang w:val="en-US" w:eastAsia="zh-CN"/>
                    </w:rPr>
                  </w:pPr>
                  <w:r>
                    <w:rPr>
                      <w:rFonts w:hint="eastAsia"/>
                      <w:lang w:val="en-US" w:eastAsia="zh-CN"/>
                    </w:rPr>
                    <w:t>60-75</w:t>
                  </w:r>
                </w:p>
              </w:tc>
              <w:tc>
                <w:tcPr>
                  <w:tcW w:w="1539" w:type="pct"/>
                  <w:noWrap w:val="0"/>
                  <w:vAlign w:val="center"/>
                </w:tcPr>
                <w:p>
                  <w:pPr>
                    <w:pStyle w:val="18"/>
                    <w:bidi w:val="0"/>
                    <w:jc w:val="center"/>
                  </w:pPr>
                  <w:r>
                    <w:t>厂房隔声、减振垫</w:t>
                  </w:r>
                </w:p>
              </w:tc>
              <w:tc>
                <w:tcPr>
                  <w:tcW w:w="645" w:type="pct"/>
                  <w:noWrap w:val="0"/>
                  <w:vAlign w:val="center"/>
                </w:tcPr>
                <w:p>
                  <w:pPr>
                    <w:pStyle w:val="18"/>
                    <w:bidi w:val="0"/>
                    <w:jc w:val="center"/>
                  </w:pPr>
                  <w: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462" w:type="pct"/>
                  <w:noWrap w:val="0"/>
                  <w:vAlign w:val="center"/>
                </w:tcPr>
                <w:p>
                  <w:pPr>
                    <w:pStyle w:val="18"/>
                    <w:bidi w:val="0"/>
                    <w:jc w:val="center"/>
                  </w:pPr>
                  <w:r>
                    <w:t>8</w:t>
                  </w:r>
                </w:p>
              </w:tc>
              <w:tc>
                <w:tcPr>
                  <w:tcW w:w="905" w:type="pct"/>
                  <w:noWrap w:val="0"/>
                  <w:vAlign w:val="center"/>
                </w:tcPr>
                <w:p>
                  <w:pPr>
                    <w:pStyle w:val="18"/>
                    <w:bidi w:val="0"/>
                    <w:jc w:val="center"/>
                  </w:pPr>
                  <w:r>
                    <w:rPr>
                      <w:rFonts w:hint="eastAsia"/>
                    </w:rPr>
                    <w:t>翻板机</w:t>
                  </w:r>
                </w:p>
              </w:tc>
              <w:tc>
                <w:tcPr>
                  <w:tcW w:w="512" w:type="pct"/>
                  <w:noWrap w:val="0"/>
                  <w:vAlign w:val="center"/>
                </w:tcPr>
                <w:p>
                  <w:pPr>
                    <w:pStyle w:val="18"/>
                    <w:bidi w:val="0"/>
                    <w:jc w:val="center"/>
                    <w:rPr>
                      <w:rFonts w:hint="default" w:eastAsia="宋体"/>
                      <w:lang w:val="en-US" w:eastAsia="zh-CN"/>
                    </w:rPr>
                  </w:pPr>
                  <w:r>
                    <w:rPr>
                      <w:rFonts w:hint="eastAsia"/>
                      <w:lang w:val="en-US" w:eastAsia="zh-CN"/>
                    </w:rPr>
                    <w:t>12</w:t>
                  </w:r>
                </w:p>
              </w:tc>
              <w:tc>
                <w:tcPr>
                  <w:tcW w:w="935" w:type="pct"/>
                  <w:noWrap w:val="0"/>
                  <w:vAlign w:val="center"/>
                </w:tcPr>
                <w:p>
                  <w:pPr>
                    <w:pStyle w:val="18"/>
                    <w:bidi w:val="0"/>
                    <w:jc w:val="center"/>
                    <w:rPr>
                      <w:rFonts w:hint="default" w:eastAsia="宋体"/>
                      <w:lang w:val="en-US" w:eastAsia="zh-CN"/>
                    </w:rPr>
                  </w:pPr>
                  <w:r>
                    <w:rPr>
                      <w:rFonts w:hint="eastAsia"/>
                      <w:lang w:val="en-US" w:eastAsia="zh-CN"/>
                    </w:rPr>
                    <w:t>70-80</w:t>
                  </w:r>
                </w:p>
              </w:tc>
              <w:tc>
                <w:tcPr>
                  <w:tcW w:w="1539" w:type="pct"/>
                  <w:noWrap w:val="0"/>
                  <w:vAlign w:val="center"/>
                </w:tcPr>
                <w:p>
                  <w:pPr>
                    <w:pStyle w:val="18"/>
                    <w:bidi w:val="0"/>
                    <w:jc w:val="center"/>
                  </w:pPr>
                  <w:r>
                    <w:t>厂房隔声、减振垫</w:t>
                  </w:r>
                </w:p>
              </w:tc>
              <w:tc>
                <w:tcPr>
                  <w:tcW w:w="645" w:type="pct"/>
                  <w:noWrap w:val="0"/>
                  <w:vAlign w:val="center"/>
                </w:tcPr>
                <w:p>
                  <w:pPr>
                    <w:pStyle w:val="18"/>
                    <w:bidi w:val="0"/>
                    <w:jc w:val="center"/>
                  </w:pPr>
                  <w:r>
                    <w:t>20</w:t>
                  </w:r>
                </w:p>
              </w:tc>
            </w:tr>
            <w:bookmarkEnd w:id="61"/>
          </w:tbl>
          <w:p>
            <w:pPr>
              <w:pStyle w:val="19"/>
              <w:bidi w:val="0"/>
              <w:rPr>
                <w:rFonts w:hint="default"/>
                <w:lang w:val="en-US" w:eastAsia="zh-CN"/>
              </w:rPr>
            </w:pPr>
            <w:r>
              <w:rPr>
                <w:rFonts w:hint="default"/>
                <w:lang w:val="en-US" w:eastAsia="zh-CN"/>
              </w:rPr>
              <w:t>生产过程中的噪声主要来源于</w:t>
            </w:r>
            <w:r>
              <w:rPr>
                <w:rFonts w:hint="eastAsia"/>
                <w:lang w:val="en-US" w:eastAsia="zh-CN"/>
              </w:rPr>
              <w:t>以上</w:t>
            </w:r>
            <w:r>
              <w:rPr>
                <w:rFonts w:hint="default"/>
                <w:lang w:val="en-US" w:eastAsia="zh-CN"/>
              </w:rPr>
              <w:t>设备，声级源强约为（60~90dB），且以上噪声均为非连续瞬时噪声。拟采取以下隔声降噪措施以减小对外环境的影响：</w:t>
            </w:r>
          </w:p>
          <w:p>
            <w:pPr>
              <w:pStyle w:val="19"/>
              <w:numPr>
                <w:ilvl w:val="0"/>
                <w:numId w:val="11"/>
              </w:numPr>
              <w:bidi w:val="0"/>
              <w:ind w:left="0" w:leftChars="0" w:firstLine="480" w:firstLineChars="200"/>
              <w:rPr>
                <w:rFonts w:hint="default"/>
                <w:lang w:val="en-US" w:eastAsia="zh-CN"/>
              </w:rPr>
            </w:pPr>
            <w:r>
              <w:rPr>
                <w:rFonts w:hint="default"/>
                <w:lang w:val="en-US" w:eastAsia="zh-CN"/>
              </w:rPr>
              <w:t>声源降噪：机械设备等进行减振处理，从声源处避免噪声和振动的远距离传播；</w:t>
            </w:r>
          </w:p>
          <w:p>
            <w:pPr>
              <w:pStyle w:val="19"/>
              <w:numPr>
                <w:ilvl w:val="0"/>
                <w:numId w:val="11"/>
              </w:numPr>
              <w:bidi w:val="0"/>
              <w:ind w:left="0" w:leftChars="0" w:firstLine="480" w:firstLineChars="200"/>
              <w:rPr>
                <w:rFonts w:hint="default"/>
                <w:lang w:val="en-US" w:eastAsia="zh-CN"/>
              </w:rPr>
            </w:pPr>
            <w:r>
              <w:rPr>
                <w:rFonts w:hint="default"/>
                <w:lang w:val="en-US" w:eastAsia="zh-CN"/>
              </w:rPr>
              <w:t>尽量选用低噪声设备，同时所有设备均安装在生产车间内；</w:t>
            </w:r>
          </w:p>
          <w:p>
            <w:pPr>
              <w:pStyle w:val="19"/>
              <w:numPr>
                <w:ilvl w:val="0"/>
                <w:numId w:val="11"/>
              </w:numPr>
              <w:bidi w:val="0"/>
              <w:ind w:left="0" w:leftChars="0" w:firstLine="480" w:firstLineChars="200"/>
              <w:rPr>
                <w:rFonts w:hint="default"/>
                <w:lang w:val="en-US" w:eastAsia="zh-CN"/>
              </w:rPr>
            </w:pPr>
            <w:r>
              <w:rPr>
                <w:rFonts w:hint="default"/>
                <w:lang w:val="en-US" w:eastAsia="zh-CN"/>
              </w:rPr>
              <w:t>车间隔声：对声源设备所在的车间安装隔声门，进行车间隔声，车间内除地面外的五个壁面可作一定吸声处理，可以使车间外声源噪声降低 15～20dB(A)（类比同类工艺）；</w:t>
            </w:r>
          </w:p>
          <w:p>
            <w:pPr>
              <w:pStyle w:val="19"/>
              <w:numPr>
                <w:ilvl w:val="0"/>
                <w:numId w:val="11"/>
              </w:numPr>
              <w:bidi w:val="0"/>
              <w:ind w:left="0" w:leftChars="0" w:firstLine="480" w:firstLineChars="200"/>
              <w:rPr>
                <w:rFonts w:hint="default"/>
                <w:lang w:val="en-US" w:eastAsia="zh-CN"/>
              </w:rPr>
            </w:pPr>
            <w:r>
              <w:rPr>
                <w:rFonts w:hint="default"/>
                <w:lang w:val="en-US" w:eastAsia="zh-CN"/>
              </w:rPr>
              <w:t>在厂区总图布置设计中，生产区布置在厂区的南面、东南面，尽量远离办公楼；</w:t>
            </w:r>
          </w:p>
          <w:p>
            <w:pPr>
              <w:pStyle w:val="19"/>
              <w:numPr>
                <w:ilvl w:val="0"/>
                <w:numId w:val="11"/>
              </w:numPr>
              <w:bidi w:val="0"/>
              <w:ind w:left="0" w:leftChars="0" w:firstLine="480" w:firstLineChars="200"/>
              <w:rPr>
                <w:rFonts w:hint="default"/>
                <w:lang w:val="en-US" w:eastAsia="zh-CN"/>
              </w:rPr>
            </w:pPr>
            <w:r>
              <w:rPr>
                <w:rFonts w:hint="default"/>
                <w:lang w:val="en-US" w:eastAsia="zh-CN"/>
              </w:rPr>
              <w:t>禁止夜间超负荷作业；</w:t>
            </w:r>
          </w:p>
          <w:p>
            <w:pPr>
              <w:pStyle w:val="19"/>
              <w:numPr>
                <w:ilvl w:val="0"/>
                <w:numId w:val="11"/>
              </w:numPr>
              <w:bidi w:val="0"/>
              <w:ind w:left="0" w:leftChars="0" w:firstLine="480" w:firstLineChars="200"/>
              <w:rPr>
                <w:rFonts w:hint="default"/>
                <w:lang w:val="en-US" w:eastAsia="zh-CN"/>
              </w:rPr>
            </w:pPr>
            <w:r>
              <w:rPr>
                <w:rFonts w:hint="default"/>
                <w:lang w:val="en-US" w:eastAsia="zh-CN"/>
              </w:rPr>
              <w:t>在厂界四周界墙内种植常绿防护树木，减小车间作业噪声对周围声环境的</w:t>
            </w:r>
          </w:p>
          <w:p>
            <w:pPr>
              <w:pStyle w:val="19"/>
              <w:bidi w:val="0"/>
              <w:rPr>
                <w:rFonts w:hint="default"/>
                <w:lang w:val="en-US" w:eastAsia="zh-CN"/>
              </w:rPr>
            </w:pPr>
            <w:r>
              <w:rPr>
                <w:rFonts w:hint="eastAsia"/>
                <w:lang w:val="en-US" w:eastAsia="zh-CN"/>
              </w:rPr>
              <w:t>（2）声环境影响分析</w:t>
            </w:r>
          </w:p>
          <w:p>
            <w:pPr>
              <w:pStyle w:val="19"/>
              <w:bidi w:val="0"/>
              <w:rPr>
                <w:rFonts w:hint="default"/>
                <w:lang w:val="en-US" w:eastAsia="zh-CN"/>
              </w:rPr>
            </w:pPr>
            <w:r>
              <w:rPr>
                <w:rFonts w:hint="default"/>
                <w:lang w:val="en-US" w:eastAsia="zh-CN"/>
              </w:rPr>
              <w:t>预测营运期主要噪声污染源对厂界噪声值的影响。根据《环境影响评价技术导则—声环境》（HJ2.4-2021）中的相关规定，评价厂界噪声预测值是否达到《工业企业厂界环境噪声排放标准》（GB12348-2008）中的3类功能区标准。</w:t>
            </w:r>
          </w:p>
          <w:p>
            <w:pPr>
              <w:pStyle w:val="19"/>
              <w:bidi w:val="0"/>
              <w:rPr>
                <w:rFonts w:hint="default"/>
                <w:lang w:val="en-US" w:eastAsia="zh-CN"/>
              </w:rPr>
            </w:pPr>
            <w:r>
              <w:rPr>
                <w:rFonts w:hint="default"/>
                <w:lang w:val="en-US" w:eastAsia="zh-CN"/>
              </w:rPr>
              <w:t>无指向性点声源几何发散衰减的基本公式是：</w:t>
            </w:r>
          </w:p>
          <w:p>
            <w:pPr>
              <w:pStyle w:val="19"/>
              <w:bidi w:val="0"/>
              <w:jc w:val="center"/>
              <w:rPr>
                <w:rFonts w:hint="default"/>
                <w:lang w:val="en-US" w:eastAsia="zh-CN"/>
              </w:rPr>
            </w:pPr>
            <w:r>
              <w:drawing>
                <wp:inline distT="0" distB="0" distL="114300" distR="114300">
                  <wp:extent cx="2003425" cy="321310"/>
                  <wp:effectExtent l="0" t="0" r="6350" b="254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9"/>
                          <a:stretch>
                            <a:fillRect/>
                          </a:stretch>
                        </pic:blipFill>
                        <pic:spPr>
                          <a:xfrm>
                            <a:off x="0" y="0"/>
                            <a:ext cx="2003425" cy="321310"/>
                          </a:xfrm>
                          <a:prstGeom prst="rect">
                            <a:avLst/>
                          </a:prstGeom>
                          <a:noFill/>
                          <a:ln>
                            <a:noFill/>
                          </a:ln>
                        </pic:spPr>
                      </pic:pic>
                    </a:graphicData>
                  </a:graphic>
                </wp:inline>
              </w:drawing>
            </w:r>
          </w:p>
          <w:p>
            <w:pPr>
              <w:pStyle w:val="19"/>
              <w:bidi w:val="0"/>
            </w:pPr>
            <w:r>
              <w:t>式中：</w:t>
            </w:r>
          </w:p>
          <w:p>
            <w:pPr>
              <w:pStyle w:val="19"/>
              <w:bidi w:val="0"/>
            </w:pPr>
            <w:r>
              <w:t>L</w:t>
            </w:r>
            <w:r>
              <w:rPr>
                <w:vertAlign w:val="subscript"/>
              </w:rPr>
              <w:t>p</w:t>
            </w:r>
            <w:r>
              <w:t>(r) ——预测点处声压级，dB；</w:t>
            </w:r>
          </w:p>
          <w:p>
            <w:pPr>
              <w:pStyle w:val="19"/>
              <w:bidi w:val="0"/>
            </w:pPr>
            <w:r>
              <w:t>L</w:t>
            </w:r>
            <w:r>
              <w:rPr>
                <w:vertAlign w:val="subscript"/>
              </w:rPr>
              <w:t>p</w:t>
            </w:r>
            <w:r>
              <w:t>(r</w:t>
            </w:r>
            <w:r>
              <w:rPr>
                <w:vertAlign w:val="subscript"/>
              </w:rPr>
              <w:t>0</w:t>
            </w:r>
            <w:r>
              <w:t>) ——参考位置r0处的声压级，dB；</w:t>
            </w:r>
          </w:p>
          <w:p>
            <w:pPr>
              <w:pStyle w:val="19"/>
              <w:bidi w:val="0"/>
            </w:pPr>
            <w:r>
              <w:t>r ——预测点距声源的距离；</w:t>
            </w:r>
          </w:p>
          <w:p>
            <w:pPr>
              <w:pStyle w:val="19"/>
              <w:bidi w:val="0"/>
              <w:rPr>
                <w:rFonts w:hint="default"/>
                <w:lang w:val="en-US" w:eastAsia="zh-CN"/>
              </w:rPr>
            </w:pPr>
            <w:r>
              <w:t>r</w:t>
            </w:r>
            <w:r>
              <w:rPr>
                <w:vertAlign w:val="subscript"/>
              </w:rPr>
              <w:t>0</w:t>
            </w:r>
            <w:r>
              <w:t>——参考位置距声源的距离。</w:t>
            </w:r>
          </w:p>
          <w:p>
            <w:pPr>
              <w:pStyle w:val="19"/>
              <w:bidi w:val="0"/>
              <w:rPr>
                <w:rFonts w:hint="default"/>
                <w:lang w:val="en-US" w:eastAsia="zh-CN"/>
              </w:rPr>
            </w:pPr>
            <w:r>
              <w:rPr>
                <w:rFonts w:hint="default"/>
                <w:lang w:val="en-US" w:eastAsia="zh-CN"/>
              </w:rPr>
              <w:t>如果已知点声源的倍频带声功率级或 A 计权声功率级（LAw），且声源处于自由声场，则</w:t>
            </w:r>
            <w:r>
              <w:rPr>
                <w:rFonts w:hint="eastAsia"/>
                <w:lang w:val="en-US" w:eastAsia="zh-CN"/>
              </w:rPr>
              <w:t>可等效于：</w:t>
            </w:r>
          </w:p>
          <w:p>
            <w:pPr>
              <w:pStyle w:val="19"/>
              <w:bidi w:val="0"/>
              <w:jc w:val="center"/>
              <w:rPr>
                <w:rFonts w:hint="default"/>
                <w:lang w:val="en-US" w:eastAsia="zh-CN"/>
              </w:rPr>
            </w:pPr>
            <w:r>
              <w:drawing>
                <wp:inline distT="0" distB="0" distL="114300" distR="114300">
                  <wp:extent cx="2092960" cy="392430"/>
                  <wp:effectExtent l="0" t="0" r="2540" b="762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20"/>
                          <a:stretch>
                            <a:fillRect/>
                          </a:stretch>
                        </pic:blipFill>
                        <pic:spPr>
                          <a:xfrm>
                            <a:off x="0" y="0"/>
                            <a:ext cx="2092960" cy="392430"/>
                          </a:xfrm>
                          <a:prstGeom prst="rect">
                            <a:avLst/>
                          </a:prstGeom>
                          <a:noFill/>
                          <a:ln>
                            <a:noFill/>
                          </a:ln>
                        </pic:spPr>
                      </pic:pic>
                    </a:graphicData>
                  </a:graphic>
                </wp:inline>
              </w:drawing>
            </w:r>
          </w:p>
          <w:p>
            <w:pPr>
              <w:pStyle w:val="19"/>
              <w:bidi w:val="0"/>
              <w:rPr>
                <w:rFonts w:hint="default"/>
                <w:lang w:val="en-US" w:eastAsia="zh-CN"/>
              </w:rPr>
            </w:pPr>
            <w:r>
              <w:rPr>
                <w:rFonts w:hint="eastAsia"/>
                <w:lang w:val="en-US" w:eastAsia="zh-CN"/>
              </w:rPr>
              <w:t>式中：</w:t>
            </w:r>
          </w:p>
          <w:p>
            <w:pPr>
              <w:pStyle w:val="19"/>
              <w:bidi w:val="0"/>
              <w:rPr>
                <w:rFonts w:hint="default"/>
                <w:lang w:val="en-US" w:eastAsia="zh-CN"/>
              </w:rPr>
            </w:pPr>
            <w:r>
              <w:rPr>
                <w:rFonts w:hint="default"/>
                <w:lang w:val="en-US" w:eastAsia="zh-CN"/>
              </w:rPr>
              <w:t>L</w:t>
            </w:r>
            <w:r>
              <w:rPr>
                <w:rFonts w:hint="eastAsia"/>
                <w:vertAlign w:val="subscript"/>
                <w:lang w:val="en-US" w:eastAsia="zh-CN"/>
              </w:rPr>
              <w:t>A</w:t>
            </w:r>
            <w:r>
              <w:rPr>
                <w:rFonts w:hint="default"/>
                <w:lang w:val="en-US" w:eastAsia="zh-CN"/>
              </w:rPr>
              <w:t>(r) ——距声源 r 处的 A 声级，dB(A)；</w:t>
            </w:r>
          </w:p>
          <w:p>
            <w:pPr>
              <w:pStyle w:val="19"/>
              <w:bidi w:val="0"/>
              <w:rPr>
                <w:rFonts w:hint="default"/>
                <w:lang w:val="en-US" w:eastAsia="zh-CN"/>
              </w:rPr>
            </w:pPr>
            <w:r>
              <w:rPr>
                <w:rFonts w:hint="default"/>
                <w:lang w:val="en-US" w:eastAsia="zh-CN"/>
              </w:rPr>
              <w:t>L</w:t>
            </w:r>
            <w:r>
              <w:rPr>
                <w:rFonts w:hint="eastAsia"/>
                <w:vertAlign w:val="subscript"/>
                <w:lang w:val="en-US" w:eastAsia="zh-CN"/>
              </w:rPr>
              <w:t>A</w:t>
            </w:r>
            <w:r>
              <w:rPr>
                <w:rFonts w:hint="default"/>
                <w:vertAlign w:val="subscript"/>
                <w:lang w:val="en-US" w:eastAsia="zh-CN"/>
              </w:rPr>
              <w:t>w</w:t>
            </w:r>
            <w:r>
              <w:rPr>
                <w:rFonts w:hint="eastAsia"/>
                <w:lang w:val="en-US" w:eastAsia="zh-CN"/>
              </w:rPr>
              <w:t xml:space="preserve"> </w:t>
            </w:r>
            <w:r>
              <w:rPr>
                <w:rFonts w:hint="default"/>
                <w:lang w:val="en-US" w:eastAsia="zh-CN"/>
              </w:rPr>
              <w:t>——点声源 A 计权声功率级，dB；</w:t>
            </w:r>
          </w:p>
          <w:p>
            <w:pPr>
              <w:pStyle w:val="19"/>
              <w:bidi w:val="0"/>
              <w:rPr>
                <w:rFonts w:hint="default"/>
                <w:lang w:val="en-US" w:eastAsia="zh-CN"/>
              </w:rPr>
            </w:pPr>
            <w:r>
              <w:rPr>
                <w:rFonts w:hint="eastAsia"/>
                <w:lang w:val="en-US" w:eastAsia="zh-CN"/>
              </w:rPr>
              <w:t>r</w:t>
            </w:r>
            <w:r>
              <w:rPr>
                <w:rFonts w:hint="default"/>
                <w:lang w:val="en-US" w:eastAsia="zh-CN"/>
              </w:rPr>
              <w:t xml:space="preserve"> ——预测点距声源的距离。</w:t>
            </w:r>
          </w:p>
          <w:p>
            <w:pPr>
              <w:pStyle w:val="19"/>
              <w:bidi w:val="0"/>
              <w:rPr>
                <w:rFonts w:hint="default"/>
                <w:lang w:val="en-US" w:eastAsia="zh-CN"/>
              </w:rPr>
            </w:pPr>
            <w:r>
              <w:rPr>
                <w:rFonts w:hint="eastAsia"/>
                <w:lang w:val="en-US" w:eastAsia="zh-CN"/>
              </w:rPr>
              <w:t>叠加声压级的计算公式：</w:t>
            </w:r>
          </w:p>
          <w:p>
            <w:pPr>
              <w:pStyle w:val="19"/>
              <w:bidi w:val="0"/>
              <w:jc w:val="center"/>
              <w:rPr>
                <w:rFonts w:hint="default"/>
                <w:lang w:val="en-US" w:eastAsia="zh-CN"/>
              </w:rPr>
            </w:pPr>
            <w:r>
              <w:drawing>
                <wp:inline distT="0" distB="0" distL="114300" distR="114300">
                  <wp:extent cx="2217420" cy="662305"/>
                  <wp:effectExtent l="0" t="0" r="1905" b="444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1"/>
                          <a:stretch>
                            <a:fillRect/>
                          </a:stretch>
                        </pic:blipFill>
                        <pic:spPr>
                          <a:xfrm>
                            <a:off x="0" y="0"/>
                            <a:ext cx="2217420" cy="662305"/>
                          </a:xfrm>
                          <a:prstGeom prst="rect">
                            <a:avLst/>
                          </a:prstGeom>
                          <a:noFill/>
                          <a:ln>
                            <a:noFill/>
                          </a:ln>
                        </pic:spPr>
                      </pic:pic>
                    </a:graphicData>
                  </a:graphic>
                </wp:inline>
              </w:drawing>
            </w:r>
          </w:p>
          <w:p>
            <w:pPr>
              <w:pStyle w:val="19"/>
              <w:bidi w:val="0"/>
              <w:rPr>
                <w:rFonts w:hint="default"/>
                <w:lang w:val="en-US" w:eastAsia="zh-CN"/>
              </w:rPr>
            </w:pPr>
            <w:r>
              <w:rPr>
                <w:rFonts w:hint="default"/>
                <w:lang w:val="en-US" w:eastAsia="zh-CN"/>
              </w:rPr>
              <w:t>式中：</w:t>
            </w:r>
            <w:r>
              <w:rPr>
                <w:rFonts w:hint="eastAsia"/>
                <w:lang w:val="en-US" w:eastAsia="zh-CN"/>
              </w:rPr>
              <w:t xml:space="preserve"> </w:t>
            </w:r>
          </w:p>
          <w:p>
            <w:pPr>
              <w:pStyle w:val="19"/>
              <w:bidi w:val="0"/>
              <w:rPr>
                <w:rFonts w:hint="default"/>
                <w:lang w:val="en-US" w:eastAsia="zh-CN"/>
              </w:rPr>
            </w:pPr>
            <w:r>
              <w:t>L</w:t>
            </w:r>
            <w:r>
              <w:rPr>
                <w:rFonts w:hint="eastAsia"/>
                <w:vertAlign w:val="subscript"/>
                <w:lang w:val="en-US" w:eastAsia="zh-CN"/>
              </w:rPr>
              <w:t>Pli</w:t>
            </w:r>
            <w:r>
              <w:rPr>
                <w:rFonts w:hint="eastAsia"/>
                <w:vertAlign w:val="baseline"/>
                <w:lang w:val="en-US" w:eastAsia="zh-CN"/>
              </w:rPr>
              <w:t xml:space="preserve">(T) </w:t>
            </w:r>
            <w:r>
              <w:rPr>
                <w:rFonts w:hint="default"/>
                <w:lang w:val="en-US" w:eastAsia="zh-CN"/>
              </w:rPr>
              <w:t>——</w:t>
            </w:r>
            <w:r>
              <w:rPr>
                <w:rFonts w:hint="eastAsia"/>
                <w:lang w:val="en-US" w:eastAsia="zh-CN"/>
              </w:rPr>
              <w:t xml:space="preserve">  </w:t>
            </w:r>
            <w:r>
              <w:rPr>
                <w:rFonts w:hint="default"/>
                <w:lang w:val="en-US" w:eastAsia="zh-CN"/>
              </w:rPr>
              <w:t>N 个声源 i 倍频带的叠加声压级，dB；</w:t>
            </w:r>
          </w:p>
          <w:p>
            <w:pPr>
              <w:pStyle w:val="19"/>
              <w:bidi w:val="0"/>
              <w:rPr>
                <w:rFonts w:hint="default"/>
                <w:lang w:val="en-US" w:eastAsia="zh-CN"/>
              </w:rPr>
            </w:pPr>
            <w:r>
              <w:rPr>
                <w:rFonts w:hint="default"/>
                <w:lang w:val="en-US" w:eastAsia="zh-CN"/>
              </w:rPr>
              <w:t>L</w:t>
            </w:r>
            <w:r>
              <w:rPr>
                <w:rFonts w:hint="default"/>
                <w:vertAlign w:val="subscript"/>
                <w:lang w:val="en-US" w:eastAsia="zh-CN"/>
              </w:rPr>
              <w:t>p1ij</w:t>
            </w:r>
            <w:r>
              <w:rPr>
                <w:rFonts w:hint="default"/>
                <w:lang w:val="en-US" w:eastAsia="zh-CN"/>
              </w:rPr>
              <w:t xml:space="preserve"> ——</w:t>
            </w:r>
            <w:r>
              <w:rPr>
                <w:rFonts w:hint="eastAsia"/>
                <w:lang w:val="en-US" w:eastAsia="zh-CN"/>
              </w:rPr>
              <w:t xml:space="preserve">  </w:t>
            </w:r>
            <w:r>
              <w:rPr>
                <w:rFonts w:hint="default"/>
                <w:lang w:val="en-US" w:eastAsia="zh-CN"/>
              </w:rPr>
              <w:t>j 声源 i 倍频带的声压级，dB；</w:t>
            </w:r>
          </w:p>
          <w:p>
            <w:pPr>
              <w:pStyle w:val="19"/>
              <w:bidi w:val="0"/>
              <w:rPr>
                <w:rFonts w:hint="default"/>
                <w:lang w:val="en-US" w:eastAsia="zh-CN"/>
              </w:rPr>
            </w:pPr>
            <w:r>
              <w:rPr>
                <w:rFonts w:hint="default"/>
                <w:lang w:val="en-US" w:eastAsia="zh-CN"/>
              </w:rPr>
              <w:t>N</w:t>
            </w:r>
            <w:r>
              <w:rPr>
                <w:rFonts w:hint="eastAsia"/>
                <w:lang w:val="en-US" w:eastAsia="zh-CN"/>
              </w:rPr>
              <w:t xml:space="preserve"> </w:t>
            </w:r>
            <w:r>
              <w:rPr>
                <w:rFonts w:hint="default"/>
                <w:lang w:val="en-US" w:eastAsia="zh-CN"/>
              </w:rPr>
              <w:t>——</w:t>
            </w:r>
            <w:r>
              <w:rPr>
                <w:rFonts w:hint="eastAsia"/>
                <w:lang w:val="en-US" w:eastAsia="zh-CN"/>
              </w:rPr>
              <w:t xml:space="preserve"> </w:t>
            </w:r>
            <w:r>
              <w:rPr>
                <w:rFonts w:hint="default"/>
                <w:lang w:val="en-US" w:eastAsia="zh-CN"/>
              </w:rPr>
              <w:t>声源总数</w:t>
            </w:r>
          </w:p>
          <w:p>
            <w:pPr>
              <w:pStyle w:val="19"/>
              <w:bidi w:val="0"/>
              <w:rPr>
                <w:rFonts w:hint="eastAsia"/>
                <w:lang w:val="en-US" w:eastAsia="zh-CN"/>
              </w:rPr>
            </w:pPr>
            <w:r>
              <w:rPr>
                <w:rFonts w:hint="eastAsia"/>
                <w:lang w:val="en-US" w:eastAsia="zh-CN"/>
              </w:rPr>
              <w:t>项目建成后的厂界噪声值预测见表 。由预测结果可见，营运期昼间各厂界噪声控制点噪声贡献值均满足《工业企业厂界环境噪声排放标准》（GB12348-2008）中的 3 类功能区标准要求；夜间各厂界噪声控制点噪声贡献值均满足 3 类功能区标准要求</w:t>
            </w:r>
          </w:p>
          <w:p>
            <w:pPr>
              <w:bidi w:val="0"/>
              <w:jc w:val="center"/>
              <w:rPr>
                <w:rFonts w:hint="default"/>
                <w:b/>
                <w:bCs/>
                <w:lang w:val="en-US" w:eastAsia="zh-CN"/>
              </w:rPr>
            </w:pPr>
            <w:r>
              <w:rPr>
                <w:rFonts w:hint="eastAsia"/>
                <w:b/>
                <w:bCs/>
                <w:lang w:val="en-US" w:eastAsia="zh-CN"/>
              </w:rPr>
              <w:t>表4-5  厂界噪声预测表</w:t>
            </w:r>
          </w:p>
          <w:tbl>
            <w:tblPr>
              <w:tblStyle w:val="1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45"/>
              <w:gridCol w:w="1111"/>
              <w:gridCol w:w="1247"/>
              <w:gridCol w:w="1247"/>
              <w:gridCol w:w="1035"/>
              <w:gridCol w:w="1247"/>
              <w:gridCol w:w="1038"/>
              <w:gridCol w:w="10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1021" w:type="pct"/>
                  <w:gridSpan w:val="2"/>
                  <w:vMerge w:val="restart"/>
                  <w:tcBorders>
                    <w:tl2br w:val="nil"/>
                    <w:tr2bl w:val="nil"/>
                  </w:tcBorders>
                  <w:noWrap w:val="0"/>
                  <w:vAlign w:val="center"/>
                </w:tcPr>
                <w:p>
                  <w:pPr>
                    <w:pStyle w:val="18"/>
                    <w:bidi w:val="0"/>
                  </w:pPr>
                  <w:r>
                    <w:t>测点名称</w:t>
                  </w:r>
                </w:p>
              </w:tc>
              <w:tc>
                <w:tcPr>
                  <w:tcW w:w="1450" w:type="pct"/>
                  <w:gridSpan w:val="2"/>
                  <w:tcBorders>
                    <w:tl2br w:val="nil"/>
                    <w:tr2bl w:val="nil"/>
                  </w:tcBorders>
                  <w:noWrap w:val="0"/>
                  <w:vAlign w:val="center"/>
                </w:tcPr>
                <w:p>
                  <w:pPr>
                    <w:pStyle w:val="18"/>
                    <w:bidi w:val="0"/>
                  </w:pPr>
                  <w:r>
                    <w:t>贡献值</w:t>
                  </w:r>
                </w:p>
              </w:tc>
              <w:tc>
                <w:tcPr>
                  <w:tcW w:w="1326" w:type="pct"/>
                  <w:gridSpan w:val="2"/>
                  <w:tcBorders>
                    <w:tl2br w:val="nil"/>
                    <w:tr2bl w:val="nil"/>
                  </w:tcBorders>
                  <w:noWrap w:val="0"/>
                  <w:vAlign w:val="center"/>
                </w:tcPr>
                <w:p>
                  <w:pPr>
                    <w:pStyle w:val="18"/>
                    <w:bidi w:val="0"/>
                  </w:pPr>
                  <w:r>
                    <w:t>标准值</w:t>
                  </w:r>
                </w:p>
              </w:tc>
              <w:tc>
                <w:tcPr>
                  <w:tcW w:w="1202" w:type="pct"/>
                  <w:gridSpan w:val="2"/>
                  <w:tcBorders>
                    <w:tl2br w:val="nil"/>
                    <w:tr2bl w:val="nil"/>
                  </w:tcBorders>
                  <w:noWrap w:val="0"/>
                  <w:vAlign w:val="center"/>
                </w:tcPr>
                <w:p>
                  <w:pPr>
                    <w:pStyle w:val="18"/>
                    <w:bidi w:val="0"/>
                  </w:pPr>
                  <w: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1021" w:type="pct"/>
                  <w:gridSpan w:val="2"/>
                  <w:vMerge w:val="continue"/>
                  <w:tcBorders>
                    <w:tl2br w:val="nil"/>
                    <w:tr2bl w:val="nil"/>
                  </w:tcBorders>
                  <w:noWrap w:val="0"/>
                  <w:vAlign w:val="center"/>
                </w:tcPr>
                <w:p>
                  <w:pPr>
                    <w:pStyle w:val="18"/>
                    <w:bidi w:val="0"/>
                  </w:pPr>
                </w:p>
              </w:tc>
              <w:tc>
                <w:tcPr>
                  <w:tcW w:w="725" w:type="pct"/>
                  <w:tcBorders>
                    <w:tl2br w:val="nil"/>
                    <w:tr2bl w:val="nil"/>
                  </w:tcBorders>
                  <w:noWrap w:val="0"/>
                  <w:vAlign w:val="center"/>
                </w:tcPr>
                <w:p>
                  <w:pPr>
                    <w:pStyle w:val="18"/>
                    <w:bidi w:val="0"/>
                  </w:pPr>
                  <w:r>
                    <w:t>昼间</w:t>
                  </w:r>
                </w:p>
              </w:tc>
              <w:tc>
                <w:tcPr>
                  <w:tcW w:w="725" w:type="pct"/>
                  <w:tcBorders>
                    <w:tl2br w:val="nil"/>
                    <w:tr2bl w:val="nil"/>
                  </w:tcBorders>
                  <w:noWrap w:val="0"/>
                  <w:vAlign w:val="center"/>
                </w:tcPr>
                <w:p>
                  <w:pPr>
                    <w:pStyle w:val="18"/>
                    <w:bidi w:val="0"/>
                  </w:pPr>
                  <w:r>
                    <w:t>夜间</w:t>
                  </w:r>
                </w:p>
              </w:tc>
              <w:tc>
                <w:tcPr>
                  <w:tcW w:w="601" w:type="pct"/>
                  <w:tcBorders>
                    <w:tl2br w:val="nil"/>
                    <w:tr2bl w:val="nil"/>
                  </w:tcBorders>
                  <w:noWrap w:val="0"/>
                  <w:vAlign w:val="center"/>
                </w:tcPr>
                <w:p>
                  <w:pPr>
                    <w:pStyle w:val="18"/>
                    <w:bidi w:val="0"/>
                  </w:pPr>
                  <w:r>
                    <w:t>昼间</w:t>
                  </w:r>
                </w:p>
              </w:tc>
              <w:tc>
                <w:tcPr>
                  <w:tcW w:w="725" w:type="pct"/>
                  <w:tcBorders>
                    <w:tl2br w:val="nil"/>
                    <w:tr2bl w:val="nil"/>
                  </w:tcBorders>
                  <w:noWrap w:val="0"/>
                  <w:vAlign w:val="center"/>
                </w:tcPr>
                <w:p>
                  <w:pPr>
                    <w:pStyle w:val="18"/>
                    <w:bidi w:val="0"/>
                  </w:pPr>
                  <w:r>
                    <w:t>夜间</w:t>
                  </w:r>
                </w:p>
              </w:tc>
              <w:tc>
                <w:tcPr>
                  <w:tcW w:w="603" w:type="pct"/>
                  <w:tcBorders>
                    <w:tl2br w:val="nil"/>
                    <w:tr2bl w:val="nil"/>
                  </w:tcBorders>
                  <w:noWrap w:val="0"/>
                  <w:vAlign w:val="center"/>
                </w:tcPr>
                <w:p>
                  <w:pPr>
                    <w:pStyle w:val="18"/>
                    <w:bidi w:val="0"/>
                  </w:pPr>
                  <w:r>
                    <w:t>昼间</w:t>
                  </w:r>
                </w:p>
              </w:tc>
              <w:tc>
                <w:tcPr>
                  <w:tcW w:w="599" w:type="pct"/>
                  <w:tcBorders>
                    <w:tl2br w:val="nil"/>
                    <w:tr2bl w:val="nil"/>
                  </w:tcBorders>
                  <w:noWrap w:val="0"/>
                  <w:vAlign w:val="center"/>
                </w:tcPr>
                <w:p>
                  <w:pPr>
                    <w:pStyle w:val="18"/>
                    <w:bidi w:val="0"/>
                  </w:pPr>
                  <w: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75" w:type="pct"/>
                  <w:vMerge w:val="restart"/>
                  <w:tcBorders>
                    <w:tl2br w:val="nil"/>
                    <w:tr2bl w:val="nil"/>
                  </w:tcBorders>
                  <w:noWrap w:val="0"/>
                  <w:vAlign w:val="center"/>
                </w:tcPr>
                <w:p>
                  <w:pPr>
                    <w:pStyle w:val="18"/>
                    <w:bidi w:val="0"/>
                  </w:pPr>
                  <w:r>
                    <w:t>厂址</w:t>
                  </w:r>
                </w:p>
                <w:p>
                  <w:pPr>
                    <w:pStyle w:val="18"/>
                    <w:bidi w:val="0"/>
                  </w:pPr>
                  <w:r>
                    <w:t>边界</w:t>
                  </w:r>
                </w:p>
              </w:tc>
              <w:tc>
                <w:tcPr>
                  <w:tcW w:w="646" w:type="pct"/>
                  <w:tcBorders>
                    <w:tl2br w:val="nil"/>
                    <w:tr2bl w:val="nil"/>
                  </w:tcBorders>
                  <w:noWrap w:val="0"/>
                  <w:vAlign w:val="center"/>
                </w:tcPr>
                <w:p>
                  <w:pPr>
                    <w:pStyle w:val="18"/>
                    <w:bidi w:val="0"/>
                  </w:pPr>
                  <w:r>
                    <w:t>东界</w:t>
                  </w:r>
                </w:p>
              </w:tc>
              <w:tc>
                <w:tcPr>
                  <w:tcW w:w="725" w:type="pct"/>
                  <w:tcBorders>
                    <w:tl2br w:val="nil"/>
                    <w:tr2bl w:val="nil"/>
                  </w:tcBorders>
                  <w:noWrap w:val="0"/>
                  <w:vAlign w:val="center"/>
                </w:tcPr>
                <w:p>
                  <w:pPr>
                    <w:pStyle w:val="18"/>
                    <w:bidi w:val="0"/>
                    <w:rPr>
                      <w:rFonts w:hint="default" w:eastAsia="宋体"/>
                      <w:lang w:val="en-US" w:eastAsia="zh-CN"/>
                    </w:rPr>
                  </w:pPr>
                  <w:r>
                    <w:rPr>
                      <w:rFonts w:hint="eastAsia"/>
                      <w:lang w:val="en-US" w:eastAsia="zh-CN"/>
                    </w:rPr>
                    <w:t>52.4</w:t>
                  </w:r>
                </w:p>
              </w:tc>
              <w:tc>
                <w:tcPr>
                  <w:tcW w:w="725" w:type="pct"/>
                  <w:tcBorders>
                    <w:tl2br w:val="nil"/>
                    <w:tr2bl w:val="nil"/>
                  </w:tcBorders>
                  <w:noWrap w:val="0"/>
                  <w:vAlign w:val="center"/>
                </w:tcPr>
                <w:p>
                  <w:pPr>
                    <w:pStyle w:val="18"/>
                    <w:bidi w:val="0"/>
                    <w:rPr>
                      <w:rFonts w:hint="default" w:eastAsia="宋体"/>
                      <w:lang w:val="en-US" w:eastAsia="zh-CN"/>
                    </w:rPr>
                  </w:pPr>
                  <w:r>
                    <w:rPr>
                      <w:rFonts w:hint="eastAsia"/>
                      <w:lang w:val="en-US" w:eastAsia="zh-CN"/>
                    </w:rPr>
                    <w:t>48.4</w:t>
                  </w:r>
                </w:p>
              </w:tc>
              <w:tc>
                <w:tcPr>
                  <w:tcW w:w="601" w:type="pct"/>
                  <w:tcBorders>
                    <w:tl2br w:val="nil"/>
                    <w:tr2bl w:val="nil"/>
                  </w:tcBorders>
                  <w:noWrap w:val="0"/>
                  <w:vAlign w:val="center"/>
                </w:tcPr>
                <w:p>
                  <w:pPr>
                    <w:pStyle w:val="18"/>
                    <w:bidi w:val="0"/>
                    <w:rPr>
                      <w:rFonts w:hint="eastAsia" w:eastAsia="宋体"/>
                      <w:lang w:eastAsia="zh-CN"/>
                    </w:rPr>
                  </w:pPr>
                  <w:r>
                    <w:t>6</w:t>
                  </w:r>
                  <w:r>
                    <w:rPr>
                      <w:rFonts w:hint="eastAsia"/>
                      <w:lang w:val="en-US" w:eastAsia="zh-CN"/>
                    </w:rPr>
                    <w:t>5</w:t>
                  </w:r>
                </w:p>
              </w:tc>
              <w:tc>
                <w:tcPr>
                  <w:tcW w:w="725" w:type="pct"/>
                  <w:tcBorders>
                    <w:tl2br w:val="nil"/>
                    <w:tr2bl w:val="nil"/>
                  </w:tcBorders>
                  <w:noWrap w:val="0"/>
                  <w:vAlign w:val="center"/>
                </w:tcPr>
                <w:p>
                  <w:pPr>
                    <w:pStyle w:val="18"/>
                    <w:bidi w:val="0"/>
                    <w:rPr>
                      <w:rFonts w:hint="eastAsia" w:eastAsia="宋体"/>
                      <w:lang w:val="en-US" w:eastAsia="zh-CN"/>
                    </w:rPr>
                  </w:pPr>
                  <w:r>
                    <w:t>5</w:t>
                  </w:r>
                  <w:r>
                    <w:rPr>
                      <w:rFonts w:hint="eastAsia"/>
                      <w:lang w:val="en-US" w:eastAsia="zh-CN"/>
                    </w:rPr>
                    <w:t>5</w:t>
                  </w:r>
                </w:p>
              </w:tc>
              <w:tc>
                <w:tcPr>
                  <w:tcW w:w="603" w:type="pct"/>
                  <w:tcBorders>
                    <w:tl2br w:val="nil"/>
                    <w:tr2bl w:val="nil"/>
                  </w:tcBorders>
                  <w:noWrap w:val="0"/>
                  <w:vAlign w:val="center"/>
                </w:tcPr>
                <w:p>
                  <w:pPr>
                    <w:pStyle w:val="18"/>
                    <w:bidi w:val="0"/>
                  </w:pPr>
                  <w:r>
                    <w:t>达标</w:t>
                  </w:r>
                </w:p>
              </w:tc>
              <w:tc>
                <w:tcPr>
                  <w:tcW w:w="599" w:type="pct"/>
                  <w:tcBorders>
                    <w:tl2br w:val="nil"/>
                    <w:tr2bl w:val="nil"/>
                  </w:tcBorders>
                  <w:noWrap w:val="0"/>
                  <w:vAlign w:val="center"/>
                </w:tcPr>
                <w:p>
                  <w:pPr>
                    <w:pStyle w:val="18"/>
                    <w:bidi w:val="0"/>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75" w:type="pct"/>
                  <w:vMerge w:val="continue"/>
                  <w:tcBorders>
                    <w:tl2br w:val="nil"/>
                    <w:tr2bl w:val="nil"/>
                  </w:tcBorders>
                  <w:noWrap w:val="0"/>
                  <w:vAlign w:val="center"/>
                </w:tcPr>
                <w:p>
                  <w:pPr>
                    <w:pStyle w:val="18"/>
                    <w:bidi w:val="0"/>
                  </w:pPr>
                </w:p>
              </w:tc>
              <w:tc>
                <w:tcPr>
                  <w:tcW w:w="646" w:type="pct"/>
                  <w:tcBorders>
                    <w:tl2br w:val="nil"/>
                    <w:tr2bl w:val="nil"/>
                  </w:tcBorders>
                  <w:noWrap w:val="0"/>
                  <w:vAlign w:val="center"/>
                </w:tcPr>
                <w:p>
                  <w:pPr>
                    <w:pStyle w:val="18"/>
                    <w:bidi w:val="0"/>
                  </w:pPr>
                  <w:r>
                    <w:t>南界</w:t>
                  </w:r>
                </w:p>
              </w:tc>
              <w:tc>
                <w:tcPr>
                  <w:tcW w:w="725" w:type="pct"/>
                  <w:tcBorders>
                    <w:tl2br w:val="nil"/>
                    <w:tr2bl w:val="nil"/>
                  </w:tcBorders>
                  <w:noWrap w:val="0"/>
                  <w:vAlign w:val="center"/>
                </w:tcPr>
                <w:p>
                  <w:pPr>
                    <w:pStyle w:val="18"/>
                    <w:bidi w:val="0"/>
                  </w:pPr>
                  <w:r>
                    <w:t>51.2</w:t>
                  </w:r>
                </w:p>
              </w:tc>
              <w:tc>
                <w:tcPr>
                  <w:tcW w:w="725" w:type="pct"/>
                  <w:tcBorders>
                    <w:tl2br w:val="nil"/>
                    <w:tr2bl w:val="nil"/>
                  </w:tcBorders>
                  <w:noWrap w:val="0"/>
                  <w:vAlign w:val="center"/>
                </w:tcPr>
                <w:p>
                  <w:pPr>
                    <w:pStyle w:val="18"/>
                    <w:bidi w:val="0"/>
                  </w:pPr>
                  <w:r>
                    <w:rPr>
                      <w:rFonts w:hint="eastAsia"/>
                      <w:lang w:val="en-US" w:eastAsia="zh-CN"/>
                    </w:rPr>
                    <w:t>47</w:t>
                  </w:r>
                  <w:r>
                    <w:t>.2</w:t>
                  </w:r>
                </w:p>
              </w:tc>
              <w:tc>
                <w:tcPr>
                  <w:tcW w:w="1037" w:type="dxa"/>
                  <w:tcBorders>
                    <w:tl2br w:val="nil"/>
                    <w:tr2bl w:val="nil"/>
                  </w:tcBorders>
                  <w:noWrap w:val="0"/>
                  <w:vAlign w:val="center"/>
                </w:tcPr>
                <w:p>
                  <w:pPr>
                    <w:pStyle w:val="18"/>
                    <w:bidi w:val="0"/>
                    <w:ind w:left="40" w:leftChars="0" w:right="40" w:rightChars="0"/>
                  </w:pPr>
                  <w:r>
                    <w:t>6</w:t>
                  </w:r>
                  <w:r>
                    <w:rPr>
                      <w:rFonts w:hint="eastAsia"/>
                      <w:lang w:val="en-US" w:eastAsia="zh-CN"/>
                    </w:rPr>
                    <w:t>5</w:t>
                  </w:r>
                </w:p>
              </w:tc>
              <w:tc>
                <w:tcPr>
                  <w:tcW w:w="1250" w:type="dxa"/>
                  <w:tcBorders>
                    <w:tl2br w:val="nil"/>
                    <w:tr2bl w:val="nil"/>
                  </w:tcBorders>
                  <w:noWrap w:val="0"/>
                  <w:vAlign w:val="center"/>
                </w:tcPr>
                <w:p>
                  <w:pPr>
                    <w:pStyle w:val="18"/>
                    <w:bidi w:val="0"/>
                    <w:ind w:left="40" w:leftChars="0" w:right="40" w:rightChars="0"/>
                  </w:pPr>
                  <w:r>
                    <w:t>5</w:t>
                  </w:r>
                  <w:r>
                    <w:rPr>
                      <w:rFonts w:hint="eastAsia"/>
                      <w:lang w:val="en-US" w:eastAsia="zh-CN"/>
                    </w:rPr>
                    <w:t>5</w:t>
                  </w:r>
                </w:p>
              </w:tc>
              <w:tc>
                <w:tcPr>
                  <w:tcW w:w="603" w:type="pct"/>
                  <w:tcBorders>
                    <w:tl2br w:val="nil"/>
                    <w:tr2bl w:val="nil"/>
                  </w:tcBorders>
                  <w:noWrap w:val="0"/>
                  <w:vAlign w:val="center"/>
                </w:tcPr>
                <w:p>
                  <w:pPr>
                    <w:pStyle w:val="18"/>
                    <w:bidi w:val="0"/>
                  </w:pPr>
                  <w:r>
                    <w:t>达标</w:t>
                  </w:r>
                </w:p>
              </w:tc>
              <w:tc>
                <w:tcPr>
                  <w:tcW w:w="599" w:type="pct"/>
                  <w:tcBorders>
                    <w:tl2br w:val="nil"/>
                    <w:tr2bl w:val="nil"/>
                  </w:tcBorders>
                  <w:noWrap w:val="0"/>
                  <w:vAlign w:val="center"/>
                </w:tcPr>
                <w:p>
                  <w:pPr>
                    <w:pStyle w:val="18"/>
                    <w:bidi w:val="0"/>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75" w:type="pct"/>
                  <w:vMerge w:val="continue"/>
                  <w:tcBorders>
                    <w:tl2br w:val="nil"/>
                    <w:tr2bl w:val="nil"/>
                  </w:tcBorders>
                  <w:noWrap w:val="0"/>
                  <w:vAlign w:val="center"/>
                </w:tcPr>
                <w:p>
                  <w:pPr>
                    <w:pStyle w:val="18"/>
                    <w:bidi w:val="0"/>
                  </w:pPr>
                </w:p>
              </w:tc>
              <w:tc>
                <w:tcPr>
                  <w:tcW w:w="646" w:type="pct"/>
                  <w:tcBorders>
                    <w:tl2br w:val="nil"/>
                    <w:tr2bl w:val="nil"/>
                  </w:tcBorders>
                  <w:noWrap w:val="0"/>
                  <w:vAlign w:val="center"/>
                </w:tcPr>
                <w:p>
                  <w:pPr>
                    <w:pStyle w:val="18"/>
                    <w:bidi w:val="0"/>
                  </w:pPr>
                  <w:r>
                    <w:t>西界</w:t>
                  </w:r>
                </w:p>
              </w:tc>
              <w:tc>
                <w:tcPr>
                  <w:tcW w:w="725" w:type="pct"/>
                  <w:tcBorders>
                    <w:tl2br w:val="nil"/>
                    <w:tr2bl w:val="nil"/>
                  </w:tcBorders>
                  <w:noWrap w:val="0"/>
                  <w:vAlign w:val="center"/>
                </w:tcPr>
                <w:p>
                  <w:pPr>
                    <w:pStyle w:val="18"/>
                    <w:bidi w:val="0"/>
                    <w:rPr>
                      <w:rFonts w:hint="default" w:eastAsia="宋体"/>
                      <w:lang w:val="en-US" w:eastAsia="zh-CN"/>
                    </w:rPr>
                  </w:pPr>
                  <w:r>
                    <w:rPr>
                      <w:rFonts w:hint="eastAsia"/>
                      <w:lang w:val="en-US" w:eastAsia="zh-CN"/>
                    </w:rPr>
                    <w:t>51.7</w:t>
                  </w:r>
                </w:p>
              </w:tc>
              <w:tc>
                <w:tcPr>
                  <w:tcW w:w="725" w:type="pct"/>
                  <w:tcBorders>
                    <w:tl2br w:val="nil"/>
                    <w:tr2bl w:val="nil"/>
                  </w:tcBorders>
                  <w:noWrap w:val="0"/>
                  <w:vAlign w:val="center"/>
                </w:tcPr>
                <w:p>
                  <w:pPr>
                    <w:pStyle w:val="18"/>
                    <w:bidi w:val="0"/>
                    <w:rPr>
                      <w:rFonts w:hint="default" w:eastAsia="宋体"/>
                      <w:lang w:val="en-US" w:eastAsia="zh-CN"/>
                    </w:rPr>
                  </w:pPr>
                  <w:r>
                    <w:rPr>
                      <w:rFonts w:hint="eastAsia"/>
                      <w:lang w:val="en-US" w:eastAsia="zh-CN"/>
                    </w:rPr>
                    <w:t>47.7</w:t>
                  </w:r>
                </w:p>
              </w:tc>
              <w:tc>
                <w:tcPr>
                  <w:tcW w:w="1037" w:type="dxa"/>
                  <w:tcBorders>
                    <w:tl2br w:val="nil"/>
                    <w:tr2bl w:val="nil"/>
                  </w:tcBorders>
                  <w:noWrap w:val="0"/>
                  <w:vAlign w:val="center"/>
                </w:tcPr>
                <w:p>
                  <w:pPr>
                    <w:pStyle w:val="18"/>
                    <w:bidi w:val="0"/>
                    <w:ind w:left="40" w:leftChars="0" w:right="40" w:rightChars="0"/>
                  </w:pPr>
                  <w:r>
                    <w:t>6</w:t>
                  </w:r>
                  <w:r>
                    <w:rPr>
                      <w:rFonts w:hint="eastAsia"/>
                      <w:lang w:val="en-US" w:eastAsia="zh-CN"/>
                    </w:rPr>
                    <w:t>5</w:t>
                  </w:r>
                </w:p>
              </w:tc>
              <w:tc>
                <w:tcPr>
                  <w:tcW w:w="1250" w:type="dxa"/>
                  <w:tcBorders>
                    <w:tl2br w:val="nil"/>
                    <w:tr2bl w:val="nil"/>
                  </w:tcBorders>
                  <w:noWrap w:val="0"/>
                  <w:vAlign w:val="center"/>
                </w:tcPr>
                <w:p>
                  <w:pPr>
                    <w:pStyle w:val="18"/>
                    <w:bidi w:val="0"/>
                    <w:ind w:left="40" w:leftChars="0" w:right="40" w:rightChars="0"/>
                  </w:pPr>
                  <w:r>
                    <w:t>5</w:t>
                  </w:r>
                  <w:r>
                    <w:rPr>
                      <w:rFonts w:hint="eastAsia"/>
                      <w:lang w:val="en-US" w:eastAsia="zh-CN"/>
                    </w:rPr>
                    <w:t>5</w:t>
                  </w:r>
                </w:p>
              </w:tc>
              <w:tc>
                <w:tcPr>
                  <w:tcW w:w="603" w:type="pct"/>
                  <w:tcBorders>
                    <w:tl2br w:val="nil"/>
                    <w:tr2bl w:val="nil"/>
                  </w:tcBorders>
                  <w:noWrap w:val="0"/>
                  <w:vAlign w:val="center"/>
                </w:tcPr>
                <w:p>
                  <w:pPr>
                    <w:pStyle w:val="18"/>
                    <w:bidi w:val="0"/>
                  </w:pPr>
                  <w:r>
                    <w:t>达标</w:t>
                  </w:r>
                </w:p>
              </w:tc>
              <w:tc>
                <w:tcPr>
                  <w:tcW w:w="599" w:type="pct"/>
                  <w:tcBorders>
                    <w:tl2br w:val="nil"/>
                    <w:tr2bl w:val="nil"/>
                  </w:tcBorders>
                  <w:noWrap w:val="0"/>
                  <w:vAlign w:val="center"/>
                </w:tcPr>
                <w:p>
                  <w:pPr>
                    <w:pStyle w:val="18"/>
                    <w:bidi w:val="0"/>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75" w:type="pct"/>
                  <w:vMerge w:val="continue"/>
                  <w:tcBorders>
                    <w:tl2br w:val="nil"/>
                    <w:tr2bl w:val="nil"/>
                  </w:tcBorders>
                  <w:noWrap w:val="0"/>
                  <w:vAlign w:val="center"/>
                </w:tcPr>
                <w:p>
                  <w:pPr>
                    <w:pStyle w:val="18"/>
                    <w:bidi w:val="0"/>
                  </w:pPr>
                </w:p>
              </w:tc>
              <w:tc>
                <w:tcPr>
                  <w:tcW w:w="646" w:type="pct"/>
                  <w:tcBorders>
                    <w:tl2br w:val="nil"/>
                    <w:tr2bl w:val="nil"/>
                  </w:tcBorders>
                  <w:noWrap w:val="0"/>
                  <w:vAlign w:val="center"/>
                </w:tcPr>
                <w:p>
                  <w:pPr>
                    <w:pStyle w:val="18"/>
                    <w:bidi w:val="0"/>
                  </w:pPr>
                  <w:r>
                    <w:t>北界</w:t>
                  </w:r>
                </w:p>
              </w:tc>
              <w:tc>
                <w:tcPr>
                  <w:tcW w:w="725" w:type="pct"/>
                  <w:tcBorders>
                    <w:tl2br w:val="nil"/>
                    <w:tr2bl w:val="nil"/>
                  </w:tcBorders>
                  <w:noWrap w:val="0"/>
                  <w:vAlign w:val="center"/>
                </w:tcPr>
                <w:p>
                  <w:pPr>
                    <w:pStyle w:val="18"/>
                    <w:bidi w:val="0"/>
                    <w:rPr>
                      <w:rFonts w:hint="default" w:eastAsia="宋体"/>
                      <w:lang w:val="en-US" w:eastAsia="zh-CN"/>
                    </w:rPr>
                  </w:pPr>
                  <w:r>
                    <w:rPr>
                      <w:rFonts w:hint="eastAsia"/>
                      <w:lang w:val="en-US" w:eastAsia="zh-CN"/>
                    </w:rPr>
                    <w:t>49.2</w:t>
                  </w:r>
                </w:p>
              </w:tc>
              <w:tc>
                <w:tcPr>
                  <w:tcW w:w="725" w:type="pct"/>
                  <w:tcBorders>
                    <w:tl2br w:val="nil"/>
                    <w:tr2bl w:val="nil"/>
                  </w:tcBorders>
                  <w:noWrap w:val="0"/>
                  <w:vAlign w:val="center"/>
                </w:tcPr>
                <w:p>
                  <w:pPr>
                    <w:pStyle w:val="18"/>
                    <w:bidi w:val="0"/>
                    <w:rPr>
                      <w:rFonts w:hint="default" w:eastAsia="宋体"/>
                      <w:lang w:val="en-US" w:eastAsia="zh-CN"/>
                    </w:rPr>
                  </w:pPr>
                  <w:r>
                    <w:rPr>
                      <w:rFonts w:hint="eastAsia"/>
                      <w:lang w:val="en-US" w:eastAsia="zh-CN"/>
                    </w:rPr>
                    <w:t>46.3</w:t>
                  </w:r>
                </w:p>
              </w:tc>
              <w:tc>
                <w:tcPr>
                  <w:tcW w:w="1037" w:type="dxa"/>
                  <w:tcBorders>
                    <w:tl2br w:val="nil"/>
                    <w:tr2bl w:val="nil"/>
                  </w:tcBorders>
                  <w:noWrap w:val="0"/>
                  <w:vAlign w:val="center"/>
                </w:tcPr>
                <w:p>
                  <w:pPr>
                    <w:pStyle w:val="18"/>
                    <w:bidi w:val="0"/>
                    <w:ind w:left="40" w:leftChars="0" w:right="40" w:rightChars="0"/>
                  </w:pPr>
                  <w:r>
                    <w:t>6</w:t>
                  </w:r>
                  <w:r>
                    <w:rPr>
                      <w:rFonts w:hint="eastAsia"/>
                      <w:lang w:val="en-US" w:eastAsia="zh-CN"/>
                    </w:rPr>
                    <w:t>5</w:t>
                  </w:r>
                </w:p>
              </w:tc>
              <w:tc>
                <w:tcPr>
                  <w:tcW w:w="1250" w:type="dxa"/>
                  <w:tcBorders>
                    <w:tl2br w:val="nil"/>
                    <w:tr2bl w:val="nil"/>
                  </w:tcBorders>
                  <w:noWrap w:val="0"/>
                  <w:vAlign w:val="center"/>
                </w:tcPr>
                <w:p>
                  <w:pPr>
                    <w:pStyle w:val="18"/>
                    <w:bidi w:val="0"/>
                    <w:ind w:left="40" w:leftChars="0" w:right="40" w:rightChars="0"/>
                  </w:pPr>
                  <w:r>
                    <w:t>5</w:t>
                  </w:r>
                  <w:r>
                    <w:rPr>
                      <w:rFonts w:hint="eastAsia"/>
                      <w:lang w:val="en-US" w:eastAsia="zh-CN"/>
                    </w:rPr>
                    <w:t>5</w:t>
                  </w:r>
                </w:p>
              </w:tc>
              <w:tc>
                <w:tcPr>
                  <w:tcW w:w="603" w:type="pct"/>
                  <w:tcBorders>
                    <w:tl2br w:val="nil"/>
                    <w:tr2bl w:val="nil"/>
                  </w:tcBorders>
                  <w:noWrap w:val="0"/>
                  <w:vAlign w:val="center"/>
                </w:tcPr>
                <w:p>
                  <w:pPr>
                    <w:pStyle w:val="18"/>
                    <w:bidi w:val="0"/>
                  </w:pPr>
                  <w:r>
                    <w:t>达标</w:t>
                  </w:r>
                </w:p>
              </w:tc>
              <w:tc>
                <w:tcPr>
                  <w:tcW w:w="599" w:type="pct"/>
                  <w:tcBorders>
                    <w:tl2br w:val="nil"/>
                    <w:tr2bl w:val="nil"/>
                  </w:tcBorders>
                  <w:noWrap w:val="0"/>
                  <w:vAlign w:val="center"/>
                </w:tcPr>
                <w:p>
                  <w:pPr>
                    <w:pStyle w:val="18"/>
                    <w:bidi w:val="0"/>
                  </w:pPr>
                  <w:r>
                    <w:t>达标</w:t>
                  </w:r>
                </w:p>
              </w:tc>
            </w:tr>
          </w:tbl>
          <w:p>
            <w:pPr>
              <w:pStyle w:val="19"/>
              <w:bidi w:val="0"/>
              <w:rPr>
                <w:rFonts w:hint="default"/>
                <w:lang w:val="en-US" w:eastAsia="zh-CN"/>
              </w:rPr>
            </w:pPr>
            <w:r>
              <w:rPr>
                <w:rFonts w:hint="eastAsia"/>
                <w:lang w:val="en-US" w:eastAsia="zh-CN"/>
              </w:rPr>
              <w:t>综上所述，该项目符合《工业企业厂界环境噪声排放标准》，对周边噪声影响较小。</w:t>
            </w:r>
          </w:p>
          <w:p>
            <w:pPr>
              <w:pStyle w:val="4"/>
              <w:bidi w:val="0"/>
              <w:rPr>
                <w:rFonts w:hint="default"/>
                <w:lang w:val="en-US" w:eastAsia="zh-CN"/>
              </w:rPr>
            </w:pPr>
            <w:bookmarkStart w:id="62" w:name="_Toc8922"/>
            <w:bookmarkStart w:id="63" w:name="_Toc16091"/>
            <w:r>
              <w:rPr>
                <w:rFonts w:hint="eastAsia"/>
                <w:lang w:val="en-US" w:eastAsia="zh-CN"/>
              </w:rPr>
              <w:t>4、固体废物环境影响分析</w:t>
            </w:r>
            <w:bookmarkEnd w:id="62"/>
            <w:bookmarkEnd w:id="63"/>
          </w:p>
          <w:p>
            <w:pPr>
              <w:pStyle w:val="19"/>
              <w:bidi w:val="0"/>
              <w:rPr>
                <w:rFonts w:hint="default"/>
                <w:lang w:val="en-US" w:eastAsia="zh-CN"/>
              </w:rPr>
            </w:pPr>
            <w:r>
              <w:rPr>
                <w:rFonts w:hint="eastAsia"/>
                <w:lang w:val="en-US" w:eastAsia="zh-CN"/>
              </w:rPr>
              <w:t>（1）产排放情况</w:t>
            </w:r>
          </w:p>
          <w:p>
            <w:pPr>
              <w:pStyle w:val="19"/>
              <w:bidi w:val="0"/>
              <w:rPr>
                <w:rFonts w:hint="default"/>
                <w:lang w:val="en-US" w:eastAsia="zh-CN"/>
              </w:rPr>
            </w:pPr>
            <w:r>
              <w:rPr>
                <w:rFonts w:hint="eastAsia"/>
                <w:lang w:val="en-US" w:eastAsia="zh-CN"/>
              </w:rPr>
              <w:t>1.无害化锰渣</w:t>
            </w:r>
          </w:p>
          <w:p>
            <w:pPr>
              <w:pStyle w:val="19"/>
              <w:bidi w:val="0"/>
              <w:rPr>
                <w:rFonts w:hint="default"/>
                <w:lang w:val="en-US" w:eastAsia="zh-CN"/>
              </w:rPr>
            </w:pPr>
            <w:r>
              <w:rPr>
                <w:rFonts w:hint="default"/>
                <w:lang w:val="en-US" w:eastAsia="zh-CN"/>
              </w:rPr>
              <w:t>主要固体废物为无害化处理的无害</w:t>
            </w:r>
            <w:r>
              <w:rPr>
                <w:rFonts w:hint="eastAsia"/>
                <w:lang w:val="en-US" w:eastAsia="zh-CN"/>
              </w:rPr>
              <w:t>锰</w:t>
            </w:r>
            <w:r>
              <w:rPr>
                <w:rFonts w:hint="default"/>
                <w:lang w:val="en-US" w:eastAsia="zh-CN"/>
              </w:rPr>
              <w:t>渣，产出量为</w:t>
            </w:r>
            <w:r>
              <w:rPr>
                <w:rFonts w:hint="eastAsia"/>
                <w:lang w:val="en-US" w:eastAsia="zh-CN"/>
              </w:rPr>
              <w:t>27万</w:t>
            </w:r>
            <w:r>
              <w:rPr>
                <w:rFonts w:hint="default"/>
                <w:lang w:val="en-US" w:eastAsia="zh-CN"/>
              </w:rPr>
              <w:t>t/a，含</w:t>
            </w:r>
            <w:r>
              <w:rPr>
                <w:rFonts w:hint="default"/>
                <w:color w:val="auto"/>
                <w:lang w:val="en-US" w:eastAsia="zh-CN"/>
              </w:rPr>
              <w:t>水</w:t>
            </w:r>
            <w:r>
              <w:rPr>
                <w:rFonts w:hint="eastAsia"/>
                <w:color w:val="auto"/>
                <w:lang w:val="en-US" w:eastAsia="zh-CN"/>
              </w:rPr>
              <w:t>约22</w:t>
            </w:r>
            <w:r>
              <w:rPr>
                <w:rFonts w:hint="default"/>
                <w:color w:val="auto"/>
                <w:lang w:val="en-US" w:eastAsia="zh-CN"/>
              </w:rPr>
              <w:t>%</w:t>
            </w:r>
            <w:r>
              <w:rPr>
                <w:rFonts w:hint="default"/>
                <w:lang w:val="en-US" w:eastAsia="zh-CN"/>
              </w:rPr>
              <w:t>，达到尾渣堆存要求。</w:t>
            </w:r>
            <w:r>
              <w:rPr>
                <w:rFonts w:hint="eastAsia"/>
                <w:lang w:val="en-US" w:eastAsia="zh-CN"/>
              </w:rPr>
              <w:t>根据建设单位提供的资料，无害化锰渣达到一类固废的要求，其中约50%在项目进行资源化利用，另外50%作为建筑原材料外售。</w:t>
            </w:r>
          </w:p>
          <w:p>
            <w:pPr>
              <w:pStyle w:val="19"/>
              <w:bidi w:val="0"/>
              <w:rPr>
                <w:rFonts w:hint="default"/>
                <w:lang w:val="en-US" w:eastAsia="zh-CN"/>
              </w:rPr>
            </w:pPr>
            <w:r>
              <w:rPr>
                <w:rFonts w:hint="eastAsia"/>
                <w:lang w:val="en-US" w:eastAsia="zh-CN"/>
              </w:rPr>
              <w:t>无害化</w:t>
            </w:r>
            <w:r>
              <w:rPr>
                <w:rFonts w:hint="default"/>
                <w:lang w:val="en-US" w:eastAsia="zh-CN"/>
              </w:rPr>
              <w:t>锰渣为</w:t>
            </w:r>
            <w:r>
              <w:rPr>
                <w:rFonts w:hint="eastAsia"/>
                <w:lang w:val="en-US" w:eastAsia="zh-CN"/>
              </w:rPr>
              <w:t>第I类</w:t>
            </w:r>
            <w:r>
              <w:rPr>
                <w:rFonts w:hint="default"/>
                <w:lang w:val="en-US" w:eastAsia="zh-CN"/>
              </w:rPr>
              <w:t>一般</w:t>
            </w:r>
            <w:r>
              <w:rPr>
                <w:rFonts w:hint="eastAsia"/>
                <w:lang w:val="en-US" w:eastAsia="zh-CN"/>
              </w:rPr>
              <w:t>工业</w:t>
            </w:r>
            <w:r>
              <w:rPr>
                <w:rFonts w:hint="default"/>
                <w:lang w:val="en-US" w:eastAsia="zh-CN"/>
              </w:rPr>
              <w:t>固</w:t>
            </w:r>
            <w:r>
              <w:rPr>
                <w:rFonts w:hint="eastAsia"/>
                <w:lang w:val="en-US" w:eastAsia="zh-CN"/>
              </w:rPr>
              <w:t>体</w:t>
            </w:r>
            <w:r>
              <w:rPr>
                <w:rFonts w:hint="default"/>
                <w:lang w:val="en-US" w:eastAsia="zh-CN"/>
              </w:rPr>
              <w:t>废</w:t>
            </w:r>
            <w:r>
              <w:rPr>
                <w:rFonts w:hint="eastAsia"/>
                <w:lang w:val="en-US" w:eastAsia="zh-CN"/>
              </w:rPr>
              <w:t>物</w:t>
            </w:r>
            <w:r>
              <w:rPr>
                <w:rFonts w:hint="default"/>
                <w:lang w:val="en-US" w:eastAsia="zh-CN"/>
              </w:rPr>
              <w:t>，不属于危废，但为了避免锰渣渗滤液造成二次污染，锰渣仓库按照危险废物贮存污染控制标准GB18597-20</w:t>
            </w:r>
            <w:r>
              <w:rPr>
                <w:rFonts w:hint="eastAsia"/>
                <w:lang w:val="en-US" w:eastAsia="zh-CN"/>
              </w:rPr>
              <w:t>23</w:t>
            </w:r>
            <w:r>
              <w:rPr>
                <w:rFonts w:hint="default"/>
                <w:lang w:val="en-US" w:eastAsia="zh-CN"/>
              </w:rPr>
              <w:t>的要求进行防渗处理。</w:t>
            </w:r>
          </w:p>
          <w:p>
            <w:pPr>
              <w:pStyle w:val="19"/>
              <w:bidi w:val="0"/>
              <w:rPr>
                <w:rFonts w:hint="default"/>
                <w:lang w:val="en-US" w:eastAsia="zh-CN"/>
              </w:rPr>
            </w:pPr>
            <w:r>
              <w:rPr>
                <w:rFonts w:hint="eastAsia"/>
                <w:lang w:val="en-US" w:eastAsia="zh-CN"/>
              </w:rPr>
              <w:t>2.生活垃圾</w:t>
            </w:r>
          </w:p>
          <w:p>
            <w:pPr>
              <w:keepNext w:val="0"/>
              <w:keepLines w:val="0"/>
              <w:widowControl/>
              <w:suppressLineNumbers w:val="0"/>
              <w:ind w:firstLine="480" w:firstLineChars="200"/>
              <w:jc w:val="left"/>
            </w:pPr>
            <w:r>
              <w:rPr>
                <w:rFonts w:hint="eastAsia" w:ascii="宋体" w:hAnsi="宋体" w:eastAsia="宋体" w:cs="宋体"/>
                <w:color w:val="000000"/>
                <w:kern w:val="0"/>
                <w:sz w:val="24"/>
                <w:szCs w:val="24"/>
                <w:lang w:val="en-US" w:eastAsia="zh-CN" w:bidi="ar"/>
              </w:rPr>
              <w:t>本项目新增职工约</w:t>
            </w:r>
            <w:r>
              <w:rPr>
                <w:rStyle w:val="21"/>
                <w:rFonts w:hint="eastAsia"/>
                <w:lang w:val="en-US" w:eastAsia="zh-CN"/>
              </w:rPr>
              <w:t>368</w:t>
            </w:r>
            <w:r>
              <w:rPr>
                <w:rFonts w:hint="eastAsia" w:ascii="宋体" w:hAnsi="宋体" w:eastAsia="宋体" w:cs="宋体"/>
                <w:color w:val="000000"/>
                <w:kern w:val="0"/>
                <w:sz w:val="24"/>
                <w:szCs w:val="24"/>
                <w:lang w:val="en-US" w:eastAsia="zh-CN" w:bidi="ar"/>
              </w:rPr>
              <w:t>人，按照每人每天产生垃圾</w:t>
            </w:r>
            <w:r>
              <w:rPr>
                <w:rFonts w:hint="default" w:ascii="Times New Roman" w:hAnsi="Times New Roman" w:eastAsia="宋体" w:cs="Times New Roman"/>
                <w:color w:val="000000"/>
                <w:kern w:val="0"/>
                <w:sz w:val="24"/>
                <w:szCs w:val="24"/>
                <w:lang w:val="en-US" w:eastAsia="zh-CN" w:bidi="ar"/>
              </w:rPr>
              <w:t>0.5kg</w:t>
            </w:r>
            <w:r>
              <w:rPr>
                <w:rFonts w:hint="eastAsia" w:ascii="宋体" w:hAnsi="宋体" w:eastAsia="宋体" w:cs="宋体"/>
                <w:color w:val="000000"/>
                <w:kern w:val="0"/>
                <w:sz w:val="24"/>
                <w:szCs w:val="24"/>
                <w:lang w:val="en-US" w:eastAsia="zh-CN" w:bidi="ar"/>
              </w:rPr>
              <w:t>，工作日以</w:t>
            </w:r>
            <w:r>
              <w:rPr>
                <w:rFonts w:hint="default" w:ascii="Times New Roman" w:hAnsi="Times New Roman" w:eastAsia="宋体" w:cs="Times New Roman"/>
                <w:color w:val="000000"/>
                <w:kern w:val="0"/>
                <w:sz w:val="24"/>
                <w:szCs w:val="24"/>
                <w:lang w:val="en-US" w:eastAsia="zh-CN" w:bidi="ar"/>
              </w:rPr>
              <w:t>300d</w:t>
            </w:r>
            <w:r>
              <w:rPr>
                <w:rFonts w:hint="eastAsia" w:ascii="宋体" w:hAnsi="宋体" w:eastAsia="宋体" w:cs="宋体"/>
                <w:color w:val="000000"/>
                <w:kern w:val="0"/>
                <w:sz w:val="24"/>
                <w:szCs w:val="24"/>
                <w:lang w:val="en-US" w:eastAsia="zh-CN" w:bidi="ar"/>
              </w:rPr>
              <w:t>计算，则生活垃圾的产生量为</w:t>
            </w:r>
            <w:r>
              <w:rPr>
                <w:rFonts w:hint="eastAsia" w:ascii="Times New Roman" w:hAnsi="Times New Roman" w:eastAsia="宋体" w:cs="Times New Roman"/>
                <w:color w:val="000000"/>
                <w:kern w:val="0"/>
                <w:sz w:val="24"/>
                <w:szCs w:val="24"/>
                <w:lang w:val="en-US" w:eastAsia="zh-CN" w:bidi="ar"/>
              </w:rPr>
              <w:t>55.2</w:t>
            </w:r>
            <w:r>
              <w:rPr>
                <w:rFonts w:hint="default" w:ascii="Times New Roman" w:hAnsi="Times New Roman" w:eastAsia="宋体" w:cs="Times New Roman"/>
                <w:color w:val="000000"/>
                <w:kern w:val="0"/>
                <w:sz w:val="24"/>
                <w:szCs w:val="24"/>
                <w:lang w:val="en-US" w:eastAsia="zh-CN" w:bidi="ar"/>
              </w:rPr>
              <w:t>t/a</w:t>
            </w:r>
            <w:r>
              <w:rPr>
                <w:rFonts w:hint="eastAsia" w:ascii="宋体" w:hAnsi="宋体" w:eastAsia="宋体" w:cs="宋体"/>
                <w:color w:val="000000"/>
                <w:kern w:val="0"/>
                <w:sz w:val="24"/>
                <w:szCs w:val="24"/>
                <w:lang w:val="en-US" w:eastAsia="zh-CN" w:bidi="ar"/>
              </w:rPr>
              <w:t>，生活垃圾分类后委托当地环卫部门处理，处置措施可行有效。</w:t>
            </w:r>
          </w:p>
          <w:p>
            <w:pPr>
              <w:pStyle w:val="19"/>
              <w:bidi w:val="0"/>
              <w:rPr>
                <w:rFonts w:hint="default"/>
                <w:lang w:val="en-US" w:eastAsia="zh-CN"/>
              </w:rPr>
            </w:pPr>
            <w:r>
              <w:rPr>
                <w:rFonts w:hint="eastAsia"/>
                <w:lang w:val="en-US" w:eastAsia="zh-CN"/>
              </w:rPr>
              <w:t>3.废矿物油</w:t>
            </w:r>
          </w:p>
          <w:p>
            <w:pPr>
              <w:pStyle w:val="19"/>
              <w:bidi w:val="0"/>
              <w:rPr>
                <w:rFonts w:hint="default"/>
                <w:lang w:val="en-US" w:eastAsia="zh-CN"/>
              </w:rPr>
            </w:pPr>
            <w:r>
              <w:rPr>
                <w:rFonts w:hint="default"/>
                <w:lang w:val="en-US" w:eastAsia="zh-CN"/>
              </w:rPr>
              <w:t>为了保障各类设备的正常运转，会使用到润滑油，对其各类设备进行定期的维护保养。润滑油在使用过程中由于高温及空气的氧化作用，会逐渐老化变质。摩擦部件磨下来的金属粉末、从外界进入油中的水分和杂质，也会对油的氧化起催化作用，所以润滑油在使用过程中颜色逐渐变深，酸值上升，并且会产生沉淀物、油泥、漆膜，这些物质沉积在摩擦部件的表面、润滑油流通的孔道和滤清器上，会引起机器的各种故障。同时在酸性物质和过氧化物的共同作用下金属腐蚀的速度加快，所以润滑油在使用过程中会逐渐变质，到一定时间后需要更换，其产生量约 0.5t/a。根据《国家危险废物目录》可知，上述危险废物的危废类别为“HW08，废矿物油”。产生的废润滑油由有资质单位进行处理。</w:t>
            </w:r>
          </w:p>
          <w:p>
            <w:pPr>
              <w:pStyle w:val="19"/>
              <w:bidi w:val="0"/>
              <w:rPr>
                <w:rFonts w:hint="default"/>
                <w:lang w:val="en-US" w:eastAsia="zh-CN"/>
              </w:rPr>
            </w:pPr>
            <w:r>
              <w:rPr>
                <w:rFonts w:hint="eastAsia"/>
                <w:lang w:val="en-US" w:eastAsia="zh-CN"/>
              </w:rPr>
              <w:t>4.实验检测室废酸、废碱及残液</w:t>
            </w:r>
          </w:p>
          <w:p>
            <w:pPr>
              <w:pStyle w:val="19"/>
              <w:bidi w:val="0"/>
              <w:rPr>
                <w:rFonts w:hint="default"/>
                <w:lang w:val="en-US" w:eastAsia="zh-CN"/>
              </w:rPr>
            </w:pPr>
            <w:r>
              <w:rPr>
                <w:rFonts w:hint="eastAsia"/>
                <w:lang w:val="en-US" w:eastAsia="zh-CN"/>
              </w:rPr>
              <w:t>对锰渣定期进行成分分析残留的废酸、废碱及残液作为危废处理，产生量约为0.1t/a，</w:t>
            </w:r>
            <w:r>
              <w:rPr>
                <w:rFonts w:hint="default"/>
                <w:lang w:val="en-US" w:eastAsia="zh-CN"/>
              </w:rPr>
              <w:t>根据《国家危险废物目录》可知，上述危险废物的危废类别为“HW</w:t>
            </w:r>
            <w:r>
              <w:rPr>
                <w:rFonts w:hint="eastAsia"/>
                <w:lang w:val="en-US" w:eastAsia="zh-CN"/>
              </w:rPr>
              <w:t>49，</w:t>
            </w:r>
            <w:r>
              <w:t>900-047-49</w:t>
            </w:r>
            <w:r>
              <w:rPr>
                <w:rFonts w:hint="default"/>
                <w:lang w:val="en-US" w:eastAsia="zh-CN"/>
              </w:rPr>
              <w:t>，生产、研究、开发、教学、环境检测（监测）活动中，化学和生物实验室（不包含感染性医学实验室及医疗机构化验室）产生的含氰、氟、重金属无机废液及无机废液处理产生的残渣、残液”。</w:t>
            </w:r>
            <w:r>
              <w:rPr>
                <w:rFonts w:hint="eastAsia"/>
                <w:lang w:val="en-US" w:eastAsia="zh-CN"/>
              </w:rPr>
              <w:t>产生的实验检测室废酸由有资质的单位定期处理。</w:t>
            </w:r>
          </w:p>
          <w:p>
            <w:pPr>
              <w:pStyle w:val="19"/>
              <w:bidi w:val="0"/>
              <w:rPr>
                <w:rFonts w:hint="default"/>
                <w:lang w:val="en-US" w:eastAsia="zh-CN"/>
              </w:rPr>
            </w:pPr>
            <w:r>
              <w:rPr>
                <w:rFonts w:hint="eastAsia"/>
                <w:lang w:val="en-US" w:eastAsia="zh-CN"/>
              </w:rPr>
              <w:t>（2）建设和日常管理、运输要求</w:t>
            </w:r>
          </w:p>
          <w:p>
            <w:pPr>
              <w:pStyle w:val="19"/>
              <w:bidi w:val="0"/>
              <w:rPr>
                <w:rFonts w:hint="default"/>
                <w:lang w:val="en-US" w:eastAsia="zh-CN"/>
              </w:rPr>
            </w:pPr>
            <w:r>
              <w:rPr>
                <w:rFonts w:hint="eastAsia"/>
                <w:lang w:val="en-US" w:eastAsia="zh-CN"/>
              </w:rPr>
              <w:t>1.危废间</w:t>
            </w:r>
          </w:p>
          <w:p>
            <w:pPr>
              <w:pStyle w:val="19"/>
              <w:bidi w:val="0"/>
              <w:rPr>
                <w:rFonts w:hint="default"/>
                <w:lang w:val="en-US" w:eastAsia="zh-CN"/>
              </w:rPr>
            </w:pPr>
            <w:r>
              <w:rPr>
                <w:rFonts w:hint="default"/>
                <w:lang w:val="en-US" w:eastAsia="zh-CN"/>
              </w:rPr>
              <w:t>危险废物按照《危险废物贮存污染控制标准》（GB18597-2023）、《危险废物管理制度》及《危险废物转移联单管理办法》和国家有关危险废物的法律法规、管理办法来存储和处置。本项目涉及的危险废物在项目区内贮存存在一定的风险。当遇火种或高温时易发生火灾；其次，废机油等石油类物质渗漏将引起地下水污染。</w:t>
            </w:r>
          </w:p>
          <w:p>
            <w:pPr>
              <w:pStyle w:val="19"/>
              <w:bidi w:val="0"/>
              <w:rPr>
                <w:rFonts w:hint="default"/>
                <w:lang w:val="en-US" w:eastAsia="zh-CN"/>
              </w:rPr>
            </w:pPr>
            <w:r>
              <w:rPr>
                <w:rFonts w:hint="default"/>
                <w:lang w:val="en-US" w:eastAsia="zh-CN"/>
              </w:rPr>
              <w:t>所以必须加强危险废物的管理。新建危废暂存间必须根据《危险废物贮存污染控制标准》（GB18597-2023）相关要求进行建设及防渗。具体方案如下：</w:t>
            </w:r>
          </w:p>
          <w:p>
            <w:pPr>
              <w:pStyle w:val="19"/>
              <w:bidi w:val="0"/>
              <w:rPr>
                <w:rFonts w:hint="default"/>
                <w:lang w:val="en-US" w:eastAsia="zh-CN"/>
              </w:rPr>
            </w:pPr>
            <w:r>
              <w:rPr>
                <w:rFonts w:hint="default"/>
                <w:lang w:val="en-US" w:eastAsia="zh-CN"/>
              </w:rPr>
              <w:t>①基础必须防渗，防渗层为至少 1m 厚粘土层，或 2mm 厚高密度聚乙烯，或至少2mm 厚的其它人工材料。</w:t>
            </w:r>
          </w:p>
          <w:p>
            <w:pPr>
              <w:pStyle w:val="19"/>
              <w:bidi w:val="0"/>
              <w:rPr>
                <w:rFonts w:hint="default"/>
                <w:lang w:val="en-US" w:eastAsia="zh-CN"/>
              </w:rPr>
            </w:pPr>
            <w:r>
              <w:rPr>
                <w:rFonts w:hint="default"/>
                <w:lang w:val="en-US" w:eastAsia="zh-CN"/>
              </w:rPr>
              <w:t>②用以存放装载液体、半固体危险废物容器的地方，必须有耐腐蚀的硬化地面，且表面无裂隙。</w:t>
            </w:r>
          </w:p>
          <w:p>
            <w:pPr>
              <w:pStyle w:val="19"/>
              <w:bidi w:val="0"/>
              <w:rPr>
                <w:rFonts w:hint="default"/>
                <w:lang w:val="en-US" w:eastAsia="zh-CN"/>
              </w:rPr>
            </w:pPr>
            <w:r>
              <w:rPr>
                <w:rFonts w:hint="default"/>
                <w:lang w:val="en-US" w:eastAsia="zh-CN"/>
              </w:rPr>
              <w:t>③严格按照要求做好“三防”措施，即防扬散、防流失、防渗漏，其库房尺寸由企业按照实际需要自行决定。</w:t>
            </w:r>
          </w:p>
          <w:p>
            <w:pPr>
              <w:pStyle w:val="19"/>
              <w:bidi w:val="0"/>
              <w:rPr>
                <w:rFonts w:hint="default"/>
                <w:lang w:val="en-US" w:eastAsia="zh-CN"/>
              </w:rPr>
            </w:pPr>
            <w:r>
              <w:rPr>
                <w:rFonts w:hint="default"/>
                <w:lang w:val="en-US" w:eastAsia="zh-CN"/>
              </w:rPr>
              <w:t>④暂存库库房外墙应设置环境保护监督牌，标识以下内容：单位名称、污染物类别、工艺流程、产污工序、监管要求和管理要点、企业环境监管员、联系电话、环保投诉和报警电话等相关内容。</w:t>
            </w:r>
          </w:p>
          <w:p>
            <w:pPr>
              <w:pStyle w:val="19"/>
              <w:bidi w:val="0"/>
              <w:rPr>
                <w:rFonts w:hint="default"/>
                <w:lang w:val="en-US" w:eastAsia="zh-CN"/>
              </w:rPr>
            </w:pPr>
            <w:r>
              <w:rPr>
                <w:rFonts w:hint="default"/>
                <w:lang w:val="en-US" w:eastAsia="zh-CN"/>
              </w:rPr>
              <w:t>⑤企业所有涉及危险废物管理的制度、岗位职责、应急预案等编制成册。</w:t>
            </w:r>
          </w:p>
          <w:p>
            <w:pPr>
              <w:pStyle w:val="19"/>
              <w:bidi w:val="0"/>
            </w:pPr>
            <w:r>
              <w:rPr>
                <w:rFonts w:hint="default"/>
                <w:lang w:val="en-US" w:eastAsia="zh-CN"/>
              </w:rPr>
              <w:t>⑥危险废物暂存库应准备锯末、干沙、吸附棉、干粉灭火器等设施，特别是要专</w:t>
            </w:r>
            <w:r>
              <w:rPr>
                <w:rFonts w:hint="eastAsia"/>
                <w:lang w:val="en-US" w:eastAsia="zh-CN"/>
              </w:rPr>
              <w:t>门配置防毒面具，统一放置在库房内备用，做好消防措施。</w:t>
            </w:r>
          </w:p>
          <w:p>
            <w:pPr>
              <w:pStyle w:val="19"/>
              <w:bidi w:val="0"/>
              <w:rPr>
                <w:rFonts w:hint="default"/>
                <w:lang w:val="en-US" w:eastAsia="zh-CN"/>
              </w:rPr>
            </w:pPr>
            <w:r>
              <w:rPr>
                <w:rFonts w:hint="eastAsia"/>
                <w:lang w:val="en-US" w:eastAsia="zh-CN"/>
              </w:rPr>
              <w:t>2.固体废物</w:t>
            </w:r>
          </w:p>
          <w:p>
            <w:pPr>
              <w:pStyle w:val="19"/>
              <w:bidi w:val="0"/>
              <w:rPr>
                <w:rFonts w:hint="default"/>
                <w:lang w:val="en-US" w:eastAsia="zh-CN"/>
              </w:rPr>
            </w:pPr>
            <w:r>
              <w:rPr>
                <w:rFonts w:hint="default"/>
                <w:lang w:val="en-US" w:eastAsia="zh-CN"/>
              </w:rPr>
              <w:t>Ⅰ、须做好固废情况的</w:t>
            </w:r>
            <w:r>
              <w:rPr>
                <w:rFonts w:hint="eastAsia"/>
                <w:lang w:val="en-US" w:eastAsia="zh-CN"/>
              </w:rPr>
              <w:t>记</w:t>
            </w:r>
            <w:r>
              <w:rPr>
                <w:rFonts w:hint="default"/>
                <w:lang w:val="en-US" w:eastAsia="zh-CN"/>
              </w:rPr>
              <w:t>录，记录上须注明固废的名称、来源、数量、特性和包装容器的类别、入库日期、堆放库位、废物出库日期及接收单位名称。</w:t>
            </w:r>
          </w:p>
          <w:p>
            <w:pPr>
              <w:pStyle w:val="19"/>
              <w:bidi w:val="0"/>
              <w:rPr>
                <w:rFonts w:hint="default"/>
                <w:lang w:val="en-US" w:eastAsia="zh-CN"/>
              </w:rPr>
            </w:pPr>
            <w:r>
              <w:rPr>
                <w:rFonts w:hint="default"/>
                <w:lang w:val="en-US" w:eastAsia="zh-CN"/>
              </w:rPr>
              <w:t>Ⅱ、加强固废在厂内和厂外的转运管理，严格废渣转运通道，尽量减少固废撒落，对撒落的固废进行及时清扫，避免二次污染。</w:t>
            </w:r>
          </w:p>
          <w:p>
            <w:pPr>
              <w:pStyle w:val="19"/>
              <w:bidi w:val="0"/>
              <w:rPr>
                <w:rFonts w:hint="default"/>
                <w:lang w:val="en-US" w:eastAsia="zh-CN"/>
              </w:rPr>
            </w:pPr>
            <w:r>
              <w:rPr>
                <w:rFonts w:hint="default"/>
                <w:lang w:val="en-US" w:eastAsia="zh-CN"/>
              </w:rPr>
              <w:t>Ⅲ、定期对暂存间进行检查，发现破损，应及时进行修理。</w:t>
            </w:r>
          </w:p>
          <w:p>
            <w:pPr>
              <w:pStyle w:val="19"/>
              <w:bidi w:val="0"/>
              <w:rPr>
                <w:rFonts w:hint="default"/>
                <w:lang w:val="en-US" w:eastAsia="zh-CN"/>
              </w:rPr>
            </w:pPr>
            <w:r>
              <w:rPr>
                <w:rFonts w:hint="default"/>
                <w:lang w:val="en-US" w:eastAsia="zh-CN"/>
              </w:rPr>
              <w:t>Ⅳ、固废暂存间需按相关规定设置警示标志。</w:t>
            </w:r>
          </w:p>
          <w:p>
            <w:pPr>
              <w:pStyle w:val="19"/>
              <w:bidi w:val="0"/>
              <w:rPr>
                <w:rFonts w:hint="default"/>
                <w:lang w:val="en-US" w:eastAsia="zh-CN"/>
              </w:rPr>
            </w:pPr>
            <w:r>
              <w:rPr>
                <w:rFonts w:hint="default"/>
                <w:lang w:val="en-US" w:eastAsia="zh-CN"/>
              </w:rPr>
              <w:t>Ⅴ、及时清扫包装和装卸过程中散落的烟灰，严禁将烟灰随意散堆，避免刮风产生大量扬尘及雨水冲刷造成二次污染。</w:t>
            </w:r>
          </w:p>
          <w:p>
            <w:pPr>
              <w:pStyle w:val="19"/>
              <w:bidi w:val="0"/>
              <w:rPr>
                <w:rFonts w:hint="default"/>
                <w:lang w:val="en-US" w:eastAsia="zh-CN"/>
              </w:rPr>
            </w:pPr>
            <w:r>
              <w:rPr>
                <w:rFonts w:hint="default"/>
                <w:lang w:val="en-US" w:eastAsia="zh-CN"/>
              </w:rPr>
              <w:t>Ⅵ、加强对固废的日常管理，并按国家有关固废管理办法，办理好固废的贮存、转移手续。</w:t>
            </w:r>
          </w:p>
          <w:p>
            <w:pPr>
              <w:pStyle w:val="19"/>
              <w:bidi w:val="0"/>
              <w:rPr>
                <w:rFonts w:hint="default"/>
                <w:lang w:val="en-US" w:eastAsia="zh-CN"/>
              </w:rPr>
            </w:pPr>
            <w:r>
              <w:rPr>
                <w:rFonts w:hint="eastAsia"/>
                <w:lang w:val="en-US" w:eastAsia="zh-CN"/>
              </w:rPr>
              <w:t>3.运输要求</w:t>
            </w:r>
          </w:p>
          <w:p>
            <w:pPr>
              <w:pStyle w:val="19"/>
              <w:bidi w:val="0"/>
              <w:rPr>
                <w:rFonts w:hint="default"/>
                <w:lang w:val="en-US" w:eastAsia="zh-CN"/>
              </w:rPr>
            </w:pPr>
            <w:r>
              <w:rPr>
                <w:rFonts w:hint="default"/>
                <w:lang w:val="en-US" w:eastAsia="zh-CN"/>
              </w:rPr>
              <w:t>Ⅰ、运输线路尽量避开居民集中区、饮用水源保护区等环境敏感点。</w:t>
            </w:r>
          </w:p>
          <w:p>
            <w:pPr>
              <w:pStyle w:val="19"/>
              <w:bidi w:val="0"/>
              <w:rPr>
                <w:rFonts w:hint="default"/>
                <w:lang w:val="en-US" w:eastAsia="zh-CN"/>
              </w:rPr>
            </w:pPr>
            <w:r>
              <w:rPr>
                <w:rFonts w:hint="default"/>
                <w:lang w:val="en-US" w:eastAsia="zh-CN"/>
              </w:rPr>
              <w:t>Ⅱ、运输车辆必须要有塑料内衬和帆布盖顶，有条件的可将废渣袋装，运输过程中要防渗漏、防扬撒，不得超载；并配备发生事故的应急工具、药剂或其他辅助材料，以便于消除或减轻对环境的污染危害。</w:t>
            </w:r>
          </w:p>
          <w:p>
            <w:pPr>
              <w:pStyle w:val="19"/>
              <w:bidi w:val="0"/>
              <w:rPr>
                <w:rFonts w:hint="default"/>
                <w:lang w:val="en-US" w:eastAsia="zh-CN"/>
              </w:rPr>
            </w:pPr>
            <w:r>
              <w:rPr>
                <w:rFonts w:hint="default"/>
                <w:lang w:val="en-US" w:eastAsia="zh-CN"/>
              </w:rPr>
              <w:t>Ⅲ、不同类型的废渣不宜混装运输，运输工具未经消除污染不能装载其他物品。</w:t>
            </w:r>
          </w:p>
          <w:p>
            <w:pPr>
              <w:pStyle w:val="19"/>
              <w:bidi w:val="0"/>
              <w:rPr>
                <w:rFonts w:hint="default"/>
                <w:lang w:val="en-US" w:eastAsia="zh-CN"/>
              </w:rPr>
            </w:pPr>
            <w:r>
              <w:rPr>
                <w:rFonts w:hint="default"/>
                <w:lang w:val="en-US" w:eastAsia="zh-CN"/>
              </w:rPr>
              <w:t>Ⅳ、运输车辆应设置明显的标志并经常维护保养，保证车况良好和行车安全</w:t>
            </w:r>
          </w:p>
          <w:p>
            <w:pPr>
              <w:pStyle w:val="19"/>
              <w:bidi w:val="0"/>
              <w:rPr>
                <w:rFonts w:hint="default"/>
                <w:lang w:val="en-US" w:eastAsia="zh-CN"/>
              </w:rPr>
            </w:pPr>
            <w:r>
              <w:rPr>
                <w:rFonts w:hint="default"/>
                <w:lang w:val="en-US" w:eastAsia="zh-CN"/>
              </w:rPr>
              <w:t>本项目固废在采取以上措施后，可有效控制其二次污染，做到安全暂存或贮存，对区域环境影响较小。</w:t>
            </w:r>
          </w:p>
          <w:p>
            <w:pPr>
              <w:pStyle w:val="4"/>
              <w:bidi w:val="0"/>
              <w:rPr>
                <w:rFonts w:hint="default"/>
                <w:lang w:val="en-US" w:eastAsia="zh-CN"/>
              </w:rPr>
            </w:pPr>
            <w:bookmarkStart w:id="64" w:name="_Toc8889"/>
            <w:bookmarkStart w:id="65" w:name="_Toc14038"/>
            <w:r>
              <w:rPr>
                <w:rFonts w:hint="eastAsia"/>
                <w:lang w:val="en-US" w:eastAsia="zh-CN"/>
              </w:rPr>
              <w:t>5、地下水、土壤环境影响和保护措施</w:t>
            </w:r>
            <w:bookmarkEnd w:id="64"/>
            <w:bookmarkEnd w:id="65"/>
          </w:p>
          <w:p>
            <w:pPr>
              <w:pStyle w:val="19"/>
              <w:bidi w:val="0"/>
              <w:rPr>
                <w:rFonts w:hint="default"/>
                <w:lang w:val="en-US" w:eastAsia="zh-CN"/>
              </w:rPr>
            </w:pPr>
            <w:r>
              <w:rPr>
                <w:rFonts w:hint="default"/>
                <w:lang w:val="en-US" w:eastAsia="zh-CN"/>
              </w:rPr>
              <w:t>项目使用原辅材料等均存储在物料库内，物料库地面做好硬底化、防渗措施，以防止物料泄漏污染外界环境。本次评价主要对项目运营过程中可能存在对地下水、土壤产生的影响的区域提出防渗措施，对项目地面实施分区防渗处理，做到防雨、防渗、防漏处理，防止污染物随雨水流入水体而污染水体。</w:t>
            </w:r>
          </w:p>
          <w:p>
            <w:pPr>
              <w:pStyle w:val="19"/>
              <w:bidi w:val="0"/>
              <w:rPr>
                <w:rFonts w:hint="default"/>
                <w:lang w:val="en-US" w:eastAsia="zh-CN"/>
              </w:rPr>
            </w:pPr>
            <w:r>
              <w:rPr>
                <w:rFonts w:hint="default"/>
                <w:lang w:val="en-US" w:eastAsia="zh-CN"/>
              </w:rPr>
              <w:t>针对拟建工程可能发生的地下水、土壤污染，地下水、土壤污染防治措施按照“源头控制、末端防治”相结合的原则，从污染物的产生、入渗、扩散、收集、处理全阶段进行控制。</w:t>
            </w:r>
          </w:p>
          <w:p>
            <w:pPr>
              <w:pStyle w:val="19"/>
              <w:bidi w:val="0"/>
              <w:rPr>
                <w:rFonts w:hint="default"/>
                <w:lang w:val="en-US" w:eastAsia="zh-CN"/>
              </w:rPr>
            </w:pPr>
            <w:r>
              <w:rPr>
                <w:rFonts w:hint="default"/>
                <w:lang w:val="en-US" w:eastAsia="zh-CN"/>
              </w:rPr>
              <w:t>（1）源头控制措施：主要包括在工艺、管道、设备、污水储存及处理构筑物采取相应措施，防止和降低污染物跑、冒、滴、漏，将污染物泄漏的环境风险事故降到最低程度；管线敷设尽量采用“可视化”原则，即管道尽可能地上敷设，做到污染物“早发现、早处理”，减少由于埋地管道泄漏而造成的地下水污染。</w:t>
            </w:r>
          </w:p>
          <w:p>
            <w:pPr>
              <w:pStyle w:val="19"/>
              <w:bidi w:val="0"/>
              <w:rPr>
                <w:rFonts w:hint="default"/>
                <w:lang w:val="en-US" w:eastAsia="zh-CN"/>
              </w:rPr>
            </w:pPr>
            <w:r>
              <w:rPr>
                <w:rFonts w:hint="default"/>
                <w:lang w:val="en-US" w:eastAsia="zh-CN"/>
              </w:rPr>
              <w:t>（2）末端控制措施：主要包括厂内污染区地面的防渗措施和泄漏、渗漏污染物收集措施，即在污染区地面进行防渗处理，防止洒落地面的污染物渗入地下；末端控制采取分区防渗，重点污染防治区、一般污染防治区和非污染区防渗措施有区别的防渗原则。</w:t>
            </w:r>
          </w:p>
          <w:p>
            <w:pPr>
              <w:pStyle w:val="19"/>
              <w:bidi w:val="0"/>
              <w:rPr>
                <w:rFonts w:hint="default"/>
                <w:lang w:val="en-US" w:eastAsia="zh-CN"/>
              </w:rPr>
            </w:pPr>
            <w:r>
              <w:rPr>
                <w:rFonts w:hint="eastAsia"/>
                <w:lang w:val="en-US" w:eastAsia="zh-CN"/>
              </w:rPr>
              <w:t>（3）</w:t>
            </w:r>
            <w:r>
              <w:rPr>
                <w:rFonts w:hint="default"/>
                <w:lang w:val="en-US" w:eastAsia="zh-CN"/>
              </w:rPr>
              <w:t>污染监控体系：如果一旦由于</w:t>
            </w:r>
            <w:r>
              <w:rPr>
                <w:rFonts w:hint="eastAsia"/>
                <w:lang w:val="en-US" w:eastAsia="zh-CN"/>
              </w:rPr>
              <w:t>原料库、车间</w:t>
            </w:r>
            <w:r>
              <w:rPr>
                <w:rFonts w:hint="default"/>
                <w:lang w:val="en-US" w:eastAsia="zh-CN"/>
              </w:rPr>
              <w:t>等单元地面防渗措施不够完善导致废水渗入地下造成地下水污染，必须通过监测来确定地下水污染的方向及污染程度。</w:t>
            </w:r>
          </w:p>
          <w:p>
            <w:pPr>
              <w:pStyle w:val="19"/>
              <w:bidi w:val="0"/>
              <w:rPr>
                <w:rFonts w:hint="default"/>
                <w:lang w:val="en-US" w:eastAsia="zh-CN"/>
              </w:rPr>
            </w:pPr>
            <w:r>
              <w:rPr>
                <w:rFonts w:hint="eastAsia"/>
                <w:lang w:val="en-US" w:eastAsia="zh-CN"/>
              </w:rPr>
              <w:t>（4）</w:t>
            </w:r>
            <w:r>
              <w:rPr>
                <w:rFonts w:hint="default"/>
                <w:lang w:val="en-US" w:eastAsia="zh-CN"/>
              </w:rPr>
              <w:t>应急响应措施：包括一旦发现地下水污染事故，立即启动应急预案、采取应急措施控制地下水污染，并使污染得到治理。</w:t>
            </w:r>
          </w:p>
          <w:p>
            <w:pPr>
              <w:pStyle w:val="19"/>
              <w:bidi w:val="0"/>
              <w:rPr>
                <w:rFonts w:hint="default"/>
                <w:lang w:val="en-US" w:eastAsia="zh-CN"/>
              </w:rPr>
            </w:pPr>
            <w:r>
              <w:rPr>
                <w:rFonts w:hint="default"/>
                <w:lang w:val="en-US" w:eastAsia="zh-CN"/>
              </w:rPr>
              <w:t>1、控制污染物的跑冒滴漏</w:t>
            </w:r>
          </w:p>
          <w:p>
            <w:pPr>
              <w:pStyle w:val="19"/>
              <w:bidi w:val="0"/>
              <w:rPr>
                <w:rFonts w:hint="default"/>
                <w:lang w:val="en-US" w:eastAsia="zh-CN"/>
              </w:rPr>
            </w:pPr>
            <w:r>
              <w:rPr>
                <w:rFonts w:hint="default"/>
                <w:lang w:val="en-US" w:eastAsia="zh-CN"/>
              </w:rPr>
              <w:t>跑冒滴漏是污染物主要的泄漏方式，如果处理不当或是不及时，就有可能污染地下水。针对污染物的跑冒滴漏，采取如下预防措施：</w:t>
            </w:r>
          </w:p>
          <w:p>
            <w:pPr>
              <w:pStyle w:val="19"/>
              <w:bidi w:val="0"/>
              <w:rPr>
                <w:rFonts w:hint="default"/>
                <w:lang w:val="en-US" w:eastAsia="zh-CN"/>
              </w:rPr>
            </w:pPr>
            <w:r>
              <w:rPr>
                <w:rFonts w:hint="default"/>
                <w:lang w:val="en-US" w:eastAsia="zh-CN"/>
              </w:rPr>
              <w:t>（1）、要有专职人员每天巡视、检查可能发生泄漏的区域，发现跑、冒、滴、漏情况，及时采取管线修复等措施阻止污染物的进一步泄漏，并立即清除被污染的土壤，阻止污染物进一步下渗。</w:t>
            </w:r>
          </w:p>
          <w:p>
            <w:pPr>
              <w:pStyle w:val="19"/>
              <w:bidi w:val="0"/>
              <w:rPr>
                <w:rFonts w:hint="default"/>
                <w:lang w:val="en-US" w:eastAsia="zh-CN"/>
              </w:rPr>
            </w:pPr>
            <w:r>
              <w:rPr>
                <w:rFonts w:hint="default"/>
                <w:lang w:val="en-US" w:eastAsia="zh-CN"/>
              </w:rPr>
              <w:t>（2）、采用污水收集系统，确保所有废水均收集处理，实现清污分流、雨污分流。</w:t>
            </w:r>
          </w:p>
          <w:p>
            <w:pPr>
              <w:pStyle w:val="19"/>
              <w:bidi w:val="0"/>
              <w:rPr>
                <w:rFonts w:hint="default"/>
                <w:lang w:val="en-US" w:eastAsia="zh-CN"/>
              </w:rPr>
            </w:pPr>
            <w:r>
              <w:rPr>
                <w:rFonts w:hint="default"/>
                <w:lang w:val="en-US" w:eastAsia="zh-CN"/>
              </w:rPr>
              <w:t>2、地下水、土壤防渗措施</w:t>
            </w:r>
          </w:p>
          <w:p>
            <w:pPr>
              <w:pStyle w:val="19"/>
              <w:bidi w:val="0"/>
              <w:rPr>
                <w:rFonts w:hint="default"/>
                <w:lang w:val="en-US" w:eastAsia="zh-CN"/>
              </w:rPr>
            </w:pPr>
            <w:r>
              <w:rPr>
                <w:rFonts w:hint="default"/>
                <w:lang w:val="en-US" w:eastAsia="zh-CN"/>
              </w:rPr>
              <w:t>（1）分区防渗</w:t>
            </w:r>
          </w:p>
          <w:p>
            <w:pPr>
              <w:pStyle w:val="19"/>
              <w:bidi w:val="0"/>
              <w:rPr>
                <w:rFonts w:hint="default"/>
                <w:lang w:val="en-US" w:eastAsia="zh-CN"/>
              </w:rPr>
            </w:pPr>
            <w:r>
              <w:rPr>
                <w:rFonts w:hint="default"/>
                <w:lang w:val="en-US" w:eastAsia="zh-CN"/>
              </w:rPr>
              <w:t>根据厂区可能泄漏至地面区域污染物的性质和生产单元的构筑方式，将厂区需要防渗的区域划分为重点防渗区、一般防渗区。</w:t>
            </w:r>
          </w:p>
          <w:p>
            <w:pPr>
              <w:pStyle w:val="19"/>
              <w:bidi w:val="0"/>
              <w:rPr>
                <w:rFonts w:hint="default"/>
                <w:lang w:val="en-US" w:eastAsia="zh-CN"/>
              </w:rPr>
            </w:pPr>
            <w:r>
              <w:rPr>
                <w:rFonts w:hint="default"/>
                <w:lang w:val="en-US" w:eastAsia="zh-CN"/>
              </w:rPr>
              <w:t>本项目的潜在的地下水污染源主要来自于生产车间、碱液淋洗水沉淀循环池、氨气吸收液循环水池等，针对厂区各工作区特点，提出以下相应的分区防渗要求，</w:t>
            </w:r>
          </w:p>
          <w:p>
            <w:pPr>
              <w:bidi w:val="0"/>
              <w:jc w:val="center"/>
              <w:rPr>
                <w:rFonts w:hint="default"/>
                <w:b/>
                <w:bCs/>
                <w:lang w:val="en-US" w:eastAsia="zh-CN"/>
              </w:rPr>
            </w:pPr>
            <w:r>
              <w:rPr>
                <w:rFonts w:hint="eastAsia"/>
                <w:b/>
                <w:bCs/>
                <w:lang w:val="en-US" w:eastAsia="zh-CN"/>
              </w:rPr>
              <w:t>表4-6  防渗要求一览表</w:t>
            </w:r>
          </w:p>
          <w:tbl>
            <w:tblPr>
              <w:tblStyle w:val="15"/>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53"/>
              <w:gridCol w:w="904"/>
              <w:gridCol w:w="671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653" w:type="dxa"/>
                  <w:noWrap w:val="0"/>
                  <w:vAlign w:val="center"/>
                </w:tcPr>
                <w:p>
                  <w:pPr>
                    <w:pStyle w:val="18"/>
                    <w:bidi w:val="0"/>
                    <w:jc w:val="center"/>
                    <w:rPr>
                      <w:lang w:val="zh-CN"/>
                    </w:rPr>
                  </w:pPr>
                  <w:r>
                    <w:rPr>
                      <w:lang w:val="zh-CN"/>
                    </w:rPr>
                    <w:t>防渗级别</w:t>
                  </w:r>
                </w:p>
              </w:tc>
              <w:tc>
                <w:tcPr>
                  <w:tcW w:w="904" w:type="dxa"/>
                  <w:noWrap w:val="0"/>
                  <w:vAlign w:val="center"/>
                </w:tcPr>
                <w:p>
                  <w:pPr>
                    <w:pStyle w:val="18"/>
                    <w:bidi w:val="0"/>
                    <w:jc w:val="center"/>
                    <w:rPr>
                      <w:lang w:val="zh-CN"/>
                    </w:rPr>
                  </w:pPr>
                  <w:r>
                    <w:rPr>
                      <w:lang w:val="zh-CN"/>
                    </w:rPr>
                    <w:t>工作区</w:t>
                  </w:r>
                </w:p>
              </w:tc>
              <w:tc>
                <w:tcPr>
                  <w:tcW w:w="6719" w:type="dxa"/>
                  <w:noWrap w:val="0"/>
                  <w:vAlign w:val="center"/>
                </w:tcPr>
                <w:p>
                  <w:pPr>
                    <w:pStyle w:val="18"/>
                    <w:bidi w:val="0"/>
                    <w:jc w:val="center"/>
                    <w:rPr>
                      <w:lang w:val="zh-CN"/>
                    </w:rPr>
                  </w:pPr>
                  <w:r>
                    <w:rPr>
                      <w:lang w:val="zh-CN"/>
                    </w:rPr>
                    <w:t>防渗要求</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3" w:type="dxa"/>
                  <w:vMerge w:val="restart"/>
                  <w:noWrap w:val="0"/>
                  <w:vAlign w:val="center"/>
                </w:tcPr>
                <w:p>
                  <w:pPr>
                    <w:pStyle w:val="18"/>
                    <w:bidi w:val="0"/>
                    <w:jc w:val="center"/>
                    <w:rPr>
                      <w:lang w:val="zh-CN"/>
                    </w:rPr>
                  </w:pPr>
                  <w:r>
                    <w:rPr>
                      <w:lang w:val="zh-CN"/>
                    </w:rPr>
                    <w:t>重点防渗区</w:t>
                  </w:r>
                </w:p>
              </w:tc>
              <w:tc>
                <w:tcPr>
                  <w:tcW w:w="904" w:type="dxa"/>
                  <w:noWrap w:val="0"/>
                  <w:vAlign w:val="center"/>
                </w:tcPr>
                <w:p>
                  <w:pPr>
                    <w:pStyle w:val="18"/>
                    <w:bidi w:val="0"/>
                    <w:jc w:val="center"/>
                    <w:rPr>
                      <w:rFonts w:hint="eastAsia" w:eastAsia="宋体"/>
                      <w:lang w:val="en-US" w:eastAsia="zh-CN"/>
                    </w:rPr>
                  </w:pPr>
                  <w:r>
                    <w:rPr>
                      <w:rFonts w:hint="eastAsia"/>
                      <w:lang w:val="en-US" w:eastAsia="zh-CN"/>
                    </w:rPr>
                    <w:t>危废间</w:t>
                  </w:r>
                </w:p>
              </w:tc>
              <w:tc>
                <w:tcPr>
                  <w:tcW w:w="6719" w:type="dxa"/>
                  <w:vMerge w:val="restart"/>
                  <w:noWrap w:val="0"/>
                  <w:vAlign w:val="center"/>
                </w:tcPr>
                <w:p>
                  <w:pPr>
                    <w:pStyle w:val="18"/>
                    <w:bidi w:val="0"/>
                    <w:jc w:val="center"/>
                    <w:rPr>
                      <w:rFonts w:hint="eastAsia"/>
                    </w:rPr>
                  </w:pPr>
                  <w:r>
                    <w:rPr>
                      <w:rFonts w:hint="eastAsia"/>
                    </w:rPr>
                    <w:t>重点防渗区，设防渗层检漏系统；等效黏土防渗层厚≥6.0m，渗透系数≤1×10</w:t>
                  </w:r>
                  <w:r>
                    <w:rPr>
                      <w:rFonts w:hint="eastAsia"/>
                      <w:vertAlign w:val="superscript"/>
                    </w:rPr>
                    <w:t>-7</w:t>
                  </w:r>
                  <w:r>
                    <w:rPr>
                      <w:rFonts w:hint="eastAsia"/>
                    </w:rPr>
                    <w:t>cm/s。</w:t>
                  </w:r>
                </w:p>
                <w:p>
                  <w:pPr>
                    <w:pStyle w:val="18"/>
                    <w:bidi w:val="0"/>
                    <w:jc w:val="center"/>
                  </w:pPr>
                  <w:r>
                    <w:t>衬里放在一个基础或底座上</w:t>
                  </w:r>
                  <w:r>
                    <w:rPr>
                      <w:rFonts w:hint="eastAsia"/>
                      <w:lang w:eastAsia="zh-CN"/>
                    </w:rPr>
                    <w:t>，</w:t>
                  </w:r>
                  <w:r>
                    <w:t>衬里要能覆盖危险废物或其溶出物可能涉及到的范围</w:t>
                  </w:r>
                  <w:r>
                    <w:rPr>
                      <w:rFonts w:hint="eastAsia"/>
                      <w:lang w:eastAsia="zh-CN"/>
                    </w:rPr>
                    <w:t>，</w:t>
                  </w:r>
                  <w:r>
                    <w:t>衬里材料与堆放危险废物相容</w:t>
                  </w:r>
                </w:p>
                <w:p>
                  <w:pPr>
                    <w:pStyle w:val="18"/>
                    <w:bidi w:val="0"/>
                    <w:jc w:val="center"/>
                  </w:pPr>
                  <w:r>
                    <w:t>在衬里设计、建造浸出液收集</w:t>
                  </w:r>
                  <w:r>
                    <w:rPr>
                      <w:rFonts w:hint="eastAsia"/>
                      <w:lang w:eastAsia="zh-CN"/>
                    </w:rPr>
                    <w:t>清除</w:t>
                  </w:r>
                  <w:r>
                    <w:t>系统。</w:t>
                  </w:r>
                </w:p>
                <w:p>
                  <w:pPr>
                    <w:pStyle w:val="18"/>
                    <w:bidi w:val="0"/>
                    <w:jc w:val="center"/>
                  </w:pPr>
                  <w:r>
                    <w:t>危险废物堆放要防风、防雨、防晒。</w:t>
                  </w:r>
                </w:p>
                <w:p>
                  <w:pPr>
                    <w:pStyle w:val="18"/>
                    <w:bidi w:val="0"/>
                    <w:jc w:val="center"/>
                    <w:rPr>
                      <w:lang w:val="zh-CN"/>
                    </w:rPr>
                  </w:pPr>
                  <w:r>
                    <w:t>部分车间、原料罐区需设置围堰或截留沟，避免液体物料外泄，且围堰或截留沟需与事故池连接。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89" w:hRule="atLeast"/>
                <w:jc w:val="center"/>
              </w:trPr>
              <w:tc>
                <w:tcPr>
                  <w:tcW w:w="653" w:type="dxa"/>
                  <w:vMerge w:val="continue"/>
                  <w:noWrap w:val="0"/>
                  <w:vAlign w:val="center"/>
                </w:tcPr>
                <w:p>
                  <w:pPr>
                    <w:pStyle w:val="18"/>
                    <w:bidi w:val="0"/>
                    <w:jc w:val="center"/>
                    <w:rPr>
                      <w:lang w:val="zh-CN"/>
                    </w:rPr>
                  </w:pPr>
                </w:p>
              </w:tc>
              <w:tc>
                <w:tcPr>
                  <w:tcW w:w="904" w:type="dxa"/>
                  <w:noWrap w:val="0"/>
                  <w:vAlign w:val="center"/>
                </w:tcPr>
                <w:p>
                  <w:pPr>
                    <w:pStyle w:val="18"/>
                    <w:bidi w:val="0"/>
                    <w:jc w:val="center"/>
                    <w:rPr>
                      <w:rFonts w:hint="default"/>
                      <w:lang w:val="en-US" w:eastAsia="zh-CN"/>
                    </w:rPr>
                  </w:pPr>
                  <w:r>
                    <w:rPr>
                      <w:rFonts w:hint="eastAsia"/>
                      <w:lang w:val="en-US" w:eastAsia="zh-CN"/>
                    </w:rPr>
                    <w:t>原料、无害化锰渣仓库</w:t>
                  </w:r>
                </w:p>
              </w:tc>
              <w:tc>
                <w:tcPr>
                  <w:tcW w:w="6719" w:type="dxa"/>
                  <w:vMerge w:val="continue"/>
                  <w:noWrap w:val="0"/>
                  <w:vAlign w:val="center"/>
                </w:tcPr>
                <w:p>
                  <w:pPr>
                    <w:pStyle w:val="18"/>
                    <w:bidi w:val="0"/>
                    <w:jc w:val="cente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98" w:hRule="atLeast"/>
                <w:jc w:val="center"/>
              </w:trPr>
              <w:tc>
                <w:tcPr>
                  <w:tcW w:w="653" w:type="dxa"/>
                  <w:vMerge w:val="continue"/>
                  <w:noWrap w:val="0"/>
                  <w:vAlign w:val="center"/>
                </w:tcPr>
                <w:p>
                  <w:pPr>
                    <w:pStyle w:val="18"/>
                    <w:bidi w:val="0"/>
                    <w:jc w:val="center"/>
                    <w:rPr>
                      <w:lang w:val="zh-CN"/>
                    </w:rPr>
                  </w:pPr>
                </w:p>
              </w:tc>
              <w:tc>
                <w:tcPr>
                  <w:tcW w:w="904" w:type="dxa"/>
                  <w:noWrap w:val="0"/>
                  <w:vAlign w:val="center"/>
                </w:tcPr>
                <w:p>
                  <w:pPr>
                    <w:pStyle w:val="18"/>
                    <w:bidi w:val="0"/>
                    <w:jc w:val="center"/>
                    <w:rPr>
                      <w:rFonts w:hint="default" w:eastAsia="宋体"/>
                      <w:lang w:val="en-US" w:eastAsia="zh-CN"/>
                    </w:rPr>
                  </w:pPr>
                  <w:r>
                    <w:rPr>
                      <w:rFonts w:hint="eastAsia"/>
                      <w:lang w:val="en-US" w:eastAsia="zh-CN"/>
                    </w:rPr>
                    <w:t>无害化车间</w:t>
                  </w:r>
                </w:p>
              </w:tc>
              <w:tc>
                <w:tcPr>
                  <w:tcW w:w="6719" w:type="dxa"/>
                  <w:vMerge w:val="continue"/>
                  <w:noWrap w:val="0"/>
                  <w:vAlign w:val="center"/>
                </w:tcPr>
                <w:p>
                  <w:pPr>
                    <w:pStyle w:val="18"/>
                    <w:bidi w:val="0"/>
                    <w:jc w:val="center"/>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98" w:hRule="atLeast"/>
                <w:jc w:val="center"/>
              </w:trPr>
              <w:tc>
                <w:tcPr>
                  <w:tcW w:w="653" w:type="dxa"/>
                  <w:vMerge w:val="continue"/>
                  <w:noWrap w:val="0"/>
                  <w:vAlign w:val="center"/>
                </w:tcPr>
                <w:p>
                  <w:pPr>
                    <w:pStyle w:val="18"/>
                    <w:bidi w:val="0"/>
                    <w:jc w:val="center"/>
                    <w:rPr>
                      <w:lang w:val="zh-CN"/>
                    </w:rPr>
                  </w:pPr>
                </w:p>
              </w:tc>
              <w:tc>
                <w:tcPr>
                  <w:tcW w:w="904" w:type="dxa"/>
                  <w:noWrap w:val="0"/>
                  <w:vAlign w:val="center"/>
                </w:tcPr>
                <w:p>
                  <w:pPr>
                    <w:pStyle w:val="18"/>
                    <w:bidi w:val="0"/>
                    <w:jc w:val="center"/>
                    <w:rPr>
                      <w:rFonts w:hint="default"/>
                      <w:lang w:val="en-US" w:eastAsia="zh-CN"/>
                    </w:rPr>
                  </w:pPr>
                  <w:r>
                    <w:rPr>
                      <w:rFonts w:hint="eastAsia"/>
                      <w:lang w:val="en-US" w:eastAsia="zh-CN"/>
                    </w:rPr>
                    <w:t>事故应急池</w:t>
                  </w:r>
                </w:p>
              </w:tc>
              <w:tc>
                <w:tcPr>
                  <w:tcW w:w="6719" w:type="dxa"/>
                  <w:vMerge w:val="continue"/>
                  <w:noWrap w:val="0"/>
                  <w:vAlign w:val="center"/>
                </w:tcPr>
                <w:p>
                  <w:pPr>
                    <w:pStyle w:val="18"/>
                    <w:bidi w:val="0"/>
                    <w:jc w:val="center"/>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05" w:hRule="atLeast"/>
                <w:jc w:val="center"/>
              </w:trPr>
              <w:tc>
                <w:tcPr>
                  <w:tcW w:w="653" w:type="dxa"/>
                  <w:noWrap w:val="0"/>
                  <w:vAlign w:val="center"/>
                </w:tcPr>
                <w:p>
                  <w:pPr>
                    <w:pStyle w:val="18"/>
                    <w:bidi w:val="0"/>
                    <w:jc w:val="center"/>
                    <w:rPr>
                      <w:lang w:val="zh-CN"/>
                    </w:rPr>
                  </w:pPr>
                  <w:r>
                    <w:rPr>
                      <w:lang w:val="zh-CN"/>
                    </w:rPr>
                    <w:t>一般防渗区</w:t>
                  </w:r>
                </w:p>
              </w:tc>
              <w:tc>
                <w:tcPr>
                  <w:tcW w:w="904" w:type="dxa"/>
                  <w:noWrap w:val="0"/>
                  <w:vAlign w:val="center"/>
                </w:tcPr>
                <w:p>
                  <w:pPr>
                    <w:pStyle w:val="18"/>
                    <w:bidi w:val="0"/>
                    <w:jc w:val="center"/>
                    <w:rPr>
                      <w:rFonts w:hint="default" w:eastAsia="宋体"/>
                      <w:lang w:val="en-US" w:eastAsia="zh-CN"/>
                    </w:rPr>
                  </w:pPr>
                  <w:r>
                    <w:rPr>
                      <w:rFonts w:hint="eastAsia"/>
                      <w:lang w:val="en-US" w:eastAsia="zh-CN"/>
                    </w:rPr>
                    <w:t>资源化车间</w:t>
                  </w:r>
                </w:p>
              </w:tc>
              <w:tc>
                <w:tcPr>
                  <w:tcW w:w="6719" w:type="dxa"/>
                  <w:noWrap w:val="0"/>
                  <w:vAlign w:val="center"/>
                </w:tcPr>
                <w:p>
                  <w:pPr>
                    <w:pStyle w:val="18"/>
                    <w:bidi w:val="0"/>
                    <w:jc w:val="center"/>
                    <w:rPr>
                      <w:lang w:val="zh-CN"/>
                    </w:rPr>
                  </w:pPr>
                  <w:r>
                    <w:rPr>
                      <w:rFonts w:hint="eastAsia"/>
                    </w:rPr>
                    <w:t>一般防渗区，等效黏土防渗层厚≥1.5m，渗透系数≤1×10</w:t>
                  </w:r>
                  <w:r>
                    <w:rPr>
                      <w:rFonts w:hint="eastAsia"/>
                      <w:vertAlign w:val="superscript"/>
                    </w:rPr>
                    <w:t>-7</w:t>
                  </w:r>
                  <w:r>
                    <w:rPr>
                      <w:rFonts w:hint="eastAsia"/>
                    </w:rPr>
                    <w:t>cm/s。</w:t>
                  </w:r>
                </w:p>
              </w:tc>
            </w:tr>
          </w:tbl>
          <w:p>
            <w:pPr>
              <w:pStyle w:val="19"/>
              <w:bidi w:val="0"/>
              <w:rPr>
                <w:rFonts w:hint="default"/>
                <w:lang w:val="en-US" w:eastAsia="zh-CN"/>
              </w:rPr>
            </w:pPr>
            <w:r>
              <w:rPr>
                <w:rFonts w:hint="default"/>
                <w:lang w:val="en-US" w:eastAsia="zh-CN"/>
              </w:rPr>
              <w:t>厂区内各输水管道接口处下方设置足够容积的集废水地坑，并采用抗渗混凝土整体浇筑；厂区路面采取硬化处理，并设集水沟，防止撒落的物料在雨水冲刷下渗入地下；成立专门事故小组，小组成员分班每日检查各车间设备运行情况，记录、处理各种非正常情况。</w:t>
            </w:r>
          </w:p>
          <w:p>
            <w:pPr>
              <w:pStyle w:val="19"/>
              <w:bidi w:val="0"/>
              <w:rPr>
                <w:rFonts w:hint="default"/>
                <w:lang w:val="en-US" w:eastAsia="zh-CN"/>
              </w:rPr>
            </w:pPr>
            <w:r>
              <w:rPr>
                <w:rFonts w:hint="default"/>
                <w:lang w:val="en-US" w:eastAsia="zh-CN"/>
              </w:rPr>
              <w:t>本工程在采取以上防渗措施的前提下，可</w:t>
            </w:r>
            <w:r>
              <w:rPr>
                <w:rFonts w:hint="eastAsia"/>
                <w:lang w:val="en-US" w:eastAsia="zh-CN"/>
              </w:rPr>
              <w:t>防止</w:t>
            </w:r>
            <w:r>
              <w:rPr>
                <w:rFonts w:hint="default"/>
                <w:lang w:val="en-US" w:eastAsia="zh-CN"/>
              </w:rPr>
              <w:t>本工程生产区对地下水渗漏；厂区内一般固废贮存场所按《一般工业固体废物贮存和填埋污染控制标准（GB 18599-2020）》要求建设；原辅料和废渣（液）贮存场所按照《危险废物贮存污染控制标准》（GB18597-20</w:t>
            </w:r>
            <w:r>
              <w:rPr>
                <w:rFonts w:hint="eastAsia"/>
                <w:lang w:val="en-US" w:eastAsia="zh-CN"/>
              </w:rPr>
              <w:t>23</w:t>
            </w:r>
            <w:r>
              <w:rPr>
                <w:rFonts w:hint="default"/>
                <w:lang w:val="en-US" w:eastAsia="zh-CN"/>
              </w:rPr>
              <w:t>）的要求建设的前提下，不会造成雨水直接冲刷及渗漏影响地下水。因此，本项目建设不会影响地下水位，不会改变区域地下水流向和地质结构，对区域地下水水质不会造成大的影响。采取相应地下水分区防渗、分区防治措施后，废水下渗污染土壤风险较小，对厂区内以及周边土壤环境影响较小。</w:t>
            </w:r>
          </w:p>
          <w:p>
            <w:pPr>
              <w:pStyle w:val="4"/>
              <w:bidi w:val="0"/>
              <w:rPr>
                <w:rFonts w:hint="default"/>
                <w:lang w:val="en-US" w:eastAsia="zh-CN"/>
              </w:rPr>
            </w:pPr>
            <w:bookmarkStart w:id="66" w:name="_Toc32664"/>
            <w:bookmarkStart w:id="67" w:name="_Toc27905"/>
            <w:r>
              <w:rPr>
                <w:rFonts w:hint="eastAsia"/>
                <w:lang w:val="en-US" w:eastAsia="zh-CN"/>
              </w:rPr>
              <w:t>6、生态环境影响</w:t>
            </w:r>
            <w:bookmarkEnd w:id="66"/>
            <w:bookmarkEnd w:id="67"/>
          </w:p>
          <w:p>
            <w:pPr>
              <w:pStyle w:val="19"/>
              <w:bidi w:val="0"/>
              <w:rPr>
                <w:rFonts w:hint="default"/>
                <w:lang w:val="en-US" w:eastAsia="zh-CN"/>
              </w:rPr>
            </w:pPr>
            <w:r>
              <w:rPr>
                <w:rFonts w:hint="eastAsia"/>
                <w:lang w:val="en-US" w:eastAsia="zh-CN"/>
              </w:rPr>
              <w:t>本项目位于花垣产业开发区内，评价区域人类活动频繁，开发强度较高，市政配套设施完善，区域生态环境为城市生态环境，生态环境质量一般。各单位和区域主要交通干线的绿化工作基本上按照总体规划要求实施，所在区域土地利用率高，植被覆盖率较低。主要树种为绿化园林，街道和空隙地的观赏树木和花草。区域内野生动物为城市主要常见动物。通过走访调查，项目所在区域内没有珍稀动植物和古树木，无名胜古迹、旅游景观和文物保护区。</w:t>
            </w:r>
          </w:p>
          <w:p>
            <w:pPr>
              <w:pStyle w:val="4"/>
              <w:bidi w:val="0"/>
              <w:rPr>
                <w:rFonts w:hint="default"/>
                <w:color w:val="auto"/>
                <w:lang w:val="en-US" w:eastAsia="zh-CN"/>
              </w:rPr>
            </w:pPr>
            <w:bookmarkStart w:id="68" w:name="_Toc18102"/>
            <w:bookmarkStart w:id="69" w:name="_Toc29792"/>
            <w:r>
              <w:rPr>
                <w:rFonts w:hint="eastAsia"/>
                <w:color w:val="auto"/>
                <w:lang w:val="en-US" w:eastAsia="zh-CN"/>
              </w:rPr>
              <w:t>7、环境风险分析</w:t>
            </w:r>
            <w:bookmarkEnd w:id="68"/>
            <w:bookmarkEnd w:id="69"/>
          </w:p>
          <w:p>
            <w:pPr>
              <w:pStyle w:val="19"/>
              <w:bidi w:val="0"/>
              <w:rPr>
                <w:rFonts w:hint="eastAsia"/>
                <w:lang w:val="en-US" w:eastAsia="zh-CN"/>
              </w:rPr>
            </w:pPr>
            <w:r>
              <w:rPr>
                <w:rFonts w:hint="eastAsia"/>
                <w:lang w:val="en-US" w:eastAsia="zh-CN"/>
              </w:rPr>
              <w:t>具体见环境风险影响评价专项。</w:t>
            </w:r>
          </w:p>
          <w:p>
            <w:pPr>
              <w:pStyle w:val="19"/>
              <w:bidi w:val="0"/>
              <w:rPr>
                <w:rFonts w:hint="eastAsia"/>
                <w:lang w:val="en-US" w:eastAsia="zh-CN"/>
              </w:rPr>
            </w:pPr>
            <w:r>
              <w:rPr>
                <w:rFonts w:hint="eastAsia"/>
                <w:lang w:val="en-US" w:eastAsia="zh-CN"/>
              </w:rPr>
              <w:t>本项目危险物质主要为锰及其化合物（锰铵溶液）、废矿物油。项目可能的风险事故主要是锰铵溶液储存过程中储罐破裂或使用过程发生泄漏，造成环境污染。在采取设计与本评价要求的风险防范措施后，可大大降低风险事故发生的概率，通过制定项目应急预案和采取事故应急措施，减缓风险事故对环境的影响，本项目所存在的环境风险是可以接受的。</w:t>
            </w:r>
          </w:p>
          <w:p>
            <w:pPr>
              <w:pStyle w:val="4"/>
              <w:bidi w:val="0"/>
              <w:rPr>
                <w:rFonts w:hint="default"/>
                <w:lang w:val="en-US" w:eastAsia="zh-CN"/>
              </w:rPr>
            </w:pPr>
            <w:bookmarkStart w:id="70" w:name="_Toc350"/>
            <w:bookmarkStart w:id="71" w:name="_Toc20810"/>
            <w:r>
              <w:rPr>
                <w:rFonts w:hint="eastAsia"/>
                <w:lang w:val="en-US" w:eastAsia="zh-CN"/>
              </w:rPr>
              <w:t>8、环境监测计划</w:t>
            </w:r>
            <w:bookmarkEnd w:id="70"/>
            <w:bookmarkEnd w:id="71"/>
          </w:p>
          <w:p>
            <w:pPr>
              <w:pStyle w:val="19"/>
              <w:bidi w:val="0"/>
              <w:rPr>
                <w:rFonts w:hint="eastAsia"/>
                <w:lang w:val="en-US" w:eastAsia="zh-CN"/>
              </w:rPr>
            </w:pPr>
            <w:r>
              <w:rPr>
                <w:rFonts w:hint="eastAsia"/>
                <w:lang w:val="en-US" w:eastAsia="zh-CN"/>
              </w:rPr>
              <w:t>根据本项目的环境影响预测和分析及评估意见，本项目环境监测的主要内容包括废气、噪声、固体废物等污染源监测及厂区周围环境质量的定期监测，并对生态恢复情况等进行调查。本工程日常环境监测工作可委托第三方环境监测站定期进行。其环境监测建议见表4-7。环境监测按《环境监测标准方法》执行，污染源监测按《污染源统一监测分析方法》执行。</w:t>
            </w:r>
          </w:p>
          <w:p>
            <w:pPr>
              <w:bidi w:val="0"/>
              <w:jc w:val="center"/>
              <w:rPr>
                <w:rFonts w:hint="default"/>
                <w:b/>
                <w:bCs/>
                <w:lang w:val="en-US" w:eastAsia="zh-CN"/>
              </w:rPr>
            </w:pPr>
            <w:r>
              <w:rPr>
                <w:rFonts w:hint="eastAsia"/>
                <w:b/>
                <w:bCs/>
                <w:lang w:val="en-US" w:eastAsia="zh-CN"/>
              </w:rPr>
              <w:t>表4-7  环境监测计划表</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1990"/>
              <w:gridCol w:w="2462"/>
              <w:gridCol w:w="2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noWrap w:val="0"/>
                  <w:vAlign w:val="center"/>
                </w:tcPr>
                <w:p>
                  <w:pPr>
                    <w:pStyle w:val="18"/>
                    <w:bidi w:val="0"/>
                    <w:jc w:val="center"/>
                    <w:rPr>
                      <w:rFonts w:hint="default"/>
                      <w:lang w:val="en-US" w:eastAsia="zh-CN"/>
                    </w:rPr>
                  </w:pPr>
                  <w:r>
                    <w:rPr>
                      <w:rFonts w:hint="default"/>
                      <w:lang w:val="en-US" w:eastAsia="zh-CN"/>
                    </w:rPr>
                    <w:t>监测项目</w:t>
                  </w:r>
                </w:p>
              </w:tc>
              <w:tc>
                <w:tcPr>
                  <w:tcW w:w="1154" w:type="pct"/>
                  <w:noWrap w:val="0"/>
                  <w:vAlign w:val="center"/>
                </w:tcPr>
                <w:p>
                  <w:pPr>
                    <w:pStyle w:val="18"/>
                    <w:bidi w:val="0"/>
                    <w:jc w:val="center"/>
                    <w:rPr>
                      <w:rFonts w:hint="default"/>
                      <w:lang w:val="en-US" w:eastAsia="zh-CN"/>
                    </w:rPr>
                  </w:pPr>
                  <w:r>
                    <w:rPr>
                      <w:rFonts w:hint="default"/>
                      <w:lang w:val="en-US" w:eastAsia="zh-CN"/>
                    </w:rPr>
                    <w:t>监测点位</w:t>
                  </w:r>
                </w:p>
              </w:tc>
              <w:tc>
                <w:tcPr>
                  <w:tcW w:w="1428" w:type="pct"/>
                  <w:noWrap w:val="0"/>
                  <w:vAlign w:val="center"/>
                </w:tcPr>
                <w:p>
                  <w:pPr>
                    <w:pStyle w:val="18"/>
                    <w:bidi w:val="0"/>
                    <w:jc w:val="center"/>
                    <w:rPr>
                      <w:rFonts w:hint="default"/>
                      <w:lang w:val="en-US" w:eastAsia="zh-CN"/>
                    </w:rPr>
                  </w:pPr>
                  <w:r>
                    <w:rPr>
                      <w:rFonts w:hint="default"/>
                      <w:lang w:val="en-US" w:eastAsia="zh-CN"/>
                    </w:rPr>
                    <w:t>监测因子</w:t>
                  </w:r>
                </w:p>
              </w:tc>
              <w:tc>
                <w:tcPr>
                  <w:tcW w:w="1733" w:type="pct"/>
                  <w:noWrap w:val="0"/>
                  <w:vAlign w:val="center"/>
                </w:tcPr>
                <w:p>
                  <w:pPr>
                    <w:pStyle w:val="18"/>
                    <w:bidi w:val="0"/>
                    <w:jc w:val="center"/>
                    <w:rPr>
                      <w:rFonts w:hint="default"/>
                      <w:lang w:val="en-US" w:eastAsia="zh-CN"/>
                    </w:rPr>
                  </w:pPr>
                  <w:r>
                    <w:rPr>
                      <w:rFonts w:hint="default"/>
                      <w:lang w:val="en-US" w:eastAsia="zh-CN"/>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restart"/>
                  <w:noWrap w:val="0"/>
                  <w:vAlign w:val="center"/>
                </w:tcPr>
                <w:p>
                  <w:pPr>
                    <w:pStyle w:val="18"/>
                    <w:bidi w:val="0"/>
                    <w:jc w:val="center"/>
                    <w:rPr>
                      <w:rFonts w:hint="default"/>
                      <w:lang w:val="en-US" w:eastAsia="zh-CN"/>
                    </w:rPr>
                  </w:pPr>
                  <w:r>
                    <w:rPr>
                      <w:rFonts w:hint="default"/>
                      <w:lang w:val="en-US" w:eastAsia="zh-CN"/>
                    </w:rPr>
                    <w:t>废气</w:t>
                  </w:r>
                </w:p>
              </w:tc>
              <w:tc>
                <w:tcPr>
                  <w:tcW w:w="1154" w:type="pct"/>
                  <w:noWrap w:val="0"/>
                  <w:vAlign w:val="center"/>
                </w:tcPr>
                <w:p>
                  <w:pPr>
                    <w:pStyle w:val="18"/>
                    <w:bidi w:val="0"/>
                    <w:jc w:val="center"/>
                    <w:rPr>
                      <w:rFonts w:hint="default"/>
                      <w:lang w:val="en-US" w:eastAsia="zh-CN"/>
                    </w:rPr>
                  </w:pPr>
                  <w:r>
                    <w:rPr>
                      <w:rFonts w:hint="default"/>
                      <w:lang w:val="en-US" w:eastAsia="zh-CN"/>
                    </w:rPr>
                    <w:t>无组织厂界</w:t>
                  </w:r>
                </w:p>
              </w:tc>
              <w:tc>
                <w:tcPr>
                  <w:tcW w:w="1428" w:type="pct"/>
                  <w:noWrap w:val="0"/>
                  <w:vAlign w:val="center"/>
                </w:tcPr>
                <w:p>
                  <w:pPr>
                    <w:pStyle w:val="18"/>
                    <w:bidi w:val="0"/>
                    <w:jc w:val="center"/>
                    <w:rPr>
                      <w:rFonts w:hint="default"/>
                      <w:lang w:val="en-US" w:eastAsia="zh-CN"/>
                    </w:rPr>
                  </w:pPr>
                  <w:r>
                    <w:rPr>
                      <w:rFonts w:hint="eastAsia"/>
                      <w:lang w:val="en-US" w:eastAsia="zh-CN"/>
                    </w:rPr>
                    <w:t>氨气、</w:t>
                  </w:r>
                  <w:r>
                    <w:rPr>
                      <w:rFonts w:hint="default"/>
                      <w:lang w:val="en-US" w:eastAsia="zh-CN"/>
                    </w:rPr>
                    <w:t>颗粒物</w:t>
                  </w:r>
                </w:p>
              </w:tc>
              <w:tc>
                <w:tcPr>
                  <w:tcW w:w="1733" w:type="pct"/>
                  <w:noWrap w:val="0"/>
                  <w:vAlign w:val="center"/>
                </w:tcPr>
                <w:p>
                  <w:pPr>
                    <w:pStyle w:val="18"/>
                    <w:bidi w:val="0"/>
                    <w:jc w:val="center"/>
                    <w:rPr>
                      <w:rFonts w:hint="default"/>
                      <w:lang w:val="en-US" w:eastAsia="zh-CN"/>
                    </w:rPr>
                  </w:pPr>
                  <w:r>
                    <w:rPr>
                      <w:rFonts w:hint="default"/>
                      <w:lang w:val="en-US" w:eastAsia="zh-CN"/>
                    </w:rPr>
                    <w:t>半</w:t>
                  </w:r>
                  <w:r>
                    <w:rPr>
                      <w:rFonts w:hint="default"/>
                    </w:rPr>
                    <w:t>年一次，每次监测2天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84" w:type="pct"/>
                  <w:vMerge w:val="continue"/>
                  <w:noWrap w:val="0"/>
                  <w:vAlign w:val="center"/>
                </w:tcPr>
                <w:p>
                  <w:pPr>
                    <w:pStyle w:val="18"/>
                    <w:bidi w:val="0"/>
                    <w:jc w:val="center"/>
                    <w:rPr>
                      <w:rFonts w:hint="default"/>
                      <w:lang w:val="en-US" w:eastAsia="zh-CN"/>
                    </w:rPr>
                  </w:pPr>
                </w:p>
              </w:tc>
              <w:tc>
                <w:tcPr>
                  <w:tcW w:w="1154" w:type="pct"/>
                  <w:noWrap w:val="0"/>
                  <w:vAlign w:val="center"/>
                </w:tcPr>
                <w:p>
                  <w:pPr>
                    <w:pStyle w:val="18"/>
                    <w:bidi w:val="0"/>
                    <w:jc w:val="center"/>
                    <w:rPr>
                      <w:rFonts w:hint="default"/>
                      <w:lang w:val="en-US" w:eastAsia="zh-CN"/>
                    </w:rPr>
                  </w:pPr>
                  <w:r>
                    <w:rPr>
                      <w:rFonts w:hint="default"/>
                      <w:lang w:val="en-US" w:eastAsia="zh-CN"/>
                    </w:rPr>
                    <w:t>排气筒排放口</w:t>
                  </w:r>
                </w:p>
              </w:tc>
              <w:tc>
                <w:tcPr>
                  <w:tcW w:w="1428" w:type="pct"/>
                  <w:noWrap w:val="0"/>
                  <w:vAlign w:val="center"/>
                </w:tcPr>
                <w:p>
                  <w:pPr>
                    <w:pStyle w:val="18"/>
                    <w:bidi w:val="0"/>
                    <w:jc w:val="center"/>
                    <w:rPr>
                      <w:rFonts w:hint="default"/>
                      <w:lang w:val="en-US" w:eastAsia="zh-CN"/>
                    </w:rPr>
                  </w:pPr>
                  <w:r>
                    <w:rPr>
                      <w:rFonts w:hint="default"/>
                      <w:lang w:val="en-US" w:eastAsia="zh-CN"/>
                    </w:rPr>
                    <w:t>颗粒物</w:t>
                  </w:r>
                  <w:r>
                    <w:rPr>
                      <w:rFonts w:hint="eastAsia"/>
                      <w:lang w:val="en-US" w:eastAsia="zh-CN"/>
                    </w:rPr>
                    <w:t>、SO</w:t>
                  </w:r>
                  <w:r>
                    <w:rPr>
                      <w:rFonts w:hint="eastAsia"/>
                      <w:vertAlign w:val="subscript"/>
                      <w:lang w:val="en-US" w:eastAsia="zh-CN"/>
                    </w:rPr>
                    <w:t>2</w:t>
                  </w:r>
                  <w:r>
                    <w:rPr>
                      <w:rFonts w:hint="eastAsia"/>
                      <w:lang w:val="en-US" w:eastAsia="zh-CN"/>
                    </w:rPr>
                    <w:t>、NO</w:t>
                  </w:r>
                  <w:r>
                    <w:rPr>
                      <w:rFonts w:hint="eastAsia"/>
                      <w:vertAlign w:val="subscript"/>
                      <w:lang w:val="en-US" w:eastAsia="zh-CN"/>
                    </w:rPr>
                    <w:t>X</w:t>
                  </w:r>
                </w:p>
              </w:tc>
              <w:tc>
                <w:tcPr>
                  <w:tcW w:w="1733" w:type="pct"/>
                  <w:noWrap w:val="0"/>
                  <w:vAlign w:val="center"/>
                </w:tcPr>
                <w:p>
                  <w:pPr>
                    <w:pStyle w:val="18"/>
                    <w:bidi w:val="0"/>
                    <w:jc w:val="center"/>
                    <w:rPr>
                      <w:rFonts w:hint="default"/>
                      <w:lang w:val="en-US" w:eastAsia="zh-CN"/>
                    </w:rPr>
                  </w:pPr>
                  <w:r>
                    <w:rPr>
                      <w:rFonts w:hint="default"/>
                      <w:lang w:val="en-US" w:eastAsia="zh-CN"/>
                    </w:rPr>
                    <w:t>半</w:t>
                  </w:r>
                  <w:r>
                    <w:rPr>
                      <w:rFonts w:hint="default"/>
                    </w:rPr>
                    <w:t>年一次，每次监测2天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684" w:type="pct"/>
                  <w:noWrap w:val="0"/>
                  <w:vAlign w:val="center"/>
                </w:tcPr>
                <w:p>
                  <w:pPr>
                    <w:pStyle w:val="18"/>
                    <w:bidi w:val="0"/>
                    <w:jc w:val="center"/>
                    <w:rPr>
                      <w:rFonts w:hint="default"/>
                      <w:lang w:val="en-US" w:eastAsia="zh-CN"/>
                    </w:rPr>
                  </w:pPr>
                  <w:r>
                    <w:rPr>
                      <w:rFonts w:hint="default"/>
                      <w:lang w:val="en-US" w:eastAsia="zh-CN"/>
                    </w:rPr>
                    <w:t>噪声</w:t>
                  </w:r>
                </w:p>
              </w:tc>
              <w:tc>
                <w:tcPr>
                  <w:tcW w:w="1154" w:type="pct"/>
                  <w:noWrap w:val="0"/>
                  <w:vAlign w:val="center"/>
                </w:tcPr>
                <w:p>
                  <w:pPr>
                    <w:pStyle w:val="18"/>
                    <w:bidi w:val="0"/>
                    <w:jc w:val="center"/>
                    <w:rPr>
                      <w:rFonts w:hint="default"/>
                      <w:lang w:val="en-US" w:eastAsia="zh-CN"/>
                    </w:rPr>
                  </w:pPr>
                  <w:r>
                    <w:rPr>
                      <w:rFonts w:hint="default"/>
                      <w:lang w:val="en-US" w:eastAsia="zh-CN"/>
                    </w:rPr>
                    <w:t>厂界四周</w:t>
                  </w:r>
                </w:p>
              </w:tc>
              <w:tc>
                <w:tcPr>
                  <w:tcW w:w="1428" w:type="pct"/>
                  <w:noWrap w:val="0"/>
                  <w:vAlign w:val="center"/>
                </w:tcPr>
                <w:p>
                  <w:pPr>
                    <w:pStyle w:val="18"/>
                    <w:bidi w:val="0"/>
                    <w:jc w:val="center"/>
                    <w:rPr>
                      <w:rFonts w:hint="default"/>
                      <w:lang w:val="en-US" w:eastAsia="zh-CN"/>
                    </w:rPr>
                  </w:pPr>
                  <w:r>
                    <w:rPr>
                      <w:rFonts w:hint="default"/>
                      <w:lang w:val="en-US" w:eastAsia="zh-CN"/>
                    </w:rPr>
                    <w:t>昼夜等效A声级</w:t>
                  </w:r>
                </w:p>
              </w:tc>
              <w:tc>
                <w:tcPr>
                  <w:tcW w:w="1733" w:type="pct"/>
                  <w:noWrap w:val="0"/>
                  <w:vAlign w:val="center"/>
                </w:tcPr>
                <w:p>
                  <w:pPr>
                    <w:pStyle w:val="18"/>
                    <w:bidi w:val="0"/>
                    <w:jc w:val="center"/>
                    <w:rPr>
                      <w:rFonts w:hint="default"/>
                      <w:lang w:val="en-US" w:eastAsia="zh-CN"/>
                    </w:rPr>
                  </w:pPr>
                  <w:r>
                    <w:rPr>
                      <w:rFonts w:hint="default"/>
                      <w:lang w:val="en-US" w:eastAsia="zh-CN"/>
                    </w:rPr>
                    <w:t>每季度一次，每次监测2天，昼间、夜间各一次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84" w:type="pct"/>
                  <w:noWrap w:val="0"/>
                  <w:vAlign w:val="center"/>
                </w:tcPr>
                <w:p>
                  <w:pPr>
                    <w:pStyle w:val="18"/>
                    <w:bidi w:val="0"/>
                    <w:jc w:val="center"/>
                    <w:rPr>
                      <w:rFonts w:hint="default"/>
                      <w:lang w:val="en-US" w:eastAsia="zh-CN"/>
                    </w:rPr>
                  </w:pPr>
                  <w:r>
                    <w:rPr>
                      <w:rFonts w:hint="default"/>
                      <w:lang w:val="en-US" w:eastAsia="zh-CN"/>
                    </w:rPr>
                    <w:t>固废</w:t>
                  </w:r>
                </w:p>
              </w:tc>
              <w:tc>
                <w:tcPr>
                  <w:tcW w:w="1154" w:type="pct"/>
                  <w:noWrap w:val="0"/>
                  <w:vAlign w:val="center"/>
                </w:tcPr>
                <w:p>
                  <w:pPr>
                    <w:pStyle w:val="18"/>
                    <w:bidi w:val="0"/>
                    <w:jc w:val="center"/>
                    <w:rPr>
                      <w:rFonts w:hint="default"/>
                      <w:lang w:val="en-US" w:eastAsia="zh-CN"/>
                    </w:rPr>
                  </w:pPr>
                  <w:r>
                    <w:rPr>
                      <w:rFonts w:hint="default"/>
                      <w:lang w:val="en-US" w:eastAsia="zh-CN"/>
                    </w:rPr>
                    <w:t>固体废物产生点</w:t>
                  </w:r>
                </w:p>
              </w:tc>
              <w:tc>
                <w:tcPr>
                  <w:tcW w:w="1428" w:type="pct"/>
                  <w:noWrap w:val="0"/>
                  <w:vAlign w:val="center"/>
                </w:tcPr>
                <w:p>
                  <w:pPr>
                    <w:pStyle w:val="18"/>
                    <w:bidi w:val="0"/>
                    <w:jc w:val="center"/>
                    <w:rPr>
                      <w:rFonts w:hint="default"/>
                      <w:lang w:val="en-US" w:eastAsia="zh-CN"/>
                    </w:rPr>
                  </w:pPr>
                  <w:r>
                    <w:rPr>
                      <w:rFonts w:hint="default"/>
                      <w:lang w:val="en-US" w:eastAsia="zh-CN"/>
                    </w:rPr>
                    <w:t>/</w:t>
                  </w:r>
                </w:p>
              </w:tc>
              <w:tc>
                <w:tcPr>
                  <w:tcW w:w="1733" w:type="pct"/>
                  <w:noWrap w:val="0"/>
                  <w:vAlign w:val="center"/>
                </w:tcPr>
                <w:p>
                  <w:pPr>
                    <w:pStyle w:val="18"/>
                    <w:bidi w:val="0"/>
                    <w:jc w:val="center"/>
                    <w:rPr>
                      <w:rFonts w:hint="default"/>
                      <w:lang w:val="en-US" w:eastAsia="zh-CN"/>
                    </w:rPr>
                  </w:pPr>
                  <w:r>
                    <w:rPr>
                      <w:rFonts w:hint="default"/>
                      <w:lang w:val="en-US" w:eastAsia="zh-CN"/>
                    </w:rPr>
                    <w:t>建立固体废物档案</w:t>
                  </w:r>
                </w:p>
              </w:tc>
            </w:tr>
          </w:tbl>
          <w:p>
            <w:pPr>
              <w:pStyle w:val="19"/>
              <w:bidi w:val="0"/>
              <w:rPr>
                <w:rFonts w:hint="default"/>
                <w:lang w:val="en-US" w:eastAsia="zh-CN"/>
              </w:rPr>
            </w:pPr>
          </w:p>
        </w:tc>
      </w:tr>
    </w:tbl>
    <w:p>
      <w:pPr>
        <w:rPr>
          <w:rFonts w:hint="default"/>
          <w:lang w:val="en-US" w:eastAsia="zh-CN"/>
        </w:rPr>
      </w:pPr>
      <w:r>
        <w:rPr>
          <w:rFonts w:hint="default"/>
          <w:lang w:val="en-US" w:eastAsia="zh-CN"/>
        </w:rPr>
        <w:br w:type="page"/>
      </w:r>
    </w:p>
    <w:p>
      <w:pPr>
        <w:pStyle w:val="3"/>
        <w:numPr>
          <w:ilvl w:val="0"/>
          <w:numId w:val="12"/>
        </w:numPr>
        <w:bidi w:val="0"/>
        <w:jc w:val="center"/>
        <w:rPr>
          <w:rFonts w:hint="default"/>
          <w:lang w:val="en-US" w:eastAsia="zh-CN"/>
        </w:rPr>
      </w:pPr>
      <w:bookmarkStart w:id="72" w:name="_Toc26048"/>
      <w:bookmarkStart w:id="73" w:name="_Toc20344"/>
      <w:r>
        <w:rPr>
          <w:rFonts w:hint="default"/>
          <w:lang w:val="en-US" w:eastAsia="zh-CN"/>
        </w:rPr>
        <w:t>环境保护措施监督检查清单</w:t>
      </w:r>
      <w:bookmarkEnd w:id="72"/>
      <w:bookmarkEnd w:id="73"/>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0"/>
        <w:gridCol w:w="1218"/>
        <w:gridCol w:w="1039"/>
        <w:gridCol w:w="1673"/>
        <w:gridCol w:w="35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tcBorders>
              <w:tl2br w:val="single" w:color="auto" w:sz="4" w:space="0"/>
            </w:tcBorders>
            <w:noWrap w:val="0"/>
            <w:vAlign w:val="center"/>
          </w:tcPr>
          <w:p>
            <w:pPr>
              <w:adjustRightInd w:val="0"/>
              <w:snapToGrid w:val="0"/>
              <w:ind w:firstLine="540" w:firstLineChars="300"/>
              <w:rPr>
                <w:sz w:val="18"/>
                <w:szCs w:val="18"/>
              </w:rPr>
            </w:pPr>
            <w:r>
              <w:rPr>
                <w:sz w:val="18"/>
                <w:szCs w:val="18"/>
              </w:rPr>
              <w:t>内容</w:t>
            </w:r>
          </w:p>
          <w:p>
            <w:pPr>
              <w:adjustRightInd w:val="0"/>
              <w:snapToGrid w:val="0"/>
              <w:rPr>
                <w:sz w:val="18"/>
                <w:szCs w:val="18"/>
              </w:rPr>
            </w:pPr>
            <w:r>
              <w:rPr>
                <w:sz w:val="18"/>
                <w:szCs w:val="18"/>
              </w:rPr>
              <w:t>要素</w:t>
            </w:r>
          </w:p>
        </w:tc>
        <w:tc>
          <w:tcPr>
            <w:tcW w:w="1218" w:type="dxa"/>
            <w:noWrap w:val="0"/>
            <w:vAlign w:val="center"/>
          </w:tcPr>
          <w:p>
            <w:pPr>
              <w:adjustRightInd w:val="0"/>
              <w:snapToGrid w:val="0"/>
              <w:jc w:val="center"/>
              <w:rPr>
                <w:sz w:val="18"/>
                <w:szCs w:val="18"/>
              </w:rPr>
            </w:pPr>
            <w:r>
              <w:rPr>
                <w:sz w:val="18"/>
                <w:szCs w:val="18"/>
              </w:rPr>
              <w:t>排放口(编号、名称)/污染源</w:t>
            </w:r>
          </w:p>
        </w:tc>
        <w:tc>
          <w:tcPr>
            <w:tcW w:w="1039" w:type="dxa"/>
            <w:noWrap w:val="0"/>
            <w:vAlign w:val="center"/>
          </w:tcPr>
          <w:p>
            <w:pPr>
              <w:adjustRightInd w:val="0"/>
              <w:snapToGrid w:val="0"/>
              <w:jc w:val="center"/>
              <w:rPr>
                <w:sz w:val="18"/>
                <w:szCs w:val="18"/>
              </w:rPr>
            </w:pPr>
            <w:r>
              <w:rPr>
                <w:sz w:val="18"/>
                <w:szCs w:val="18"/>
              </w:rPr>
              <w:t>污染物项目</w:t>
            </w:r>
          </w:p>
        </w:tc>
        <w:tc>
          <w:tcPr>
            <w:tcW w:w="1673" w:type="dxa"/>
            <w:noWrap w:val="0"/>
            <w:vAlign w:val="center"/>
          </w:tcPr>
          <w:p>
            <w:pPr>
              <w:adjustRightInd w:val="0"/>
              <w:snapToGrid w:val="0"/>
              <w:jc w:val="center"/>
              <w:rPr>
                <w:sz w:val="18"/>
                <w:szCs w:val="18"/>
              </w:rPr>
            </w:pPr>
            <w:r>
              <w:rPr>
                <w:sz w:val="18"/>
                <w:szCs w:val="18"/>
              </w:rPr>
              <w:t>环境保护措施</w:t>
            </w:r>
          </w:p>
        </w:tc>
        <w:tc>
          <w:tcPr>
            <w:tcW w:w="3500" w:type="dxa"/>
            <w:noWrap w:val="0"/>
            <w:vAlign w:val="center"/>
          </w:tcPr>
          <w:p>
            <w:pPr>
              <w:adjustRightInd w:val="0"/>
              <w:snapToGrid w:val="0"/>
              <w:jc w:val="center"/>
              <w:rPr>
                <w:sz w:val="18"/>
                <w:szCs w:val="18"/>
              </w:rPr>
            </w:pPr>
            <w:r>
              <w:rPr>
                <w:sz w:val="18"/>
                <w:szCs w:val="18"/>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6" w:hRule="atLeast"/>
          <w:tblHeader/>
          <w:jc w:val="center"/>
        </w:trPr>
        <w:tc>
          <w:tcPr>
            <w:tcW w:w="1370" w:type="dxa"/>
            <w:vMerge w:val="restart"/>
            <w:noWrap w:val="0"/>
            <w:vAlign w:val="center"/>
          </w:tcPr>
          <w:p>
            <w:pPr>
              <w:pStyle w:val="20"/>
              <w:bidi w:val="0"/>
              <w:rPr>
                <w:sz w:val="20"/>
                <w:szCs w:val="18"/>
              </w:rPr>
            </w:pPr>
            <w:r>
              <w:rPr>
                <w:sz w:val="20"/>
                <w:szCs w:val="18"/>
              </w:rPr>
              <w:t>大气环境</w:t>
            </w:r>
          </w:p>
        </w:tc>
        <w:tc>
          <w:tcPr>
            <w:tcW w:w="1218" w:type="dxa"/>
            <w:vMerge w:val="restart"/>
            <w:noWrap w:val="0"/>
            <w:vAlign w:val="center"/>
          </w:tcPr>
          <w:p>
            <w:pPr>
              <w:pStyle w:val="20"/>
              <w:bidi w:val="0"/>
              <w:rPr>
                <w:rFonts w:hint="eastAsia"/>
                <w:sz w:val="20"/>
                <w:szCs w:val="18"/>
                <w:lang w:val="en-US" w:eastAsia="zh-CN"/>
              </w:rPr>
            </w:pPr>
            <w:r>
              <w:rPr>
                <w:rFonts w:hint="eastAsia"/>
                <w:sz w:val="20"/>
                <w:szCs w:val="18"/>
                <w:lang w:val="en-US" w:eastAsia="zh-CN"/>
              </w:rPr>
              <w:t>锅炉废气</w:t>
            </w:r>
          </w:p>
        </w:tc>
        <w:tc>
          <w:tcPr>
            <w:tcW w:w="1039" w:type="dxa"/>
            <w:noWrap w:val="0"/>
            <w:vAlign w:val="center"/>
          </w:tcPr>
          <w:p>
            <w:pPr>
              <w:pStyle w:val="20"/>
              <w:bidi w:val="0"/>
              <w:rPr>
                <w:rFonts w:hint="default"/>
                <w:sz w:val="20"/>
                <w:szCs w:val="18"/>
                <w:lang w:val="en-US" w:eastAsia="zh-CN"/>
              </w:rPr>
            </w:pPr>
            <w:r>
              <w:rPr>
                <w:rFonts w:hint="eastAsia"/>
                <w:sz w:val="20"/>
                <w:szCs w:val="18"/>
                <w:lang w:val="en-US" w:eastAsia="zh-CN"/>
              </w:rPr>
              <w:t>颗粒物、SO</w:t>
            </w:r>
            <w:r>
              <w:rPr>
                <w:rFonts w:hint="eastAsia"/>
                <w:sz w:val="20"/>
                <w:szCs w:val="18"/>
                <w:vertAlign w:val="subscript"/>
                <w:lang w:val="en-US" w:eastAsia="zh-CN"/>
              </w:rPr>
              <w:t>2</w:t>
            </w:r>
            <w:r>
              <w:rPr>
                <w:rFonts w:hint="eastAsia"/>
                <w:sz w:val="20"/>
                <w:szCs w:val="18"/>
                <w:lang w:val="en-US" w:eastAsia="zh-CN"/>
              </w:rPr>
              <w:t>、NO</w:t>
            </w:r>
            <w:r>
              <w:rPr>
                <w:rFonts w:hint="eastAsia"/>
                <w:sz w:val="20"/>
                <w:szCs w:val="18"/>
                <w:vertAlign w:val="subscript"/>
                <w:lang w:val="en-US" w:eastAsia="zh-CN"/>
              </w:rPr>
              <w:t>X</w:t>
            </w:r>
          </w:p>
        </w:tc>
        <w:tc>
          <w:tcPr>
            <w:tcW w:w="1673" w:type="dxa"/>
            <w:vMerge w:val="restart"/>
            <w:noWrap w:val="0"/>
            <w:vAlign w:val="center"/>
          </w:tcPr>
          <w:p>
            <w:pPr>
              <w:pStyle w:val="20"/>
              <w:bidi w:val="0"/>
              <w:rPr>
                <w:rFonts w:hint="default"/>
                <w:sz w:val="20"/>
                <w:szCs w:val="18"/>
                <w:lang w:val="en-US" w:eastAsia="zh-CN"/>
              </w:rPr>
            </w:pPr>
            <w:r>
              <w:rPr>
                <w:rFonts w:hint="eastAsia"/>
                <w:sz w:val="20"/>
                <w:szCs w:val="18"/>
                <w:lang w:val="en-US" w:eastAsia="zh-CN"/>
              </w:rPr>
              <w:t>布袋除尘器+15m高空排放</w:t>
            </w:r>
          </w:p>
        </w:tc>
        <w:tc>
          <w:tcPr>
            <w:tcW w:w="3500" w:type="dxa"/>
            <w:vMerge w:val="restart"/>
            <w:noWrap w:val="0"/>
            <w:vAlign w:val="center"/>
          </w:tcPr>
          <w:p>
            <w:pPr>
              <w:pStyle w:val="20"/>
              <w:bidi w:val="0"/>
              <w:rPr>
                <w:rFonts w:hint="default"/>
                <w:sz w:val="20"/>
                <w:szCs w:val="18"/>
                <w:lang w:val="en-US" w:eastAsia="zh-CN"/>
              </w:rPr>
            </w:pPr>
            <w:r>
              <w:rPr>
                <w:rFonts w:hint="eastAsia"/>
                <w:sz w:val="20"/>
                <w:szCs w:val="18"/>
                <w:lang w:eastAsia="zh-CN"/>
              </w:rPr>
              <w:t>《</w:t>
            </w:r>
            <w:r>
              <w:rPr>
                <w:rFonts w:hint="eastAsia"/>
                <w:sz w:val="20"/>
                <w:szCs w:val="18"/>
                <w:lang w:val="en-US" w:eastAsia="zh-CN"/>
              </w:rPr>
              <w:t>锅炉大气污染物排放标准》（GB 13271-2014）中表2标准限值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vMerge w:val="restart"/>
            <w:noWrap w:val="0"/>
            <w:vAlign w:val="center"/>
          </w:tcPr>
          <w:p>
            <w:pPr>
              <w:pStyle w:val="20"/>
              <w:bidi w:val="0"/>
              <w:rPr>
                <w:sz w:val="20"/>
                <w:szCs w:val="18"/>
              </w:rPr>
            </w:pPr>
            <w:r>
              <w:rPr>
                <w:sz w:val="20"/>
                <w:szCs w:val="18"/>
              </w:rPr>
              <w:t>地表水环境</w:t>
            </w:r>
          </w:p>
        </w:tc>
        <w:tc>
          <w:tcPr>
            <w:tcW w:w="1218" w:type="dxa"/>
            <w:vMerge w:val="restart"/>
            <w:noWrap w:val="0"/>
            <w:vAlign w:val="center"/>
          </w:tcPr>
          <w:p>
            <w:pPr>
              <w:pStyle w:val="20"/>
              <w:bidi w:val="0"/>
              <w:rPr>
                <w:sz w:val="20"/>
                <w:szCs w:val="18"/>
              </w:rPr>
            </w:pPr>
            <w:r>
              <w:rPr>
                <w:sz w:val="20"/>
                <w:szCs w:val="18"/>
              </w:rPr>
              <w:t>生活污水</w:t>
            </w:r>
          </w:p>
        </w:tc>
        <w:tc>
          <w:tcPr>
            <w:tcW w:w="1039" w:type="dxa"/>
            <w:noWrap w:val="0"/>
            <w:vAlign w:val="center"/>
          </w:tcPr>
          <w:p>
            <w:pPr>
              <w:pStyle w:val="20"/>
              <w:bidi w:val="0"/>
              <w:rPr>
                <w:sz w:val="20"/>
                <w:szCs w:val="18"/>
              </w:rPr>
            </w:pPr>
            <w:r>
              <w:rPr>
                <w:sz w:val="20"/>
                <w:szCs w:val="18"/>
              </w:rPr>
              <w:t>COD</w:t>
            </w:r>
          </w:p>
        </w:tc>
        <w:tc>
          <w:tcPr>
            <w:tcW w:w="1673" w:type="dxa"/>
            <w:vMerge w:val="restart"/>
            <w:noWrap w:val="0"/>
            <w:vAlign w:val="center"/>
          </w:tcPr>
          <w:p>
            <w:pPr>
              <w:pStyle w:val="20"/>
              <w:bidi w:val="0"/>
              <w:rPr>
                <w:sz w:val="20"/>
                <w:szCs w:val="18"/>
              </w:rPr>
            </w:pPr>
            <w:r>
              <w:rPr>
                <w:sz w:val="20"/>
                <w:szCs w:val="18"/>
              </w:rPr>
              <w:t>依托化粪池预处理后排入</w:t>
            </w:r>
            <w:r>
              <w:rPr>
                <w:rFonts w:hint="eastAsia"/>
                <w:sz w:val="20"/>
                <w:szCs w:val="18"/>
                <w:lang w:val="en-US" w:eastAsia="zh-CN"/>
              </w:rPr>
              <w:t>花垣产业开发区</w:t>
            </w:r>
            <w:r>
              <w:rPr>
                <w:sz w:val="20"/>
                <w:szCs w:val="18"/>
              </w:rPr>
              <w:t>处理厂进一步处理</w:t>
            </w:r>
          </w:p>
        </w:tc>
        <w:tc>
          <w:tcPr>
            <w:tcW w:w="3500" w:type="dxa"/>
            <w:vMerge w:val="restart"/>
            <w:noWrap w:val="0"/>
            <w:vAlign w:val="center"/>
          </w:tcPr>
          <w:p>
            <w:pPr>
              <w:pStyle w:val="20"/>
              <w:bidi w:val="0"/>
              <w:rPr>
                <w:sz w:val="20"/>
                <w:szCs w:val="18"/>
              </w:rPr>
            </w:pPr>
            <w:r>
              <w:rPr>
                <w:sz w:val="20"/>
                <w:szCs w:val="18"/>
              </w:rPr>
              <w:t>《污水综合排放标准》（GB8978-1996）表4中的三级标准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vMerge w:val="continue"/>
            <w:noWrap w:val="0"/>
            <w:vAlign w:val="center"/>
          </w:tcPr>
          <w:p>
            <w:pPr>
              <w:pStyle w:val="20"/>
              <w:bidi w:val="0"/>
              <w:rPr>
                <w:sz w:val="20"/>
                <w:szCs w:val="18"/>
              </w:rPr>
            </w:pPr>
          </w:p>
        </w:tc>
        <w:tc>
          <w:tcPr>
            <w:tcW w:w="1218" w:type="dxa"/>
            <w:vMerge w:val="continue"/>
            <w:noWrap w:val="0"/>
            <w:vAlign w:val="center"/>
          </w:tcPr>
          <w:p>
            <w:pPr>
              <w:pStyle w:val="20"/>
              <w:bidi w:val="0"/>
              <w:rPr>
                <w:sz w:val="20"/>
                <w:szCs w:val="18"/>
              </w:rPr>
            </w:pPr>
          </w:p>
        </w:tc>
        <w:tc>
          <w:tcPr>
            <w:tcW w:w="1039" w:type="dxa"/>
            <w:noWrap w:val="0"/>
            <w:vAlign w:val="center"/>
          </w:tcPr>
          <w:p>
            <w:pPr>
              <w:pStyle w:val="20"/>
              <w:bidi w:val="0"/>
              <w:rPr>
                <w:sz w:val="20"/>
                <w:szCs w:val="18"/>
              </w:rPr>
            </w:pPr>
            <w:r>
              <w:rPr>
                <w:sz w:val="20"/>
                <w:szCs w:val="18"/>
              </w:rPr>
              <w:t>BOD</w:t>
            </w:r>
            <w:r>
              <w:rPr>
                <w:sz w:val="20"/>
                <w:szCs w:val="18"/>
                <w:vertAlign w:val="subscript"/>
              </w:rPr>
              <w:t>5</w:t>
            </w:r>
          </w:p>
        </w:tc>
        <w:tc>
          <w:tcPr>
            <w:tcW w:w="1673" w:type="dxa"/>
            <w:vMerge w:val="continue"/>
            <w:noWrap w:val="0"/>
            <w:vAlign w:val="center"/>
          </w:tcPr>
          <w:p>
            <w:pPr>
              <w:pStyle w:val="20"/>
              <w:bidi w:val="0"/>
              <w:rPr>
                <w:sz w:val="20"/>
                <w:szCs w:val="18"/>
              </w:rPr>
            </w:pPr>
          </w:p>
        </w:tc>
        <w:tc>
          <w:tcPr>
            <w:tcW w:w="3500" w:type="dxa"/>
            <w:vMerge w:val="continue"/>
            <w:noWrap w:val="0"/>
            <w:vAlign w:val="center"/>
          </w:tcPr>
          <w:p>
            <w:pPr>
              <w:pStyle w:val="20"/>
              <w:bidi w:val="0"/>
              <w:rPr>
                <w:sz w:val="20"/>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vMerge w:val="continue"/>
            <w:noWrap w:val="0"/>
            <w:vAlign w:val="center"/>
          </w:tcPr>
          <w:p>
            <w:pPr>
              <w:pStyle w:val="20"/>
              <w:bidi w:val="0"/>
              <w:rPr>
                <w:sz w:val="20"/>
                <w:szCs w:val="18"/>
              </w:rPr>
            </w:pPr>
          </w:p>
        </w:tc>
        <w:tc>
          <w:tcPr>
            <w:tcW w:w="1218" w:type="dxa"/>
            <w:vMerge w:val="continue"/>
            <w:noWrap w:val="0"/>
            <w:vAlign w:val="center"/>
          </w:tcPr>
          <w:p>
            <w:pPr>
              <w:pStyle w:val="20"/>
              <w:bidi w:val="0"/>
              <w:rPr>
                <w:sz w:val="20"/>
                <w:szCs w:val="18"/>
              </w:rPr>
            </w:pPr>
          </w:p>
        </w:tc>
        <w:tc>
          <w:tcPr>
            <w:tcW w:w="1039" w:type="dxa"/>
            <w:noWrap w:val="0"/>
            <w:vAlign w:val="center"/>
          </w:tcPr>
          <w:p>
            <w:pPr>
              <w:pStyle w:val="20"/>
              <w:bidi w:val="0"/>
              <w:rPr>
                <w:sz w:val="20"/>
                <w:szCs w:val="18"/>
              </w:rPr>
            </w:pPr>
            <w:r>
              <w:rPr>
                <w:sz w:val="20"/>
                <w:szCs w:val="18"/>
              </w:rPr>
              <w:t>SS</w:t>
            </w:r>
          </w:p>
        </w:tc>
        <w:tc>
          <w:tcPr>
            <w:tcW w:w="1673" w:type="dxa"/>
            <w:vMerge w:val="continue"/>
            <w:noWrap w:val="0"/>
            <w:vAlign w:val="center"/>
          </w:tcPr>
          <w:p>
            <w:pPr>
              <w:pStyle w:val="20"/>
              <w:bidi w:val="0"/>
              <w:rPr>
                <w:sz w:val="20"/>
                <w:szCs w:val="18"/>
              </w:rPr>
            </w:pPr>
          </w:p>
        </w:tc>
        <w:tc>
          <w:tcPr>
            <w:tcW w:w="3500" w:type="dxa"/>
            <w:vMerge w:val="continue"/>
            <w:noWrap w:val="0"/>
            <w:vAlign w:val="center"/>
          </w:tcPr>
          <w:p>
            <w:pPr>
              <w:pStyle w:val="20"/>
              <w:bidi w:val="0"/>
              <w:rPr>
                <w:sz w:val="20"/>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vMerge w:val="continue"/>
            <w:noWrap w:val="0"/>
            <w:vAlign w:val="center"/>
          </w:tcPr>
          <w:p>
            <w:pPr>
              <w:pStyle w:val="20"/>
              <w:bidi w:val="0"/>
              <w:rPr>
                <w:sz w:val="20"/>
                <w:szCs w:val="18"/>
              </w:rPr>
            </w:pPr>
          </w:p>
        </w:tc>
        <w:tc>
          <w:tcPr>
            <w:tcW w:w="1218" w:type="dxa"/>
            <w:vMerge w:val="continue"/>
            <w:noWrap w:val="0"/>
            <w:vAlign w:val="center"/>
          </w:tcPr>
          <w:p>
            <w:pPr>
              <w:pStyle w:val="20"/>
              <w:bidi w:val="0"/>
              <w:rPr>
                <w:sz w:val="20"/>
                <w:szCs w:val="18"/>
              </w:rPr>
            </w:pPr>
          </w:p>
        </w:tc>
        <w:tc>
          <w:tcPr>
            <w:tcW w:w="1039" w:type="dxa"/>
            <w:noWrap w:val="0"/>
            <w:vAlign w:val="center"/>
          </w:tcPr>
          <w:p>
            <w:pPr>
              <w:pStyle w:val="20"/>
              <w:bidi w:val="0"/>
              <w:rPr>
                <w:sz w:val="20"/>
                <w:szCs w:val="18"/>
              </w:rPr>
            </w:pPr>
            <w:r>
              <w:rPr>
                <w:sz w:val="20"/>
                <w:szCs w:val="18"/>
              </w:rPr>
              <w:t>NH</w:t>
            </w:r>
            <w:r>
              <w:rPr>
                <w:sz w:val="20"/>
                <w:szCs w:val="18"/>
                <w:vertAlign w:val="subscript"/>
              </w:rPr>
              <w:t>3</w:t>
            </w:r>
            <w:r>
              <w:rPr>
                <w:sz w:val="20"/>
                <w:szCs w:val="18"/>
              </w:rPr>
              <w:t>-N</w:t>
            </w:r>
          </w:p>
        </w:tc>
        <w:tc>
          <w:tcPr>
            <w:tcW w:w="1673" w:type="dxa"/>
            <w:vMerge w:val="continue"/>
            <w:noWrap w:val="0"/>
            <w:vAlign w:val="center"/>
          </w:tcPr>
          <w:p>
            <w:pPr>
              <w:pStyle w:val="20"/>
              <w:bidi w:val="0"/>
              <w:rPr>
                <w:sz w:val="20"/>
                <w:szCs w:val="18"/>
              </w:rPr>
            </w:pPr>
          </w:p>
        </w:tc>
        <w:tc>
          <w:tcPr>
            <w:tcW w:w="3500" w:type="dxa"/>
            <w:vMerge w:val="continue"/>
            <w:noWrap w:val="0"/>
            <w:vAlign w:val="center"/>
          </w:tcPr>
          <w:p>
            <w:pPr>
              <w:pStyle w:val="20"/>
              <w:bidi w:val="0"/>
              <w:rPr>
                <w:sz w:val="20"/>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noWrap w:val="0"/>
            <w:vAlign w:val="center"/>
          </w:tcPr>
          <w:p>
            <w:pPr>
              <w:pStyle w:val="20"/>
              <w:bidi w:val="0"/>
              <w:rPr>
                <w:sz w:val="20"/>
                <w:szCs w:val="18"/>
              </w:rPr>
            </w:pPr>
            <w:r>
              <w:rPr>
                <w:sz w:val="20"/>
                <w:szCs w:val="18"/>
              </w:rPr>
              <w:t>声环境</w:t>
            </w:r>
          </w:p>
        </w:tc>
        <w:tc>
          <w:tcPr>
            <w:tcW w:w="1218" w:type="dxa"/>
            <w:noWrap w:val="0"/>
            <w:vAlign w:val="center"/>
          </w:tcPr>
          <w:p>
            <w:pPr>
              <w:pStyle w:val="20"/>
              <w:bidi w:val="0"/>
              <w:rPr>
                <w:sz w:val="20"/>
                <w:szCs w:val="18"/>
              </w:rPr>
            </w:pPr>
            <w:r>
              <w:rPr>
                <w:sz w:val="20"/>
                <w:szCs w:val="18"/>
              </w:rPr>
              <w:t>生产设备</w:t>
            </w:r>
          </w:p>
        </w:tc>
        <w:tc>
          <w:tcPr>
            <w:tcW w:w="1039" w:type="dxa"/>
            <w:noWrap w:val="0"/>
            <w:vAlign w:val="center"/>
          </w:tcPr>
          <w:p>
            <w:pPr>
              <w:pStyle w:val="20"/>
              <w:bidi w:val="0"/>
              <w:rPr>
                <w:sz w:val="20"/>
                <w:szCs w:val="18"/>
              </w:rPr>
            </w:pPr>
            <w:r>
              <w:rPr>
                <w:sz w:val="20"/>
                <w:szCs w:val="18"/>
              </w:rPr>
              <w:t>厂界噪声</w:t>
            </w:r>
          </w:p>
        </w:tc>
        <w:tc>
          <w:tcPr>
            <w:tcW w:w="1673" w:type="dxa"/>
            <w:noWrap w:val="0"/>
            <w:vAlign w:val="center"/>
          </w:tcPr>
          <w:p>
            <w:pPr>
              <w:pStyle w:val="20"/>
              <w:bidi w:val="0"/>
              <w:rPr>
                <w:sz w:val="20"/>
                <w:szCs w:val="18"/>
              </w:rPr>
            </w:pPr>
            <w:r>
              <w:rPr>
                <w:sz w:val="20"/>
                <w:szCs w:val="18"/>
              </w:rPr>
              <w:t>厂房隔声、设备减振</w:t>
            </w:r>
          </w:p>
        </w:tc>
        <w:tc>
          <w:tcPr>
            <w:tcW w:w="3500" w:type="dxa"/>
            <w:noWrap w:val="0"/>
            <w:vAlign w:val="center"/>
          </w:tcPr>
          <w:p>
            <w:pPr>
              <w:pStyle w:val="20"/>
              <w:bidi w:val="0"/>
              <w:rPr>
                <w:sz w:val="20"/>
                <w:szCs w:val="18"/>
              </w:rPr>
            </w:pPr>
            <w:r>
              <w:rPr>
                <w:sz w:val="20"/>
                <w:szCs w:val="18"/>
              </w:rPr>
              <w:t>《工业企业厂界环境噪声排放标准》（GB12348-2008）3类标准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noWrap w:val="0"/>
            <w:vAlign w:val="center"/>
          </w:tcPr>
          <w:p>
            <w:pPr>
              <w:pStyle w:val="20"/>
              <w:bidi w:val="0"/>
              <w:rPr>
                <w:sz w:val="20"/>
                <w:szCs w:val="18"/>
              </w:rPr>
            </w:pPr>
            <w:r>
              <w:rPr>
                <w:sz w:val="20"/>
                <w:szCs w:val="18"/>
              </w:rPr>
              <w:t>电磁辐射</w:t>
            </w:r>
          </w:p>
        </w:tc>
        <w:tc>
          <w:tcPr>
            <w:tcW w:w="1218" w:type="dxa"/>
            <w:noWrap w:val="0"/>
            <w:vAlign w:val="center"/>
          </w:tcPr>
          <w:p>
            <w:pPr>
              <w:pStyle w:val="20"/>
              <w:bidi w:val="0"/>
              <w:rPr>
                <w:rFonts w:hint="eastAsia"/>
                <w:sz w:val="20"/>
                <w:szCs w:val="18"/>
                <w:lang w:val="en-US" w:eastAsia="zh-CN"/>
              </w:rPr>
            </w:pPr>
            <w:r>
              <w:rPr>
                <w:rFonts w:hint="eastAsia"/>
                <w:sz w:val="20"/>
                <w:szCs w:val="18"/>
                <w:lang w:val="en-US" w:eastAsia="zh-CN"/>
              </w:rPr>
              <w:t>/</w:t>
            </w:r>
          </w:p>
        </w:tc>
        <w:tc>
          <w:tcPr>
            <w:tcW w:w="1039" w:type="dxa"/>
            <w:noWrap w:val="0"/>
            <w:vAlign w:val="center"/>
          </w:tcPr>
          <w:p>
            <w:pPr>
              <w:pStyle w:val="20"/>
              <w:bidi w:val="0"/>
              <w:rPr>
                <w:rFonts w:hint="eastAsia"/>
                <w:sz w:val="20"/>
                <w:szCs w:val="18"/>
                <w:lang w:val="en-US" w:eastAsia="zh-CN"/>
              </w:rPr>
            </w:pPr>
            <w:r>
              <w:rPr>
                <w:rFonts w:hint="eastAsia"/>
                <w:sz w:val="20"/>
                <w:szCs w:val="18"/>
                <w:lang w:val="en-US" w:eastAsia="zh-CN"/>
              </w:rPr>
              <w:t>/</w:t>
            </w:r>
          </w:p>
        </w:tc>
        <w:tc>
          <w:tcPr>
            <w:tcW w:w="1673" w:type="dxa"/>
            <w:noWrap w:val="0"/>
            <w:vAlign w:val="center"/>
          </w:tcPr>
          <w:p>
            <w:pPr>
              <w:pStyle w:val="20"/>
              <w:bidi w:val="0"/>
              <w:rPr>
                <w:rFonts w:hint="eastAsia"/>
                <w:sz w:val="20"/>
                <w:szCs w:val="18"/>
                <w:lang w:val="en-US" w:eastAsia="zh-CN"/>
              </w:rPr>
            </w:pPr>
            <w:r>
              <w:rPr>
                <w:rFonts w:hint="eastAsia"/>
                <w:sz w:val="20"/>
                <w:szCs w:val="18"/>
                <w:lang w:val="en-US" w:eastAsia="zh-CN"/>
              </w:rPr>
              <w:t>/</w:t>
            </w:r>
          </w:p>
        </w:tc>
        <w:tc>
          <w:tcPr>
            <w:tcW w:w="3500" w:type="dxa"/>
            <w:noWrap w:val="0"/>
            <w:vAlign w:val="center"/>
          </w:tcPr>
          <w:p>
            <w:pPr>
              <w:pStyle w:val="20"/>
              <w:bidi w:val="0"/>
              <w:rPr>
                <w:rFonts w:hint="eastAsia"/>
                <w:sz w:val="20"/>
                <w:szCs w:val="18"/>
                <w:lang w:val="en-US" w:eastAsia="zh-CN"/>
              </w:rPr>
            </w:pPr>
            <w:r>
              <w:rPr>
                <w:rFonts w:hint="eastAsia"/>
                <w:sz w:val="20"/>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noWrap w:val="0"/>
            <w:vAlign w:val="center"/>
          </w:tcPr>
          <w:p>
            <w:pPr>
              <w:pStyle w:val="20"/>
              <w:bidi w:val="0"/>
              <w:rPr>
                <w:sz w:val="20"/>
                <w:szCs w:val="18"/>
              </w:rPr>
            </w:pPr>
            <w:r>
              <w:rPr>
                <w:sz w:val="20"/>
                <w:szCs w:val="18"/>
              </w:rPr>
              <w:t>固体废物</w:t>
            </w:r>
          </w:p>
        </w:tc>
        <w:tc>
          <w:tcPr>
            <w:tcW w:w="7430" w:type="dxa"/>
            <w:gridSpan w:val="4"/>
            <w:noWrap w:val="0"/>
            <w:vAlign w:val="center"/>
          </w:tcPr>
          <w:p>
            <w:pPr>
              <w:pStyle w:val="20"/>
              <w:bidi w:val="0"/>
              <w:jc w:val="left"/>
              <w:rPr>
                <w:sz w:val="20"/>
                <w:szCs w:val="18"/>
              </w:rPr>
            </w:pPr>
            <w:r>
              <w:rPr>
                <w:rFonts w:hint="eastAsia"/>
                <w:sz w:val="20"/>
                <w:szCs w:val="18"/>
                <w:lang w:val="en-US" w:eastAsia="zh-CN"/>
              </w:rPr>
              <w:t>本项目营运期产生生活垃圾由环卫部门清运处理；</w:t>
            </w:r>
            <w:r>
              <w:rPr>
                <w:rFonts w:hint="eastAsia"/>
                <w:sz w:val="20"/>
                <w:szCs w:val="18"/>
              </w:rPr>
              <w:t>锰渣仓库</w:t>
            </w:r>
            <w:r>
              <w:rPr>
                <w:rFonts w:hint="eastAsia"/>
                <w:sz w:val="20"/>
                <w:szCs w:val="18"/>
                <w:lang w:eastAsia="zh-CN"/>
              </w:rPr>
              <w:t>按照</w:t>
            </w:r>
            <w:r>
              <w:rPr>
                <w:rFonts w:hint="eastAsia"/>
                <w:sz w:val="20"/>
                <w:szCs w:val="18"/>
              </w:rPr>
              <w:t>危险废物贮存污染控制标准GB18597-20</w:t>
            </w:r>
            <w:r>
              <w:rPr>
                <w:rFonts w:hint="eastAsia"/>
                <w:sz w:val="20"/>
                <w:szCs w:val="18"/>
                <w:lang w:val="en-US" w:eastAsia="zh-CN"/>
              </w:rPr>
              <w:t>23</w:t>
            </w:r>
            <w:r>
              <w:rPr>
                <w:rFonts w:hint="eastAsia"/>
                <w:sz w:val="20"/>
                <w:szCs w:val="18"/>
              </w:rPr>
              <w:t>的要求进行防渗处理。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noWrap w:val="0"/>
            <w:vAlign w:val="center"/>
          </w:tcPr>
          <w:p>
            <w:pPr>
              <w:pStyle w:val="20"/>
              <w:bidi w:val="0"/>
              <w:rPr>
                <w:sz w:val="20"/>
                <w:szCs w:val="18"/>
              </w:rPr>
            </w:pPr>
            <w:r>
              <w:rPr>
                <w:sz w:val="20"/>
                <w:szCs w:val="18"/>
              </w:rPr>
              <w:t>土壤及地下水污染防治措施</w:t>
            </w:r>
          </w:p>
        </w:tc>
        <w:tc>
          <w:tcPr>
            <w:tcW w:w="7430" w:type="dxa"/>
            <w:gridSpan w:val="4"/>
            <w:noWrap w:val="0"/>
            <w:vAlign w:val="center"/>
          </w:tcPr>
          <w:p>
            <w:pPr>
              <w:pStyle w:val="20"/>
              <w:bidi w:val="0"/>
              <w:jc w:val="left"/>
              <w:rPr>
                <w:sz w:val="20"/>
                <w:szCs w:val="18"/>
              </w:rPr>
            </w:pPr>
            <w:r>
              <w:rPr>
                <w:rFonts w:hint="eastAsia"/>
                <w:sz w:val="20"/>
                <w:szCs w:val="18"/>
              </w:rPr>
              <w:t>对厂区各区域进行硬化和必要的防渗处理，采取防止和减少污染物跑、冒、滴、漏的措施，防渗设计应依据污染防治区采取相应的防渗方案。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noWrap w:val="0"/>
            <w:vAlign w:val="center"/>
          </w:tcPr>
          <w:p>
            <w:pPr>
              <w:pStyle w:val="20"/>
              <w:bidi w:val="0"/>
              <w:rPr>
                <w:sz w:val="20"/>
                <w:szCs w:val="18"/>
              </w:rPr>
            </w:pPr>
            <w:r>
              <w:rPr>
                <w:sz w:val="20"/>
                <w:szCs w:val="18"/>
              </w:rPr>
              <w:t>生态保护措施</w:t>
            </w:r>
          </w:p>
        </w:tc>
        <w:tc>
          <w:tcPr>
            <w:tcW w:w="7430" w:type="dxa"/>
            <w:gridSpan w:val="4"/>
            <w:noWrap w:val="0"/>
            <w:vAlign w:val="center"/>
          </w:tcPr>
          <w:p>
            <w:pPr>
              <w:pStyle w:val="20"/>
              <w:bidi w:val="0"/>
              <w:jc w:val="left"/>
              <w:rPr>
                <w:sz w:val="20"/>
                <w:szCs w:val="18"/>
              </w:rPr>
            </w:pPr>
            <w:r>
              <w:rPr>
                <w:rFonts w:hint="eastAsia"/>
                <w:sz w:val="20"/>
                <w:szCs w:val="18"/>
              </w:rPr>
              <w:t>不会造成区域内生态环境的破坏，对整个区域生态环境影响不大。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noWrap w:val="0"/>
            <w:vAlign w:val="center"/>
          </w:tcPr>
          <w:p>
            <w:pPr>
              <w:pStyle w:val="20"/>
              <w:bidi w:val="0"/>
              <w:rPr>
                <w:rFonts w:hint="eastAsia"/>
                <w:sz w:val="20"/>
                <w:szCs w:val="18"/>
              </w:rPr>
            </w:pPr>
            <w:r>
              <w:rPr>
                <w:rFonts w:hint="eastAsia"/>
                <w:sz w:val="20"/>
                <w:szCs w:val="18"/>
              </w:rPr>
              <w:t>环境风险</w:t>
            </w:r>
          </w:p>
          <w:p>
            <w:pPr>
              <w:pStyle w:val="20"/>
              <w:bidi w:val="0"/>
              <w:rPr>
                <w:rFonts w:hint="eastAsia"/>
                <w:sz w:val="20"/>
                <w:szCs w:val="18"/>
              </w:rPr>
            </w:pPr>
            <w:r>
              <w:rPr>
                <w:rFonts w:hint="eastAsia"/>
                <w:sz w:val="20"/>
                <w:szCs w:val="18"/>
              </w:rPr>
              <w:t>防范措施</w:t>
            </w:r>
          </w:p>
        </w:tc>
        <w:tc>
          <w:tcPr>
            <w:tcW w:w="7430" w:type="dxa"/>
            <w:gridSpan w:val="4"/>
            <w:noWrap w:val="0"/>
            <w:vAlign w:val="center"/>
          </w:tcPr>
          <w:p>
            <w:pPr>
              <w:pStyle w:val="20"/>
              <w:bidi w:val="0"/>
              <w:jc w:val="left"/>
              <w:rPr>
                <w:rFonts w:hint="eastAsia"/>
                <w:sz w:val="20"/>
                <w:szCs w:val="18"/>
              </w:rPr>
            </w:pPr>
            <w:r>
              <w:rPr>
                <w:rFonts w:hint="eastAsia"/>
                <w:sz w:val="20"/>
                <w:szCs w:val="18"/>
              </w:rPr>
              <w:t>为使环境风险减小到最低限度，必须加强劳动安全卫生管理，制定完备、有效的安全防范措施，尽可能降低该项目环境风险事故发生的概率。</w:t>
            </w:r>
          </w:p>
          <w:p>
            <w:pPr>
              <w:pStyle w:val="20"/>
              <w:bidi w:val="0"/>
              <w:jc w:val="left"/>
              <w:rPr>
                <w:rFonts w:hint="eastAsia"/>
                <w:sz w:val="20"/>
                <w:szCs w:val="18"/>
              </w:rPr>
            </w:pPr>
            <w:r>
              <w:rPr>
                <w:rFonts w:hint="eastAsia"/>
                <w:sz w:val="20"/>
                <w:szCs w:val="18"/>
              </w:rPr>
              <w:t>A：危废间设置禁烟禁火等安全警示标志及安全标志和应急疏散标志。应牢固、醒目耐久并标示编号、允许存放产品名称、安全存量、危险等级等项目。</w:t>
            </w:r>
          </w:p>
          <w:p>
            <w:pPr>
              <w:pStyle w:val="20"/>
              <w:bidi w:val="0"/>
              <w:jc w:val="left"/>
              <w:rPr>
                <w:rFonts w:hint="eastAsia"/>
                <w:sz w:val="20"/>
                <w:szCs w:val="18"/>
              </w:rPr>
            </w:pPr>
            <w:r>
              <w:rPr>
                <w:rFonts w:hint="eastAsia"/>
                <w:sz w:val="20"/>
                <w:szCs w:val="18"/>
                <w:lang w:val="en-US" w:eastAsia="zh-CN"/>
              </w:rPr>
              <w:t>B</w:t>
            </w:r>
            <w:r>
              <w:rPr>
                <w:rFonts w:hint="eastAsia"/>
                <w:sz w:val="20"/>
                <w:szCs w:val="18"/>
              </w:rPr>
              <w:t>：</w:t>
            </w:r>
            <w:r>
              <w:rPr>
                <w:rFonts w:hint="eastAsia"/>
                <w:sz w:val="20"/>
                <w:szCs w:val="18"/>
                <w:lang w:val="en-US" w:eastAsia="zh-CN"/>
              </w:rPr>
              <w:t>原料仓库</w:t>
            </w:r>
            <w:r>
              <w:rPr>
                <w:rFonts w:hint="eastAsia"/>
                <w:sz w:val="20"/>
                <w:szCs w:val="18"/>
              </w:rPr>
              <w:t>严格按照危险废物贮存污染控制标准GB18597-20</w:t>
            </w:r>
            <w:r>
              <w:rPr>
                <w:rFonts w:hint="eastAsia"/>
                <w:sz w:val="20"/>
                <w:szCs w:val="18"/>
                <w:lang w:val="en-US" w:eastAsia="zh-CN"/>
              </w:rPr>
              <w:t>23</w:t>
            </w:r>
            <w:r>
              <w:rPr>
                <w:rFonts w:hint="eastAsia"/>
                <w:sz w:val="20"/>
                <w:szCs w:val="18"/>
              </w:rPr>
              <w:t>的要求进行防渗处理。</w:t>
            </w:r>
          </w:p>
          <w:p>
            <w:pPr>
              <w:pStyle w:val="20"/>
              <w:bidi w:val="0"/>
              <w:jc w:val="left"/>
              <w:rPr>
                <w:rFonts w:hint="eastAsia"/>
                <w:sz w:val="20"/>
                <w:szCs w:val="18"/>
              </w:rPr>
            </w:pPr>
            <w:r>
              <w:rPr>
                <w:rFonts w:hint="eastAsia"/>
                <w:sz w:val="20"/>
                <w:szCs w:val="18"/>
                <w:lang w:val="en-US" w:eastAsia="zh-CN"/>
              </w:rPr>
              <w:t>C</w:t>
            </w:r>
            <w:r>
              <w:rPr>
                <w:rFonts w:hint="eastAsia"/>
                <w:sz w:val="20"/>
                <w:szCs w:val="18"/>
              </w:rPr>
              <w:t>：项目</w:t>
            </w:r>
            <w:r>
              <w:rPr>
                <w:rFonts w:hint="eastAsia"/>
                <w:sz w:val="20"/>
                <w:szCs w:val="18"/>
                <w:lang w:val="en-US" w:eastAsia="zh-CN"/>
              </w:rPr>
              <w:t>制浆</w:t>
            </w:r>
            <w:r>
              <w:rPr>
                <w:rFonts w:hint="eastAsia"/>
                <w:sz w:val="20"/>
                <w:szCs w:val="18"/>
              </w:rPr>
              <w:t>、压滤、</w:t>
            </w:r>
            <w:r>
              <w:rPr>
                <w:rFonts w:hint="eastAsia"/>
                <w:sz w:val="20"/>
                <w:szCs w:val="18"/>
                <w:lang w:val="en-US" w:eastAsia="zh-CN"/>
              </w:rPr>
              <w:t>锰渣仓库</w:t>
            </w:r>
            <w:r>
              <w:rPr>
                <w:rFonts w:hint="eastAsia"/>
                <w:sz w:val="20"/>
                <w:szCs w:val="18"/>
              </w:rPr>
              <w:t>等相关可能产生跑冒滴漏的区域，设置车间导流沟以及集液池等措施，并进行防腐防渗处理。</w:t>
            </w:r>
          </w:p>
          <w:p>
            <w:pPr>
              <w:pStyle w:val="20"/>
              <w:bidi w:val="0"/>
              <w:jc w:val="left"/>
              <w:rPr>
                <w:rFonts w:hint="eastAsia"/>
                <w:sz w:val="20"/>
                <w:szCs w:val="18"/>
              </w:rPr>
            </w:pPr>
            <w:r>
              <w:rPr>
                <w:rFonts w:hint="eastAsia"/>
                <w:sz w:val="20"/>
                <w:szCs w:val="18"/>
                <w:lang w:val="en-US" w:eastAsia="zh-CN"/>
              </w:rPr>
              <w:t>D</w:t>
            </w:r>
            <w:r>
              <w:rPr>
                <w:rFonts w:hint="eastAsia"/>
                <w:sz w:val="20"/>
                <w:szCs w:val="18"/>
              </w:rPr>
              <w:t>：在</w:t>
            </w:r>
            <w:r>
              <w:rPr>
                <w:rFonts w:hint="eastAsia"/>
                <w:sz w:val="20"/>
                <w:szCs w:val="18"/>
                <w:lang w:val="en-US" w:eastAsia="zh-CN"/>
              </w:rPr>
              <w:t>锰铵溶液储</w:t>
            </w:r>
            <w:r>
              <w:rPr>
                <w:rFonts w:hint="eastAsia"/>
                <w:sz w:val="20"/>
                <w:szCs w:val="18"/>
              </w:rPr>
              <w:t>罐区外围</w:t>
            </w:r>
            <w:r>
              <w:rPr>
                <w:rFonts w:hint="eastAsia"/>
                <w:sz w:val="20"/>
                <w:szCs w:val="18"/>
                <w:lang w:val="en-US" w:eastAsia="zh-CN"/>
              </w:rPr>
              <w:t>建立</w:t>
            </w:r>
            <w:r>
              <w:rPr>
                <w:rFonts w:hint="eastAsia"/>
                <w:sz w:val="20"/>
                <w:szCs w:val="18"/>
              </w:rPr>
              <w:t>围堰、防腐防渗设施，事故池，防腐防渗处理。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70" w:type="dxa"/>
            <w:noWrap w:val="0"/>
            <w:vAlign w:val="center"/>
          </w:tcPr>
          <w:p>
            <w:pPr>
              <w:pStyle w:val="20"/>
              <w:bidi w:val="0"/>
              <w:rPr>
                <w:sz w:val="20"/>
                <w:szCs w:val="18"/>
              </w:rPr>
            </w:pPr>
            <w:r>
              <w:rPr>
                <w:sz w:val="20"/>
                <w:szCs w:val="18"/>
              </w:rPr>
              <w:t>其他环境</w:t>
            </w:r>
          </w:p>
          <w:p>
            <w:pPr>
              <w:pStyle w:val="20"/>
              <w:bidi w:val="0"/>
              <w:rPr>
                <w:sz w:val="20"/>
                <w:szCs w:val="18"/>
              </w:rPr>
            </w:pPr>
            <w:r>
              <w:rPr>
                <w:sz w:val="20"/>
                <w:szCs w:val="18"/>
              </w:rPr>
              <w:t>管理要求</w:t>
            </w:r>
          </w:p>
        </w:tc>
        <w:tc>
          <w:tcPr>
            <w:tcW w:w="7430" w:type="dxa"/>
            <w:gridSpan w:val="4"/>
            <w:noWrap w:val="0"/>
            <w:vAlign w:val="center"/>
          </w:tcPr>
          <w:p>
            <w:pPr>
              <w:pStyle w:val="20"/>
              <w:bidi w:val="0"/>
              <w:jc w:val="left"/>
              <w:rPr>
                <w:rFonts w:hint="eastAsia"/>
                <w:sz w:val="20"/>
                <w:szCs w:val="18"/>
              </w:rPr>
            </w:pPr>
            <w:r>
              <w:rPr>
                <w:rFonts w:hint="eastAsia"/>
                <w:sz w:val="20"/>
                <w:szCs w:val="18"/>
              </w:rPr>
              <w:t>为确保本项目营运期环境保护措施落实到位，建设单位应按照《排污单位自行监测技术指南 总则》（HJ819-2017），定期委托有资质单位对污染源排放进行检测，确保污染物达标排放；</w:t>
            </w:r>
          </w:p>
          <w:p>
            <w:pPr>
              <w:pStyle w:val="20"/>
              <w:bidi w:val="0"/>
              <w:jc w:val="left"/>
              <w:rPr>
                <w:rFonts w:hint="eastAsia"/>
                <w:sz w:val="20"/>
                <w:szCs w:val="18"/>
              </w:rPr>
            </w:pPr>
            <w:r>
              <w:rPr>
                <w:rFonts w:hint="eastAsia"/>
                <w:sz w:val="20"/>
                <w:szCs w:val="18"/>
              </w:rPr>
              <w:t>项目建设必须严格执行环境保护的制度，各项环保措施必须与主体工程同时设计、同时施工、同时投入运行，建设单位应按照《建设项目竣工环境保护验收暂行办法》（国环规环评[2017]4号）规定的程序和标准，组织对配套建设的环境保护设施进行验收，编制验收报告，并对验收内容、结论和所公开信息的真实性、准确性和完整性负责，不得在验收过程中弄虚作假。</w:t>
            </w:r>
          </w:p>
          <w:p>
            <w:pPr>
              <w:pStyle w:val="20"/>
              <w:bidi w:val="0"/>
              <w:jc w:val="left"/>
              <w:rPr>
                <w:sz w:val="20"/>
                <w:szCs w:val="18"/>
              </w:rPr>
            </w:pPr>
            <w:r>
              <w:rPr>
                <w:rFonts w:hint="eastAsia"/>
                <w:sz w:val="20"/>
                <w:szCs w:val="18"/>
              </w:rPr>
              <w:t>建设单位应当对验收工作组提出的问题进行整改，建设项目配套建设的环境保护设施经验收合格后，其主体工程才可以投入生产或者使用。</w:t>
            </w:r>
          </w:p>
        </w:tc>
      </w:tr>
    </w:tbl>
    <w:p>
      <w:pPr>
        <w:rPr>
          <w:rFonts w:hint="default"/>
          <w:lang w:val="en-US" w:eastAsia="zh-CN"/>
        </w:rPr>
      </w:pPr>
      <w:r>
        <w:rPr>
          <w:rFonts w:hint="default"/>
          <w:lang w:val="en-US" w:eastAsia="zh-CN"/>
        </w:rPr>
        <w:br w:type="page"/>
      </w:r>
    </w:p>
    <w:p>
      <w:pPr>
        <w:pStyle w:val="3"/>
        <w:numPr>
          <w:ilvl w:val="0"/>
          <w:numId w:val="12"/>
        </w:numPr>
        <w:bidi w:val="0"/>
        <w:ind w:left="40" w:leftChars="0" w:firstLine="0" w:firstLineChars="0"/>
        <w:jc w:val="center"/>
      </w:pPr>
      <w:bookmarkStart w:id="74" w:name="_Toc543"/>
      <w:bookmarkStart w:id="75" w:name="_Toc30841"/>
      <w:r>
        <w:t>结论</w:t>
      </w:r>
      <w:bookmarkEnd w:id="74"/>
      <w:bookmarkEnd w:id="75"/>
    </w:p>
    <w:tbl>
      <w:tblPr>
        <w:tblStyle w:val="1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62" w:hRule="atLeast"/>
          <w:jc w:val="center"/>
        </w:trPr>
        <w:tc>
          <w:tcPr>
            <w:tcW w:w="8860" w:type="dxa"/>
            <w:noWrap w:val="0"/>
            <w:vAlign w:val="top"/>
          </w:tcPr>
          <w:p>
            <w:pPr>
              <w:spacing w:line="360" w:lineRule="auto"/>
              <w:ind w:firstLine="480" w:firstLineChars="200"/>
              <w:rPr>
                <w:sz w:val="24"/>
              </w:rPr>
            </w:pPr>
            <w:r>
              <w:rPr>
                <w:sz w:val="24"/>
              </w:rPr>
              <w:t>本项目建设符合国家产业政策，符合“三线一单”管控要求，采取的环保措施基本可行，环境风险水平可接受；与《产业结构调整指导目录（2019年本）》 不冲突，符合国家相关产业政策和当地规划要求。本项目具有良好的环境效益、社会效益、经济效益。环境影响</w:t>
            </w:r>
            <w:r>
              <w:rPr>
                <w:rFonts w:hint="eastAsia"/>
                <w:sz w:val="24"/>
                <w:lang w:val="en-US" w:eastAsia="zh-CN"/>
              </w:rPr>
              <w:t>分析</w:t>
            </w:r>
            <w:r>
              <w:rPr>
                <w:sz w:val="24"/>
              </w:rPr>
              <w:t>表明，在采取妥善的污染防范措施后，工程排放的污染物对外环境的不利影响可以控制在较低的水平。在认真落</w:t>
            </w:r>
            <w:r>
              <w:rPr>
                <w:color w:val="auto"/>
                <w:sz w:val="24"/>
              </w:rPr>
              <w:t>实本报告</w:t>
            </w:r>
            <w:r>
              <w:rPr>
                <w:rFonts w:hint="eastAsia"/>
                <w:color w:val="auto"/>
                <w:sz w:val="24"/>
                <w:lang w:val="en-US" w:eastAsia="zh-CN"/>
              </w:rPr>
              <w:t>表</w:t>
            </w:r>
            <w:r>
              <w:rPr>
                <w:color w:val="auto"/>
                <w:sz w:val="24"/>
              </w:rPr>
              <w:t>提</w:t>
            </w:r>
            <w:r>
              <w:rPr>
                <w:sz w:val="24"/>
              </w:rPr>
              <w:t>出的各项环保要求，确保污染物稳定可靠达标排放，并符合总量控制要求，生产废水不得外排，所产出的各类固废厂内综合回收利用、外售或委托处理，得到妥善处置；杜绝风险事故，配套风险防范措施；建设完善的环境监管体系，实时监控，发现问题，及时处理解决，从环保角度考虑，项目建设环境可行。</w:t>
            </w:r>
          </w:p>
        </w:tc>
      </w:tr>
    </w:tbl>
    <w:p>
      <w:pPr>
        <w:rPr>
          <w:rFonts w:hint="default"/>
          <w:lang w:val="en-US" w:eastAsia="zh-CN"/>
        </w:rPr>
      </w:pPr>
      <w:r>
        <w:rPr>
          <w:rFonts w:hint="default"/>
          <w:lang w:val="en-US" w:eastAsia="zh-CN"/>
        </w:rPr>
        <w:br w:type="page"/>
      </w:r>
    </w:p>
    <w:p>
      <w:pPr>
        <w:rPr>
          <w:rFonts w:hint="default"/>
          <w:lang w:val="en-US" w:eastAsia="zh-CN"/>
        </w:rPr>
        <w:sectPr>
          <w:pgSz w:w="11906" w:h="16838"/>
          <w:pgMar w:top="1440" w:right="976"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eastAsia"/>
          <w:lang w:val="en-US" w:eastAsia="zh-CN"/>
        </w:rPr>
      </w:pPr>
      <w:bookmarkStart w:id="76" w:name="_Toc24262"/>
      <w:bookmarkStart w:id="77" w:name="_Toc18909"/>
      <w:bookmarkStart w:id="78" w:name="_Toc25925"/>
      <w:bookmarkStart w:id="79" w:name="_Toc9286"/>
      <w:bookmarkStart w:id="80" w:name="_Toc18120"/>
      <w:bookmarkStart w:id="81" w:name="_Toc13087"/>
      <w:bookmarkStart w:id="82" w:name="_Toc111536999"/>
      <w:bookmarkStart w:id="83" w:name="_Toc111536835"/>
      <w:bookmarkStart w:id="84" w:name="_Toc121758916"/>
      <w:r>
        <w:rPr>
          <w:rFonts w:hint="eastAsia"/>
          <w:lang w:val="en-US" w:eastAsia="zh-CN"/>
        </w:rPr>
        <w:t>附表</w:t>
      </w:r>
      <w:bookmarkEnd w:id="76"/>
      <w:bookmarkEnd w:id="77"/>
    </w:p>
    <w:p>
      <w:pPr>
        <w:jc w:val="center"/>
        <w:outlineLvl w:val="1"/>
        <w:rPr>
          <w:rFonts w:eastAsia="方正小标宋_GBK"/>
          <w:snapToGrid w:val="0"/>
          <w:sz w:val="38"/>
          <w:szCs w:val="38"/>
        </w:rPr>
      </w:pPr>
      <w:bookmarkStart w:id="85" w:name="_Toc7543"/>
      <w:bookmarkStart w:id="86" w:name="_Toc13932"/>
      <w:r>
        <w:rPr>
          <w:rFonts w:eastAsia="方正小标宋_GBK"/>
          <w:snapToGrid w:val="0"/>
          <w:sz w:val="38"/>
          <w:szCs w:val="38"/>
        </w:rPr>
        <w:t>建设项目污染物排放量汇总表</w:t>
      </w:r>
      <w:bookmarkEnd w:id="78"/>
      <w:bookmarkEnd w:id="79"/>
      <w:bookmarkEnd w:id="80"/>
      <w:bookmarkEnd w:id="81"/>
      <w:bookmarkEnd w:id="82"/>
      <w:bookmarkEnd w:id="83"/>
      <w:bookmarkEnd w:id="84"/>
      <w:bookmarkEnd w:id="85"/>
      <w:bookmarkEnd w:id="86"/>
    </w:p>
    <w:tbl>
      <w:tblPr>
        <w:tblStyle w:val="15"/>
        <w:tblW w:w="13788"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79"/>
        <w:gridCol w:w="2551"/>
        <w:gridCol w:w="1560"/>
        <w:gridCol w:w="1275"/>
        <w:gridCol w:w="1843"/>
        <w:gridCol w:w="1701"/>
        <w:gridCol w:w="1194"/>
        <w:gridCol w:w="1641"/>
        <w:gridCol w:w="114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noWrap w:val="0"/>
            <w:tcMar>
              <w:left w:w="28" w:type="dxa"/>
              <w:right w:w="28" w:type="dxa"/>
            </w:tcMar>
            <w:vAlign w:val="center"/>
          </w:tcPr>
          <w:p>
            <w:pPr>
              <w:pStyle w:val="18"/>
              <w:bidi w:val="0"/>
              <w:jc w:val="center"/>
            </w:pPr>
            <w:r>
              <w:t>项目</w:t>
            </w:r>
          </w:p>
          <w:p>
            <w:pPr>
              <w:pStyle w:val="18"/>
              <w:bidi w:val="0"/>
              <w:jc w:val="center"/>
            </w:pPr>
            <w:r>
              <w:t>分类</w:t>
            </w:r>
          </w:p>
        </w:tc>
        <w:tc>
          <w:tcPr>
            <w:tcW w:w="2551" w:type="dxa"/>
            <w:noWrap w:val="0"/>
            <w:tcMar>
              <w:left w:w="28" w:type="dxa"/>
              <w:right w:w="28" w:type="dxa"/>
            </w:tcMar>
            <w:vAlign w:val="center"/>
          </w:tcPr>
          <w:p>
            <w:pPr>
              <w:pStyle w:val="18"/>
              <w:bidi w:val="0"/>
              <w:jc w:val="center"/>
            </w:pPr>
            <w:r>
              <w:t>污染物名称</w:t>
            </w:r>
          </w:p>
        </w:tc>
        <w:tc>
          <w:tcPr>
            <w:tcW w:w="1560" w:type="dxa"/>
            <w:noWrap w:val="0"/>
            <w:tcMar>
              <w:left w:w="28" w:type="dxa"/>
              <w:right w:w="28" w:type="dxa"/>
            </w:tcMar>
            <w:vAlign w:val="center"/>
          </w:tcPr>
          <w:p>
            <w:pPr>
              <w:pStyle w:val="18"/>
              <w:bidi w:val="0"/>
              <w:jc w:val="center"/>
            </w:pPr>
            <w:r>
              <w:t>现有工程排放量（固体废物产生量）</w:t>
            </w:r>
            <w:r>
              <w:fldChar w:fldCharType="begin"/>
            </w:r>
            <w:r>
              <w:instrText xml:space="preserve"> = 1 \* GB3 \* MERGEFORMAT </w:instrText>
            </w:r>
            <w:r>
              <w:fldChar w:fldCharType="separate"/>
            </w:r>
            <w:r>
              <w:rPr>
                <w:rFonts w:hint="eastAsia"/>
              </w:rPr>
              <w:t>①</w:t>
            </w:r>
            <w:r>
              <w:fldChar w:fldCharType="end"/>
            </w:r>
          </w:p>
        </w:tc>
        <w:tc>
          <w:tcPr>
            <w:tcW w:w="1275" w:type="dxa"/>
            <w:noWrap w:val="0"/>
            <w:tcMar>
              <w:left w:w="28" w:type="dxa"/>
              <w:right w:w="28" w:type="dxa"/>
            </w:tcMar>
            <w:vAlign w:val="center"/>
          </w:tcPr>
          <w:p>
            <w:pPr>
              <w:pStyle w:val="18"/>
              <w:bidi w:val="0"/>
              <w:jc w:val="center"/>
            </w:pPr>
            <w:r>
              <w:t>现有工程许可排放量</w:t>
            </w:r>
            <w:r>
              <w:fldChar w:fldCharType="begin"/>
            </w:r>
            <w:r>
              <w:instrText xml:space="preserve"> = 2 \* GB3 \* MERGEFORMAT </w:instrText>
            </w:r>
            <w:r>
              <w:fldChar w:fldCharType="separate"/>
            </w:r>
            <w:r>
              <w:rPr>
                <w:rFonts w:hint="eastAsia"/>
              </w:rPr>
              <w:t>②</w:t>
            </w:r>
            <w:r>
              <w:fldChar w:fldCharType="end"/>
            </w:r>
          </w:p>
        </w:tc>
        <w:tc>
          <w:tcPr>
            <w:tcW w:w="1843" w:type="dxa"/>
            <w:noWrap w:val="0"/>
            <w:tcMar>
              <w:left w:w="28" w:type="dxa"/>
              <w:right w:w="28" w:type="dxa"/>
            </w:tcMar>
            <w:vAlign w:val="center"/>
          </w:tcPr>
          <w:p>
            <w:pPr>
              <w:pStyle w:val="18"/>
              <w:bidi w:val="0"/>
              <w:jc w:val="center"/>
            </w:pPr>
            <w:r>
              <w:t>在建工程排放量（固体废物产生量）</w:t>
            </w:r>
            <w:r>
              <w:fldChar w:fldCharType="begin"/>
            </w:r>
            <w:r>
              <w:instrText xml:space="preserve"> = 3 \* GB3 \* MERGEFORMAT </w:instrText>
            </w:r>
            <w:r>
              <w:fldChar w:fldCharType="separate"/>
            </w:r>
            <w:r>
              <w:rPr>
                <w:rFonts w:hint="eastAsia"/>
              </w:rPr>
              <w:t>③</w:t>
            </w:r>
            <w:r>
              <w:fldChar w:fldCharType="end"/>
            </w:r>
          </w:p>
        </w:tc>
        <w:tc>
          <w:tcPr>
            <w:tcW w:w="1701" w:type="dxa"/>
            <w:noWrap w:val="0"/>
            <w:tcMar>
              <w:left w:w="28" w:type="dxa"/>
              <w:right w:w="28" w:type="dxa"/>
            </w:tcMar>
            <w:vAlign w:val="center"/>
          </w:tcPr>
          <w:p>
            <w:pPr>
              <w:pStyle w:val="18"/>
              <w:bidi w:val="0"/>
              <w:jc w:val="center"/>
            </w:pPr>
            <w:r>
              <w:t>本项目排放量（固体废物产生量）</w:t>
            </w:r>
            <w:r>
              <w:fldChar w:fldCharType="begin"/>
            </w:r>
            <w:r>
              <w:instrText xml:space="preserve"> = 4 \* GB3 \* MERGEFORMAT </w:instrText>
            </w:r>
            <w:r>
              <w:fldChar w:fldCharType="separate"/>
            </w:r>
            <w:r>
              <w:rPr>
                <w:rFonts w:hint="eastAsia"/>
              </w:rPr>
              <w:t>④</w:t>
            </w:r>
            <w:r>
              <w:fldChar w:fldCharType="end"/>
            </w:r>
          </w:p>
        </w:tc>
        <w:tc>
          <w:tcPr>
            <w:tcW w:w="1194" w:type="dxa"/>
            <w:noWrap w:val="0"/>
            <w:tcMar>
              <w:left w:w="28" w:type="dxa"/>
              <w:right w:w="28" w:type="dxa"/>
            </w:tcMar>
            <w:vAlign w:val="center"/>
          </w:tcPr>
          <w:p>
            <w:pPr>
              <w:pStyle w:val="18"/>
              <w:bidi w:val="0"/>
              <w:jc w:val="center"/>
            </w:pPr>
            <w:r>
              <w:t>以新带老削减量（新建项目不填）</w:t>
            </w:r>
            <w:r>
              <w:fldChar w:fldCharType="begin"/>
            </w:r>
            <w:r>
              <w:instrText xml:space="preserve"> = 5 \* GB3 \* MERGEFORMAT </w:instrText>
            </w:r>
            <w:r>
              <w:fldChar w:fldCharType="separate"/>
            </w:r>
            <w:r>
              <w:rPr>
                <w:rFonts w:hint="eastAsia"/>
              </w:rPr>
              <w:t>⑤</w:t>
            </w:r>
            <w:r>
              <w:fldChar w:fldCharType="end"/>
            </w:r>
          </w:p>
        </w:tc>
        <w:tc>
          <w:tcPr>
            <w:tcW w:w="1641" w:type="dxa"/>
            <w:noWrap w:val="0"/>
            <w:tcMar>
              <w:left w:w="28" w:type="dxa"/>
              <w:right w:w="28" w:type="dxa"/>
            </w:tcMar>
            <w:vAlign w:val="center"/>
          </w:tcPr>
          <w:p>
            <w:pPr>
              <w:pStyle w:val="18"/>
              <w:bidi w:val="0"/>
              <w:jc w:val="center"/>
            </w:pPr>
            <w:r>
              <w:t>本项目建成后全厂排放量（固体废物产生量）</w:t>
            </w:r>
            <w:r>
              <w:fldChar w:fldCharType="begin"/>
            </w:r>
            <w:r>
              <w:instrText xml:space="preserve"> = 6 \* GB3 \* MERGEFORMAT </w:instrText>
            </w:r>
            <w:r>
              <w:fldChar w:fldCharType="separate"/>
            </w:r>
            <w:r>
              <w:rPr>
                <w:rFonts w:hint="eastAsia"/>
              </w:rPr>
              <w:t>⑥</w:t>
            </w:r>
            <w:r>
              <w:fldChar w:fldCharType="end"/>
            </w:r>
          </w:p>
        </w:tc>
        <w:tc>
          <w:tcPr>
            <w:tcW w:w="1144" w:type="dxa"/>
            <w:noWrap w:val="0"/>
            <w:tcMar>
              <w:left w:w="28" w:type="dxa"/>
              <w:right w:w="28" w:type="dxa"/>
            </w:tcMar>
            <w:vAlign w:val="center"/>
          </w:tcPr>
          <w:p>
            <w:pPr>
              <w:pStyle w:val="18"/>
              <w:bidi w:val="0"/>
              <w:jc w:val="center"/>
            </w:pPr>
            <w:r>
              <w:t>变化量</w:t>
            </w:r>
          </w:p>
          <w:p>
            <w:pPr>
              <w:pStyle w:val="18"/>
              <w:bidi w:val="0"/>
              <w:jc w:val="center"/>
            </w:pPr>
            <w:r>
              <w:fldChar w:fldCharType="begin"/>
            </w:r>
            <w:r>
              <w:instrText xml:space="preserve"> = 7 \* GB3 \* MERGEFORMAT </w:instrText>
            </w:r>
            <w:r>
              <w:fldChar w:fldCharType="separate"/>
            </w:r>
            <w:r>
              <w:rPr>
                <w:rFonts w:hint="eastAsia"/>
              </w:rPr>
              <w:t>⑦</w:t>
            </w:r>
            <w:r>
              <w:fldChar w:fldCharType="end"/>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vMerge w:val="restart"/>
            <w:shd w:val="clear" w:color="auto" w:fill="auto"/>
            <w:noWrap w:val="0"/>
            <w:vAlign w:val="center"/>
          </w:tcPr>
          <w:p>
            <w:pPr>
              <w:pStyle w:val="18"/>
              <w:bidi w:val="0"/>
              <w:jc w:val="center"/>
            </w:pPr>
            <w:r>
              <w:t>废气</w:t>
            </w:r>
          </w:p>
        </w:tc>
        <w:tc>
          <w:tcPr>
            <w:tcW w:w="2551" w:type="dxa"/>
            <w:shd w:val="clear" w:color="auto" w:fill="auto"/>
            <w:noWrap w:val="0"/>
            <w:vAlign w:val="center"/>
          </w:tcPr>
          <w:p>
            <w:pPr>
              <w:pStyle w:val="18"/>
              <w:bidi w:val="0"/>
              <w:jc w:val="center"/>
            </w:pPr>
            <w:r>
              <w:t>颗粒物</w:t>
            </w:r>
          </w:p>
        </w:tc>
        <w:tc>
          <w:tcPr>
            <w:tcW w:w="1560" w:type="dxa"/>
            <w:shd w:val="clear" w:color="auto" w:fill="auto"/>
            <w:noWrap w:val="0"/>
            <w:vAlign w:val="center"/>
          </w:tcPr>
          <w:p>
            <w:pPr>
              <w:pStyle w:val="18"/>
              <w:bidi w:val="0"/>
              <w:ind w:left="40" w:leftChars="0" w:right="40" w:rightChars="0"/>
              <w:jc w:val="center"/>
              <w:rPr>
                <w:rFonts w:hint="eastAsia" w:eastAsia="宋体"/>
                <w:lang w:val="en-US" w:eastAsia="zh-CN"/>
              </w:rPr>
            </w:pPr>
            <w:r>
              <w:rPr>
                <w:rFonts w:hint="eastAsia"/>
                <w:lang w:val="en-US" w:eastAsia="zh-CN"/>
              </w:rPr>
              <w:t>/</w:t>
            </w:r>
          </w:p>
        </w:tc>
        <w:tc>
          <w:tcPr>
            <w:tcW w:w="1275"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843"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70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0.01008</w:t>
            </w:r>
          </w:p>
        </w:tc>
        <w:tc>
          <w:tcPr>
            <w:tcW w:w="1194"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641" w:type="dxa"/>
            <w:shd w:val="clear" w:color="auto" w:fill="auto"/>
            <w:noWrap w:val="0"/>
            <w:vAlign w:val="center"/>
          </w:tcPr>
          <w:p>
            <w:pPr>
              <w:pStyle w:val="18"/>
              <w:bidi w:val="0"/>
              <w:ind w:left="40" w:leftChars="0" w:right="40" w:rightChars="0"/>
              <w:jc w:val="center"/>
            </w:pPr>
            <w:r>
              <w:rPr>
                <w:rFonts w:hint="eastAsia"/>
                <w:lang w:val="en-US" w:eastAsia="zh-CN"/>
              </w:rPr>
              <w:t>0.01008</w:t>
            </w:r>
          </w:p>
        </w:tc>
        <w:tc>
          <w:tcPr>
            <w:tcW w:w="1144" w:type="dxa"/>
            <w:noWrap w:val="0"/>
            <w:vAlign w:val="center"/>
          </w:tcPr>
          <w:p>
            <w:pPr>
              <w:pStyle w:val="18"/>
              <w:bidi w:val="0"/>
              <w:ind w:left="40" w:leftChars="0" w:right="40" w:rightChars="0"/>
              <w:jc w:val="cente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vMerge w:val="continue"/>
            <w:shd w:val="clear" w:color="auto" w:fill="auto"/>
            <w:noWrap w:val="0"/>
            <w:vAlign w:val="center"/>
          </w:tcPr>
          <w:p>
            <w:pPr>
              <w:pStyle w:val="18"/>
              <w:bidi w:val="0"/>
              <w:jc w:val="center"/>
            </w:pPr>
          </w:p>
        </w:tc>
        <w:tc>
          <w:tcPr>
            <w:tcW w:w="2551" w:type="dxa"/>
            <w:shd w:val="clear" w:color="auto" w:fill="auto"/>
            <w:noWrap w:val="0"/>
            <w:vAlign w:val="center"/>
          </w:tcPr>
          <w:p>
            <w:pPr>
              <w:pStyle w:val="18"/>
              <w:bidi w:val="0"/>
              <w:jc w:val="center"/>
            </w:pPr>
            <w:r>
              <w:t>SO</w:t>
            </w:r>
            <w:r>
              <w:rPr>
                <w:vertAlign w:val="subscript"/>
              </w:rPr>
              <w:t>2</w:t>
            </w:r>
          </w:p>
        </w:tc>
        <w:tc>
          <w:tcPr>
            <w:tcW w:w="1560"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275"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843"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70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1.958</w:t>
            </w:r>
          </w:p>
        </w:tc>
        <w:tc>
          <w:tcPr>
            <w:tcW w:w="1194"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641" w:type="dxa"/>
            <w:shd w:val="clear" w:color="auto" w:fill="auto"/>
            <w:noWrap w:val="0"/>
            <w:vAlign w:val="center"/>
          </w:tcPr>
          <w:p>
            <w:pPr>
              <w:pStyle w:val="18"/>
              <w:bidi w:val="0"/>
              <w:ind w:left="40" w:leftChars="0" w:right="40" w:rightChars="0"/>
              <w:jc w:val="center"/>
            </w:pPr>
            <w:r>
              <w:rPr>
                <w:rFonts w:hint="eastAsia"/>
                <w:lang w:val="en-US" w:eastAsia="zh-CN"/>
              </w:rPr>
              <w:t>1.958</w:t>
            </w:r>
          </w:p>
        </w:tc>
        <w:tc>
          <w:tcPr>
            <w:tcW w:w="1144" w:type="dxa"/>
            <w:noWrap w:val="0"/>
            <w:vAlign w:val="center"/>
          </w:tcPr>
          <w:p>
            <w:pPr>
              <w:pStyle w:val="18"/>
              <w:bidi w:val="0"/>
              <w:ind w:left="40" w:leftChars="0" w:right="40" w:rightChars="0"/>
              <w:jc w:val="cente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vMerge w:val="continue"/>
            <w:shd w:val="clear" w:color="auto" w:fill="auto"/>
            <w:noWrap w:val="0"/>
            <w:vAlign w:val="center"/>
          </w:tcPr>
          <w:p>
            <w:pPr>
              <w:pStyle w:val="18"/>
              <w:bidi w:val="0"/>
              <w:jc w:val="center"/>
            </w:pPr>
          </w:p>
        </w:tc>
        <w:tc>
          <w:tcPr>
            <w:tcW w:w="2551" w:type="dxa"/>
            <w:shd w:val="clear" w:color="auto" w:fill="auto"/>
            <w:noWrap w:val="0"/>
            <w:vAlign w:val="center"/>
          </w:tcPr>
          <w:p>
            <w:pPr>
              <w:pStyle w:val="18"/>
              <w:bidi w:val="0"/>
              <w:jc w:val="center"/>
            </w:pPr>
            <w:r>
              <w:t>NOx</w:t>
            </w:r>
          </w:p>
        </w:tc>
        <w:tc>
          <w:tcPr>
            <w:tcW w:w="1560"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275"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843"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70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1.175</w:t>
            </w:r>
          </w:p>
        </w:tc>
        <w:tc>
          <w:tcPr>
            <w:tcW w:w="1194"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641" w:type="dxa"/>
            <w:shd w:val="clear" w:color="auto" w:fill="auto"/>
            <w:noWrap w:val="0"/>
            <w:vAlign w:val="center"/>
          </w:tcPr>
          <w:p>
            <w:pPr>
              <w:pStyle w:val="18"/>
              <w:bidi w:val="0"/>
              <w:ind w:left="40" w:leftChars="0" w:right="40" w:rightChars="0"/>
              <w:jc w:val="center"/>
            </w:pPr>
            <w:r>
              <w:rPr>
                <w:rFonts w:hint="eastAsia"/>
                <w:lang w:val="en-US" w:eastAsia="zh-CN"/>
              </w:rPr>
              <w:t>1.175</w:t>
            </w:r>
          </w:p>
        </w:tc>
        <w:tc>
          <w:tcPr>
            <w:tcW w:w="1144" w:type="dxa"/>
            <w:noWrap w:val="0"/>
            <w:vAlign w:val="center"/>
          </w:tcPr>
          <w:p>
            <w:pPr>
              <w:pStyle w:val="18"/>
              <w:bidi w:val="0"/>
              <w:ind w:left="40" w:leftChars="0" w:right="40" w:rightChars="0"/>
              <w:jc w:val="cente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vMerge w:val="continue"/>
            <w:shd w:val="clear" w:color="auto" w:fill="auto"/>
            <w:noWrap w:val="0"/>
            <w:vAlign w:val="center"/>
          </w:tcPr>
          <w:p>
            <w:pPr>
              <w:pStyle w:val="18"/>
              <w:bidi w:val="0"/>
              <w:jc w:val="center"/>
            </w:pPr>
          </w:p>
        </w:tc>
        <w:tc>
          <w:tcPr>
            <w:tcW w:w="2551" w:type="dxa"/>
            <w:shd w:val="clear" w:color="auto" w:fill="auto"/>
            <w:noWrap w:val="0"/>
            <w:vAlign w:val="center"/>
          </w:tcPr>
          <w:p>
            <w:pPr>
              <w:pStyle w:val="18"/>
              <w:bidi w:val="0"/>
              <w:jc w:val="center"/>
            </w:pPr>
            <w:r>
              <w:t>氨气</w:t>
            </w:r>
          </w:p>
        </w:tc>
        <w:tc>
          <w:tcPr>
            <w:tcW w:w="1560"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275"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843"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701" w:type="dxa"/>
            <w:shd w:val="clear" w:color="auto" w:fill="auto"/>
            <w:noWrap w:val="0"/>
            <w:vAlign w:val="center"/>
          </w:tcPr>
          <w:p>
            <w:pPr>
              <w:pStyle w:val="18"/>
              <w:bidi w:val="0"/>
              <w:jc w:val="center"/>
              <w:rPr>
                <w:rFonts w:hint="eastAsia" w:eastAsia="宋体"/>
                <w:lang w:val="en-US" w:eastAsia="zh-CN"/>
              </w:rPr>
            </w:pPr>
            <w:r>
              <w:rPr>
                <w:rFonts w:hint="eastAsia"/>
                <w:lang w:val="en-US" w:eastAsia="zh-CN"/>
              </w:rPr>
              <w:t>1</w:t>
            </w:r>
          </w:p>
        </w:tc>
        <w:tc>
          <w:tcPr>
            <w:tcW w:w="1194"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641" w:type="dxa"/>
            <w:shd w:val="clear" w:color="auto" w:fill="auto"/>
            <w:noWrap w:val="0"/>
            <w:vAlign w:val="center"/>
          </w:tcPr>
          <w:p>
            <w:pPr>
              <w:pStyle w:val="18"/>
              <w:bidi w:val="0"/>
              <w:ind w:left="40" w:leftChars="0" w:right="40" w:rightChars="0"/>
              <w:jc w:val="center"/>
            </w:pPr>
            <w:r>
              <w:rPr>
                <w:rFonts w:hint="eastAsia"/>
                <w:lang w:val="en-US" w:eastAsia="zh-CN"/>
              </w:rPr>
              <w:t>1</w:t>
            </w:r>
          </w:p>
        </w:tc>
        <w:tc>
          <w:tcPr>
            <w:tcW w:w="1144" w:type="dxa"/>
            <w:noWrap w:val="0"/>
            <w:vAlign w:val="center"/>
          </w:tcPr>
          <w:p>
            <w:pPr>
              <w:pStyle w:val="18"/>
              <w:bidi w:val="0"/>
              <w:ind w:left="40" w:leftChars="0" w:right="40" w:rightChars="0"/>
              <w:jc w:val="cente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vMerge w:val="continue"/>
            <w:shd w:val="clear" w:color="auto" w:fill="auto"/>
            <w:noWrap w:val="0"/>
            <w:vAlign w:val="center"/>
          </w:tcPr>
          <w:p>
            <w:pPr>
              <w:pStyle w:val="18"/>
              <w:bidi w:val="0"/>
              <w:jc w:val="center"/>
            </w:pPr>
          </w:p>
        </w:tc>
        <w:tc>
          <w:tcPr>
            <w:tcW w:w="2551" w:type="dxa"/>
            <w:shd w:val="clear" w:color="auto" w:fill="auto"/>
            <w:noWrap w:val="0"/>
            <w:vAlign w:val="center"/>
          </w:tcPr>
          <w:p>
            <w:pPr>
              <w:pStyle w:val="18"/>
              <w:bidi w:val="0"/>
              <w:jc w:val="center"/>
            </w:pPr>
            <w:r>
              <w:t>硫酸雾</w:t>
            </w:r>
          </w:p>
        </w:tc>
        <w:tc>
          <w:tcPr>
            <w:tcW w:w="1560"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275"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843"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70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0.01</w:t>
            </w:r>
          </w:p>
        </w:tc>
        <w:tc>
          <w:tcPr>
            <w:tcW w:w="1194"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641" w:type="dxa"/>
            <w:shd w:val="clear" w:color="auto" w:fill="auto"/>
            <w:noWrap w:val="0"/>
            <w:vAlign w:val="center"/>
          </w:tcPr>
          <w:p>
            <w:pPr>
              <w:pStyle w:val="18"/>
              <w:bidi w:val="0"/>
              <w:ind w:left="40" w:leftChars="0" w:right="40" w:rightChars="0"/>
              <w:jc w:val="center"/>
            </w:pPr>
            <w:r>
              <w:rPr>
                <w:rFonts w:hint="eastAsia"/>
                <w:lang w:val="en-US" w:eastAsia="zh-CN"/>
              </w:rPr>
              <w:t>0.01</w:t>
            </w:r>
          </w:p>
        </w:tc>
        <w:tc>
          <w:tcPr>
            <w:tcW w:w="1144" w:type="dxa"/>
            <w:noWrap w:val="0"/>
            <w:vAlign w:val="center"/>
          </w:tcPr>
          <w:p>
            <w:pPr>
              <w:pStyle w:val="18"/>
              <w:bidi w:val="0"/>
              <w:ind w:left="40" w:leftChars="0" w:right="40" w:rightChars="0"/>
              <w:jc w:val="cente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vMerge w:val="restart"/>
            <w:shd w:val="clear" w:color="auto" w:fill="auto"/>
            <w:noWrap w:val="0"/>
            <w:vAlign w:val="center"/>
          </w:tcPr>
          <w:p>
            <w:pPr>
              <w:pStyle w:val="18"/>
              <w:bidi w:val="0"/>
              <w:jc w:val="center"/>
            </w:pPr>
            <w:r>
              <w:t>废水</w:t>
            </w:r>
          </w:p>
        </w:tc>
        <w:tc>
          <w:tcPr>
            <w:tcW w:w="2551" w:type="dxa"/>
            <w:shd w:val="clear" w:color="auto" w:fill="auto"/>
            <w:noWrap w:val="0"/>
            <w:vAlign w:val="center"/>
          </w:tcPr>
          <w:p>
            <w:pPr>
              <w:pStyle w:val="18"/>
              <w:bidi w:val="0"/>
              <w:jc w:val="center"/>
            </w:pPr>
            <w:r>
              <w:t>COD</w:t>
            </w:r>
          </w:p>
        </w:tc>
        <w:tc>
          <w:tcPr>
            <w:tcW w:w="1560"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275"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843" w:type="dxa"/>
            <w:shd w:val="clear" w:color="auto" w:fill="auto"/>
            <w:noWrap w:val="0"/>
            <w:vAlign w:val="center"/>
          </w:tcPr>
          <w:p>
            <w:pPr>
              <w:pStyle w:val="18"/>
              <w:bidi w:val="0"/>
              <w:jc w:val="center"/>
            </w:pPr>
            <w:r>
              <w:t>/</w:t>
            </w:r>
          </w:p>
        </w:tc>
        <w:tc>
          <w:tcPr>
            <w:tcW w:w="170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0.659</w:t>
            </w:r>
          </w:p>
        </w:tc>
        <w:tc>
          <w:tcPr>
            <w:tcW w:w="1194" w:type="dxa"/>
            <w:shd w:val="clear" w:color="auto" w:fill="auto"/>
            <w:noWrap w:val="0"/>
            <w:vAlign w:val="center"/>
          </w:tcPr>
          <w:p>
            <w:pPr>
              <w:pStyle w:val="18"/>
              <w:bidi w:val="0"/>
              <w:ind w:left="40" w:leftChars="0" w:right="40" w:rightChars="0"/>
              <w:jc w:val="center"/>
            </w:pPr>
            <w:r>
              <w:t>/</w:t>
            </w:r>
          </w:p>
        </w:tc>
        <w:tc>
          <w:tcPr>
            <w:tcW w:w="1641" w:type="dxa"/>
            <w:tcBorders>
              <w:top w:val="nil"/>
              <w:left w:val="nil"/>
              <w:bottom w:val="single" w:color="auto" w:sz="8" w:space="0"/>
              <w:right w:val="single" w:color="auto" w:sz="8" w:space="0"/>
            </w:tcBorders>
            <w:shd w:val="clear" w:color="auto" w:fill="auto"/>
            <w:noWrap w:val="0"/>
            <w:vAlign w:val="center"/>
          </w:tcPr>
          <w:p>
            <w:pPr>
              <w:pStyle w:val="18"/>
              <w:bidi w:val="0"/>
              <w:ind w:left="40" w:leftChars="0" w:right="40" w:rightChars="0"/>
              <w:jc w:val="center"/>
            </w:pPr>
            <w:r>
              <w:rPr>
                <w:rFonts w:hint="eastAsia"/>
                <w:lang w:val="en-US" w:eastAsia="zh-CN"/>
              </w:rPr>
              <w:t>0.659</w:t>
            </w:r>
          </w:p>
        </w:tc>
        <w:tc>
          <w:tcPr>
            <w:tcW w:w="1144" w:type="dxa"/>
            <w:noWrap w:val="0"/>
            <w:vAlign w:val="center"/>
          </w:tcPr>
          <w:p>
            <w:pPr>
              <w:pStyle w:val="18"/>
              <w:bidi w:val="0"/>
              <w:ind w:left="40" w:leftChars="0" w:right="40" w:rightChars="0"/>
              <w:jc w:val="center"/>
            </w:pPr>
            <w: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vMerge w:val="continue"/>
            <w:shd w:val="clear" w:color="auto" w:fill="auto"/>
            <w:noWrap w:val="0"/>
            <w:vAlign w:val="center"/>
          </w:tcPr>
          <w:p>
            <w:pPr>
              <w:pStyle w:val="18"/>
              <w:bidi w:val="0"/>
              <w:jc w:val="center"/>
            </w:pPr>
          </w:p>
        </w:tc>
        <w:tc>
          <w:tcPr>
            <w:tcW w:w="2551" w:type="dxa"/>
            <w:shd w:val="clear" w:color="auto" w:fill="auto"/>
            <w:noWrap w:val="0"/>
            <w:vAlign w:val="center"/>
          </w:tcPr>
          <w:p>
            <w:pPr>
              <w:pStyle w:val="18"/>
              <w:bidi w:val="0"/>
              <w:jc w:val="center"/>
            </w:pPr>
            <w:r>
              <w:t>氨氮</w:t>
            </w:r>
          </w:p>
        </w:tc>
        <w:tc>
          <w:tcPr>
            <w:tcW w:w="1560" w:type="dxa"/>
            <w:shd w:val="clear" w:color="auto" w:fill="auto"/>
            <w:noWrap w:val="0"/>
            <w:vAlign w:val="center"/>
          </w:tcPr>
          <w:p>
            <w:pPr>
              <w:pStyle w:val="18"/>
              <w:bidi w:val="0"/>
              <w:ind w:left="40" w:leftChars="0" w:right="40" w:rightChars="0"/>
              <w:jc w:val="center"/>
            </w:pPr>
            <w:r>
              <w:rPr>
                <w:rFonts w:hint="eastAsia"/>
                <w:lang w:val="en-US" w:eastAsia="zh-CN"/>
              </w:rPr>
              <w:t>/</w:t>
            </w:r>
          </w:p>
        </w:tc>
        <w:tc>
          <w:tcPr>
            <w:tcW w:w="1275" w:type="dxa"/>
            <w:shd w:val="clear" w:color="auto" w:fill="auto"/>
            <w:noWrap w:val="0"/>
            <w:vAlign w:val="center"/>
          </w:tcPr>
          <w:p>
            <w:pPr>
              <w:pStyle w:val="18"/>
              <w:bidi w:val="0"/>
              <w:jc w:val="center"/>
            </w:pPr>
            <w:r>
              <w:t>/</w:t>
            </w:r>
          </w:p>
        </w:tc>
        <w:tc>
          <w:tcPr>
            <w:tcW w:w="1843" w:type="dxa"/>
            <w:shd w:val="clear" w:color="auto" w:fill="auto"/>
            <w:noWrap w:val="0"/>
            <w:vAlign w:val="center"/>
          </w:tcPr>
          <w:p>
            <w:pPr>
              <w:pStyle w:val="18"/>
              <w:bidi w:val="0"/>
              <w:jc w:val="center"/>
            </w:pPr>
            <w:r>
              <w:t>/</w:t>
            </w:r>
          </w:p>
        </w:tc>
        <w:tc>
          <w:tcPr>
            <w:tcW w:w="1701" w:type="dxa"/>
            <w:shd w:val="clear" w:color="auto" w:fill="auto"/>
            <w:noWrap w:val="0"/>
            <w:vAlign w:val="center"/>
          </w:tcPr>
          <w:p>
            <w:pPr>
              <w:pStyle w:val="18"/>
              <w:bidi w:val="0"/>
              <w:jc w:val="center"/>
              <w:rPr>
                <w:rFonts w:hint="default" w:eastAsia="宋体"/>
                <w:lang w:val="en-US" w:eastAsia="zh-CN"/>
              </w:rPr>
            </w:pPr>
            <w:r>
              <w:rPr>
                <w:rFonts w:hint="eastAsia"/>
                <w:lang w:val="en-US" w:eastAsia="zh-CN"/>
              </w:rPr>
              <w:t>0.105</w:t>
            </w:r>
          </w:p>
        </w:tc>
        <w:tc>
          <w:tcPr>
            <w:tcW w:w="1194" w:type="dxa"/>
            <w:shd w:val="clear" w:color="auto" w:fill="auto"/>
            <w:noWrap w:val="0"/>
            <w:vAlign w:val="center"/>
          </w:tcPr>
          <w:p>
            <w:pPr>
              <w:pStyle w:val="18"/>
              <w:bidi w:val="0"/>
              <w:ind w:left="40" w:leftChars="0" w:right="40" w:rightChars="0"/>
              <w:jc w:val="center"/>
            </w:pPr>
            <w:r>
              <w:t>/</w:t>
            </w:r>
          </w:p>
        </w:tc>
        <w:tc>
          <w:tcPr>
            <w:tcW w:w="1641" w:type="dxa"/>
            <w:tcBorders>
              <w:top w:val="nil"/>
              <w:left w:val="nil"/>
              <w:bottom w:val="single" w:color="auto" w:sz="8" w:space="0"/>
              <w:right w:val="single" w:color="auto" w:sz="8" w:space="0"/>
            </w:tcBorders>
            <w:shd w:val="clear" w:color="auto" w:fill="auto"/>
            <w:noWrap w:val="0"/>
            <w:vAlign w:val="center"/>
          </w:tcPr>
          <w:p>
            <w:pPr>
              <w:pStyle w:val="18"/>
              <w:bidi w:val="0"/>
              <w:ind w:left="40" w:leftChars="0" w:right="40" w:rightChars="0"/>
              <w:jc w:val="center"/>
            </w:pPr>
            <w:r>
              <w:rPr>
                <w:rFonts w:hint="eastAsia"/>
                <w:lang w:val="en-US" w:eastAsia="zh-CN"/>
              </w:rPr>
              <w:t>0.105</w:t>
            </w:r>
          </w:p>
        </w:tc>
        <w:tc>
          <w:tcPr>
            <w:tcW w:w="1144" w:type="dxa"/>
            <w:noWrap w:val="0"/>
            <w:vAlign w:val="center"/>
          </w:tcPr>
          <w:p>
            <w:pPr>
              <w:pStyle w:val="18"/>
              <w:bidi w:val="0"/>
              <w:ind w:left="40" w:leftChars="0" w:right="40" w:rightChars="0"/>
              <w:jc w:val="center"/>
            </w:pPr>
            <w: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0" w:hRule="atLeast"/>
        </w:trPr>
        <w:tc>
          <w:tcPr>
            <w:tcW w:w="879" w:type="dxa"/>
            <w:vMerge w:val="restart"/>
            <w:noWrap w:val="0"/>
            <w:vAlign w:val="center"/>
          </w:tcPr>
          <w:p>
            <w:pPr>
              <w:pStyle w:val="18"/>
              <w:bidi w:val="0"/>
              <w:jc w:val="center"/>
            </w:pPr>
            <w:r>
              <w:t>一般工业固体废物</w:t>
            </w:r>
          </w:p>
        </w:tc>
        <w:tc>
          <w:tcPr>
            <w:tcW w:w="2551" w:type="dxa"/>
            <w:noWrap w:val="0"/>
            <w:vAlign w:val="center"/>
          </w:tcPr>
          <w:p>
            <w:pPr>
              <w:pStyle w:val="18"/>
              <w:bidi w:val="0"/>
              <w:jc w:val="center"/>
            </w:pPr>
            <w:r>
              <w:t>生活垃圾</w:t>
            </w:r>
          </w:p>
        </w:tc>
        <w:tc>
          <w:tcPr>
            <w:tcW w:w="1560" w:type="dxa"/>
            <w:noWrap w:val="0"/>
            <w:vAlign w:val="center"/>
          </w:tcPr>
          <w:p>
            <w:pPr>
              <w:pStyle w:val="18"/>
              <w:bidi w:val="0"/>
              <w:ind w:left="40" w:leftChars="0" w:right="40" w:rightChars="0"/>
              <w:jc w:val="center"/>
            </w:pPr>
            <w:r>
              <w:rPr>
                <w:rFonts w:hint="eastAsia"/>
                <w:lang w:val="en-US" w:eastAsia="zh-CN"/>
              </w:rPr>
              <w:t>/</w:t>
            </w:r>
          </w:p>
        </w:tc>
        <w:tc>
          <w:tcPr>
            <w:tcW w:w="1275" w:type="dxa"/>
            <w:noWrap w:val="0"/>
            <w:vAlign w:val="center"/>
          </w:tcPr>
          <w:p>
            <w:pPr>
              <w:pStyle w:val="18"/>
              <w:bidi w:val="0"/>
              <w:jc w:val="center"/>
            </w:pPr>
            <w:r>
              <w:t>/</w:t>
            </w:r>
          </w:p>
        </w:tc>
        <w:tc>
          <w:tcPr>
            <w:tcW w:w="1843" w:type="dxa"/>
            <w:noWrap w:val="0"/>
            <w:vAlign w:val="center"/>
          </w:tcPr>
          <w:p>
            <w:pPr>
              <w:pStyle w:val="18"/>
              <w:bidi w:val="0"/>
              <w:jc w:val="center"/>
            </w:pPr>
            <w:r>
              <w:t>/</w:t>
            </w:r>
          </w:p>
        </w:tc>
        <w:tc>
          <w:tcPr>
            <w:tcW w:w="1701" w:type="dxa"/>
            <w:noWrap w:val="0"/>
            <w:vAlign w:val="center"/>
          </w:tcPr>
          <w:p>
            <w:pPr>
              <w:pStyle w:val="18"/>
              <w:bidi w:val="0"/>
              <w:jc w:val="center"/>
              <w:rPr>
                <w:rFonts w:hint="default" w:eastAsia="宋体"/>
                <w:lang w:val="en-US" w:eastAsia="zh-CN"/>
              </w:rPr>
            </w:pPr>
            <w:r>
              <w:rPr>
                <w:rFonts w:hint="eastAsia"/>
                <w:lang w:val="en-US" w:eastAsia="zh-CN"/>
              </w:rPr>
              <w:t>55.2</w:t>
            </w:r>
          </w:p>
        </w:tc>
        <w:tc>
          <w:tcPr>
            <w:tcW w:w="1194" w:type="dxa"/>
            <w:noWrap w:val="0"/>
            <w:vAlign w:val="center"/>
          </w:tcPr>
          <w:p>
            <w:pPr>
              <w:pStyle w:val="18"/>
              <w:bidi w:val="0"/>
              <w:ind w:left="40" w:leftChars="0" w:right="40" w:rightChars="0"/>
              <w:jc w:val="center"/>
            </w:pPr>
            <w:r>
              <w:t>/</w:t>
            </w:r>
          </w:p>
        </w:tc>
        <w:tc>
          <w:tcPr>
            <w:tcW w:w="1641" w:type="dxa"/>
            <w:noWrap w:val="0"/>
            <w:vAlign w:val="center"/>
          </w:tcPr>
          <w:p>
            <w:pPr>
              <w:pStyle w:val="18"/>
              <w:bidi w:val="0"/>
              <w:ind w:left="40" w:leftChars="0" w:right="40" w:rightChars="0"/>
              <w:jc w:val="center"/>
            </w:pPr>
            <w:r>
              <w:rPr>
                <w:rFonts w:hint="eastAsia"/>
                <w:lang w:val="en-US" w:eastAsia="zh-CN"/>
              </w:rPr>
              <w:t>55.2</w:t>
            </w:r>
          </w:p>
        </w:tc>
        <w:tc>
          <w:tcPr>
            <w:tcW w:w="1144" w:type="dxa"/>
            <w:noWrap w:val="0"/>
            <w:vAlign w:val="center"/>
          </w:tcPr>
          <w:p>
            <w:pPr>
              <w:pStyle w:val="18"/>
              <w:bidi w:val="0"/>
              <w:ind w:left="40" w:leftChars="0" w:right="40" w:rightChars="0"/>
              <w:jc w:val="center"/>
            </w:pPr>
            <w: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9" w:hRule="atLeast"/>
        </w:trPr>
        <w:tc>
          <w:tcPr>
            <w:tcW w:w="879" w:type="dxa"/>
            <w:vMerge w:val="continue"/>
            <w:noWrap w:val="0"/>
            <w:vAlign w:val="center"/>
          </w:tcPr>
          <w:p>
            <w:pPr>
              <w:pStyle w:val="18"/>
              <w:bidi w:val="0"/>
              <w:jc w:val="center"/>
            </w:pPr>
          </w:p>
        </w:tc>
        <w:tc>
          <w:tcPr>
            <w:tcW w:w="2551" w:type="dxa"/>
            <w:noWrap w:val="0"/>
            <w:vAlign w:val="center"/>
          </w:tcPr>
          <w:p>
            <w:pPr>
              <w:pStyle w:val="18"/>
              <w:bidi w:val="0"/>
              <w:jc w:val="center"/>
              <w:rPr>
                <w:rFonts w:hint="default" w:eastAsia="宋体"/>
                <w:lang w:val="en-US" w:eastAsia="zh-CN"/>
              </w:rPr>
            </w:pPr>
            <w:r>
              <w:rPr>
                <w:rFonts w:hint="eastAsia"/>
                <w:lang w:val="en-US" w:eastAsia="zh-CN"/>
              </w:rPr>
              <w:t>无害化锰渣</w:t>
            </w:r>
          </w:p>
        </w:tc>
        <w:tc>
          <w:tcPr>
            <w:tcW w:w="1560" w:type="dxa"/>
            <w:noWrap w:val="0"/>
            <w:vAlign w:val="center"/>
          </w:tcPr>
          <w:p>
            <w:pPr>
              <w:pStyle w:val="18"/>
              <w:bidi w:val="0"/>
              <w:ind w:left="40" w:leftChars="0" w:right="40" w:rightChars="0"/>
              <w:jc w:val="center"/>
            </w:pPr>
            <w:r>
              <w:rPr>
                <w:rFonts w:hint="eastAsia"/>
                <w:lang w:val="en-US" w:eastAsia="zh-CN"/>
              </w:rPr>
              <w:t>/</w:t>
            </w:r>
          </w:p>
        </w:tc>
        <w:tc>
          <w:tcPr>
            <w:tcW w:w="1275" w:type="dxa"/>
            <w:noWrap w:val="0"/>
            <w:vAlign w:val="center"/>
          </w:tcPr>
          <w:p>
            <w:pPr>
              <w:pStyle w:val="18"/>
              <w:bidi w:val="0"/>
              <w:jc w:val="center"/>
            </w:pPr>
            <w:r>
              <w:t>/</w:t>
            </w:r>
          </w:p>
        </w:tc>
        <w:tc>
          <w:tcPr>
            <w:tcW w:w="1843" w:type="dxa"/>
            <w:noWrap w:val="0"/>
            <w:vAlign w:val="center"/>
          </w:tcPr>
          <w:p>
            <w:pPr>
              <w:pStyle w:val="18"/>
              <w:bidi w:val="0"/>
              <w:jc w:val="center"/>
            </w:pPr>
            <w:r>
              <w:t>/</w:t>
            </w:r>
          </w:p>
        </w:tc>
        <w:tc>
          <w:tcPr>
            <w:tcW w:w="1701" w:type="dxa"/>
            <w:noWrap w:val="0"/>
            <w:vAlign w:val="center"/>
          </w:tcPr>
          <w:p>
            <w:pPr>
              <w:pStyle w:val="18"/>
              <w:bidi w:val="0"/>
              <w:jc w:val="center"/>
              <w:rPr>
                <w:rFonts w:hint="default" w:eastAsia="宋体"/>
                <w:lang w:val="en-US" w:eastAsia="zh-CN"/>
              </w:rPr>
            </w:pPr>
            <w:r>
              <w:rPr>
                <w:rFonts w:hint="eastAsia"/>
                <w:lang w:val="en-US" w:eastAsia="zh-CN"/>
              </w:rPr>
              <w:t>270000</w:t>
            </w:r>
          </w:p>
        </w:tc>
        <w:tc>
          <w:tcPr>
            <w:tcW w:w="1194" w:type="dxa"/>
            <w:noWrap w:val="0"/>
            <w:vAlign w:val="center"/>
          </w:tcPr>
          <w:p>
            <w:pPr>
              <w:pStyle w:val="18"/>
              <w:bidi w:val="0"/>
              <w:ind w:left="40" w:leftChars="0" w:right="40" w:rightChars="0"/>
              <w:jc w:val="center"/>
            </w:pPr>
            <w:r>
              <w:t>/</w:t>
            </w:r>
          </w:p>
        </w:tc>
        <w:tc>
          <w:tcPr>
            <w:tcW w:w="1641" w:type="dxa"/>
            <w:noWrap w:val="0"/>
            <w:vAlign w:val="center"/>
          </w:tcPr>
          <w:p>
            <w:pPr>
              <w:pStyle w:val="18"/>
              <w:bidi w:val="0"/>
              <w:ind w:left="40" w:leftChars="0" w:right="40" w:rightChars="0"/>
              <w:jc w:val="center"/>
            </w:pPr>
            <w:r>
              <w:rPr>
                <w:rFonts w:hint="eastAsia"/>
                <w:lang w:val="en-US" w:eastAsia="zh-CN"/>
              </w:rPr>
              <w:t>270000</w:t>
            </w:r>
          </w:p>
        </w:tc>
        <w:tc>
          <w:tcPr>
            <w:tcW w:w="1144" w:type="dxa"/>
            <w:noWrap w:val="0"/>
            <w:vAlign w:val="center"/>
          </w:tcPr>
          <w:p>
            <w:pPr>
              <w:pStyle w:val="18"/>
              <w:bidi w:val="0"/>
              <w:ind w:left="40" w:leftChars="0" w:right="40" w:rightChars="0"/>
              <w:jc w:val="center"/>
            </w:pPr>
            <w: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vMerge w:val="restart"/>
            <w:noWrap w:val="0"/>
            <w:vAlign w:val="center"/>
          </w:tcPr>
          <w:p>
            <w:pPr>
              <w:pStyle w:val="18"/>
              <w:bidi w:val="0"/>
              <w:jc w:val="center"/>
            </w:pPr>
            <w:r>
              <w:t>危险固体废物</w:t>
            </w:r>
          </w:p>
        </w:tc>
        <w:tc>
          <w:tcPr>
            <w:tcW w:w="2551" w:type="dxa"/>
            <w:noWrap w:val="0"/>
            <w:vAlign w:val="center"/>
          </w:tcPr>
          <w:p>
            <w:pPr>
              <w:pStyle w:val="18"/>
              <w:bidi w:val="0"/>
              <w:jc w:val="center"/>
              <w:rPr>
                <w:rFonts w:hint="default" w:eastAsia="宋体"/>
                <w:lang w:val="en-US" w:eastAsia="zh-CN"/>
              </w:rPr>
            </w:pPr>
            <w:r>
              <w:rPr>
                <w:rFonts w:hint="eastAsia"/>
                <w:lang w:val="en-US" w:eastAsia="zh-CN"/>
              </w:rPr>
              <w:t>废矿物油</w:t>
            </w:r>
          </w:p>
        </w:tc>
        <w:tc>
          <w:tcPr>
            <w:tcW w:w="1560" w:type="dxa"/>
            <w:noWrap w:val="0"/>
            <w:vAlign w:val="center"/>
          </w:tcPr>
          <w:p>
            <w:pPr>
              <w:pStyle w:val="18"/>
              <w:bidi w:val="0"/>
              <w:ind w:left="40" w:leftChars="0" w:right="40" w:rightChars="0"/>
              <w:jc w:val="center"/>
            </w:pPr>
            <w:r>
              <w:rPr>
                <w:rFonts w:hint="eastAsia"/>
                <w:lang w:val="en-US" w:eastAsia="zh-CN"/>
              </w:rPr>
              <w:t>/</w:t>
            </w:r>
          </w:p>
        </w:tc>
        <w:tc>
          <w:tcPr>
            <w:tcW w:w="1275" w:type="dxa"/>
            <w:noWrap w:val="0"/>
            <w:vAlign w:val="center"/>
          </w:tcPr>
          <w:p>
            <w:pPr>
              <w:pStyle w:val="18"/>
              <w:bidi w:val="0"/>
              <w:jc w:val="center"/>
            </w:pPr>
            <w:r>
              <w:t>/</w:t>
            </w:r>
          </w:p>
        </w:tc>
        <w:tc>
          <w:tcPr>
            <w:tcW w:w="1843" w:type="dxa"/>
            <w:noWrap w:val="0"/>
            <w:vAlign w:val="center"/>
          </w:tcPr>
          <w:p>
            <w:pPr>
              <w:pStyle w:val="18"/>
              <w:bidi w:val="0"/>
              <w:jc w:val="center"/>
            </w:pPr>
            <w:r>
              <w:t>/</w:t>
            </w:r>
          </w:p>
        </w:tc>
        <w:tc>
          <w:tcPr>
            <w:tcW w:w="1701" w:type="dxa"/>
            <w:noWrap w:val="0"/>
            <w:vAlign w:val="center"/>
          </w:tcPr>
          <w:p>
            <w:pPr>
              <w:pStyle w:val="18"/>
              <w:bidi w:val="0"/>
              <w:jc w:val="center"/>
              <w:rPr>
                <w:rFonts w:hint="default" w:eastAsia="宋体"/>
                <w:lang w:val="en-US" w:eastAsia="zh-CN"/>
              </w:rPr>
            </w:pPr>
            <w:r>
              <w:rPr>
                <w:rFonts w:hint="eastAsia"/>
                <w:lang w:val="en-US" w:eastAsia="zh-CN"/>
              </w:rPr>
              <w:t>0.5</w:t>
            </w:r>
          </w:p>
        </w:tc>
        <w:tc>
          <w:tcPr>
            <w:tcW w:w="1194" w:type="dxa"/>
            <w:noWrap w:val="0"/>
            <w:vAlign w:val="center"/>
          </w:tcPr>
          <w:p>
            <w:pPr>
              <w:pStyle w:val="18"/>
              <w:bidi w:val="0"/>
              <w:ind w:left="40" w:leftChars="0" w:right="40" w:rightChars="0"/>
              <w:jc w:val="center"/>
            </w:pPr>
            <w:r>
              <w:t>/</w:t>
            </w:r>
          </w:p>
        </w:tc>
        <w:tc>
          <w:tcPr>
            <w:tcW w:w="1641" w:type="dxa"/>
            <w:noWrap w:val="0"/>
            <w:vAlign w:val="center"/>
          </w:tcPr>
          <w:p>
            <w:pPr>
              <w:pStyle w:val="18"/>
              <w:bidi w:val="0"/>
              <w:ind w:left="40" w:leftChars="0" w:right="40" w:rightChars="0"/>
              <w:jc w:val="center"/>
            </w:pPr>
            <w:r>
              <w:rPr>
                <w:rFonts w:hint="eastAsia"/>
                <w:lang w:val="en-US" w:eastAsia="zh-CN"/>
              </w:rPr>
              <w:t>0.5</w:t>
            </w:r>
          </w:p>
        </w:tc>
        <w:tc>
          <w:tcPr>
            <w:tcW w:w="1144" w:type="dxa"/>
            <w:noWrap w:val="0"/>
            <w:vAlign w:val="center"/>
          </w:tcPr>
          <w:p>
            <w:pPr>
              <w:pStyle w:val="18"/>
              <w:bidi w:val="0"/>
              <w:ind w:left="40" w:leftChars="0" w:right="40" w:rightChars="0"/>
              <w:jc w:val="center"/>
            </w:pPr>
            <w: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879" w:type="dxa"/>
            <w:vMerge w:val="continue"/>
            <w:noWrap w:val="0"/>
            <w:vAlign w:val="center"/>
          </w:tcPr>
          <w:p>
            <w:pPr>
              <w:pStyle w:val="18"/>
              <w:bidi w:val="0"/>
              <w:jc w:val="center"/>
            </w:pPr>
          </w:p>
        </w:tc>
        <w:tc>
          <w:tcPr>
            <w:tcW w:w="2551" w:type="dxa"/>
            <w:noWrap w:val="0"/>
            <w:vAlign w:val="center"/>
          </w:tcPr>
          <w:p>
            <w:pPr>
              <w:pStyle w:val="18"/>
              <w:bidi w:val="0"/>
              <w:jc w:val="center"/>
            </w:pPr>
            <w:r>
              <w:rPr>
                <w:rFonts w:hint="eastAsia"/>
              </w:rPr>
              <w:t>实验检测室废酸、废碱及残液</w:t>
            </w:r>
          </w:p>
        </w:tc>
        <w:tc>
          <w:tcPr>
            <w:tcW w:w="1560" w:type="dxa"/>
            <w:noWrap w:val="0"/>
            <w:vAlign w:val="center"/>
          </w:tcPr>
          <w:p>
            <w:pPr>
              <w:pStyle w:val="18"/>
              <w:bidi w:val="0"/>
              <w:ind w:left="40" w:leftChars="0" w:right="40" w:rightChars="0"/>
              <w:jc w:val="center"/>
            </w:pPr>
            <w:r>
              <w:rPr>
                <w:rFonts w:hint="eastAsia"/>
                <w:lang w:val="en-US" w:eastAsia="zh-CN"/>
              </w:rPr>
              <w:t>/</w:t>
            </w:r>
          </w:p>
        </w:tc>
        <w:tc>
          <w:tcPr>
            <w:tcW w:w="1275" w:type="dxa"/>
            <w:noWrap w:val="0"/>
            <w:vAlign w:val="center"/>
          </w:tcPr>
          <w:p>
            <w:pPr>
              <w:pStyle w:val="18"/>
              <w:bidi w:val="0"/>
              <w:jc w:val="center"/>
            </w:pPr>
            <w:r>
              <w:t>/</w:t>
            </w:r>
          </w:p>
        </w:tc>
        <w:tc>
          <w:tcPr>
            <w:tcW w:w="1843" w:type="dxa"/>
            <w:noWrap w:val="0"/>
            <w:vAlign w:val="center"/>
          </w:tcPr>
          <w:p>
            <w:pPr>
              <w:pStyle w:val="18"/>
              <w:bidi w:val="0"/>
              <w:jc w:val="center"/>
            </w:pPr>
            <w:r>
              <w:t>/</w:t>
            </w:r>
          </w:p>
        </w:tc>
        <w:tc>
          <w:tcPr>
            <w:tcW w:w="1701" w:type="dxa"/>
            <w:noWrap w:val="0"/>
            <w:vAlign w:val="center"/>
          </w:tcPr>
          <w:p>
            <w:pPr>
              <w:pStyle w:val="18"/>
              <w:bidi w:val="0"/>
              <w:jc w:val="center"/>
              <w:rPr>
                <w:rFonts w:hint="default" w:eastAsia="宋体"/>
                <w:lang w:val="en-US" w:eastAsia="zh-CN"/>
              </w:rPr>
            </w:pPr>
            <w:r>
              <w:rPr>
                <w:rFonts w:hint="eastAsia"/>
                <w:lang w:val="en-US" w:eastAsia="zh-CN"/>
              </w:rPr>
              <w:t>0.1</w:t>
            </w:r>
          </w:p>
        </w:tc>
        <w:tc>
          <w:tcPr>
            <w:tcW w:w="1194" w:type="dxa"/>
            <w:noWrap w:val="0"/>
            <w:vAlign w:val="center"/>
          </w:tcPr>
          <w:p>
            <w:pPr>
              <w:pStyle w:val="18"/>
              <w:bidi w:val="0"/>
              <w:ind w:left="40" w:leftChars="0" w:right="40" w:rightChars="0"/>
              <w:jc w:val="center"/>
            </w:pPr>
            <w:r>
              <w:t>/</w:t>
            </w:r>
          </w:p>
        </w:tc>
        <w:tc>
          <w:tcPr>
            <w:tcW w:w="1641" w:type="dxa"/>
            <w:noWrap w:val="0"/>
            <w:vAlign w:val="center"/>
          </w:tcPr>
          <w:p>
            <w:pPr>
              <w:pStyle w:val="18"/>
              <w:bidi w:val="0"/>
              <w:ind w:left="40" w:leftChars="0" w:right="40" w:rightChars="0"/>
              <w:jc w:val="center"/>
            </w:pPr>
            <w:r>
              <w:rPr>
                <w:rFonts w:hint="eastAsia"/>
                <w:lang w:val="en-US" w:eastAsia="zh-CN"/>
              </w:rPr>
              <w:t>0.1</w:t>
            </w:r>
          </w:p>
        </w:tc>
        <w:tc>
          <w:tcPr>
            <w:tcW w:w="1144" w:type="dxa"/>
            <w:noWrap w:val="0"/>
            <w:vAlign w:val="center"/>
          </w:tcPr>
          <w:p>
            <w:pPr>
              <w:pStyle w:val="18"/>
              <w:bidi w:val="0"/>
              <w:ind w:left="40" w:leftChars="0" w:right="40" w:rightChars="0"/>
              <w:jc w:val="center"/>
            </w:pPr>
            <w:r>
              <w:t>/</w:t>
            </w:r>
          </w:p>
        </w:tc>
      </w:tr>
    </w:tbl>
    <w:p>
      <w:pPr>
        <w:spacing w:before="192" w:beforeLines="80" w:after="24"/>
        <w:jc w:val="left"/>
      </w:pPr>
      <w:r>
        <w:rPr>
          <w:snapToGrid w:val="0"/>
          <w:kern w:val="21"/>
          <w:szCs w:val="21"/>
        </w:rPr>
        <w:t>注：</w:t>
      </w:r>
      <w:r>
        <w:rPr>
          <w:snapToGrid w:val="0"/>
          <w:spacing w:val="-16"/>
          <w:kern w:val="21"/>
          <w:szCs w:val="21"/>
        </w:rPr>
        <w:fldChar w:fldCharType="begin"/>
      </w:r>
      <w:r>
        <w:rPr>
          <w:snapToGrid w:val="0"/>
          <w:spacing w:val="-16"/>
          <w:kern w:val="21"/>
          <w:szCs w:val="21"/>
        </w:rPr>
        <w:instrText xml:space="preserve"> = 6 \* GB3 \* MERGEFORMAT </w:instrText>
      </w:r>
      <w:r>
        <w:rPr>
          <w:snapToGrid w:val="0"/>
          <w:spacing w:val="-16"/>
          <w:kern w:val="21"/>
          <w:szCs w:val="21"/>
        </w:rPr>
        <w:fldChar w:fldCharType="separate"/>
      </w:r>
      <w:r>
        <w:rPr>
          <w:rFonts w:hint="eastAsia" w:ascii="宋体" w:hAnsi="宋体" w:cs="宋体"/>
          <w:szCs w:val="21"/>
        </w:rPr>
        <w:t>⑥</w:t>
      </w:r>
      <w:r>
        <w:rPr>
          <w:snapToGrid w:val="0"/>
          <w:spacing w:val="-16"/>
          <w:kern w:val="21"/>
          <w:szCs w:val="21"/>
        </w:rPr>
        <w:fldChar w:fldCharType="end"/>
      </w:r>
      <w:r>
        <w:rPr>
          <w:snapToGrid w:val="0"/>
          <w:spacing w:val="-16"/>
          <w:kern w:val="21"/>
          <w:szCs w:val="21"/>
        </w:rPr>
        <w:t>=</w:t>
      </w:r>
      <w:r>
        <w:rPr>
          <w:snapToGrid w:val="0"/>
          <w:spacing w:val="-6"/>
          <w:kern w:val="21"/>
          <w:szCs w:val="21"/>
        </w:rPr>
        <w:fldChar w:fldCharType="begin"/>
      </w:r>
      <w:r>
        <w:rPr>
          <w:snapToGrid w:val="0"/>
          <w:spacing w:val="-6"/>
          <w:kern w:val="21"/>
          <w:szCs w:val="21"/>
        </w:rPr>
        <w:instrText xml:space="preserve"> = 1 \* GB3 \* MERGEFORMAT </w:instrText>
      </w:r>
      <w:r>
        <w:rPr>
          <w:snapToGrid w:val="0"/>
          <w:spacing w:val="-6"/>
          <w:kern w:val="21"/>
          <w:szCs w:val="21"/>
        </w:rPr>
        <w:fldChar w:fldCharType="separate"/>
      </w:r>
      <w:r>
        <w:rPr>
          <w:rFonts w:hint="eastAsia" w:ascii="宋体" w:hAnsi="宋体" w:cs="宋体"/>
          <w:szCs w:val="21"/>
        </w:rPr>
        <w:t>①</w:t>
      </w:r>
      <w:r>
        <w:rPr>
          <w:snapToGrid w:val="0"/>
          <w:spacing w:val="-6"/>
          <w:kern w:val="21"/>
          <w:szCs w:val="21"/>
        </w:rPr>
        <w:fldChar w:fldCharType="end"/>
      </w:r>
      <w:r>
        <w:rPr>
          <w:snapToGrid w:val="0"/>
          <w:spacing w:val="-6"/>
          <w:kern w:val="21"/>
          <w:szCs w:val="21"/>
        </w:rPr>
        <w:t>+</w:t>
      </w:r>
      <w:r>
        <w:rPr>
          <w:snapToGrid w:val="0"/>
          <w:spacing w:val="-6"/>
          <w:kern w:val="21"/>
          <w:szCs w:val="21"/>
        </w:rPr>
        <w:fldChar w:fldCharType="begin"/>
      </w:r>
      <w:r>
        <w:rPr>
          <w:snapToGrid w:val="0"/>
          <w:spacing w:val="-6"/>
          <w:kern w:val="21"/>
          <w:szCs w:val="21"/>
        </w:rPr>
        <w:instrText xml:space="preserve"> = 3 \* GB3 \* MERGEFORMAT </w:instrText>
      </w:r>
      <w:r>
        <w:rPr>
          <w:snapToGrid w:val="0"/>
          <w:spacing w:val="-6"/>
          <w:kern w:val="21"/>
          <w:szCs w:val="21"/>
        </w:rPr>
        <w:fldChar w:fldCharType="separate"/>
      </w:r>
      <w:r>
        <w:rPr>
          <w:rFonts w:hint="eastAsia" w:ascii="宋体" w:hAnsi="宋体" w:cs="宋体"/>
          <w:szCs w:val="21"/>
        </w:rPr>
        <w:t>③</w:t>
      </w:r>
      <w:r>
        <w:rPr>
          <w:snapToGrid w:val="0"/>
          <w:spacing w:val="-6"/>
          <w:kern w:val="21"/>
          <w:szCs w:val="21"/>
        </w:rPr>
        <w:fldChar w:fldCharType="end"/>
      </w:r>
      <w:r>
        <w:rPr>
          <w:snapToGrid w:val="0"/>
          <w:spacing w:val="-6"/>
          <w:kern w:val="21"/>
          <w:szCs w:val="21"/>
        </w:rPr>
        <w:t>+</w:t>
      </w:r>
      <w:r>
        <w:rPr>
          <w:snapToGrid w:val="0"/>
          <w:spacing w:val="-6"/>
          <w:kern w:val="21"/>
          <w:szCs w:val="21"/>
        </w:rPr>
        <w:fldChar w:fldCharType="begin"/>
      </w:r>
      <w:r>
        <w:rPr>
          <w:snapToGrid w:val="0"/>
          <w:spacing w:val="-6"/>
          <w:kern w:val="21"/>
          <w:szCs w:val="21"/>
        </w:rPr>
        <w:instrText xml:space="preserve"> = 4 \* GB3 \* MERGEFORMAT </w:instrText>
      </w:r>
      <w:r>
        <w:rPr>
          <w:snapToGrid w:val="0"/>
          <w:spacing w:val="-6"/>
          <w:kern w:val="21"/>
          <w:szCs w:val="21"/>
        </w:rPr>
        <w:fldChar w:fldCharType="separate"/>
      </w:r>
      <w:r>
        <w:rPr>
          <w:rFonts w:hint="eastAsia" w:ascii="宋体" w:hAnsi="宋体" w:cs="宋体"/>
          <w:szCs w:val="21"/>
        </w:rPr>
        <w:t>④</w:t>
      </w:r>
      <w:r>
        <w:rPr>
          <w:snapToGrid w:val="0"/>
          <w:spacing w:val="-6"/>
          <w:kern w:val="21"/>
          <w:szCs w:val="21"/>
        </w:rPr>
        <w:fldChar w:fldCharType="end"/>
      </w:r>
      <w:r>
        <w:rPr>
          <w:snapToGrid w:val="0"/>
          <w:spacing w:val="-6"/>
          <w:kern w:val="21"/>
          <w:szCs w:val="21"/>
        </w:rPr>
        <w:t>-</w:t>
      </w:r>
      <w:r>
        <w:rPr>
          <w:snapToGrid w:val="0"/>
          <w:spacing w:val="-16"/>
          <w:kern w:val="21"/>
          <w:szCs w:val="21"/>
        </w:rPr>
        <w:fldChar w:fldCharType="begin"/>
      </w:r>
      <w:r>
        <w:rPr>
          <w:snapToGrid w:val="0"/>
          <w:spacing w:val="-16"/>
          <w:kern w:val="21"/>
          <w:szCs w:val="21"/>
        </w:rPr>
        <w:instrText xml:space="preserve"> = 5 \* GB3 \* MERGEFORMAT </w:instrText>
      </w:r>
      <w:r>
        <w:rPr>
          <w:snapToGrid w:val="0"/>
          <w:spacing w:val="-16"/>
          <w:kern w:val="21"/>
          <w:szCs w:val="21"/>
        </w:rPr>
        <w:fldChar w:fldCharType="separate"/>
      </w:r>
      <w:r>
        <w:rPr>
          <w:rFonts w:hint="eastAsia" w:ascii="宋体" w:hAnsi="宋体" w:cs="宋体"/>
          <w:szCs w:val="21"/>
        </w:rPr>
        <w:t>⑤</w:t>
      </w:r>
      <w:r>
        <w:rPr>
          <w:snapToGrid w:val="0"/>
          <w:spacing w:val="-16"/>
          <w:kern w:val="21"/>
          <w:szCs w:val="21"/>
        </w:rPr>
        <w:fldChar w:fldCharType="end"/>
      </w:r>
      <w:r>
        <w:rPr>
          <w:snapToGrid w:val="0"/>
          <w:spacing w:val="-16"/>
          <w:kern w:val="21"/>
          <w:szCs w:val="21"/>
        </w:rPr>
        <w:t>；</w:t>
      </w:r>
      <w:r>
        <w:rPr>
          <w:snapToGrid w:val="0"/>
          <w:spacing w:val="-6"/>
          <w:kern w:val="21"/>
          <w:szCs w:val="21"/>
        </w:rPr>
        <w:fldChar w:fldCharType="begin"/>
      </w:r>
      <w:r>
        <w:rPr>
          <w:snapToGrid w:val="0"/>
          <w:spacing w:val="-6"/>
          <w:kern w:val="21"/>
          <w:szCs w:val="21"/>
        </w:rPr>
        <w:instrText xml:space="preserve"> = 7 \* GB3 \* MERGEFORMAT </w:instrText>
      </w:r>
      <w:r>
        <w:rPr>
          <w:snapToGrid w:val="0"/>
          <w:spacing w:val="-6"/>
          <w:kern w:val="21"/>
          <w:szCs w:val="21"/>
        </w:rPr>
        <w:fldChar w:fldCharType="separate"/>
      </w:r>
      <w:r>
        <w:rPr>
          <w:rFonts w:hint="eastAsia" w:ascii="宋体" w:hAnsi="宋体" w:cs="宋体"/>
          <w:szCs w:val="21"/>
        </w:rPr>
        <w:t>⑦</w:t>
      </w:r>
      <w:r>
        <w:rPr>
          <w:snapToGrid w:val="0"/>
          <w:spacing w:val="-6"/>
          <w:kern w:val="21"/>
          <w:szCs w:val="21"/>
        </w:rPr>
        <w:fldChar w:fldCharType="end"/>
      </w:r>
      <w:r>
        <w:rPr>
          <w:snapToGrid w:val="0"/>
          <w:spacing w:val="-6"/>
          <w:kern w:val="21"/>
          <w:szCs w:val="21"/>
        </w:rPr>
        <w:t>=</w:t>
      </w:r>
      <w:r>
        <w:rPr>
          <w:snapToGrid w:val="0"/>
          <w:spacing w:val="-16"/>
          <w:kern w:val="21"/>
          <w:szCs w:val="21"/>
        </w:rPr>
        <w:fldChar w:fldCharType="begin"/>
      </w:r>
      <w:r>
        <w:rPr>
          <w:snapToGrid w:val="0"/>
          <w:spacing w:val="-16"/>
          <w:kern w:val="21"/>
          <w:szCs w:val="21"/>
        </w:rPr>
        <w:instrText xml:space="preserve"> = 6 \* GB3 \* MERGEFORMAT </w:instrText>
      </w:r>
      <w:r>
        <w:rPr>
          <w:snapToGrid w:val="0"/>
          <w:spacing w:val="-16"/>
          <w:kern w:val="21"/>
          <w:szCs w:val="21"/>
        </w:rPr>
        <w:fldChar w:fldCharType="separate"/>
      </w:r>
      <w:r>
        <w:rPr>
          <w:rFonts w:hint="eastAsia" w:ascii="宋体" w:hAnsi="宋体" w:cs="宋体"/>
          <w:szCs w:val="21"/>
        </w:rPr>
        <w:t>⑥</w:t>
      </w:r>
      <w:r>
        <w:rPr>
          <w:snapToGrid w:val="0"/>
          <w:spacing w:val="-16"/>
          <w:kern w:val="21"/>
          <w:szCs w:val="21"/>
        </w:rPr>
        <w:fldChar w:fldCharType="end"/>
      </w:r>
      <w:r>
        <w:rPr>
          <w:snapToGrid w:val="0"/>
          <w:spacing w:val="-16"/>
          <w:kern w:val="21"/>
          <w:szCs w:val="21"/>
        </w:rPr>
        <w:t>-</w:t>
      </w:r>
      <w:r>
        <w:rPr>
          <w:snapToGrid w:val="0"/>
          <w:spacing w:val="-6"/>
          <w:kern w:val="21"/>
          <w:szCs w:val="21"/>
        </w:rPr>
        <w:fldChar w:fldCharType="begin"/>
      </w:r>
      <w:r>
        <w:rPr>
          <w:snapToGrid w:val="0"/>
          <w:spacing w:val="-6"/>
          <w:kern w:val="21"/>
          <w:szCs w:val="21"/>
        </w:rPr>
        <w:instrText xml:space="preserve"> = 1 \* GB3 \* MERGEFORMAT </w:instrText>
      </w:r>
      <w:r>
        <w:rPr>
          <w:snapToGrid w:val="0"/>
          <w:spacing w:val="-6"/>
          <w:kern w:val="21"/>
          <w:szCs w:val="21"/>
        </w:rPr>
        <w:fldChar w:fldCharType="separate"/>
      </w:r>
      <w:r>
        <w:rPr>
          <w:rFonts w:hint="eastAsia" w:ascii="宋体" w:hAnsi="宋体" w:cs="宋体"/>
          <w:szCs w:val="21"/>
        </w:rPr>
        <w:t>①</w:t>
      </w:r>
      <w:r>
        <w:rPr>
          <w:snapToGrid w:val="0"/>
          <w:spacing w:val="-6"/>
          <w:kern w:val="21"/>
          <w:szCs w:val="21"/>
        </w:rPr>
        <w:fldChar w:fldCharType="end"/>
      </w:r>
      <w:r>
        <w:rPr>
          <w:snapToGrid w:val="0"/>
          <w:spacing w:val="-6"/>
          <w:kern w:val="21"/>
          <w:szCs w:val="21"/>
        </w:rPr>
        <w:t>；废气污染物排放量单位：t/a；废水污染物排放量单位：t/a。固体废物污染物排放量单位：t/a。</w:t>
      </w:r>
    </w:p>
    <w:p>
      <w:pPr>
        <w:bidi w:val="0"/>
        <w:sectPr>
          <w:pgSz w:w="16838" w:h="11906" w:orient="landscape"/>
          <w:pgMar w:top="1800" w:right="1440" w:bottom="97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eastAsia"/>
          <w:lang w:val="en-US" w:eastAsia="zh-CN"/>
        </w:rPr>
      </w:pPr>
      <w:bookmarkStart w:id="87" w:name="_Toc24073"/>
      <w:bookmarkStart w:id="88" w:name="_Toc17497"/>
      <w:r>
        <w:rPr>
          <w:rFonts w:hint="eastAsia"/>
          <w:lang w:val="en-US" w:eastAsia="zh-CN"/>
        </w:rPr>
        <w:t>附件</w:t>
      </w:r>
      <w:bookmarkEnd w:id="87"/>
      <w:bookmarkEnd w:id="88"/>
    </w:p>
    <w:p>
      <w:pPr>
        <w:pStyle w:val="5"/>
        <w:bidi w:val="0"/>
        <w:rPr>
          <w:rFonts w:hint="eastAsia"/>
          <w:lang w:val="en-US" w:eastAsia="zh-CN"/>
        </w:rPr>
      </w:pPr>
      <w:bookmarkStart w:id="89" w:name="_Toc29216"/>
      <w:bookmarkStart w:id="90" w:name="_Toc746"/>
      <w:r>
        <w:rPr>
          <w:rFonts w:hint="eastAsia"/>
          <w:lang w:val="en-US" w:eastAsia="zh-CN"/>
        </w:rPr>
        <w:t>附件1 环评委托合同</w:t>
      </w:r>
      <w:bookmarkEnd w:id="89"/>
      <w:bookmarkEnd w:id="90"/>
    </w:p>
    <w:p>
      <w:pPr>
        <w:rPr>
          <w:rFonts w:hint="default"/>
          <w:lang w:val="en-US" w:eastAsia="zh-CN"/>
        </w:rPr>
      </w:pPr>
      <w:r>
        <w:rPr>
          <w:rFonts w:hint="default"/>
          <w:lang w:val="en-US" w:eastAsia="zh-CN"/>
        </w:rPr>
        <w:drawing>
          <wp:inline distT="0" distB="0" distL="114300" distR="114300">
            <wp:extent cx="5797550" cy="7731760"/>
            <wp:effectExtent l="0" t="0" r="3175" b="2540"/>
            <wp:docPr id="22" name="图片 22" descr="41249e4812b4dbf074cd65a3089c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41249e4812b4dbf074cd65a3089c814"/>
                    <pic:cNvPicPr>
                      <a:picLocks noChangeAspect="1"/>
                    </pic:cNvPicPr>
                  </pic:nvPicPr>
                  <pic:blipFill>
                    <a:blip r:embed="rId22"/>
                    <a:stretch>
                      <a:fillRect/>
                    </a:stretch>
                  </pic:blipFill>
                  <pic:spPr>
                    <a:xfrm>
                      <a:off x="0" y="0"/>
                      <a:ext cx="5797550" cy="7731760"/>
                    </a:xfrm>
                    <a:prstGeom prst="rect">
                      <a:avLst/>
                    </a:prstGeom>
                  </pic:spPr>
                </pic:pic>
              </a:graphicData>
            </a:graphic>
          </wp:inline>
        </w:drawing>
      </w:r>
    </w:p>
    <w:p>
      <w:pPr>
        <w:pStyle w:val="5"/>
        <w:bidi w:val="0"/>
        <w:rPr>
          <w:rFonts w:hint="eastAsia"/>
          <w:lang w:val="en-US" w:eastAsia="zh-CN"/>
        </w:rPr>
      </w:pPr>
      <w:r>
        <w:br w:type="page"/>
      </w:r>
      <w:bookmarkStart w:id="91" w:name="_Toc23717"/>
      <w:bookmarkStart w:id="92" w:name="_Toc22875"/>
      <w:r>
        <w:rPr>
          <w:rFonts w:hint="eastAsia"/>
          <w:lang w:val="en-US" w:eastAsia="zh-CN"/>
        </w:rPr>
        <w:t>附件2 园区环评批复</w:t>
      </w:r>
      <w:bookmarkEnd w:id="91"/>
      <w:bookmarkEnd w:id="92"/>
    </w:p>
    <w:p>
      <w:pPr>
        <w:bidi w:val="0"/>
      </w:pPr>
      <w:bookmarkStart w:id="93" w:name="_Toc121758989"/>
      <w:r>
        <w:drawing>
          <wp:inline distT="0" distB="0" distL="114300" distR="114300">
            <wp:extent cx="6139815" cy="7903210"/>
            <wp:effectExtent l="0" t="0" r="3810" b="254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23"/>
                    <a:stretch>
                      <a:fillRect/>
                    </a:stretch>
                  </pic:blipFill>
                  <pic:spPr>
                    <a:xfrm>
                      <a:off x="0" y="0"/>
                      <a:ext cx="6139815" cy="7903210"/>
                    </a:xfrm>
                    <a:prstGeom prst="rect">
                      <a:avLst/>
                    </a:prstGeom>
                    <a:noFill/>
                    <a:ln>
                      <a:noFill/>
                    </a:ln>
                  </pic:spPr>
                </pic:pic>
              </a:graphicData>
            </a:graphic>
          </wp:inline>
        </w:drawing>
      </w:r>
      <w:bookmarkEnd w:id="93"/>
      <w:bookmarkStart w:id="94" w:name="_Toc121758990"/>
      <w:r>
        <w:drawing>
          <wp:inline distT="0" distB="0" distL="114300" distR="114300">
            <wp:extent cx="6026785" cy="8320405"/>
            <wp:effectExtent l="0" t="0" r="2540" b="4445"/>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24"/>
                    <a:stretch>
                      <a:fillRect/>
                    </a:stretch>
                  </pic:blipFill>
                  <pic:spPr>
                    <a:xfrm>
                      <a:off x="0" y="0"/>
                      <a:ext cx="6026785" cy="8320405"/>
                    </a:xfrm>
                    <a:prstGeom prst="rect">
                      <a:avLst/>
                    </a:prstGeom>
                    <a:noFill/>
                    <a:ln>
                      <a:noFill/>
                    </a:ln>
                  </pic:spPr>
                </pic:pic>
              </a:graphicData>
            </a:graphic>
          </wp:inline>
        </w:drawing>
      </w:r>
      <w:bookmarkEnd w:id="94"/>
      <w:r>
        <w:drawing>
          <wp:inline distT="0" distB="0" distL="114300" distR="114300">
            <wp:extent cx="5890260" cy="8138795"/>
            <wp:effectExtent l="0" t="0" r="5715" b="5080"/>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25"/>
                    <a:stretch>
                      <a:fillRect/>
                    </a:stretch>
                  </pic:blipFill>
                  <pic:spPr>
                    <a:xfrm>
                      <a:off x="0" y="0"/>
                      <a:ext cx="5890260" cy="8138795"/>
                    </a:xfrm>
                    <a:prstGeom prst="rect">
                      <a:avLst/>
                    </a:prstGeom>
                    <a:noFill/>
                    <a:ln>
                      <a:noFill/>
                    </a:ln>
                  </pic:spPr>
                </pic:pic>
              </a:graphicData>
            </a:graphic>
          </wp:inline>
        </w:drawing>
      </w:r>
      <w:r>
        <w:drawing>
          <wp:inline distT="0" distB="0" distL="114300" distR="114300">
            <wp:extent cx="6128385" cy="8012430"/>
            <wp:effectExtent l="0" t="0" r="5715" b="7620"/>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26"/>
                    <a:stretch>
                      <a:fillRect/>
                    </a:stretch>
                  </pic:blipFill>
                  <pic:spPr>
                    <a:xfrm>
                      <a:off x="0" y="0"/>
                      <a:ext cx="6128385" cy="8012430"/>
                    </a:xfrm>
                    <a:prstGeom prst="rect">
                      <a:avLst/>
                    </a:prstGeom>
                    <a:noFill/>
                    <a:ln>
                      <a:noFill/>
                    </a:ln>
                  </pic:spPr>
                </pic:pic>
              </a:graphicData>
            </a:graphic>
          </wp:inline>
        </w:drawing>
      </w:r>
      <w:bookmarkStart w:id="95" w:name="_Toc121758992"/>
      <w:r>
        <w:drawing>
          <wp:inline distT="0" distB="0" distL="114300" distR="114300">
            <wp:extent cx="6285865" cy="8260715"/>
            <wp:effectExtent l="0" t="0" r="635" b="698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27"/>
                    <a:stretch>
                      <a:fillRect/>
                    </a:stretch>
                  </pic:blipFill>
                  <pic:spPr>
                    <a:xfrm>
                      <a:off x="0" y="0"/>
                      <a:ext cx="6285865" cy="8260715"/>
                    </a:xfrm>
                    <a:prstGeom prst="rect">
                      <a:avLst/>
                    </a:prstGeom>
                    <a:noFill/>
                    <a:ln>
                      <a:noFill/>
                    </a:ln>
                  </pic:spPr>
                </pic:pic>
              </a:graphicData>
            </a:graphic>
          </wp:inline>
        </w:drawing>
      </w:r>
      <w:bookmarkEnd w:id="95"/>
      <w:bookmarkStart w:id="96" w:name="_Toc121758993"/>
      <w:r>
        <w:drawing>
          <wp:inline distT="0" distB="0" distL="114300" distR="114300">
            <wp:extent cx="6215380" cy="8352790"/>
            <wp:effectExtent l="0" t="0" r="4445" b="635"/>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28"/>
                    <a:stretch>
                      <a:fillRect/>
                    </a:stretch>
                  </pic:blipFill>
                  <pic:spPr>
                    <a:xfrm>
                      <a:off x="0" y="0"/>
                      <a:ext cx="6215380" cy="8352790"/>
                    </a:xfrm>
                    <a:prstGeom prst="rect">
                      <a:avLst/>
                    </a:prstGeom>
                    <a:noFill/>
                    <a:ln>
                      <a:noFill/>
                    </a:ln>
                  </pic:spPr>
                </pic:pic>
              </a:graphicData>
            </a:graphic>
          </wp:inline>
        </w:drawing>
      </w:r>
      <w:bookmarkEnd w:id="96"/>
    </w:p>
    <w:p>
      <w:pPr>
        <w:pStyle w:val="5"/>
        <w:bidi w:val="0"/>
        <w:rPr>
          <w:rFonts w:hint="eastAsia"/>
          <w:lang w:val="en-US" w:eastAsia="zh-CN"/>
        </w:rPr>
      </w:pPr>
      <w:r>
        <w:br w:type="page"/>
      </w:r>
      <w:bookmarkStart w:id="97" w:name="_Toc32265"/>
      <w:bookmarkStart w:id="98" w:name="_Toc28711"/>
      <w:r>
        <w:rPr>
          <w:rFonts w:hint="eastAsia"/>
          <w:lang w:val="en-US" w:eastAsia="zh-CN"/>
        </w:rPr>
        <w:t>附件3 项目专利</w:t>
      </w:r>
      <w:bookmarkEnd w:id="97"/>
      <w:bookmarkEnd w:id="98"/>
    </w:p>
    <w:p>
      <w:pPr>
        <w:bidi w:val="0"/>
      </w:pPr>
      <w:r>
        <w:rPr>
          <w:position w:val="-633"/>
        </w:rPr>
        <w:drawing>
          <wp:inline distT="0" distB="0" distL="0" distR="0">
            <wp:extent cx="5640070" cy="8385175"/>
            <wp:effectExtent l="0" t="0" r="8255" b="6350"/>
            <wp:docPr id="29" name="IM 22"/>
            <wp:cNvGraphicFramePr/>
            <a:graphic xmlns:a="http://schemas.openxmlformats.org/drawingml/2006/main">
              <a:graphicData uri="http://schemas.openxmlformats.org/drawingml/2006/picture">
                <pic:pic xmlns:pic="http://schemas.openxmlformats.org/drawingml/2006/picture">
                  <pic:nvPicPr>
                    <pic:cNvPr id="29" name="IM 22"/>
                    <pic:cNvPicPr/>
                  </pic:nvPicPr>
                  <pic:blipFill>
                    <a:blip r:embed="rId29"/>
                    <a:stretch>
                      <a:fillRect/>
                    </a:stretch>
                  </pic:blipFill>
                  <pic:spPr>
                    <a:xfrm>
                      <a:off x="0" y="0"/>
                      <a:ext cx="5640070" cy="8385175"/>
                    </a:xfrm>
                    <a:prstGeom prst="rect">
                      <a:avLst/>
                    </a:prstGeom>
                  </pic:spPr>
                </pic:pic>
              </a:graphicData>
            </a:graphic>
          </wp:inline>
        </w:drawing>
      </w:r>
      <w:r>
        <w:rPr>
          <w:position w:val="-633"/>
        </w:rPr>
        <w:drawing>
          <wp:inline distT="0" distB="0" distL="0" distR="0">
            <wp:extent cx="5782945" cy="8423910"/>
            <wp:effectExtent l="0" t="0" r="8255" b="5715"/>
            <wp:docPr id="30" name="IM 24"/>
            <wp:cNvGraphicFramePr/>
            <a:graphic xmlns:a="http://schemas.openxmlformats.org/drawingml/2006/main">
              <a:graphicData uri="http://schemas.openxmlformats.org/drawingml/2006/picture">
                <pic:pic xmlns:pic="http://schemas.openxmlformats.org/drawingml/2006/picture">
                  <pic:nvPicPr>
                    <pic:cNvPr id="30" name="IM 24"/>
                    <pic:cNvPicPr/>
                  </pic:nvPicPr>
                  <pic:blipFill>
                    <a:blip r:embed="rId30"/>
                    <a:stretch>
                      <a:fillRect/>
                    </a:stretch>
                  </pic:blipFill>
                  <pic:spPr>
                    <a:xfrm>
                      <a:off x="0" y="0"/>
                      <a:ext cx="5782945" cy="8423910"/>
                    </a:xfrm>
                    <a:prstGeom prst="rect">
                      <a:avLst/>
                    </a:prstGeom>
                  </pic:spPr>
                </pic:pic>
              </a:graphicData>
            </a:graphic>
          </wp:inline>
        </w:drawing>
      </w:r>
      <w:r>
        <w:rPr>
          <w:position w:val="-291"/>
        </w:rPr>
        <w:drawing>
          <wp:inline distT="0" distB="0" distL="0" distR="0">
            <wp:extent cx="5741670" cy="8618220"/>
            <wp:effectExtent l="0" t="0" r="1905" b="1905"/>
            <wp:docPr id="31" name="IM 26"/>
            <wp:cNvGraphicFramePr/>
            <a:graphic xmlns:a="http://schemas.openxmlformats.org/drawingml/2006/main">
              <a:graphicData uri="http://schemas.openxmlformats.org/drawingml/2006/picture">
                <pic:pic xmlns:pic="http://schemas.openxmlformats.org/drawingml/2006/picture">
                  <pic:nvPicPr>
                    <pic:cNvPr id="31" name="IM 26"/>
                    <pic:cNvPicPr/>
                  </pic:nvPicPr>
                  <pic:blipFill>
                    <a:blip r:embed="rId31"/>
                    <a:stretch>
                      <a:fillRect/>
                    </a:stretch>
                  </pic:blipFill>
                  <pic:spPr>
                    <a:xfrm>
                      <a:off x="0" y="0"/>
                      <a:ext cx="5741670" cy="8618220"/>
                    </a:xfrm>
                    <a:prstGeom prst="rect">
                      <a:avLst/>
                    </a:prstGeom>
                  </pic:spPr>
                </pic:pic>
              </a:graphicData>
            </a:graphic>
          </wp:inline>
        </w:drawing>
      </w:r>
      <w:r>
        <w:rPr>
          <w:position w:val="-291"/>
        </w:rPr>
        <w:drawing>
          <wp:inline distT="0" distB="0" distL="0" distR="0">
            <wp:extent cx="5816600" cy="8703310"/>
            <wp:effectExtent l="0" t="0" r="3175" b="2540"/>
            <wp:docPr id="32" name="IM 28"/>
            <wp:cNvGraphicFramePr/>
            <a:graphic xmlns:a="http://schemas.openxmlformats.org/drawingml/2006/main">
              <a:graphicData uri="http://schemas.openxmlformats.org/drawingml/2006/picture">
                <pic:pic xmlns:pic="http://schemas.openxmlformats.org/drawingml/2006/picture">
                  <pic:nvPicPr>
                    <pic:cNvPr id="32" name="IM 28"/>
                    <pic:cNvPicPr/>
                  </pic:nvPicPr>
                  <pic:blipFill>
                    <a:blip r:embed="rId32"/>
                    <a:stretch>
                      <a:fillRect/>
                    </a:stretch>
                  </pic:blipFill>
                  <pic:spPr>
                    <a:xfrm>
                      <a:off x="0" y="0"/>
                      <a:ext cx="5816600" cy="8703310"/>
                    </a:xfrm>
                    <a:prstGeom prst="rect">
                      <a:avLst/>
                    </a:prstGeom>
                  </pic:spPr>
                </pic:pic>
              </a:graphicData>
            </a:graphic>
          </wp:inline>
        </w:drawing>
      </w:r>
      <w:r>
        <w:rPr>
          <w:position w:val="-291"/>
        </w:rPr>
        <w:drawing>
          <wp:inline distT="0" distB="0" distL="0" distR="0">
            <wp:extent cx="5809615" cy="8559800"/>
            <wp:effectExtent l="0" t="0" r="635" b="3175"/>
            <wp:docPr id="33" name="IM 30"/>
            <wp:cNvGraphicFramePr/>
            <a:graphic xmlns:a="http://schemas.openxmlformats.org/drawingml/2006/main">
              <a:graphicData uri="http://schemas.openxmlformats.org/drawingml/2006/picture">
                <pic:pic xmlns:pic="http://schemas.openxmlformats.org/drawingml/2006/picture">
                  <pic:nvPicPr>
                    <pic:cNvPr id="33" name="IM 30"/>
                    <pic:cNvPicPr/>
                  </pic:nvPicPr>
                  <pic:blipFill>
                    <a:blip r:embed="rId33"/>
                    <a:stretch>
                      <a:fillRect/>
                    </a:stretch>
                  </pic:blipFill>
                  <pic:spPr>
                    <a:xfrm>
                      <a:off x="0" y="0"/>
                      <a:ext cx="5809615" cy="8559800"/>
                    </a:xfrm>
                    <a:prstGeom prst="rect">
                      <a:avLst/>
                    </a:prstGeom>
                  </pic:spPr>
                </pic:pic>
              </a:graphicData>
            </a:graphic>
          </wp:inline>
        </w:drawing>
      </w:r>
      <w:r>
        <w:rPr>
          <w:position w:val="-291"/>
        </w:rPr>
        <w:drawing>
          <wp:inline distT="0" distB="0" distL="0" distR="0">
            <wp:extent cx="5673725" cy="8712200"/>
            <wp:effectExtent l="0" t="0" r="3175" b="3175"/>
            <wp:docPr id="34" name="IM 32"/>
            <wp:cNvGraphicFramePr/>
            <a:graphic xmlns:a="http://schemas.openxmlformats.org/drawingml/2006/main">
              <a:graphicData uri="http://schemas.openxmlformats.org/drawingml/2006/picture">
                <pic:pic xmlns:pic="http://schemas.openxmlformats.org/drawingml/2006/picture">
                  <pic:nvPicPr>
                    <pic:cNvPr id="34" name="IM 32"/>
                    <pic:cNvPicPr/>
                  </pic:nvPicPr>
                  <pic:blipFill>
                    <a:blip r:embed="rId34"/>
                    <a:stretch>
                      <a:fillRect/>
                    </a:stretch>
                  </pic:blipFill>
                  <pic:spPr>
                    <a:xfrm>
                      <a:off x="0" y="0"/>
                      <a:ext cx="5673725" cy="8712200"/>
                    </a:xfrm>
                    <a:prstGeom prst="rect">
                      <a:avLst/>
                    </a:prstGeom>
                  </pic:spPr>
                </pic:pic>
              </a:graphicData>
            </a:graphic>
          </wp:inline>
        </w:drawing>
      </w:r>
      <w:r>
        <w:rPr>
          <w:position w:val="-291"/>
        </w:rPr>
        <w:drawing>
          <wp:inline distT="0" distB="0" distL="0" distR="0">
            <wp:extent cx="5690235" cy="8693150"/>
            <wp:effectExtent l="0" t="0" r="5715" b="3175"/>
            <wp:docPr id="35" name="IM 34"/>
            <wp:cNvGraphicFramePr/>
            <a:graphic xmlns:a="http://schemas.openxmlformats.org/drawingml/2006/main">
              <a:graphicData uri="http://schemas.openxmlformats.org/drawingml/2006/picture">
                <pic:pic xmlns:pic="http://schemas.openxmlformats.org/drawingml/2006/picture">
                  <pic:nvPicPr>
                    <pic:cNvPr id="35" name="IM 34"/>
                    <pic:cNvPicPr/>
                  </pic:nvPicPr>
                  <pic:blipFill>
                    <a:blip r:embed="rId35"/>
                    <a:stretch>
                      <a:fillRect/>
                    </a:stretch>
                  </pic:blipFill>
                  <pic:spPr>
                    <a:xfrm>
                      <a:off x="0" y="0"/>
                      <a:ext cx="5690235" cy="8693150"/>
                    </a:xfrm>
                    <a:prstGeom prst="rect">
                      <a:avLst/>
                    </a:prstGeom>
                  </pic:spPr>
                </pic:pic>
              </a:graphicData>
            </a:graphic>
          </wp:inline>
        </w:drawing>
      </w:r>
      <w:r>
        <w:rPr>
          <w:position w:val="-291"/>
        </w:rPr>
        <w:drawing>
          <wp:inline distT="0" distB="0" distL="0" distR="0">
            <wp:extent cx="5842000" cy="8636000"/>
            <wp:effectExtent l="0" t="0" r="6350" b="3175"/>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36"/>
                    <a:stretch>
                      <a:fillRect/>
                    </a:stretch>
                  </pic:blipFill>
                  <pic:spPr>
                    <a:xfrm>
                      <a:off x="0" y="0"/>
                      <a:ext cx="5842000" cy="8636000"/>
                    </a:xfrm>
                    <a:prstGeom prst="rect">
                      <a:avLst/>
                    </a:prstGeom>
                  </pic:spPr>
                </pic:pic>
              </a:graphicData>
            </a:graphic>
          </wp:inline>
        </w:drawing>
      </w:r>
      <w:r>
        <w:rPr>
          <w:position w:val="-291"/>
        </w:rPr>
        <w:drawing>
          <wp:inline distT="0" distB="0" distL="0" distR="0">
            <wp:extent cx="5791200" cy="8645525"/>
            <wp:effectExtent l="0" t="0" r="0" b="3175"/>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37"/>
                    <a:stretch>
                      <a:fillRect/>
                    </a:stretch>
                  </pic:blipFill>
                  <pic:spPr>
                    <a:xfrm>
                      <a:off x="0" y="0"/>
                      <a:ext cx="5791200" cy="8645525"/>
                    </a:xfrm>
                    <a:prstGeom prst="rect">
                      <a:avLst/>
                    </a:prstGeom>
                  </pic:spPr>
                </pic:pic>
              </a:graphicData>
            </a:graphic>
          </wp:inline>
        </w:drawing>
      </w:r>
      <w:r>
        <w:rPr>
          <w:position w:val="-291"/>
        </w:rPr>
        <w:drawing>
          <wp:inline distT="0" distB="0" distL="0" distR="0">
            <wp:extent cx="5800725" cy="8656320"/>
            <wp:effectExtent l="0" t="0" r="0" b="1905"/>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38"/>
                    <a:stretch>
                      <a:fillRect/>
                    </a:stretch>
                  </pic:blipFill>
                  <pic:spPr>
                    <a:xfrm>
                      <a:off x="0" y="0"/>
                      <a:ext cx="5800725" cy="8656320"/>
                    </a:xfrm>
                    <a:prstGeom prst="rect">
                      <a:avLst/>
                    </a:prstGeom>
                  </pic:spPr>
                </pic:pic>
              </a:graphicData>
            </a:graphic>
          </wp:inline>
        </w:drawing>
      </w:r>
      <w:r>
        <w:br w:type="page"/>
      </w:r>
    </w:p>
    <w:p>
      <w:pPr>
        <w:pStyle w:val="5"/>
        <w:bidi w:val="0"/>
        <w:rPr>
          <w:rFonts w:hint="eastAsia"/>
          <w:lang w:val="en-US" w:eastAsia="zh-CN"/>
        </w:rPr>
      </w:pPr>
      <w:bookmarkStart w:id="99" w:name="_Toc15532"/>
      <w:bookmarkStart w:id="100" w:name="_Toc9765"/>
      <w:r>
        <w:rPr>
          <w:rFonts w:hint="eastAsia"/>
          <w:lang w:val="en-US" w:eastAsia="zh-CN"/>
        </w:rPr>
        <w:t>附件4 锰渣及无害化锰渣水浸</w:t>
      </w:r>
      <w:bookmarkEnd w:id="99"/>
      <w:bookmarkEnd w:id="100"/>
    </w:p>
    <w:p>
      <w:pPr>
        <w:bidi w:val="0"/>
      </w:pPr>
      <w:r>
        <w:drawing>
          <wp:inline distT="0" distB="0" distL="114300" distR="114300">
            <wp:extent cx="5792470" cy="8190230"/>
            <wp:effectExtent l="0" t="0" r="8255" b="1270"/>
            <wp:docPr id="37" name="图片 37" descr="原渣水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原渣水浸_00"/>
                    <pic:cNvPicPr>
                      <a:picLocks noChangeAspect="1"/>
                    </pic:cNvPicPr>
                  </pic:nvPicPr>
                  <pic:blipFill>
                    <a:blip r:embed="rId39"/>
                    <a:stretch>
                      <a:fillRect/>
                    </a:stretch>
                  </pic:blipFill>
                  <pic:spPr>
                    <a:xfrm>
                      <a:off x="0" y="0"/>
                      <a:ext cx="5792470" cy="8190230"/>
                    </a:xfrm>
                    <a:prstGeom prst="rect">
                      <a:avLst/>
                    </a:prstGeom>
                  </pic:spPr>
                </pic:pic>
              </a:graphicData>
            </a:graphic>
          </wp:inline>
        </w:drawing>
      </w:r>
      <w:r>
        <w:drawing>
          <wp:inline distT="0" distB="0" distL="114300" distR="114300">
            <wp:extent cx="5792470" cy="8190230"/>
            <wp:effectExtent l="0" t="0" r="8255" b="1270"/>
            <wp:docPr id="39" name="图片 39" descr="原渣水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原渣水浸_01"/>
                    <pic:cNvPicPr>
                      <a:picLocks noChangeAspect="1"/>
                    </pic:cNvPicPr>
                  </pic:nvPicPr>
                  <pic:blipFill>
                    <a:blip r:embed="rId40"/>
                    <a:stretch>
                      <a:fillRect/>
                    </a:stretch>
                  </pic:blipFill>
                  <pic:spPr>
                    <a:xfrm>
                      <a:off x="0" y="0"/>
                      <a:ext cx="5792470" cy="8190230"/>
                    </a:xfrm>
                    <a:prstGeom prst="rect">
                      <a:avLst/>
                    </a:prstGeom>
                  </pic:spPr>
                </pic:pic>
              </a:graphicData>
            </a:graphic>
          </wp:inline>
        </w:drawing>
      </w:r>
      <w:r>
        <w:drawing>
          <wp:inline distT="0" distB="0" distL="114300" distR="114300">
            <wp:extent cx="5792470" cy="8190230"/>
            <wp:effectExtent l="0" t="0" r="8255" b="1270"/>
            <wp:docPr id="41" name="图片 41" descr="原渣水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原渣水浸_02"/>
                    <pic:cNvPicPr>
                      <a:picLocks noChangeAspect="1"/>
                    </pic:cNvPicPr>
                  </pic:nvPicPr>
                  <pic:blipFill>
                    <a:blip r:embed="rId41"/>
                    <a:stretch>
                      <a:fillRect/>
                    </a:stretch>
                  </pic:blipFill>
                  <pic:spPr>
                    <a:xfrm>
                      <a:off x="0" y="0"/>
                      <a:ext cx="5792470" cy="8190230"/>
                    </a:xfrm>
                    <a:prstGeom prst="rect">
                      <a:avLst/>
                    </a:prstGeom>
                  </pic:spPr>
                </pic:pic>
              </a:graphicData>
            </a:graphic>
          </wp:inline>
        </w:drawing>
      </w:r>
      <w:r>
        <w:drawing>
          <wp:inline distT="0" distB="0" distL="114300" distR="114300">
            <wp:extent cx="5792470" cy="8190230"/>
            <wp:effectExtent l="0" t="0" r="8255" b="1270"/>
            <wp:docPr id="42" name="图片 42" descr="原渣水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原渣水浸_03"/>
                    <pic:cNvPicPr>
                      <a:picLocks noChangeAspect="1"/>
                    </pic:cNvPicPr>
                  </pic:nvPicPr>
                  <pic:blipFill>
                    <a:blip r:embed="rId42"/>
                    <a:stretch>
                      <a:fillRect/>
                    </a:stretch>
                  </pic:blipFill>
                  <pic:spPr>
                    <a:xfrm>
                      <a:off x="0" y="0"/>
                      <a:ext cx="5792470" cy="8190230"/>
                    </a:xfrm>
                    <a:prstGeom prst="rect">
                      <a:avLst/>
                    </a:prstGeom>
                  </pic:spPr>
                </pic:pic>
              </a:graphicData>
            </a:graphic>
          </wp:inline>
        </w:drawing>
      </w:r>
      <w:r>
        <w:drawing>
          <wp:inline distT="0" distB="0" distL="114300" distR="114300">
            <wp:extent cx="5792470" cy="8190230"/>
            <wp:effectExtent l="0" t="0" r="8255" b="1270"/>
            <wp:docPr id="43" name="图片 43" descr="锰渣无害化水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锰渣无害化水浸_00"/>
                    <pic:cNvPicPr>
                      <a:picLocks noChangeAspect="1"/>
                    </pic:cNvPicPr>
                  </pic:nvPicPr>
                  <pic:blipFill>
                    <a:blip r:embed="rId43"/>
                    <a:stretch>
                      <a:fillRect/>
                    </a:stretch>
                  </pic:blipFill>
                  <pic:spPr>
                    <a:xfrm>
                      <a:off x="0" y="0"/>
                      <a:ext cx="5792470" cy="8190230"/>
                    </a:xfrm>
                    <a:prstGeom prst="rect">
                      <a:avLst/>
                    </a:prstGeom>
                  </pic:spPr>
                </pic:pic>
              </a:graphicData>
            </a:graphic>
          </wp:inline>
        </w:drawing>
      </w:r>
      <w:r>
        <w:drawing>
          <wp:inline distT="0" distB="0" distL="114300" distR="114300">
            <wp:extent cx="5792470" cy="8190230"/>
            <wp:effectExtent l="0" t="0" r="8255" b="1270"/>
            <wp:docPr id="44" name="图片 44" descr="锰渣无害化水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锰渣无害化水浸_01"/>
                    <pic:cNvPicPr>
                      <a:picLocks noChangeAspect="1"/>
                    </pic:cNvPicPr>
                  </pic:nvPicPr>
                  <pic:blipFill>
                    <a:blip r:embed="rId44"/>
                    <a:stretch>
                      <a:fillRect/>
                    </a:stretch>
                  </pic:blipFill>
                  <pic:spPr>
                    <a:xfrm>
                      <a:off x="0" y="0"/>
                      <a:ext cx="5792470" cy="8190230"/>
                    </a:xfrm>
                    <a:prstGeom prst="rect">
                      <a:avLst/>
                    </a:prstGeom>
                  </pic:spPr>
                </pic:pic>
              </a:graphicData>
            </a:graphic>
          </wp:inline>
        </w:drawing>
      </w:r>
      <w:r>
        <w:drawing>
          <wp:inline distT="0" distB="0" distL="114300" distR="114300">
            <wp:extent cx="5792470" cy="8190230"/>
            <wp:effectExtent l="0" t="0" r="8255" b="1270"/>
            <wp:docPr id="45" name="图片 45" descr="锰渣无害化水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锰渣无害化水浸_02"/>
                    <pic:cNvPicPr>
                      <a:picLocks noChangeAspect="1"/>
                    </pic:cNvPicPr>
                  </pic:nvPicPr>
                  <pic:blipFill>
                    <a:blip r:embed="rId45"/>
                    <a:stretch>
                      <a:fillRect/>
                    </a:stretch>
                  </pic:blipFill>
                  <pic:spPr>
                    <a:xfrm>
                      <a:off x="0" y="0"/>
                      <a:ext cx="5792470" cy="8190230"/>
                    </a:xfrm>
                    <a:prstGeom prst="rect">
                      <a:avLst/>
                    </a:prstGeom>
                  </pic:spPr>
                </pic:pic>
              </a:graphicData>
            </a:graphic>
          </wp:inline>
        </w:drawing>
      </w:r>
      <w:r>
        <w:drawing>
          <wp:inline distT="0" distB="0" distL="114300" distR="114300">
            <wp:extent cx="5792470" cy="8190230"/>
            <wp:effectExtent l="0" t="0" r="8255" b="1270"/>
            <wp:docPr id="46" name="图片 46" descr="锰渣无害化水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锰渣无害化水浸_03"/>
                    <pic:cNvPicPr>
                      <a:picLocks noChangeAspect="1"/>
                    </pic:cNvPicPr>
                  </pic:nvPicPr>
                  <pic:blipFill>
                    <a:blip r:embed="rId46"/>
                    <a:stretch>
                      <a:fillRect/>
                    </a:stretch>
                  </pic:blipFill>
                  <pic:spPr>
                    <a:xfrm>
                      <a:off x="0" y="0"/>
                      <a:ext cx="5792470" cy="8190230"/>
                    </a:xfrm>
                    <a:prstGeom prst="rect">
                      <a:avLst/>
                    </a:prstGeom>
                  </pic:spPr>
                </pic:pic>
              </a:graphicData>
            </a:graphic>
          </wp:inline>
        </w:drawing>
      </w:r>
      <w:r>
        <w:br w:type="page"/>
      </w:r>
    </w:p>
    <w:p>
      <w:pPr>
        <w:pStyle w:val="5"/>
        <w:bidi w:val="0"/>
        <w:rPr>
          <w:rFonts w:hint="eastAsia"/>
          <w:lang w:val="en-US" w:eastAsia="zh-CN"/>
        </w:rPr>
      </w:pPr>
      <w:bookmarkStart w:id="101" w:name="_Toc13711"/>
      <w:bookmarkStart w:id="102" w:name="_Toc19630"/>
      <w:r>
        <w:rPr>
          <w:rFonts w:hint="eastAsia"/>
          <w:lang w:val="en-US" w:eastAsia="zh-CN"/>
        </w:rPr>
        <w:t>附件5 轻质隔墙条板酸浸浸出毒性检测</w:t>
      </w:r>
      <w:bookmarkEnd w:id="101"/>
      <w:bookmarkEnd w:id="102"/>
    </w:p>
    <w:p>
      <w:pPr>
        <w:bidi w:val="0"/>
      </w:pPr>
      <w:r>
        <w:drawing>
          <wp:inline distT="0" distB="0" distL="114300" distR="114300">
            <wp:extent cx="5701665" cy="8064500"/>
            <wp:effectExtent l="0" t="0" r="3810" b="3175"/>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47"/>
                    <a:stretch>
                      <a:fillRect/>
                    </a:stretch>
                  </pic:blipFill>
                  <pic:spPr>
                    <a:xfrm>
                      <a:off x="0" y="0"/>
                      <a:ext cx="5701665" cy="8064500"/>
                    </a:xfrm>
                    <a:prstGeom prst="rect">
                      <a:avLst/>
                    </a:prstGeom>
                    <a:noFill/>
                    <a:ln>
                      <a:noFill/>
                    </a:ln>
                  </pic:spPr>
                </pic:pic>
              </a:graphicData>
            </a:graphic>
          </wp:inline>
        </w:drawing>
      </w:r>
      <w:r>
        <w:drawing>
          <wp:inline distT="0" distB="0" distL="114300" distR="114300">
            <wp:extent cx="5897245" cy="8341360"/>
            <wp:effectExtent l="0" t="0" r="8255" b="254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48"/>
                    <a:stretch>
                      <a:fillRect/>
                    </a:stretch>
                  </pic:blipFill>
                  <pic:spPr>
                    <a:xfrm>
                      <a:off x="0" y="0"/>
                      <a:ext cx="5897245" cy="8341360"/>
                    </a:xfrm>
                    <a:prstGeom prst="rect">
                      <a:avLst/>
                    </a:prstGeom>
                    <a:noFill/>
                    <a:ln>
                      <a:noFill/>
                    </a:ln>
                  </pic:spPr>
                </pic:pic>
              </a:graphicData>
            </a:graphic>
          </wp:inline>
        </w:drawing>
      </w:r>
      <w:r>
        <w:drawing>
          <wp:inline distT="0" distB="0" distL="114300" distR="114300">
            <wp:extent cx="5857240" cy="8284845"/>
            <wp:effectExtent l="0" t="0" r="635" b="1905"/>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49"/>
                    <a:stretch>
                      <a:fillRect/>
                    </a:stretch>
                  </pic:blipFill>
                  <pic:spPr>
                    <a:xfrm>
                      <a:off x="0" y="0"/>
                      <a:ext cx="5857240" cy="8284845"/>
                    </a:xfrm>
                    <a:prstGeom prst="rect">
                      <a:avLst/>
                    </a:prstGeom>
                    <a:noFill/>
                    <a:ln>
                      <a:noFill/>
                    </a:ln>
                  </pic:spPr>
                </pic:pic>
              </a:graphicData>
            </a:graphic>
          </wp:inline>
        </w:drawing>
      </w:r>
      <w:r>
        <w:br w:type="page"/>
      </w:r>
    </w:p>
    <w:p>
      <w:pPr>
        <w:pStyle w:val="5"/>
        <w:bidi w:val="0"/>
        <w:rPr>
          <w:rFonts w:hint="eastAsia"/>
          <w:lang w:val="en-US" w:eastAsia="zh-CN"/>
        </w:rPr>
      </w:pPr>
      <w:bookmarkStart w:id="103" w:name="_Toc10837"/>
      <w:bookmarkStart w:id="104" w:name="_Toc786"/>
      <w:r>
        <w:rPr>
          <w:rFonts w:hint="eastAsia"/>
          <w:lang w:val="en-US" w:eastAsia="zh-CN"/>
        </w:rPr>
        <w:t>附件6 轻质隔墙条板材料测试</w:t>
      </w:r>
      <w:bookmarkEnd w:id="103"/>
      <w:bookmarkEnd w:id="104"/>
    </w:p>
    <w:p>
      <w:pPr>
        <w:bidi w:val="0"/>
      </w:pPr>
      <w:r>
        <w:drawing>
          <wp:inline distT="0" distB="0" distL="114300" distR="114300">
            <wp:extent cx="5514975" cy="8122285"/>
            <wp:effectExtent l="0" t="0" r="0" b="2540"/>
            <wp:docPr id="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pic:cNvPicPr>
                      <a:picLocks noChangeAspect="1"/>
                    </pic:cNvPicPr>
                  </pic:nvPicPr>
                  <pic:blipFill>
                    <a:blip r:embed="rId50"/>
                    <a:stretch>
                      <a:fillRect/>
                    </a:stretch>
                  </pic:blipFill>
                  <pic:spPr>
                    <a:xfrm>
                      <a:off x="0" y="0"/>
                      <a:ext cx="5514975" cy="8122285"/>
                    </a:xfrm>
                    <a:prstGeom prst="rect">
                      <a:avLst/>
                    </a:prstGeom>
                    <a:noFill/>
                    <a:ln>
                      <a:noFill/>
                    </a:ln>
                  </pic:spPr>
                </pic:pic>
              </a:graphicData>
            </a:graphic>
          </wp:inline>
        </w:drawing>
      </w:r>
      <w:r>
        <w:drawing>
          <wp:inline distT="0" distB="0" distL="114300" distR="114300">
            <wp:extent cx="5692140" cy="8383270"/>
            <wp:effectExtent l="0" t="0" r="3810" b="8255"/>
            <wp:docPr id="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4"/>
                    <pic:cNvPicPr>
                      <a:picLocks noChangeAspect="1"/>
                    </pic:cNvPicPr>
                  </pic:nvPicPr>
                  <pic:blipFill>
                    <a:blip r:embed="rId51"/>
                    <a:stretch>
                      <a:fillRect/>
                    </a:stretch>
                  </pic:blipFill>
                  <pic:spPr>
                    <a:xfrm>
                      <a:off x="0" y="0"/>
                      <a:ext cx="5692140" cy="8383270"/>
                    </a:xfrm>
                    <a:prstGeom prst="rect">
                      <a:avLst/>
                    </a:prstGeom>
                    <a:noFill/>
                    <a:ln>
                      <a:noFill/>
                    </a:ln>
                  </pic:spPr>
                </pic:pic>
              </a:graphicData>
            </a:graphic>
          </wp:inline>
        </w:drawing>
      </w:r>
      <w:r>
        <w:drawing>
          <wp:inline distT="0" distB="0" distL="114300" distR="114300">
            <wp:extent cx="5756275" cy="8351520"/>
            <wp:effectExtent l="0" t="0" r="6350" b="1905"/>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pic:cNvPicPr>
                      <a:picLocks noChangeAspect="1"/>
                    </pic:cNvPicPr>
                  </pic:nvPicPr>
                  <pic:blipFill>
                    <a:blip r:embed="rId52"/>
                    <a:stretch>
                      <a:fillRect/>
                    </a:stretch>
                  </pic:blipFill>
                  <pic:spPr>
                    <a:xfrm>
                      <a:off x="0" y="0"/>
                      <a:ext cx="5756275" cy="8351520"/>
                    </a:xfrm>
                    <a:prstGeom prst="rect">
                      <a:avLst/>
                    </a:prstGeom>
                    <a:noFill/>
                    <a:ln>
                      <a:noFill/>
                    </a:ln>
                  </pic:spPr>
                </pic:pic>
              </a:graphicData>
            </a:graphic>
          </wp:inline>
        </w:drawing>
      </w:r>
      <w:r>
        <w:drawing>
          <wp:inline distT="0" distB="0" distL="114300" distR="114300">
            <wp:extent cx="5842000" cy="8488680"/>
            <wp:effectExtent l="0" t="0" r="6350" b="7620"/>
            <wp:docPr id="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6"/>
                    <pic:cNvPicPr>
                      <a:picLocks noChangeAspect="1"/>
                    </pic:cNvPicPr>
                  </pic:nvPicPr>
                  <pic:blipFill>
                    <a:blip r:embed="rId53"/>
                    <a:stretch>
                      <a:fillRect/>
                    </a:stretch>
                  </pic:blipFill>
                  <pic:spPr>
                    <a:xfrm>
                      <a:off x="0" y="0"/>
                      <a:ext cx="5842000" cy="8488680"/>
                    </a:xfrm>
                    <a:prstGeom prst="rect">
                      <a:avLst/>
                    </a:prstGeom>
                    <a:noFill/>
                    <a:ln>
                      <a:noFill/>
                    </a:ln>
                  </pic:spPr>
                </pic:pic>
              </a:graphicData>
            </a:graphic>
          </wp:inline>
        </w:drawing>
      </w:r>
      <w:r>
        <w:drawing>
          <wp:inline distT="0" distB="0" distL="114300" distR="114300">
            <wp:extent cx="5653405" cy="8300720"/>
            <wp:effectExtent l="0" t="0" r="4445" b="5080"/>
            <wp:docPr id="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7"/>
                    <pic:cNvPicPr>
                      <a:picLocks noChangeAspect="1"/>
                    </pic:cNvPicPr>
                  </pic:nvPicPr>
                  <pic:blipFill>
                    <a:blip r:embed="rId54"/>
                    <a:stretch>
                      <a:fillRect/>
                    </a:stretch>
                  </pic:blipFill>
                  <pic:spPr>
                    <a:xfrm>
                      <a:off x="0" y="0"/>
                      <a:ext cx="5653405" cy="8300720"/>
                    </a:xfrm>
                    <a:prstGeom prst="rect">
                      <a:avLst/>
                    </a:prstGeom>
                    <a:noFill/>
                    <a:ln>
                      <a:noFill/>
                    </a:ln>
                  </pic:spPr>
                </pic:pic>
              </a:graphicData>
            </a:graphic>
          </wp:inline>
        </w:drawing>
      </w:r>
      <w:r>
        <w:drawing>
          <wp:inline distT="0" distB="0" distL="114300" distR="114300">
            <wp:extent cx="5719445" cy="8347075"/>
            <wp:effectExtent l="0" t="0" r="5080" b="6350"/>
            <wp:docPr id="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
                    <pic:cNvPicPr>
                      <a:picLocks noChangeAspect="1"/>
                    </pic:cNvPicPr>
                  </pic:nvPicPr>
                  <pic:blipFill>
                    <a:blip r:embed="rId55"/>
                    <a:stretch>
                      <a:fillRect/>
                    </a:stretch>
                  </pic:blipFill>
                  <pic:spPr>
                    <a:xfrm>
                      <a:off x="0" y="0"/>
                      <a:ext cx="5719445" cy="8347075"/>
                    </a:xfrm>
                    <a:prstGeom prst="rect">
                      <a:avLst/>
                    </a:prstGeom>
                    <a:noFill/>
                    <a:ln>
                      <a:noFill/>
                    </a:ln>
                  </pic:spPr>
                </pic:pic>
              </a:graphicData>
            </a:graphic>
          </wp:inline>
        </w:drawing>
      </w:r>
      <w:r>
        <w:drawing>
          <wp:inline distT="0" distB="0" distL="114300" distR="114300">
            <wp:extent cx="5725160" cy="8406765"/>
            <wp:effectExtent l="0" t="0" r="8890" b="3810"/>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1"/>
                    </pic:cNvPicPr>
                  </pic:nvPicPr>
                  <pic:blipFill>
                    <a:blip r:embed="rId56"/>
                    <a:stretch>
                      <a:fillRect/>
                    </a:stretch>
                  </pic:blipFill>
                  <pic:spPr>
                    <a:xfrm>
                      <a:off x="0" y="0"/>
                      <a:ext cx="5725160" cy="8406765"/>
                    </a:xfrm>
                    <a:prstGeom prst="rect">
                      <a:avLst/>
                    </a:prstGeom>
                    <a:noFill/>
                    <a:ln>
                      <a:noFill/>
                    </a:ln>
                  </pic:spPr>
                </pic:pic>
              </a:graphicData>
            </a:graphic>
          </wp:inline>
        </w:drawing>
      </w:r>
      <w:r>
        <w:drawing>
          <wp:inline distT="0" distB="0" distL="114300" distR="114300">
            <wp:extent cx="5745480" cy="8335645"/>
            <wp:effectExtent l="0" t="0" r="7620" b="8255"/>
            <wp:docPr id="5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0"/>
                    <pic:cNvPicPr>
                      <a:picLocks noChangeAspect="1"/>
                    </pic:cNvPicPr>
                  </pic:nvPicPr>
                  <pic:blipFill>
                    <a:blip r:embed="rId57"/>
                    <a:stretch>
                      <a:fillRect/>
                    </a:stretch>
                  </pic:blipFill>
                  <pic:spPr>
                    <a:xfrm>
                      <a:off x="0" y="0"/>
                      <a:ext cx="5745480" cy="8335645"/>
                    </a:xfrm>
                    <a:prstGeom prst="rect">
                      <a:avLst/>
                    </a:prstGeom>
                    <a:noFill/>
                    <a:ln>
                      <a:noFill/>
                    </a:ln>
                  </pic:spPr>
                </pic:pic>
              </a:graphicData>
            </a:graphic>
          </wp:inline>
        </w:drawing>
      </w:r>
      <w:r>
        <w:br w:type="page"/>
      </w:r>
    </w:p>
    <w:p>
      <w:pPr>
        <w:pStyle w:val="5"/>
        <w:bidi w:val="0"/>
        <w:rPr>
          <w:rFonts w:hint="eastAsia"/>
          <w:lang w:val="en-US" w:eastAsia="zh-CN"/>
        </w:rPr>
      </w:pPr>
      <w:bookmarkStart w:id="105" w:name="_Toc32102"/>
      <w:bookmarkStart w:id="106" w:name="_Toc3610"/>
      <w:r>
        <w:rPr>
          <w:rFonts w:hint="eastAsia"/>
          <w:lang w:val="en-US" w:eastAsia="zh-CN"/>
        </w:rPr>
        <w:t>附件7 噪声检测报告</w:t>
      </w:r>
      <w:bookmarkEnd w:id="105"/>
      <w:bookmarkEnd w:id="106"/>
    </w:p>
    <w:p>
      <w:pPr>
        <w:bidi w:val="0"/>
      </w:pPr>
      <w:r>
        <w:drawing>
          <wp:inline distT="0" distB="0" distL="114300" distR="114300">
            <wp:extent cx="5792470" cy="8195310"/>
            <wp:effectExtent l="0" t="0" r="8255" b="5715"/>
            <wp:docPr id="58" name="图片 58" descr="花垣吾道环保科技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花垣吾道环保科技有限公司_00"/>
                    <pic:cNvPicPr>
                      <a:picLocks noChangeAspect="1"/>
                    </pic:cNvPicPr>
                  </pic:nvPicPr>
                  <pic:blipFill>
                    <a:blip r:embed="rId58"/>
                    <a:stretch>
                      <a:fillRect/>
                    </a:stretch>
                  </pic:blipFill>
                  <pic:spPr>
                    <a:xfrm>
                      <a:off x="0" y="0"/>
                      <a:ext cx="5792470" cy="8195310"/>
                    </a:xfrm>
                    <a:prstGeom prst="rect">
                      <a:avLst/>
                    </a:prstGeom>
                  </pic:spPr>
                </pic:pic>
              </a:graphicData>
            </a:graphic>
          </wp:inline>
        </w:drawing>
      </w:r>
      <w:r>
        <w:drawing>
          <wp:inline distT="0" distB="0" distL="114300" distR="114300">
            <wp:extent cx="5792470" cy="8195310"/>
            <wp:effectExtent l="0" t="0" r="8255" b="5715"/>
            <wp:docPr id="59" name="图片 59" descr="花垣吾道环保科技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花垣吾道环保科技有限公司_01"/>
                    <pic:cNvPicPr>
                      <a:picLocks noChangeAspect="1"/>
                    </pic:cNvPicPr>
                  </pic:nvPicPr>
                  <pic:blipFill>
                    <a:blip r:embed="rId59"/>
                    <a:stretch>
                      <a:fillRect/>
                    </a:stretch>
                  </pic:blipFill>
                  <pic:spPr>
                    <a:xfrm>
                      <a:off x="0" y="0"/>
                      <a:ext cx="5792470" cy="8195310"/>
                    </a:xfrm>
                    <a:prstGeom prst="rect">
                      <a:avLst/>
                    </a:prstGeom>
                  </pic:spPr>
                </pic:pic>
              </a:graphicData>
            </a:graphic>
          </wp:inline>
        </w:drawing>
      </w:r>
      <w:r>
        <w:drawing>
          <wp:inline distT="0" distB="0" distL="114300" distR="114300">
            <wp:extent cx="5792470" cy="8195310"/>
            <wp:effectExtent l="0" t="0" r="8255" b="5715"/>
            <wp:docPr id="60" name="图片 60" descr="花垣吾道环保科技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花垣吾道环保科技有限公司_02"/>
                    <pic:cNvPicPr>
                      <a:picLocks noChangeAspect="1"/>
                    </pic:cNvPicPr>
                  </pic:nvPicPr>
                  <pic:blipFill>
                    <a:blip r:embed="rId60"/>
                    <a:stretch>
                      <a:fillRect/>
                    </a:stretch>
                  </pic:blipFill>
                  <pic:spPr>
                    <a:xfrm>
                      <a:off x="0" y="0"/>
                      <a:ext cx="5792470" cy="8195310"/>
                    </a:xfrm>
                    <a:prstGeom prst="rect">
                      <a:avLst/>
                    </a:prstGeom>
                  </pic:spPr>
                </pic:pic>
              </a:graphicData>
            </a:graphic>
          </wp:inline>
        </w:drawing>
      </w:r>
      <w:r>
        <w:drawing>
          <wp:inline distT="0" distB="0" distL="114300" distR="114300">
            <wp:extent cx="5792470" cy="8195310"/>
            <wp:effectExtent l="0" t="0" r="8255" b="5715"/>
            <wp:docPr id="61" name="图片 61" descr="花垣吾道环保科技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花垣吾道环保科技有限公司_03"/>
                    <pic:cNvPicPr>
                      <a:picLocks noChangeAspect="1"/>
                    </pic:cNvPicPr>
                  </pic:nvPicPr>
                  <pic:blipFill>
                    <a:blip r:embed="rId61"/>
                    <a:stretch>
                      <a:fillRect/>
                    </a:stretch>
                  </pic:blipFill>
                  <pic:spPr>
                    <a:xfrm>
                      <a:off x="0" y="0"/>
                      <a:ext cx="5792470" cy="8195310"/>
                    </a:xfrm>
                    <a:prstGeom prst="rect">
                      <a:avLst/>
                    </a:prstGeom>
                  </pic:spPr>
                </pic:pic>
              </a:graphicData>
            </a:graphic>
          </wp:inline>
        </w:drawing>
      </w:r>
      <w:r>
        <w:drawing>
          <wp:inline distT="0" distB="0" distL="114300" distR="114300">
            <wp:extent cx="5792470" cy="8195310"/>
            <wp:effectExtent l="0" t="0" r="8255" b="5715"/>
            <wp:docPr id="62" name="图片 62" descr="花垣吾道环保科技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花垣吾道环保科技有限公司_04"/>
                    <pic:cNvPicPr>
                      <a:picLocks noChangeAspect="1"/>
                    </pic:cNvPicPr>
                  </pic:nvPicPr>
                  <pic:blipFill>
                    <a:blip r:embed="rId62"/>
                    <a:stretch>
                      <a:fillRect/>
                    </a:stretch>
                  </pic:blipFill>
                  <pic:spPr>
                    <a:xfrm>
                      <a:off x="0" y="0"/>
                      <a:ext cx="5792470" cy="8195310"/>
                    </a:xfrm>
                    <a:prstGeom prst="rect">
                      <a:avLst/>
                    </a:prstGeom>
                  </pic:spPr>
                </pic:pic>
              </a:graphicData>
            </a:graphic>
          </wp:inline>
        </w:drawing>
      </w:r>
      <w:r>
        <w:drawing>
          <wp:inline distT="0" distB="0" distL="114300" distR="114300">
            <wp:extent cx="5792470" cy="8195310"/>
            <wp:effectExtent l="0" t="0" r="8255" b="5715"/>
            <wp:docPr id="63" name="图片 63" descr="花垣吾道环保科技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花垣吾道环保科技有限公司_05"/>
                    <pic:cNvPicPr>
                      <a:picLocks noChangeAspect="1"/>
                    </pic:cNvPicPr>
                  </pic:nvPicPr>
                  <pic:blipFill>
                    <a:blip r:embed="rId63"/>
                    <a:stretch>
                      <a:fillRect/>
                    </a:stretch>
                  </pic:blipFill>
                  <pic:spPr>
                    <a:xfrm>
                      <a:off x="0" y="0"/>
                      <a:ext cx="5792470" cy="8195310"/>
                    </a:xfrm>
                    <a:prstGeom prst="rect">
                      <a:avLst/>
                    </a:prstGeom>
                  </pic:spPr>
                </pic:pic>
              </a:graphicData>
            </a:graphic>
          </wp:inline>
        </w:drawing>
      </w:r>
      <w:r>
        <w:br w:type="page"/>
      </w:r>
    </w:p>
    <w:p>
      <w:pPr>
        <w:pStyle w:val="3"/>
        <w:bidi w:val="0"/>
        <w:rPr>
          <w:rFonts w:hint="eastAsia"/>
          <w:lang w:val="en-US" w:eastAsia="zh-CN"/>
        </w:rPr>
      </w:pPr>
      <w:bookmarkStart w:id="107" w:name="_Toc24757"/>
      <w:bookmarkStart w:id="108" w:name="_Toc32281"/>
      <w:r>
        <w:rPr>
          <w:rFonts w:hint="eastAsia"/>
          <w:lang w:val="en-US" w:eastAsia="zh-CN"/>
        </w:rPr>
        <w:t>附图</w:t>
      </w:r>
      <w:bookmarkEnd w:id="107"/>
      <w:bookmarkEnd w:id="108"/>
    </w:p>
    <w:p>
      <w:pPr>
        <w:pStyle w:val="5"/>
        <w:bidi w:val="0"/>
        <w:rPr>
          <w:rFonts w:hint="eastAsia"/>
          <w:lang w:val="en-US" w:eastAsia="zh-CN"/>
        </w:rPr>
      </w:pPr>
      <w:bookmarkStart w:id="109" w:name="_Toc3889"/>
      <w:bookmarkStart w:id="110" w:name="_Toc26570"/>
      <w:r>
        <w:rPr>
          <w:rFonts w:hint="eastAsia"/>
          <w:lang w:val="en-US" w:eastAsia="zh-CN"/>
        </w:rPr>
        <w:t>附图1 项目地理位置图</w:t>
      </w:r>
      <w:bookmarkEnd w:id="109"/>
      <w:bookmarkEnd w:id="110"/>
    </w:p>
    <w:p>
      <w:pPr>
        <w:bidi w:val="0"/>
        <w:ind w:left="998" w:leftChars="0" w:hanging="998" w:hangingChars="416"/>
      </w:pPr>
      <w:r>
        <w:drawing>
          <wp:inline distT="0" distB="0" distL="114300" distR="114300">
            <wp:extent cx="5734685" cy="5180330"/>
            <wp:effectExtent l="0" t="0" r="8890" b="1270"/>
            <wp:docPr id="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1"/>
                    <pic:cNvPicPr>
                      <a:picLocks noChangeAspect="1"/>
                    </pic:cNvPicPr>
                  </pic:nvPicPr>
                  <pic:blipFill>
                    <a:blip r:embed="rId64"/>
                    <a:stretch>
                      <a:fillRect/>
                    </a:stretch>
                  </pic:blipFill>
                  <pic:spPr>
                    <a:xfrm>
                      <a:off x="0" y="0"/>
                      <a:ext cx="5734685" cy="5180330"/>
                    </a:xfrm>
                    <a:prstGeom prst="rect">
                      <a:avLst/>
                    </a:prstGeom>
                    <a:noFill/>
                    <a:ln>
                      <a:noFill/>
                    </a:ln>
                  </pic:spPr>
                </pic:pic>
              </a:graphicData>
            </a:graphic>
          </wp:inline>
        </w:drawing>
      </w:r>
      <w:r>
        <w:br w:type="page"/>
      </w:r>
    </w:p>
    <w:p>
      <w:pPr>
        <w:pStyle w:val="5"/>
        <w:bidi w:val="0"/>
        <w:rPr>
          <w:rFonts w:hint="eastAsia"/>
          <w:lang w:val="en-US" w:eastAsia="zh-CN"/>
        </w:rPr>
      </w:pPr>
      <w:bookmarkStart w:id="111" w:name="_Toc30433"/>
      <w:bookmarkStart w:id="112" w:name="_Toc28853"/>
      <w:r>
        <w:rPr>
          <w:rFonts w:hint="eastAsia"/>
          <w:lang w:val="en-US" w:eastAsia="zh-CN"/>
        </w:rPr>
        <w:t>附图2 平面布置图</w:t>
      </w:r>
      <w:bookmarkEnd w:id="111"/>
      <w:bookmarkEnd w:id="112"/>
    </w:p>
    <w:p>
      <w:pPr>
        <w:bidi w:val="0"/>
      </w:pPr>
      <w:r>
        <w:drawing>
          <wp:inline distT="0" distB="0" distL="114300" distR="114300">
            <wp:extent cx="5362575" cy="4672330"/>
            <wp:effectExtent l="12700" t="12700" r="15875" b="2032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65"/>
                    <a:stretch>
                      <a:fillRect/>
                    </a:stretch>
                  </pic:blipFill>
                  <pic:spPr>
                    <a:xfrm>
                      <a:off x="0" y="0"/>
                      <a:ext cx="5362575" cy="4672330"/>
                    </a:xfrm>
                    <a:prstGeom prst="rect">
                      <a:avLst/>
                    </a:prstGeom>
                    <a:noFill/>
                    <a:ln w="12700" cmpd="sng">
                      <a:solidFill>
                        <a:schemeClr val="tx1"/>
                      </a:solidFill>
                      <a:prstDash val="solid"/>
                    </a:ln>
                  </pic:spPr>
                </pic:pic>
              </a:graphicData>
            </a:graphic>
          </wp:inline>
        </w:drawing>
      </w:r>
      <w:r>
        <w:br w:type="page"/>
      </w:r>
    </w:p>
    <w:p>
      <w:pPr>
        <w:bidi w:val="0"/>
        <w:sectPr>
          <w:pgSz w:w="11906" w:h="16838"/>
          <w:pgMar w:top="1440" w:right="976"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5"/>
        <w:bidi w:val="0"/>
        <w:rPr>
          <w:rFonts w:hint="eastAsia"/>
          <w:lang w:val="en-US" w:eastAsia="zh-CN"/>
        </w:rPr>
      </w:pPr>
      <w:bookmarkStart w:id="113" w:name="_Toc14731"/>
      <w:bookmarkStart w:id="114" w:name="_Toc25264"/>
      <w:r>
        <w:rPr>
          <w:rFonts w:hint="eastAsia"/>
          <w:lang w:val="en-US" w:eastAsia="zh-CN"/>
        </w:rPr>
        <w:t>附图3 花垣县总体规划图</w:t>
      </w:r>
      <w:bookmarkEnd w:id="113"/>
      <w:bookmarkEnd w:id="114"/>
    </w:p>
    <w:p>
      <w:pPr>
        <w:bidi w:val="0"/>
        <w:jc w:val="center"/>
        <w:sectPr>
          <w:pgSz w:w="16838" w:h="11906" w:orient="landscape"/>
          <w:pgMar w:top="1800" w:right="1440" w:bottom="97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024495" cy="5142865"/>
            <wp:effectExtent l="0" t="0" r="5080" b="635"/>
            <wp:docPr id="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
                    <pic:cNvPicPr>
                      <a:picLocks noChangeAspect="1"/>
                    </pic:cNvPicPr>
                  </pic:nvPicPr>
                  <pic:blipFill>
                    <a:blip r:embed="rId66"/>
                    <a:stretch>
                      <a:fillRect/>
                    </a:stretch>
                  </pic:blipFill>
                  <pic:spPr>
                    <a:xfrm>
                      <a:off x="0" y="0"/>
                      <a:ext cx="8024495" cy="5142865"/>
                    </a:xfrm>
                    <a:prstGeom prst="rect">
                      <a:avLst/>
                    </a:prstGeom>
                    <a:noFill/>
                    <a:ln>
                      <a:noFill/>
                    </a:ln>
                  </pic:spPr>
                </pic:pic>
              </a:graphicData>
            </a:graphic>
          </wp:inline>
        </w:drawing>
      </w:r>
    </w:p>
    <w:p>
      <w:pPr>
        <w:spacing w:line="1000" w:lineRule="exact"/>
        <w:rPr>
          <w:b/>
          <w:sz w:val="52"/>
          <w:szCs w:val="52"/>
        </w:rPr>
      </w:pPr>
    </w:p>
    <w:p>
      <w:pPr>
        <w:pStyle w:val="2"/>
        <w:keepNext/>
        <w:keepLines/>
        <w:pageBreakBefore w:val="0"/>
        <w:widowControl w:val="0"/>
        <w:kinsoku/>
        <w:wordWrap/>
        <w:overflowPunct/>
        <w:topLinePunct w:val="0"/>
        <w:autoSpaceDE w:val="0"/>
        <w:autoSpaceDN w:val="0"/>
        <w:bidi w:val="0"/>
        <w:adjustRightInd/>
        <w:snapToGrid/>
        <w:spacing w:before="0" w:after="0" w:line="240" w:lineRule="auto"/>
        <w:ind w:left="40" w:right="40"/>
        <w:jc w:val="center"/>
        <w:textAlignment w:val="auto"/>
        <w:rPr>
          <w:rFonts w:hint="default"/>
          <w:sz w:val="52"/>
          <w:szCs w:val="32"/>
        </w:rPr>
      </w:pPr>
      <w:bookmarkStart w:id="115" w:name="_Toc25706"/>
      <w:bookmarkStart w:id="116" w:name="_Toc28892"/>
      <w:r>
        <w:rPr>
          <w:rFonts w:hint="default"/>
          <w:sz w:val="52"/>
          <w:szCs w:val="32"/>
        </w:rPr>
        <w:t>花垣吾道环保科技有限公司30万吨/年</w:t>
      </w:r>
      <w:bookmarkEnd w:id="115"/>
      <w:bookmarkEnd w:id="116"/>
    </w:p>
    <w:p>
      <w:pPr>
        <w:pStyle w:val="2"/>
        <w:keepNext/>
        <w:keepLines/>
        <w:pageBreakBefore w:val="0"/>
        <w:widowControl w:val="0"/>
        <w:kinsoku/>
        <w:wordWrap/>
        <w:overflowPunct/>
        <w:topLinePunct w:val="0"/>
        <w:autoSpaceDE w:val="0"/>
        <w:autoSpaceDN w:val="0"/>
        <w:bidi w:val="0"/>
        <w:adjustRightInd/>
        <w:snapToGrid/>
        <w:spacing w:before="0" w:after="0" w:line="240" w:lineRule="auto"/>
        <w:ind w:left="40" w:right="40"/>
        <w:jc w:val="center"/>
        <w:textAlignment w:val="auto"/>
        <w:rPr>
          <w:rFonts w:hint="default"/>
          <w:sz w:val="52"/>
          <w:szCs w:val="32"/>
        </w:rPr>
      </w:pPr>
      <w:bookmarkStart w:id="117" w:name="_Toc807"/>
      <w:bookmarkStart w:id="118" w:name="_Toc25327"/>
      <w:r>
        <w:rPr>
          <w:rFonts w:hint="default"/>
          <w:sz w:val="52"/>
          <w:szCs w:val="32"/>
        </w:rPr>
        <w:t>锰渣无害化及综合利用项目</w:t>
      </w:r>
      <w:bookmarkEnd w:id="117"/>
      <w:bookmarkEnd w:id="118"/>
    </w:p>
    <w:p>
      <w:pPr>
        <w:pStyle w:val="2"/>
        <w:keepNext/>
        <w:keepLines/>
        <w:pageBreakBefore w:val="0"/>
        <w:widowControl w:val="0"/>
        <w:kinsoku/>
        <w:wordWrap/>
        <w:overflowPunct/>
        <w:topLinePunct w:val="0"/>
        <w:autoSpaceDE w:val="0"/>
        <w:autoSpaceDN w:val="0"/>
        <w:bidi w:val="0"/>
        <w:adjustRightInd/>
        <w:snapToGrid/>
        <w:spacing w:before="0" w:after="0" w:line="240" w:lineRule="auto"/>
        <w:ind w:left="40" w:right="40"/>
        <w:jc w:val="center"/>
        <w:textAlignment w:val="auto"/>
        <w:rPr>
          <w:sz w:val="52"/>
          <w:szCs w:val="32"/>
        </w:rPr>
      </w:pPr>
      <w:bookmarkStart w:id="119" w:name="_Toc7200"/>
      <w:bookmarkStart w:id="120" w:name="_Toc8471"/>
      <w:r>
        <w:rPr>
          <w:sz w:val="52"/>
          <w:szCs w:val="32"/>
        </w:rPr>
        <w:t>环境风险专项评价</w:t>
      </w:r>
      <w:bookmarkEnd w:id="119"/>
      <w:bookmarkEnd w:id="120"/>
    </w:p>
    <w:p>
      <w:pPr>
        <w:widowControl/>
        <w:jc w:val="center"/>
        <w:rPr>
          <w:b/>
          <w:bCs/>
          <w:color w:val="000000"/>
          <w:kern w:val="0"/>
          <w:sz w:val="32"/>
          <w:szCs w:val="32"/>
        </w:rPr>
      </w:pPr>
    </w:p>
    <w:p>
      <w:pPr>
        <w:widowControl/>
        <w:jc w:val="center"/>
        <w:rPr>
          <w:b/>
          <w:bCs/>
          <w:color w:val="000000"/>
          <w:kern w:val="0"/>
          <w:sz w:val="32"/>
          <w:szCs w:val="32"/>
        </w:rPr>
      </w:pPr>
    </w:p>
    <w:p>
      <w:pPr>
        <w:widowControl/>
        <w:jc w:val="center"/>
        <w:rPr>
          <w:b/>
          <w:bCs/>
          <w:color w:val="000000"/>
          <w:kern w:val="0"/>
          <w:sz w:val="32"/>
          <w:szCs w:val="32"/>
        </w:rPr>
      </w:pPr>
    </w:p>
    <w:p>
      <w:pPr>
        <w:widowControl/>
        <w:jc w:val="center"/>
        <w:rPr>
          <w:b/>
          <w:bCs/>
          <w:color w:val="000000"/>
          <w:kern w:val="0"/>
          <w:sz w:val="32"/>
          <w:szCs w:val="32"/>
        </w:rPr>
      </w:pPr>
    </w:p>
    <w:p>
      <w:pPr>
        <w:widowControl/>
        <w:jc w:val="center"/>
        <w:rPr>
          <w:b/>
          <w:bCs/>
          <w:color w:val="000000"/>
          <w:kern w:val="0"/>
          <w:sz w:val="32"/>
          <w:szCs w:val="32"/>
        </w:rPr>
      </w:pPr>
    </w:p>
    <w:p>
      <w:pPr>
        <w:widowControl/>
        <w:jc w:val="center"/>
        <w:rPr>
          <w:b/>
          <w:bCs/>
          <w:color w:val="000000"/>
          <w:kern w:val="0"/>
          <w:sz w:val="32"/>
          <w:szCs w:val="32"/>
        </w:rPr>
      </w:pPr>
    </w:p>
    <w:p>
      <w:pPr>
        <w:widowControl/>
        <w:jc w:val="center"/>
        <w:rPr>
          <w:b/>
          <w:bCs/>
          <w:color w:val="000000"/>
          <w:kern w:val="0"/>
          <w:sz w:val="32"/>
          <w:szCs w:val="32"/>
        </w:rPr>
      </w:pPr>
    </w:p>
    <w:p>
      <w:pPr>
        <w:widowControl/>
        <w:jc w:val="center"/>
        <w:rPr>
          <w:b/>
          <w:bCs/>
          <w:color w:val="000000"/>
          <w:kern w:val="0"/>
          <w:sz w:val="32"/>
          <w:szCs w:val="32"/>
        </w:rPr>
      </w:pPr>
    </w:p>
    <w:p>
      <w:pPr>
        <w:bidi w:val="0"/>
      </w:pPr>
    </w:p>
    <w:p>
      <w:pPr>
        <w:widowControl/>
        <w:jc w:val="center"/>
        <w:rPr>
          <w:b/>
          <w:bCs/>
          <w:color w:val="000000"/>
          <w:kern w:val="0"/>
          <w:sz w:val="32"/>
          <w:szCs w:val="32"/>
        </w:rPr>
      </w:pPr>
    </w:p>
    <w:p>
      <w:pPr>
        <w:widowControl/>
        <w:jc w:val="center"/>
        <w:rPr>
          <w:b/>
          <w:bCs/>
          <w:color w:val="000000"/>
          <w:kern w:val="0"/>
          <w:sz w:val="32"/>
          <w:szCs w:val="32"/>
        </w:rPr>
      </w:pPr>
    </w:p>
    <w:p>
      <w:pPr>
        <w:widowControl/>
        <w:jc w:val="center"/>
        <w:rPr>
          <w:rFonts w:hint="eastAsia" w:ascii="Times New Roman" w:hAnsi="Times New Roman" w:eastAsia="宋体" w:cs="Times New Roman"/>
          <w:b/>
          <w:bCs/>
          <w:color w:val="000000"/>
          <w:kern w:val="0"/>
          <w:sz w:val="32"/>
          <w:szCs w:val="32"/>
          <w:lang w:val="en-US" w:eastAsia="zh-CN"/>
        </w:rPr>
      </w:pPr>
      <w:r>
        <w:rPr>
          <w:b/>
          <w:bCs/>
          <w:color w:val="000000"/>
          <w:kern w:val="0"/>
          <w:sz w:val="32"/>
          <w:szCs w:val="32"/>
        </w:rPr>
        <w:t>建设单位：</w:t>
      </w:r>
      <w:r>
        <w:rPr>
          <w:rFonts w:hint="eastAsia" w:ascii="Times New Roman" w:hAnsi="Times New Roman" w:eastAsia="宋体" w:cs="Times New Roman"/>
          <w:b/>
          <w:bCs/>
          <w:color w:val="000000"/>
          <w:kern w:val="0"/>
          <w:sz w:val="32"/>
          <w:szCs w:val="32"/>
          <w:lang w:val="en-US" w:eastAsia="zh-CN"/>
        </w:rPr>
        <w:t>花垣吾道环保科技有限公司</w:t>
      </w:r>
    </w:p>
    <w:p>
      <w:pPr>
        <w:widowControl/>
        <w:jc w:val="center"/>
        <w:rPr>
          <w:rFonts w:ascii="Times New Roman" w:hAnsi="Times New Roman" w:eastAsia="宋体" w:cs="Times New Roman"/>
          <w:b/>
          <w:bCs/>
          <w:color w:val="000000"/>
          <w:kern w:val="0"/>
          <w:sz w:val="32"/>
          <w:szCs w:val="32"/>
        </w:rPr>
      </w:pPr>
      <w:r>
        <w:rPr>
          <w:rFonts w:ascii="Times New Roman" w:hAnsi="Times New Roman" w:eastAsia="宋体" w:cs="Times New Roman"/>
          <w:b/>
          <w:bCs/>
          <w:color w:val="000000"/>
          <w:kern w:val="0"/>
          <w:sz w:val="32"/>
          <w:szCs w:val="32"/>
        </w:rPr>
        <w:t>评价单位：</w:t>
      </w:r>
      <w:r>
        <w:rPr>
          <w:rFonts w:hint="default" w:ascii="Times New Roman" w:hAnsi="Times New Roman" w:eastAsia="宋体" w:cs="Times New Roman"/>
          <w:b/>
          <w:bCs/>
          <w:color w:val="000000"/>
          <w:kern w:val="0"/>
          <w:sz w:val="32"/>
          <w:szCs w:val="32"/>
          <w:lang w:val="en-US" w:eastAsia="zh-CN"/>
        </w:rPr>
        <w:t>湖南有色金属研究院有限责任公司</w:t>
      </w:r>
    </w:p>
    <w:p>
      <w:pPr>
        <w:numPr>
          <w:ilvl w:val="0"/>
          <w:numId w:val="0"/>
        </w:numPr>
        <w:ind w:left="40" w:leftChars="0" w:right="40" w:rightChars="0"/>
        <w:jc w:val="center"/>
        <w:rPr>
          <w:b/>
          <w:bCs/>
          <w:color w:val="000000"/>
          <w:kern w:val="0"/>
          <w:sz w:val="32"/>
          <w:szCs w:val="32"/>
        </w:rPr>
      </w:pPr>
      <w:r>
        <w:rPr>
          <w:b/>
          <w:bCs/>
          <w:color w:val="000000"/>
          <w:kern w:val="0"/>
          <w:sz w:val="32"/>
          <w:szCs w:val="32"/>
        </w:rPr>
        <w:t>202</w:t>
      </w:r>
      <w:r>
        <w:rPr>
          <w:rFonts w:hint="eastAsia"/>
          <w:b/>
          <w:bCs/>
          <w:color w:val="000000"/>
          <w:kern w:val="0"/>
          <w:sz w:val="32"/>
          <w:szCs w:val="32"/>
          <w:lang w:val="en-US" w:eastAsia="zh-CN"/>
        </w:rPr>
        <w:t>3</w:t>
      </w:r>
      <w:r>
        <w:rPr>
          <w:b/>
          <w:bCs/>
          <w:color w:val="000000"/>
          <w:kern w:val="0"/>
          <w:sz w:val="32"/>
          <w:szCs w:val="32"/>
        </w:rPr>
        <w:t xml:space="preserve"> 年 </w:t>
      </w:r>
      <w:r>
        <w:rPr>
          <w:rFonts w:hint="eastAsia"/>
          <w:b/>
          <w:bCs/>
          <w:color w:val="000000"/>
          <w:kern w:val="0"/>
          <w:sz w:val="32"/>
          <w:szCs w:val="32"/>
          <w:lang w:val="en-US" w:eastAsia="zh-CN"/>
        </w:rPr>
        <w:t xml:space="preserve">12 </w:t>
      </w:r>
      <w:r>
        <w:rPr>
          <w:b/>
          <w:bCs/>
          <w:color w:val="000000"/>
          <w:kern w:val="0"/>
          <w:sz w:val="32"/>
          <w:szCs w:val="32"/>
        </w:rPr>
        <w:t>月</w:t>
      </w:r>
    </w:p>
    <w:p>
      <w:pPr>
        <w:rPr>
          <w:b/>
          <w:bCs/>
          <w:color w:val="000000"/>
          <w:kern w:val="0"/>
          <w:sz w:val="32"/>
          <w:szCs w:val="32"/>
        </w:rPr>
      </w:pPr>
      <w:r>
        <w:rPr>
          <w:b/>
          <w:bCs/>
          <w:color w:val="000000"/>
          <w:kern w:val="0"/>
          <w:sz w:val="32"/>
          <w:szCs w:val="32"/>
        </w:rPr>
        <w:br w:type="page"/>
      </w:r>
    </w:p>
    <w:p>
      <w:pPr>
        <w:pStyle w:val="3"/>
        <w:bidi w:val="0"/>
        <w:jc w:val="center"/>
      </w:pPr>
      <w:bookmarkStart w:id="121" w:name="_Toc21184"/>
      <w:bookmarkStart w:id="122" w:name="_Toc4160"/>
      <w:bookmarkStart w:id="123" w:name="_Toc120544883"/>
      <w:r>
        <w:t>1</w:t>
      </w:r>
      <w:r>
        <w:rPr>
          <w:rFonts w:hint="eastAsia"/>
          <w:lang w:val="en-US" w:eastAsia="zh-CN"/>
        </w:rPr>
        <w:t xml:space="preserve"> </w:t>
      </w:r>
      <w:r>
        <w:t>环境风险评价概述</w:t>
      </w:r>
      <w:bookmarkEnd w:id="121"/>
      <w:bookmarkEnd w:id="122"/>
      <w:bookmarkEnd w:id="123"/>
    </w:p>
    <w:p>
      <w:pPr>
        <w:pStyle w:val="4"/>
        <w:bidi w:val="0"/>
        <w:rPr>
          <w:rFonts w:hint="eastAsia"/>
        </w:rPr>
      </w:pPr>
      <w:bookmarkStart w:id="124" w:name="_Toc391"/>
      <w:bookmarkStart w:id="125" w:name="_Toc120544884"/>
      <w:bookmarkStart w:id="126" w:name="_Toc5876"/>
      <w:r>
        <w:t>1.1</w:t>
      </w:r>
      <w:r>
        <w:rPr>
          <w:rFonts w:hint="eastAsia"/>
          <w:lang w:val="en-US" w:eastAsia="zh-CN"/>
        </w:rPr>
        <w:t xml:space="preserve"> </w:t>
      </w:r>
      <w:r>
        <w:t>评价原则</w:t>
      </w:r>
      <w:bookmarkEnd w:id="124"/>
      <w:bookmarkEnd w:id="125"/>
      <w:bookmarkEnd w:id="126"/>
    </w:p>
    <w:p>
      <w:pPr>
        <w:pStyle w:val="19"/>
        <w:bidi w:val="0"/>
      </w:pPr>
      <w:r>
        <w:t>环境风险评价是以突发性事故导致的危险物质环境急性损害防控为目标，对建设项目的环境风险进行分析、预测和评估，提出环境风险预防、控制、减缓措施，明确环境风险监控及应急建议要求，为建设项目环境风险防控提供科学依据。根据《建设项目环境风险评价技术导则》(HJ169-2018)，环境风险评价基本内容包括风险调查、环境风险潜势初判、风险识别、风险事故情形分析、风险预测与评价、环境风险管理等。</w:t>
      </w:r>
    </w:p>
    <w:p>
      <w:pPr>
        <w:pStyle w:val="4"/>
        <w:bidi w:val="0"/>
        <w:rPr>
          <w:rFonts w:hint="eastAsia"/>
        </w:rPr>
      </w:pPr>
      <w:bookmarkStart w:id="127" w:name="_Toc25698"/>
      <w:bookmarkStart w:id="128" w:name="_Toc9740"/>
      <w:bookmarkStart w:id="129" w:name="_Toc120544885"/>
      <w:r>
        <w:t>1.2</w:t>
      </w:r>
      <w:r>
        <w:rPr>
          <w:rFonts w:hint="eastAsia"/>
          <w:lang w:val="en-US" w:eastAsia="zh-CN"/>
        </w:rPr>
        <w:t xml:space="preserve"> </w:t>
      </w:r>
      <w:r>
        <w:t>编制依据</w:t>
      </w:r>
      <w:bookmarkEnd w:id="127"/>
      <w:bookmarkEnd w:id="128"/>
      <w:bookmarkEnd w:id="129"/>
    </w:p>
    <w:p>
      <w:pPr>
        <w:pStyle w:val="19"/>
        <w:bidi w:val="0"/>
      </w:pPr>
      <w:r>
        <w:t>（1）《中华人民共和国环境影响评价法》（2018年12月29日修订）；</w:t>
      </w:r>
    </w:p>
    <w:p>
      <w:pPr>
        <w:pStyle w:val="19"/>
        <w:bidi w:val="0"/>
      </w:pPr>
      <w:r>
        <w:t>（2）《中华人民共和国水污染防治法》（中华人民共和国主席令第70号）2018年1月1日起实施；</w:t>
      </w:r>
    </w:p>
    <w:p>
      <w:pPr>
        <w:pStyle w:val="19"/>
        <w:bidi w:val="0"/>
      </w:pPr>
      <w:r>
        <w:t>（3）</w:t>
      </w:r>
      <w:r>
        <w:rPr>
          <w:rFonts w:hint="eastAsia"/>
        </w:rPr>
        <w:t>《中华人民共和国大气污染防治法》2018 年修正，2018 年 10 月 26 日起施行；</w:t>
      </w:r>
    </w:p>
    <w:p>
      <w:pPr>
        <w:pStyle w:val="19"/>
        <w:bidi w:val="0"/>
      </w:pPr>
      <w:r>
        <w:t>（4）《中华人民共和国固体废物污染环境保护法》（2020年修订）</w:t>
      </w:r>
      <w:r>
        <w:rPr>
          <w:rFonts w:hint="eastAsia"/>
        </w:rPr>
        <w:t>，2020 年 9 月 1 日 起施行</w:t>
      </w:r>
      <w:r>
        <w:t>；</w:t>
      </w:r>
    </w:p>
    <w:p>
      <w:pPr>
        <w:pStyle w:val="19"/>
        <w:bidi w:val="0"/>
      </w:pPr>
      <w:r>
        <w:t>（5）《突发环境事件应急管理办法》（环保部34号令）；</w:t>
      </w:r>
    </w:p>
    <w:p>
      <w:pPr>
        <w:pStyle w:val="19"/>
        <w:bidi w:val="0"/>
      </w:pPr>
      <w:r>
        <w:t>（6）</w:t>
      </w:r>
      <w:r>
        <w:rPr>
          <w:rFonts w:hint="eastAsia"/>
        </w:rPr>
        <w:t>《国家突发环境事件应急预案》（国办函[2014]119 号）</w:t>
      </w:r>
      <w:r>
        <w:t>；</w:t>
      </w:r>
    </w:p>
    <w:p>
      <w:pPr>
        <w:pStyle w:val="19"/>
        <w:bidi w:val="0"/>
      </w:pPr>
      <w:r>
        <w:rPr>
          <w:rFonts w:hint="eastAsia"/>
        </w:rPr>
        <w:t xml:space="preserve">（7）《突发环境事件应急管理办法》（环保部令第 </w:t>
      </w:r>
      <w:r>
        <w:t xml:space="preserve">34 </w:t>
      </w:r>
      <w:r>
        <w:rPr>
          <w:rFonts w:hint="eastAsia"/>
        </w:rPr>
        <w:t>号），</w:t>
      </w:r>
      <w:r>
        <w:t xml:space="preserve">2015 </w:t>
      </w:r>
      <w:r>
        <w:rPr>
          <w:rFonts w:hint="eastAsia"/>
        </w:rPr>
        <w:t xml:space="preserve">年 </w:t>
      </w:r>
      <w:r>
        <w:t xml:space="preserve">6 </w:t>
      </w:r>
      <w:r>
        <w:rPr>
          <w:rFonts w:hint="eastAsia"/>
        </w:rPr>
        <w:t xml:space="preserve">月 </w:t>
      </w:r>
      <w:r>
        <w:t xml:space="preserve">5 </w:t>
      </w:r>
      <w:r>
        <w:rPr>
          <w:rFonts w:hint="eastAsia"/>
        </w:rPr>
        <w:t>日起施行；</w:t>
      </w:r>
    </w:p>
    <w:p>
      <w:pPr>
        <w:pStyle w:val="19"/>
        <w:bidi w:val="0"/>
      </w:pPr>
      <w:r>
        <w:rPr>
          <w:rFonts w:hint="eastAsia"/>
        </w:rPr>
        <w:t>（</w:t>
      </w:r>
      <w:r>
        <w:t>8</w:t>
      </w:r>
      <w:r>
        <w:rPr>
          <w:rFonts w:hint="eastAsia"/>
        </w:rPr>
        <w:t xml:space="preserve">）《突发环境事件信息报告方法》（环保部令第 </w:t>
      </w:r>
      <w:r>
        <w:t xml:space="preserve">17 </w:t>
      </w:r>
      <w:r>
        <w:rPr>
          <w:rFonts w:hint="eastAsia"/>
        </w:rPr>
        <w:t>号），</w:t>
      </w:r>
      <w:r>
        <w:t xml:space="preserve">2011 </w:t>
      </w:r>
      <w:r>
        <w:rPr>
          <w:rFonts w:hint="eastAsia"/>
        </w:rPr>
        <w:t xml:space="preserve">年 </w:t>
      </w:r>
      <w:r>
        <w:t xml:space="preserve">5 </w:t>
      </w:r>
      <w:r>
        <w:rPr>
          <w:rFonts w:hint="eastAsia"/>
        </w:rPr>
        <w:t xml:space="preserve">月 </w:t>
      </w:r>
      <w:r>
        <w:t xml:space="preserve">1 </w:t>
      </w:r>
      <w:r>
        <w:rPr>
          <w:rFonts w:hint="eastAsia"/>
        </w:rPr>
        <w:t>日起施行；</w:t>
      </w:r>
    </w:p>
    <w:p>
      <w:pPr>
        <w:pStyle w:val="19"/>
        <w:bidi w:val="0"/>
      </w:pPr>
      <w:r>
        <w:t>（9）《危险化学品安全管理条例》</w:t>
      </w:r>
      <w:r>
        <w:rPr>
          <w:rFonts w:hint="eastAsia"/>
        </w:rPr>
        <w:t>（2013 年修订本）</w:t>
      </w:r>
      <w:r>
        <w:t>；</w:t>
      </w:r>
    </w:p>
    <w:p>
      <w:pPr>
        <w:pStyle w:val="19"/>
        <w:bidi w:val="0"/>
      </w:pPr>
      <w:r>
        <w:t>（10）《国家危险废物名录》（2021年版）；</w:t>
      </w:r>
    </w:p>
    <w:p>
      <w:pPr>
        <w:pStyle w:val="19"/>
        <w:bidi w:val="0"/>
      </w:pPr>
      <w:r>
        <w:t>（11）湖南省环境保护厅关于印发《湖南省突发环境事件应急预案》（湘政办发〔2018〕2号）的通知；</w:t>
      </w:r>
    </w:p>
    <w:p>
      <w:pPr>
        <w:pStyle w:val="19"/>
        <w:bidi w:val="0"/>
      </w:pPr>
      <w:r>
        <w:t>（12）《关于印发&lt;湖南省突发环境事件应急预案管理办法&gt;的通知》（湘环发〔2013〕20号）；</w:t>
      </w:r>
    </w:p>
    <w:p>
      <w:pPr>
        <w:pStyle w:val="19"/>
        <w:bidi w:val="0"/>
      </w:pPr>
      <w:r>
        <w:t>（13）《关于开展企业突发环境事件应急预案管理工作的通知》（湘环函〔2013〕593号）；</w:t>
      </w:r>
    </w:p>
    <w:p>
      <w:pPr>
        <w:pStyle w:val="19"/>
        <w:bidi w:val="0"/>
      </w:pPr>
      <w:r>
        <w:t>（14）《湖南省环保厅关于进一步加强突发环境事件应急预案管理工作的通知》（湘环函〔2017〕107号）；</w:t>
      </w:r>
    </w:p>
    <w:p>
      <w:pPr>
        <w:pStyle w:val="19"/>
        <w:bidi w:val="0"/>
      </w:pPr>
      <w:r>
        <w:t>（15）《建设项目环境风险评价技术导则》（HJ169-2018）；</w:t>
      </w:r>
    </w:p>
    <w:p>
      <w:pPr>
        <w:pStyle w:val="19"/>
        <w:bidi w:val="0"/>
      </w:pPr>
      <w:r>
        <w:t>（1</w:t>
      </w:r>
      <w:r>
        <w:rPr>
          <w:rFonts w:hint="eastAsia"/>
          <w:lang w:val="en-US" w:eastAsia="zh-CN"/>
        </w:rPr>
        <w:t>6</w:t>
      </w:r>
      <w:r>
        <w:t>）《建设项目环境影响报告表编制指南（污染影响类）》（试行）。</w:t>
      </w:r>
    </w:p>
    <w:p>
      <w:pPr>
        <w:pStyle w:val="4"/>
        <w:bidi w:val="0"/>
        <w:rPr>
          <w:rFonts w:hint="eastAsia"/>
        </w:rPr>
      </w:pPr>
      <w:bookmarkStart w:id="130" w:name="_Toc27099"/>
      <w:bookmarkStart w:id="131" w:name="_Toc120544886"/>
      <w:bookmarkStart w:id="132" w:name="_Toc32496"/>
      <w:r>
        <w:t>1.3 评价原则</w:t>
      </w:r>
      <w:bookmarkEnd w:id="130"/>
      <w:bookmarkEnd w:id="131"/>
      <w:bookmarkEnd w:id="132"/>
    </w:p>
    <w:p>
      <w:pPr>
        <w:pStyle w:val="19"/>
        <w:bidi w:val="0"/>
      </w:pPr>
      <w:r>
        <w:t>根据《建设项目环境风险评价技术导则》（HJ169-2018），建设项目实施后环境风险评价的基本内容包括：风险调查、环境风险潜势初判、风险识别、风险事故情形分析、风险预测与评价、环境风险管理等，其具体如下：</w:t>
      </w:r>
    </w:p>
    <w:p>
      <w:pPr>
        <w:pStyle w:val="19"/>
        <w:bidi w:val="0"/>
      </w:pPr>
      <w:r>
        <w:t>（1）项目风险调查：在分析建设项目物质及工艺系统危险性和环境敏感性的基础下，进行风险潜势的判断，确定风险评价等级。</w:t>
      </w:r>
    </w:p>
    <w:p>
      <w:pPr>
        <w:pStyle w:val="19"/>
        <w:bidi w:val="0"/>
      </w:pPr>
      <w:r>
        <w:t>（2）项目风险识别及风险事故情形分析：明确危险物质在生产系统中的主要分布，筛选具有代表性的风险事故情形，合理设定事故源项。</w:t>
      </w:r>
    </w:p>
    <w:p>
      <w:pPr>
        <w:pStyle w:val="19"/>
        <w:bidi w:val="0"/>
      </w:pPr>
      <w:r>
        <w:t>（3）开展预测评价：各环境要素按确定的评价工作等级分别预测评价，并分析说明环境风险危害范围与程度，提出环境风险防范的基本要求。</w:t>
      </w:r>
    </w:p>
    <w:p>
      <w:pPr>
        <w:pStyle w:val="19"/>
        <w:bidi w:val="0"/>
      </w:pPr>
      <w:r>
        <w:t>（4）提出环境风险管理对策：明确环境风险防范措施及突发环境事件应急预案编制要求。</w:t>
      </w:r>
    </w:p>
    <w:p>
      <w:pPr>
        <w:pStyle w:val="19"/>
        <w:bidi w:val="0"/>
      </w:pPr>
      <w:r>
        <w:t>（5）综合环境风险评价过程，给出评价结论与建议。</w:t>
      </w:r>
    </w:p>
    <w:p>
      <w:pPr>
        <w:pStyle w:val="19"/>
        <w:bidi w:val="0"/>
      </w:pPr>
      <w:r>
        <w:t>（6）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pStyle w:val="4"/>
        <w:bidi w:val="0"/>
        <w:rPr>
          <w:rFonts w:hint="eastAsia"/>
        </w:rPr>
      </w:pPr>
      <w:bookmarkStart w:id="133" w:name="_Toc28758"/>
      <w:bookmarkStart w:id="134" w:name="_Toc32412"/>
      <w:bookmarkStart w:id="135" w:name="_Toc120544887"/>
      <w:r>
        <w:t>1.4</w:t>
      </w:r>
      <w:r>
        <w:rPr>
          <w:rFonts w:hint="eastAsia"/>
          <w:lang w:val="en-US" w:eastAsia="zh-CN"/>
        </w:rPr>
        <w:t xml:space="preserve"> </w:t>
      </w:r>
      <w:r>
        <w:t>评价程序</w:t>
      </w:r>
      <w:bookmarkEnd w:id="133"/>
      <w:bookmarkEnd w:id="134"/>
      <w:bookmarkEnd w:id="135"/>
    </w:p>
    <w:p>
      <w:pPr>
        <w:pStyle w:val="19"/>
        <w:bidi w:val="0"/>
      </w:pPr>
      <w:r>
        <w:t>环境风险评价工作程序见图1-1所示：</w:t>
      </w:r>
    </w:p>
    <w:p>
      <w:pPr>
        <w:bidi w:val="0"/>
        <w:jc w:val="center"/>
      </w:pPr>
      <w:r>
        <w:drawing>
          <wp:inline distT="0" distB="0" distL="114300" distR="114300">
            <wp:extent cx="5777230" cy="5681980"/>
            <wp:effectExtent l="0" t="0" r="4445" b="444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67"/>
                    <a:stretch>
                      <a:fillRect/>
                    </a:stretch>
                  </pic:blipFill>
                  <pic:spPr>
                    <a:xfrm>
                      <a:off x="0" y="0"/>
                      <a:ext cx="5777230" cy="5681980"/>
                    </a:xfrm>
                    <a:prstGeom prst="rect">
                      <a:avLst/>
                    </a:prstGeom>
                    <a:noFill/>
                    <a:ln>
                      <a:noFill/>
                    </a:ln>
                  </pic:spPr>
                </pic:pic>
              </a:graphicData>
            </a:graphic>
          </wp:inline>
        </w:drawing>
      </w:r>
    </w:p>
    <w:p>
      <w:pPr>
        <w:jc w:val="center"/>
        <w:rPr>
          <w:rFonts w:hint="eastAsia"/>
          <w:b/>
          <w:bCs/>
          <w:lang w:val="en-US" w:eastAsia="zh-CN"/>
        </w:rPr>
      </w:pPr>
      <w:r>
        <w:rPr>
          <w:rFonts w:hint="eastAsia"/>
          <w:b/>
          <w:bCs/>
          <w:lang w:val="en-US" w:eastAsia="zh-CN"/>
        </w:rPr>
        <w:t>图1-1  环境风险评价工作程序</w:t>
      </w:r>
    </w:p>
    <w:p>
      <w:pPr>
        <w:rPr>
          <w:rFonts w:hint="eastAsia"/>
          <w:b/>
          <w:bCs/>
          <w:lang w:val="en-US" w:eastAsia="zh-CN"/>
        </w:rPr>
      </w:pPr>
      <w:r>
        <w:rPr>
          <w:rFonts w:hint="eastAsia"/>
          <w:b/>
          <w:bCs/>
          <w:lang w:val="en-US" w:eastAsia="zh-CN"/>
        </w:rPr>
        <w:br w:type="page"/>
      </w:r>
    </w:p>
    <w:p>
      <w:pPr>
        <w:pStyle w:val="3"/>
        <w:bidi w:val="0"/>
        <w:jc w:val="center"/>
      </w:pPr>
      <w:bookmarkStart w:id="136" w:name="_Toc17792"/>
      <w:bookmarkStart w:id="137" w:name="_Toc31140"/>
      <w:r>
        <w:t>2</w:t>
      </w:r>
      <w:r>
        <w:rPr>
          <w:rFonts w:hint="eastAsia"/>
          <w:lang w:val="en-US" w:eastAsia="zh-CN"/>
        </w:rPr>
        <w:t xml:space="preserve"> </w:t>
      </w:r>
      <w:r>
        <w:t>风险调查</w:t>
      </w:r>
      <w:bookmarkEnd w:id="136"/>
      <w:bookmarkEnd w:id="137"/>
    </w:p>
    <w:p>
      <w:pPr>
        <w:pStyle w:val="4"/>
        <w:bidi w:val="0"/>
        <w:rPr>
          <w:rFonts w:hint="eastAsia"/>
        </w:rPr>
      </w:pPr>
      <w:bookmarkStart w:id="138" w:name="_Toc12365"/>
      <w:bookmarkStart w:id="139" w:name="_Toc9005"/>
      <w:bookmarkStart w:id="140" w:name="_Toc120544889"/>
      <w:r>
        <w:t>2.1</w:t>
      </w:r>
      <w:r>
        <w:rPr>
          <w:rFonts w:hint="eastAsia"/>
          <w:lang w:val="en-US" w:eastAsia="zh-CN"/>
        </w:rPr>
        <w:t xml:space="preserve"> </w:t>
      </w:r>
      <w:r>
        <w:t>评价工作等级划分</w:t>
      </w:r>
      <w:bookmarkEnd w:id="138"/>
      <w:bookmarkEnd w:id="139"/>
      <w:bookmarkEnd w:id="140"/>
    </w:p>
    <w:p>
      <w:pPr>
        <w:pStyle w:val="19"/>
        <w:bidi w:val="0"/>
      </w:pPr>
      <w:r>
        <w:t>根据项目原辅材料、产品、副产品、中间产品的理化特性，对照《建设项目环境风险评价技术导则》（HJ169-2018）附录B、《危险化学品重大危险源辨识》（GB18218-2018）及《危险化学品名录》（2021版），筛选出风险物质。根据原辅材料的使用情况，主要风险</w:t>
      </w:r>
      <w:r>
        <w:rPr>
          <w:rFonts w:hint="eastAsia"/>
          <w:lang w:eastAsia="zh-CN"/>
        </w:rPr>
        <w:t>物质为</w:t>
      </w:r>
      <w:r>
        <w:rPr>
          <w:rFonts w:hint="eastAsia"/>
          <w:lang w:val="en-US" w:eastAsia="zh-CN"/>
        </w:rPr>
        <w:t>废矿物油、</w:t>
      </w:r>
      <w:r>
        <w:rPr>
          <w:rFonts w:hint="eastAsia"/>
        </w:rPr>
        <w:t>锰及其化合物</w:t>
      </w:r>
      <w:r>
        <w:rPr>
          <w:rFonts w:hint="eastAsia"/>
          <w:lang w:eastAsia="zh-CN"/>
        </w:rPr>
        <w:t>，</w:t>
      </w:r>
      <w:r>
        <w:rPr>
          <w:rFonts w:hint="eastAsia"/>
          <w:lang w:val="en-US" w:eastAsia="zh-CN"/>
        </w:rPr>
        <w:t>其中锰及其化合物的风险主要来源于项目产品锰铵合格液。</w:t>
      </w:r>
      <w:r>
        <w:t>项目环境风险物质筛选情况见下表。</w:t>
      </w:r>
    </w:p>
    <w:p>
      <w:pPr>
        <w:bidi w:val="0"/>
        <w:jc w:val="center"/>
        <w:rPr>
          <w:rFonts w:hint="eastAsia"/>
          <w:b/>
          <w:bCs/>
          <w:lang w:val="en-US" w:eastAsia="zh-CN"/>
        </w:rPr>
      </w:pPr>
      <w:r>
        <w:rPr>
          <w:rFonts w:hint="eastAsia"/>
          <w:b/>
          <w:bCs/>
          <w:lang w:val="en-US" w:eastAsia="zh-CN"/>
        </w:rPr>
        <w:t>表2-1  项目环境风险物质筛选情况一览表</w:t>
      </w:r>
    </w:p>
    <w:tbl>
      <w:tblPr>
        <w:tblStyle w:val="15"/>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3"/>
        <w:gridCol w:w="2504"/>
        <w:gridCol w:w="1645"/>
        <w:gridCol w:w="1237"/>
        <w:gridCol w:w="1426"/>
        <w:gridCol w:w="17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9" w:type="pct"/>
            <w:tcBorders>
              <w:tl2br w:val="nil"/>
              <w:tr2bl w:val="nil"/>
            </w:tcBorders>
            <w:noWrap w:val="0"/>
            <w:vAlign w:val="center"/>
          </w:tcPr>
          <w:p>
            <w:pPr>
              <w:pStyle w:val="18"/>
              <w:bidi w:val="0"/>
              <w:jc w:val="center"/>
              <w:rPr>
                <w:b/>
                <w:bCs/>
              </w:rPr>
            </w:pPr>
            <w:r>
              <w:rPr>
                <w:b/>
                <w:bCs/>
              </w:rPr>
              <w:t>序号</w:t>
            </w:r>
          </w:p>
        </w:tc>
        <w:tc>
          <w:tcPr>
            <w:tcW w:w="1340" w:type="pct"/>
            <w:tcBorders>
              <w:tl2br w:val="nil"/>
              <w:tr2bl w:val="nil"/>
            </w:tcBorders>
            <w:noWrap w:val="0"/>
            <w:vAlign w:val="center"/>
          </w:tcPr>
          <w:p>
            <w:pPr>
              <w:pStyle w:val="18"/>
              <w:bidi w:val="0"/>
              <w:jc w:val="center"/>
              <w:rPr>
                <w:b/>
                <w:bCs/>
              </w:rPr>
            </w:pPr>
            <w:r>
              <w:rPr>
                <w:b/>
                <w:bCs/>
              </w:rPr>
              <w:t>名称</w:t>
            </w:r>
          </w:p>
        </w:tc>
        <w:tc>
          <w:tcPr>
            <w:tcW w:w="880" w:type="pct"/>
            <w:tcBorders>
              <w:tl2br w:val="nil"/>
              <w:tr2bl w:val="nil"/>
            </w:tcBorders>
            <w:noWrap w:val="0"/>
            <w:vAlign w:val="center"/>
          </w:tcPr>
          <w:p>
            <w:pPr>
              <w:pStyle w:val="18"/>
              <w:bidi w:val="0"/>
              <w:jc w:val="center"/>
              <w:rPr>
                <w:b/>
                <w:bCs/>
              </w:rPr>
            </w:pPr>
            <w:r>
              <w:rPr>
                <w:b/>
                <w:bCs/>
              </w:rPr>
              <w:t>最大储存量/t</w:t>
            </w:r>
          </w:p>
        </w:tc>
        <w:tc>
          <w:tcPr>
            <w:tcW w:w="662" w:type="pct"/>
            <w:tcBorders>
              <w:tl2br w:val="nil"/>
              <w:tr2bl w:val="nil"/>
            </w:tcBorders>
            <w:noWrap w:val="0"/>
            <w:vAlign w:val="center"/>
          </w:tcPr>
          <w:p>
            <w:pPr>
              <w:pStyle w:val="18"/>
              <w:bidi w:val="0"/>
              <w:jc w:val="center"/>
              <w:rPr>
                <w:b/>
                <w:bCs/>
              </w:rPr>
            </w:pPr>
            <w:r>
              <w:rPr>
                <w:b/>
                <w:bCs/>
              </w:rPr>
              <w:t>包装方式</w:t>
            </w:r>
          </w:p>
        </w:tc>
        <w:tc>
          <w:tcPr>
            <w:tcW w:w="763" w:type="pct"/>
            <w:tcBorders>
              <w:tl2br w:val="nil"/>
              <w:tr2bl w:val="nil"/>
            </w:tcBorders>
            <w:noWrap w:val="0"/>
            <w:vAlign w:val="center"/>
          </w:tcPr>
          <w:p>
            <w:pPr>
              <w:pStyle w:val="18"/>
              <w:bidi w:val="0"/>
              <w:jc w:val="center"/>
              <w:rPr>
                <w:b/>
                <w:bCs/>
              </w:rPr>
            </w:pPr>
            <w:r>
              <w:rPr>
                <w:b/>
                <w:bCs/>
              </w:rPr>
              <w:t>储存地点</w:t>
            </w:r>
          </w:p>
        </w:tc>
        <w:tc>
          <w:tcPr>
            <w:tcW w:w="933" w:type="pct"/>
            <w:tcBorders>
              <w:tl2br w:val="nil"/>
              <w:tr2bl w:val="nil"/>
            </w:tcBorders>
            <w:noWrap w:val="0"/>
            <w:vAlign w:val="center"/>
          </w:tcPr>
          <w:p>
            <w:pPr>
              <w:pStyle w:val="18"/>
              <w:bidi w:val="0"/>
              <w:jc w:val="center"/>
              <w:rPr>
                <w:b/>
                <w:bCs/>
              </w:rPr>
            </w:pPr>
            <w:r>
              <w:rPr>
                <w:b/>
                <w:bCs/>
              </w:rPr>
              <w:t>是否属于环境风险物质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9" w:type="pct"/>
            <w:tcBorders>
              <w:tl2br w:val="nil"/>
              <w:tr2bl w:val="nil"/>
            </w:tcBorders>
            <w:noWrap w:val="0"/>
            <w:vAlign w:val="center"/>
          </w:tcPr>
          <w:p>
            <w:pPr>
              <w:pStyle w:val="18"/>
              <w:bidi w:val="0"/>
              <w:jc w:val="center"/>
            </w:pPr>
            <w:r>
              <w:t>1</w:t>
            </w:r>
          </w:p>
        </w:tc>
        <w:tc>
          <w:tcPr>
            <w:tcW w:w="1340" w:type="pct"/>
            <w:tcBorders>
              <w:tl2br w:val="nil"/>
              <w:tr2bl w:val="nil"/>
            </w:tcBorders>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锰及其化合物</w:t>
            </w:r>
          </w:p>
        </w:tc>
        <w:tc>
          <w:tcPr>
            <w:tcW w:w="880" w:type="pct"/>
            <w:tcBorders>
              <w:tl2br w:val="nil"/>
              <w:tr2bl w:val="nil"/>
            </w:tcBorders>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cs="Times New Roman"/>
                <w:kern w:val="2"/>
                <w:sz w:val="22"/>
                <w:szCs w:val="22"/>
                <w:lang w:val="en-US" w:eastAsia="zh-CN" w:bidi="ar-SA"/>
              </w:rPr>
              <w:t>80</w:t>
            </w:r>
          </w:p>
        </w:tc>
        <w:tc>
          <w:tcPr>
            <w:tcW w:w="662" w:type="pct"/>
            <w:tcBorders>
              <w:tl2br w:val="nil"/>
              <w:tr2bl w:val="nil"/>
            </w:tcBorders>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罐装</w:t>
            </w:r>
          </w:p>
        </w:tc>
        <w:tc>
          <w:tcPr>
            <w:tcW w:w="763" w:type="pct"/>
            <w:tcBorders>
              <w:tl2br w:val="nil"/>
              <w:tr2bl w:val="nil"/>
            </w:tcBorders>
            <w:noWrap w:val="0"/>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cs="Times New Roman"/>
                <w:kern w:val="2"/>
                <w:sz w:val="22"/>
                <w:szCs w:val="22"/>
                <w:lang w:val="en-US" w:eastAsia="zh-CN" w:bidi="ar-SA"/>
              </w:rPr>
              <w:t>锰铵溶液储罐</w:t>
            </w:r>
          </w:p>
        </w:tc>
        <w:tc>
          <w:tcPr>
            <w:tcW w:w="933" w:type="pct"/>
            <w:tcBorders>
              <w:tl2br w:val="nil"/>
              <w:tr2bl w:val="nil"/>
            </w:tcBorders>
            <w:noWrap w:val="0"/>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19" w:type="pct"/>
            <w:tcBorders>
              <w:tl2br w:val="nil"/>
              <w:tr2bl w:val="nil"/>
            </w:tcBorders>
            <w:noWrap w:val="0"/>
            <w:vAlign w:val="center"/>
          </w:tcPr>
          <w:p>
            <w:pPr>
              <w:pStyle w:val="18"/>
              <w:bidi w:val="0"/>
              <w:jc w:val="center"/>
            </w:pPr>
            <w:r>
              <w:t>2</w:t>
            </w:r>
          </w:p>
        </w:tc>
        <w:tc>
          <w:tcPr>
            <w:tcW w:w="1340" w:type="pct"/>
            <w:tcBorders>
              <w:tl2br w:val="nil"/>
              <w:tr2bl w:val="nil"/>
            </w:tcBorders>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废矿物油</w:t>
            </w:r>
          </w:p>
        </w:tc>
        <w:tc>
          <w:tcPr>
            <w:tcW w:w="880" w:type="pct"/>
            <w:tcBorders>
              <w:tl2br w:val="nil"/>
              <w:tr2bl w:val="nil"/>
            </w:tcBorders>
            <w:noWrap w:val="0"/>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0.5</w:t>
            </w:r>
          </w:p>
        </w:tc>
        <w:tc>
          <w:tcPr>
            <w:tcW w:w="662" w:type="pct"/>
            <w:tcBorders>
              <w:tl2br w:val="nil"/>
              <w:tr2bl w:val="nil"/>
            </w:tcBorders>
            <w:noWrap w:val="0"/>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桶装</w:t>
            </w:r>
          </w:p>
        </w:tc>
        <w:tc>
          <w:tcPr>
            <w:tcW w:w="763" w:type="pct"/>
            <w:tcBorders>
              <w:tl2br w:val="nil"/>
              <w:tr2bl w:val="nil"/>
            </w:tcBorders>
            <w:noWrap w:val="0"/>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危废库、设备在线</w:t>
            </w:r>
          </w:p>
        </w:tc>
        <w:tc>
          <w:tcPr>
            <w:tcW w:w="933" w:type="pct"/>
            <w:tcBorders>
              <w:tl2br w:val="nil"/>
              <w:tr2bl w:val="nil"/>
            </w:tcBorders>
            <w:noWrap w:val="0"/>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是</w:t>
            </w:r>
          </w:p>
        </w:tc>
      </w:tr>
    </w:tbl>
    <w:p>
      <w:pPr>
        <w:pStyle w:val="4"/>
        <w:bidi w:val="0"/>
        <w:rPr>
          <w:rFonts w:hint="eastAsia"/>
        </w:rPr>
      </w:pPr>
      <w:bookmarkStart w:id="141" w:name="_Toc120544890"/>
      <w:bookmarkStart w:id="142" w:name="_Toc1189"/>
      <w:bookmarkStart w:id="143" w:name="_Toc31847"/>
      <w:r>
        <w:t>2.</w:t>
      </w:r>
      <w:r>
        <w:rPr>
          <w:rFonts w:hint="eastAsia"/>
        </w:rPr>
        <w:t>2</w:t>
      </w:r>
      <w:r>
        <w:rPr>
          <w:rFonts w:hint="eastAsia"/>
          <w:lang w:val="en-US" w:eastAsia="zh-CN"/>
        </w:rPr>
        <w:t xml:space="preserve"> </w:t>
      </w:r>
      <w:r>
        <w:t>环境风险潜势判断</w:t>
      </w:r>
      <w:bookmarkEnd w:id="141"/>
      <w:bookmarkEnd w:id="142"/>
      <w:bookmarkEnd w:id="143"/>
    </w:p>
    <w:p>
      <w:pPr>
        <w:pStyle w:val="5"/>
        <w:bidi w:val="0"/>
      </w:pPr>
      <w:bookmarkStart w:id="144" w:name="_Toc15531"/>
      <w:bookmarkStart w:id="145" w:name="_Toc4049"/>
      <w:bookmarkStart w:id="146" w:name="_Toc120544892"/>
      <w:r>
        <w:t>2.</w:t>
      </w:r>
      <w:r>
        <w:rPr>
          <w:rFonts w:hint="eastAsia"/>
        </w:rPr>
        <w:t>2</w:t>
      </w:r>
      <w:r>
        <w:t>.1 计算危险物质数量与临界量比值（Q）</w:t>
      </w:r>
      <w:bookmarkEnd w:id="144"/>
      <w:bookmarkEnd w:id="145"/>
      <w:bookmarkEnd w:id="146"/>
    </w:p>
    <w:p>
      <w:pPr>
        <w:pStyle w:val="19"/>
        <w:bidi w:val="0"/>
        <w:rPr>
          <w:rFonts w:hint="default"/>
          <w:lang w:val="en-US" w:eastAsia="zh-CN"/>
        </w:rPr>
      </w:pPr>
      <w:r>
        <w:rPr>
          <w:rFonts w:hint="default"/>
          <w:lang w:val="en-US" w:eastAsia="zh-CN"/>
        </w:rPr>
        <w:t>根据《建设项目环境风险评价技术导则》（HJ0169-2018），计算所涉及的项目涉及的突然环境事件风险物质的最大存在总量与其在附录B中对应临界量的比值Q。在不同厂区的同一种物质，按其在厂界内的最大存在总量计算。</w:t>
      </w:r>
    </w:p>
    <w:p>
      <w:pPr>
        <w:bidi w:val="0"/>
        <w:jc w:val="center"/>
        <w:rPr>
          <w:rFonts w:hint="default"/>
          <w:lang w:val="en-US" w:eastAsia="zh-CN"/>
        </w:rPr>
      </w:pPr>
      <w:r>
        <w:drawing>
          <wp:inline distT="0" distB="0" distL="114300" distR="114300">
            <wp:extent cx="1851660" cy="526415"/>
            <wp:effectExtent l="0" t="0" r="5715" b="698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68"/>
                    <a:stretch>
                      <a:fillRect/>
                    </a:stretch>
                  </pic:blipFill>
                  <pic:spPr>
                    <a:xfrm>
                      <a:off x="0" y="0"/>
                      <a:ext cx="1851660" cy="526415"/>
                    </a:xfrm>
                    <a:prstGeom prst="rect">
                      <a:avLst/>
                    </a:prstGeom>
                    <a:noFill/>
                    <a:ln>
                      <a:noFill/>
                    </a:ln>
                  </pic:spPr>
                </pic:pic>
              </a:graphicData>
            </a:graphic>
          </wp:inline>
        </w:drawing>
      </w:r>
    </w:p>
    <w:p>
      <w:pPr>
        <w:pStyle w:val="19"/>
        <w:bidi w:val="0"/>
        <w:rPr>
          <w:rFonts w:hint="default"/>
          <w:lang w:val="en-US" w:eastAsia="zh-CN"/>
        </w:rPr>
      </w:pPr>
      <w:r>
        <w:rPr>
          <w:rFonts w:hint="default"/>
          <w:lang w:val="en-US" w:eastAsia="zh-CN"/>
        </w:rPr>
        <w:t>式中：q1，q2，…，qn——每种危险物质的最大存在总量，t；</w:t>
      </w:r>
    </w:p>
    <w:p>
      <w:pPr>
        <w:pStyle w:val="19"/>
        <w:bidi w:val="0"/>
        <w:rPr>
          <w:rFonts w:hint="default"/>
          <w:lang w:val="en-US" w:eastAsia="zh-CN"/>
        </w:rPr>
      </w:pPr>
      <w:r>
        <w:rPr>
          <w:rFonts w:hint="default"/>
          <w:lang w:val="en-US" w:eastAsia="zh-CN"/>
        </w:rPr>
        <w:t xml:space="preserve">    Q1，Q2，…，Qn——每种危险物质的临界量，t。</w:t>
      </w:r>
    </w:p>
    <w:p>
      <w:pPr>
        <w:pStyle w:val="19"/>
        <w:bidi w:val="0"/>
        <w:rPr>
          <w:rFonts w:hint="default"/>
          <w:lang w:val="en-US" w:eastAsia="zh-CN"/>
        </w:rPr>
      </w:pPr>
      <w:r>
        <w:rPr>
          <w:rFonts w:hint="default"/>
          <w:lang w:val="en-US" w:eastAsia="zh-CN"/>
        </w:rPr>
        <w:t xml:space="preserve">    当Q&lt;1时，该项目环境风险潜势为I。</w:t>
      </w:r>
    </w:p>
    <w:p>
      <w:pPr>
        <w:pStyle w:val="19"/>
        <w:bidi w:val="0"/>
        <w:rPr>
          <w:rFonts w:hint="default"/>
          <w:lang w:val="en-US" w:eastAsia="zh-CN"/>
        </w:rPr>
      </w:pPr>
      <w:r>
        <w:rPr>
          <w:rFonts w:hint="default"/>
          <w:lang w:val="en-US" w:eastAsia="zh-CN"/>
        </w:rPr>
        <w:t xml:space="preserve">    当Q≥1时，将Q值划分为：</w:t>
      </w:r>
    </w:p>
    <w:p>
      <w:pPr>
        <w:pStyle w:val="19"/>
        <w:bidi w:val="0"/>
        <w:rPr>
          <w:rFonts w:hint="default"/>
          <w:lang w:val="en-US" w:eastAsia="zh-CN"/>
        </w:rPr>
      </w:pPr>
      <w:r>
        <w:rPr>
          <w:rFonts w:hint="default"/>
          <w:lang w:val="en-US" w:eastAsia="zh-CN"/>
        </w:rPr>
        <w:t>（1）1≤Q&lt;10；（2）10≤Q&lt;100；（3）Q≥100。</w:t>
      </w:r>
    </w:p>
    <w:p>
      <w:pPr>
        <w:pStyle w:val="19"/>
        <w:bidi w:val="0"/>
        <w:rPr>
          <w:rFonts w:hint="default"/>
          <w:lang w:val="en-US" w:eastAsia="zh-CN"/>
        </w:rPr>
      </w:pPr>
      <w:r>
        <w:rPr>
          <w:rFonts w:hint="default"/>
          <w:lang w:val="en-US" w:eastAsia="zh-CN"/>
        </w:rPr>
        <w:t>本项目主要的风险物质为废矿物质油</w:t>
      </w:r>
      <w:r>
        <w:rPr>
          <w:rFonts w:hint="eastAsia"/>
          <w:lang w:val="en-US" w:eastAsia="zh-CN"/>
        </w:rPr>
        <w:t>、锰及其化合物</w:t>
      </w:r>
      <w:r>
        <w:rPr>
          <w:rFonts w:hint="default"/>
          <w:lang w:val="en-US" w:eastAsia="zh-CN"/>
        </w:rPr>
        <w:t>。风险物质与临界量比值具体下见</w:t>
      </w:r>
      <w:r>
        <w:rPr>
          <w:rFonts w:hint="eastAsia"/>
          <w:lang w:val="en-US" w:eastAsia="zh-CN"/>
        </w:rPr>
        <w:t>表</w:t>
      </w:r>
      <w:r>
        <w:rPr>
          <w:rFonts w:hint="default"/>
          <w:lang w:val="en-US" w:eastAsia="zh-CN"/>
        </w:rPr>
        <w:t>。</w:t>
      </w:r>
    </w:p>
    <w:p>
      <w:pPr>
        <w:bidi w:val="0"/>
        <w:jc w:val="center"/>
        <w:rPr>
          <w:rFonts w:hint="default"/>
          <w:b/>
          <w:bCs/>
          <w:lang w:val="en-US" w:eastAsia="zh-CN"/>
        </w:rPr>
      </w:pPr>
      <w:r>
        <w:rPr>
          <w:rFonts w:hint="eastAsia"/>
          <w:b/>
          <w:bCs/>
          <w:lang w:val="en-US" w:eastAsia="zh-CN"/>
        </w:rPr>
        <w:t>表2-1  环境风险物质计算表</w:t>
      </w:r>
    </w:p>
    <w:tbl>
      <w:tblPr>
        <w:tblStyle w:val="1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2553"/>
        <w:gridCol w:w="2531"/>
        <w:gridCol w:w="1793"/>
        <w:gridCol w:w="13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dxa"/>
            <w:vMerge w:val="restart"/>
            <w:tcBorders>
              <w:tl2br w:val="nil"/>
              <w:tr2bl w:val="nil"/>
            </w:tcBorders>
            <w:noWrap w:val="0"/>
            <w:vAlign w:val="center"/>
          </w:tcPr>
          <w:p>
            <w:pPr>
              <w:pStyle w:val="18"/>
              <w:bidi w:val="0"/>
              <w:jc w:val="center"/>
              <w:rPr>
                <w:rFonts w:hint="eastAsia"/>
              </w:rPr>
            </w:pPr>
            <w:r>
              <w:rPr>
                <w:rFonts w:hint="eastAsia"/>
              </w:rPr>
              <w:t>序号</w:t>
            </w:r>
          </w:p>
        </w:tc>
        <w:tc>
          <w:tcPr>
            <w:tcW w:w="2553" w:type="dxa"/>
            <w:vMerge w:val="restart"/>
            <w:tcBorders>
              <w:tl2br w:val="nil"/>
              <w:tr2bl w:val="nil"/>
            </w:tcBorders>
            <w:noWrap w:val="0"/>
            <w:vAlign w:val="center"/>
          </w:tcPr>
          <w:p>
            <w:pPr>
              <w:pStyle w:val="18"/>
              <w:bidi w:val="0"/>
              <w:jc w:val="center"/>
              <w:rPr>
                <w:rFonts w:hint="eastAsia"/>
              </w:rPr>
            </w:pPr>
            <w:r>
              <w:rPr>
                <w:rFonts w:hint="eastAsia"/>
              </w:rPr>
              <w:t>物质名称</w:t>
            </w:r>
          </w:p>
        </w:tc>
        <w:tc>
          <w:tcPr>
            <w:tcW w:w="5625" w:type="dxa"/>
            <w:gridSpan w:val="3"/>
            <w:tcBorders>
              <w:tl2br w:val="nil"/>
              <w:tr2bl w:val="nil"/>
            </w:tcBorders>
            <w:noWrap w:val="0"/>
            <w:vAlign w:val="center"/>
          </w:tcPr>
          <w:p>
            <w:pPr>
              <w:pStyle w:val="18"/>
              <w:bidi w:val="0"/>
              <w:jc w:val="center"/>
              <w:rPr>
                <w:rFonts w:hint="eastAsia"/>
              </w:rPr>
            </w:pPr>
            <w:r>
              <w:rPr>
                <w:rFonts w:hint="eastAsia"/>
              </w:rPr>
              <w:t>全厂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dxa"/>
            <w:vMerge w:val="continue"/>
            <w:tcBorders>
              <w:tl2br w:val="nil"/>
              <w:tr2bl w:val="nil"/>
            </w:tcBorders>
            <w:noWrap w:val="0"/>
            <w:vAlign w:val="center"/>
          </w:tcPr>
          <w:p>
            <w:pPr>
              <w:pStyle w:val="18"/>
              <w:bidi w:val="0"/>
              <w:jc w:val="center"/>
              <w:rPr>
                <w:rFonts w:hint="eastAsia"/>
              </w:rPr>
            </w:pPr>
          </w:p>
        </w:tc>
        <w:tc>
          <w:tcPr>
            <w:tcW w:w="2553" w:type="dxa"/>
            <w:vMerge w:val="continue"/>
            <w:tcBorders>
              <w:tl2br w:val="nil"/>
              <w:tr2bl w:val="nil"/>
            </w:tcBorders>
            <w:noWrap w:val="0"/>
            <w:vAlign w:val="center"/>
          </w:tcPr>
          <w:p>
            <w:pPr>
              <w:pStyle w:val="18"/>
              <w:bidi w:val="0"/>
              <w:jc w:val="center"/>
              <w:rPr>
                <w:rFonts w:hint="eastAsia"/>
              </w:rPr>
            </w:pPr>
          </w:p>
        </w:tc>
        <w:tc>
          <w:tcPr>
            <w:tcW w:w="2531" w:type="dxa"/>
            <w:tcBorders>
              <w:tl2br w:val="nil"/>
              <w:tr2bl w:val="nil"/>
            </w:tcBorders>
            <w:noWrap w:val="0"/>
            <w:vAlign w:val="center"/>
          </w:tcPr>
          <w:p>
            <w:pPr>
              <w:pStyle w:val="18"/>
              <w:bidi w:val="0"/>
              <w:jc w:val="center"/>
              <w:rPr>
                <w:rFonts w:hint="eastAsia"/>
              </w:rPr>
            </w:pPr>
            <w:r>
              <w:rPr>
                <w:rFonts w:hint="eastAsia"/>
              </w:rPr>
              <w:t>最大储存量qi（t）</w:t>
            </w:r>
          </w:p>
        </w:tc>
        <w:tc>
          <w:tcPr>
            <w:tcW w:w="1793" w:type="dxa"/>
            <w:tcBorders>
              <w:tl2br w:val="nil"/>
              <w:tr2bl w:val="nil"/>
            </w:tcBorders>
            <w:noWrap w:val="0"/>
            <w:vAlign w:val="center"/>
          </w:tcPr>
          <w:p>
            <w:pPr>
              <w:pStyle w:val="18"/>
              <w:bidi w:val="0"/>
              <w:jc w:val="center"/>
              <w:rPr>
                <w:rFonts w:hint="eastAsia"/>
              </w:rPr>
            </w:pPr>
            <w:r>
              <w:rPr>
                <w:rFonts w:hint="eastAsia"/>
              </w:rPr>
              <w:t>临界量Qi（t）</w:t>
            </w:r>
          </w:p>
        </w:tc>
        <w:tc>
          <w:tcPr>
            <w:tcW w:w="1301" w:type="dxa"/>
            <w:tcBorders>
              <w:tl2br w:val="nil"/>
              <w:tr2bl w:val="nil"/>
            </w:tcBorders>
            <w:noWrap w:val="0"/>
            <w:vAlign w:val="center"/>
          </w:tcPr>
          <w:p>
            <w:pPr>
              <w:pStyle w:val="18"/>
              <w:bidi w:val="0"/>
              <w:jc w:val="center"/>
              <w:rPr>
                <w:rFonts w:hint="eastAsia"/>
              </w:rPr>
            </w:pPr>
            <w:r>
              <w:rPr>
                <w:rFonts w:hint="eastAsia"/>
              </w:rPr>
              <w:t>w/Q</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1</w:t>
            </w:r>
          </w:p>
        </w:tc>
        <w:tc>
          <w:tcPr>
            <w:tcW w:w="2553" w:type="dxa"/>
            <w:tcBorders>
              <w:tl2br w:val="nil"/>
              <w:tr2bl w:val="nil"/>
            </w:tcBorders>
            <w:noWrap w:val="0"/>
            <w:vAlign w:val="center"/>
          </w:tcPr>
          <w:p>
            <w:pPr>
              <w:pStyle w:val="18"/>
              <w:bidi w:val="0"/>
              <w:jc w:val="center"/>
              <w:rPr>
                <w:rFonts w:hint="eastAsia"/>
                <w:lang w:eastAsia="zh-CN"/>
              </w:rPr>
            </w:pPr>
            <w:r>
              <w:rPr>
                <w:rFonts w:hint="eastAsia"/>
                <w:lang w:eastAsia="zh-CN"/>
              </w:rPr>
              <w:t>废矿物质油</w:t>
            </w:r>
          </w:p>
        </w:tc>
        <w:tc>
          <w:tcPr>
            <w:tcW w:w="2531"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0.5</w:t>
            </w:r>
          </w:p>
        </w:tc>
        <w:tc>
          <w:tcPr>
            <w:tcW w:w="1793"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2500</w:t>
            </w:r>
          </w:p>
        </w:tc>
        <w:tc>
          <w:tcPr>
            <w:tcW w:w="1301"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0.0002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8"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2</w:t>
            </w:r>
          </w:p>
        </w:tc>
        <w:tc>
          <w:tcPr>
            <w:tcW w:w="2553"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锰及其化合物（以锰计）</w:t>
            </w:r>
          </w:p>
        </w:tc>
        <w:tc>
          <w:tcPr>
            <w:tcW w:w="2531"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80</w:t>
            </w:r>
          </w:p>
        </w:tc>
        <w:tc>
          <w:tcPr>
            <w:tcW w:w="1793"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0.25</w:t>
            </w:r>
          </w:p>
        </w:tc>
        <w:tc>
          <w:tcPr>
            <w:tcW w:w="1301"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320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45" w:type="dxa"/>
            <w:gridSpan w:val="4"/>
            <w:tcBorders>
              <w:tl2br w:val="nil"/>
              <w:tr2bl w:val="nil"/>
            </w:tcBorders>
            <w:noWrap w:val="0"/>
            <w:vAlign w:val="center"/>
          </w:tcPr>
          <w:p>
            <w:pPr>
              <w:pStyle w:val="18"/>
              <w:bidi w:val="0"/>
              <w:jc w:val="center"/>
              <w:rPr>
                <w:rFonts w:hint="default"/>
                <w:lang w:val="en-US" w:eastAsia="zh-CN"/>
              </w:rPr>
            </w:pPr>
            <w:r>
              <w:rPr>
                <w:rFonts w:hint="eastAsia"/>
                <w:lang w:val="en-US" w:eastAsia="zh-CN"/>
              </w:rPr>
              <w:t>合计</w:t>
            </w:r>
          </w:p>
        </w:tc>
        <w:tc>
          <w:tcPr>
            <w:tcW w:w="1301" w:type="dxa"/>
            <w:tcBorders>
              <w:tl2br w:val="nil"/>
              <w:tr2bl w:val="nil"/>
            </w:tcBorders>
            <w:noWrap w:val="0"/>
            <w:vAlign w:val="center"/>
          </w:tcPr>
          <w:p>
            <w:pPr>
              <w:pStyle w:val="18"/>
              <w:bidi w:val="0"/>
              <w:jc w:val="center"/>
              <w:rPr>
                <w:rFonts w:hint="default"/>
                <w:lang w:val="en-US" w:eastAsia="zh-CN"/>
              </w:rPr>
            </w:pPr>
            <w:r>
              <w:rPr>
                <w:rFonts w:hint="eastAsia"/>
                <w:lang w:val="en-US" w:eastAsia="zh-CN"/>
              </w:rPr>
              <w:t>320.0002</w:t>
            </w:r>
          </w:p>
        </w:tc>
      </w:tr>
    </w:tbl>
    <w:p>
      <w:pPr>
        <w:pStyle w:val="5"/>
        <w:bidi w:val="0"/>
      </w:pPr>
      <w:bookmarkStart w:id="147" w:name="_Toc16994"/>
      <w:bookmarkStart w:id="148" w:name="_Toc28601"/>
      <w:r>
        <w:t>2.</w:t>
      </w:r>
      <w:r>
        <w:rPr>
          <w:rFonts w:hint="eastAsia"/>
        </w:rPr>
        <w:t>2</w:t>
      </w:r>
      <w:r>
        <w:t>.2</w:t>
      </w:r>
      <w:r>
        <w:rPr>
          <w:rFonts w:hint="eastAsia"/>
          <w:lang w:val="en-US" w:eastAsia="zh-CN"/>
        </w:rPr>
        <w:t xml:space="preserve"> </w:t>
      </w:r>
      <w:r>
        <w:t>行业及生产工艺（M）</w:t>
      </w:r>
      <w:bookmarkEnd w:id="147"/>
      <w:bookmarkEnd w:id="148"/>
    </w:p>
    <w:p>
      <w:pPr>
        <w:pStyle w:val="19"/>
        <w:bidi w:val="0"/>
      </w:pPr>
      <w:r>
        <w:t>分析项目所属行业及生产工艺特点，按照表2.3-</w:t>
      </w:r>
      <w:r>
        <w:rPr>
          <w:rFonts w:hint="eastAsia"/>
          <w:lang w:val="en-US" w:eastAsia="zh-CN"/>
        </w:rPr>
        <w:t>5</w:t>
      </w:r>
      <w:r>
        <w:t>评估生产工艺情况。具有多套工艺单元的项目，对每套生产工艺分别评分并求和。将M划分为（1）M˃20；（2）10＜M≤20；（3）5＜M≤10；（4）M=5，分别以M1、M2、M3、M4表示。</w:t>
      </w:r>
    </w:p>
    <w:p>
      <w:pPr>
        <w:bidi w:val="0"/>
        <w:jc w:val="center"/>
        <w:rPr>
          <w:rFonts w:hint="default" w:eastAsia="宋体"/>
          <w:b/>
          <w:bCs/>
          <w:lang w:val="en-US" w:eastAsia="zh-CN"/>
        </w:rPr>
      </w:pPr>
      <w:r>
        <w:rPr>
          <w:rFonts w:hint="eastAsia"/>
          <w:b/>
          <w:bCs/>
          <w:lang w:val="en-US" w:eastAsia="zh-CN"/>
        </w:rPr>
        <w:t>表2-2  行业及生产工艺(M)计算结果</w:t>
      </w:r>
    </w:p>
    <w:tbl>
      <w:tblPr>
        <w:tblStyle w:val="15"/>
        <w:tblW w:w="5000" w:type="pct"/>
        <w:tblInd w:w="123"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052"/>
        <w:gridCol w:w="3731"/>
        <w:gridCol w:w="1400"/>
        <w:gridCol w:w="2174"/>
        <w:gridCol w:w="989"/>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vMerge w:val="restart"/>
            <w:shd w:val="clear" w:color="auto" w:fill="auto"/>
            <w:noWrap w:val="0"/>
            <w:vAlign w:val="center"/>
          </w:tcPr>
          <w:p>
            <w:pPr>
              <w:pStyle w:val="18"/>
              <w:bidi w:val="0"/>
            </w:pPr>
            <w:r>
              <w:t>行业</w:t>
            </w:r>
          </w:p>
        </w:tc>
        <w:tc>
          <w:tcPr>
            <w:tcW w:w="2745" w:type="pct"/>
            <w:gridSpan w:val="2"/>
            <w:tcBorders>
              <w:right w:val="single" w:color="auto" w:sz="4" w:space="0"/>
            </w:tcBorders>
            <w:shd w:val="clear" w:color="auto" w:fill="auto"/>
            <w:noWrap w:val="0"/>
            <w:vAlign w:val="center"/>
          </w:tcPr>
          <w:p>
            <w:pPr>
              <w:pStyle w:val="18"/>
              <w:bidi w:val="0"/>
            </w:pPr>
            <w:r>
              <w:t>评估标准</w:t>
            </w:r>
          </w:p>
        </w:tc>
        <w:tc>
          <w:tcPr>
            <w:tcW w:w="1692" w:type="pct"/>
            <w:gridSpan w:val="2"/>
            <w:tcBorders>
              <w:left w:val="single" w:color="auto" w:sz="4" w:space="0"/>
            </w:tcBorders>
            <w:shd w:val="clear" w:color="auto" w:fill="auto"/>
            <w:noWrap w:val="0"/>
            <w:vAlign w:val="center"/>
          </w:tcPr>
          <w:p>
            <w:pPr>
              <w:pStyle w:val="18"/>
              <w:bidi w:val="0"/>
            </w:pPr>
            <w:r>
              <w:t>本项目情况</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vMerge w:val="continue"/>
            <w:shd w:val="clear" w:color="auto" w:fill="auto"/>
            <w:noWrap w:val="0"/>
            <w:vAlign w:val="center"/>
          </w:tcPr>
          <w:p>
            <w:pPr>
              <w:pStyle w:val="18"/>
              <w:bidi w:val="0"/>
            </w:pPr>
          </w:p>
        </w:tc>
        <w:tc>
          <w:tcPr>
            <w:tcW w:w="1996" w:type="pct"/>
            <w:shd w:val="clear" w:color="auto" w:fill="auto"/>
            <w:noWrap w:val="0"/>
            <w:vAlign w:val="center"/>
          </w:tcPr>
          <w:p>
            <w:pPr>
              <w:pStyle w:val="18"/>
              <w:bidi w:val="0"/>
            </w:pPr>
            <w:r>
              <w:t>评估依据</w:t>
            </w:r>
          </w:p>
        </w:tc>
        <w:tc>
          <w:tcPr>
            <w:tcW w:w="749" w:type="pct"/>
            <w:tcBorders>
              <w:right w:val="single" w:color="auto" w:sz="4" w:space="0"/>
            </w:tcBorders>
            <w:shd w:val="clear" w:color="auto" w:fill="auto"/>
            <w:noWrap w:val="0"/>
            <w:vAlign w:val="center"/>
          </w:tcPr>
          <w:p>
            <w:pPr>
              <w:pStyle w:val="18"/>
              <w:bidi w:val="0"/>
            </w:pPr>
            <w:r>
              <w:t>分值</w:t>
            </w:r>
          </w:p>
        </w:tc>
        <w:tc>
          <w:tcPr>
            <w:tcW w:w="1163" w:type="pct"/>
            <w:tcBorders>
              <w:left w:val="single" w:color="auto" w:sz="4" w:space="0"/>
              <w:right w:val="single" w:color="auto" w:sz="4" w:space="0"/>
            </w:tcBorders>
            <w:shd w:val="clear" w:color="auto" w:fill="auto"/>
            <w:noWrap w:val="0"/>
            <w:vAlign w:val="center"/>
          </w:tcPr>
          <w:p>
            <w:pPr>
              <w:pStyle w:val="18"/>
              <w:bidi w:val="0"/>
            </w:pPr>
            <w:r>
              <w:t>本项目情况</w:t>
            </w:r>
          </w:p>
        </w:tc>
        <w:tc>
          <w:tcPr>
            <w:tcW w:w="529" w:type="pct"/>
            <w:tcBorders>
              <w:left w:val="single" w:color="auto" w:sz="4" w:space="0"/>
            </w:tcBorders>
            <w:shd w:val="clear" w:color="auto" w:fill="auto"/>
            <w:noWrap w:val="0"/>
            <w:vAlign w:val="center"/>
          </w:tcPr>
          <w:p>
            <w:pPr>
              <w:pStyle w:val="18"/>
              <w:bidi w:val="0"/>
            </w:pPr>
            <w:r>
              <w:t>M分值</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vMerge w:val="restart"/>
            <w:shd w:val="clear" w:color="auto" w:fill="auto"/>
            <w:noWrap w:val="0"/>
            <w:vAlign w:val="center"/>
          </w:tcPr>
          <w:p>
            <w:pPr>
              <w:pStyle w:val="18"/>
              <w:bidi w:val="0"/>
            </w:pPr>
            <w:r>
              <w:t>石化、化工、医药、轻工、化纤、有色冶炼等</w:t>
            </w:r>
          </w:p>
        </w:tc>
        <w:tc>
          <w:tcPr>
            <w:tcW w:w="1996" w:type="pct"/>
            <w:shd w:val="clear" w:color="auto" w:fill="auto"/>
            <w:noWrap w:val="0"/>
            <w:vAlign w:val="center"/>
          </w:tcPr>
          <w:p>
            <w:pPr>
              <w:pStyle w:val="18"/>
              <w:bidi w:val="0"/>
            </w:pPr>
            <w: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749" w:type="pct"/>
            <w:tcBorders>
              <w:right w:val="single" w:color="auto" w:sz="4" w:space="0"/>
            </w:tcBorders>
            <w:shd w:val="clear" w:color="auto" w:fill="auto"/>
            <w:noWrap w:val="0"/>
            <w:vAlign w:val="center"/>
          </w:tcPr>
          <w:p>
            <w:pPr>
              <w:pStyle w:val="18"/>
              <w:bidi w:val="0"/>
            </w:pPr>
            <w:r>
              <w:t>10/套</w:t>
            </w:r>
          </w:p>
        </w:tc>
        <w:tc>
          <w:tcPr>
            <w:tcW w:w="1163" w:type="pct"/>
            <w:tcBorders>
              <w:left w:val="single" w:color="auto" w:sz="4" w:space="0"/>
              <w:right w:val="single" w:color="auto" w:sz="4" w:space="0"/>
            </w:tcBorders>
            <w:shd w:val="clear" w:color="auto" w:fill="auto"/>
            <w:noWrap w:val="0"/>
            <w:vAlign w:val="center"/>
          </w:tcPr>
          <w:p>
            <w:pPr>
              <w:pStyle w:val="18"/>
              <w:bidi w:val="0"/>
            </w:pPr>
            <w:r>
              <w:t>不涉及</w:t>
            </w:r>
          </w:p>
        </w:tc>
        <w:tc>
          <w:tcPr>
            <w:tcW w:w="529" w:type="pct"/>
            <w:tcBorders>
              <w:left w:val="single" w:color="auto" w:sz="4" w:space="0"/>
            </w:tcBorders>
            <w:shd w:val="clear" w:color="auto" w:fill="auto"/>
            <w:noWrap w:val="0"/>
            <w:vAlign w:val="center"/>
          </w:tcPr>
          <w:p>
            <w:pPr>
              <w:pStyle w:val="18"/>
              <w:bidi w:val="0"/>
            </w:pPr>
            <w: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vMerge w:val="continue"/>
            <w:shd w:val="clear" w:color="auto" w:fill="auto"/>
            <w:noWrap w:val="0"/>
            <w:vAlign w:val="center"/>
          </w:tcPr>
          <w:p>
            <w:pPr>
              <w:pStyle w:val="18"/>
              <w:bidi w:val="0"/>
            </w:pPr>
          </w:p>
        </w:tc>
        <w:tc>
          <w:tcPr>
            <w:tcW w:w="1996" w:type="pct"/>
            <w:shd w:val="clear" w:color="auto" w:fill="auto"/>
            <w:noWrap w:val="0"/>
            <w:vAlign w:val="center"/>
          </w:tcPr>
          <w:p>
            <w:pPr>
              <w:pStyle w:val="18"/>
              <w:bidi w:val="0"/>
            </w:pPr>
            <w:r>
              <w:t>无机酸制酸工艺、焦化工艺</w:t>
            </w:r>
          </w:p>
        </w:tc>
        <w:tc>
          <w:tcPr>
            <w:tcW w:w="749" w:type="pct"/>
            <w:tcBorders>
              <w:right w:val="single" w:color="auto" w:sz="4" w:space="0"/>
            </w:tcBorders>
            <w:shd w:val="clear" w:color="auto" w:fill="auto"/>
            <w:noWrap w:val="0"/>
            <w:vAlign w:val="center"/>
          </w:tcPr>
          <w:p>
            <w:pPr>
              <w:pStyle w:val="18"/>
              <w:bidi w:val="0"/>
            </w:pPr>
            <w:r>
              <w:t>5/套</w:t>
            </w:r>
          </w:p>
        </w:tc>
        <w:tc>
          <w:tcPr>
            <w:tcW w:w="1163" w:type="pct"/>
            <w:tcBorders>
              <w:left w:val="single" w:color="auto" w:sz="4" w:space="0"/>
              <w:right w:val="single" w:color="auto" w:sz="4" w:space="0"/>
            </w:tcBorders>
            <w:shd w:val="clear" w:color="auto" w:fill="auto"/>
            <w:noWrap w:val="0"/>
            <w:vAlign w:val="center"/>
          </w:tcPr>
          <w:p>
            <w:pPr>
              <w:pStyle w:val="18"/>
              <w:bidi w:val="0"/>
            </w:pPr>
            <w:r>
              <w:t>不涉及</w:t>
            </w:r>
          </w:p>
        </w:tc>
        <w:tc>
          <w:tcPr>
            <w:tcW w:w="529" w:type="pct"/>
            <w:tcBorders>
              <w:left w:val="single" w:color="auto" w:sz="4" w:space="0"/>
            </w:tcBorders>
            <w:shd w:val="clear" w:color="auto" w:fill="auto"/>
            <w:noWrap w:val="0"/>
            <w:vAlign w:val="center"/>
          </w:tcPr>
          <w:p>
            <w:pPr>
              <w:pStyle w:val="18"/>
              <w:bidi w:val="0"/>
            </w:pPr>
            <w: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vMerge w:val="continue"/>
            <w:shd w:val="clear" w:color="auto" w:fill="auto"/>
            <w:noWrap w:val="0"/>
            <w:vAlign w:val="center"/>
          </w:tcPr>
          <w:p>
            <w:pPr>
              <w:pStyle w:val="18"/>
              <w:bidi w:val="0"/>
            </w:pPr>
          </w:p>
        </w:tc>
        <w:tc>
          <w:tcPr>
            <w:tcW w:w="1996" w:type="pct"/>
            <w:shd w:val="clear" w:color="auto" w:fill="auto"/>
            <w:noWrap w:val="0"/>
            <w:vAlign w:val="center"/>
          </w:tcPr>
          <w:p>
            <w:pPr>
              <w:pStyle w:val="18"/>
              <w:bidi w:val="0"/>
            </w:pPr>
            <w:r>
              <w:t>其他高温或高压，且涉及危险物质的工艺过程</w:t>
            </w:r>
            <w:r>
              <w:rPr>
                <w:vertAlign w:val="superscript"/>
              </w:rPr>
              <w:t>a</w:t>
            </w:r>
            <w:r>
              <w:t>、危险物质贮存罐区</w:t>
            </w:r>
          </w:p>
        </w:tc>
        <w:tc>
          <w:tcPr>
            <w:tcW w:w="749" w:type="pct"/>
            <w:tcBorders>
              <w:right w:val="single" w:color="auto" w:sz="4" w:space="0"/>
            </w:tcBorders>
            <w:shd w:val="clear" w:color="auto" w:fill="auto"/>
            <w:noWrap w:val="0"/>
            <w:vAlign w:val="center"/>
          </w:tcPr>
          <w:p>
            <w:pPr>
              <w:pStyle w:val="18"/>
              <w:bidi w:val="0"/>
            </w:pPr>
            <w:r>
              <w:t>5/套(罐区)</w:t>
            </w:r>
          </w:p>
        </w:tc>
        <w:tc>
          <w:tcPr>
            <w:tcW w:w="1163" w:type="pct"/>
            <w:tcBorders>
              <w:left w:val="single" w:color="auto" w:sz="4" w:space="0"/>
              <w:right w:val="single" w:color="auto" w:sz="4" w:space="0"/>
            </w:tcBorders>
            <w:shd w:val="clear" w:color="auto" w:fill="auto"/>
            <w:noWrap w:val="0"/>
            <w:vAlign w:val="center"/>
          </w:tcPr>
          <w:p>
            <w:pPr>
              <w:pStyle w:val="18"/>
              <w:bidi w:val="0"/>
              <w:rPr>
                <w:rFonts w:hint="eastAsia" w:eastAsia="宋体"/>
                <w:lang w:val="en-US" w:eastAsia="zh-CN"/>
              </w:rPr>
            </w:pPr>
            <w:r>
              <w:rPr>
                <w:rFonts w:hint="eastAsia"/>
                <w:lang w:val="en-US" w:eastAsia="zh-CN"/>
              </w:rPr>
              <w:t>不涉及</w:t>
            </w:r>
          </w:p>
        </w:tc>
        <w:tc>
          <w:tcPr>
            <w:tcW w:w="529" w:type="pct"/>
            <w:tcBorders>
              <w:left w:val="single" w:color="auto" w:sz="4" w:space="0"/>
            </w:tcBorders>
            <w:shd w:val="clear" w:color="auto" w:fill="auto"/>
            <w:noWrap w:val="0"/>
            <w:vAlign w:val="center"/>
          </w:tcPr>
          <w:p>
            <w:pPr>
              <w:pStyle w:val="18"/>
              <w:bidi w:val="0"/>
              <w:rPr>
                <w:rFonts w:hint="eastAsia" w:eastAsia="宋体"/>
                <w:lang w:val="en-US" w:eastAsia="zh-CN"/>
              </w:rPr>
            </w:pPr>
            <w:r>
              <w:rPr>
                <w:rFonts w:hint="eastAsia"/>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shd w:val="clear" w:color="auto" w:fill="auto"/>
            <w:noWrap w:val="0"/>
            <w:vAlign w:val="center"/>
          </w:tcPr>
          <w:p>
            <w:pPr>
              <w:pStyle w:val="18"/>
              <w:bidi w:val="0"/>
            </w:pPr>
            <w:r>
              <w:t>管道、港口/码头等</w:t>
            </w:r>
          </w:p>
        </w:tc>
        <w:tc>
          <w:tcPr>
            <w:tcW w:w="1996" w:type="pct"/>
            <w:shd w:val="clear" w:color="auto" w:fill="auto"/>
            <w:noWrap w:val="0"/>
            <w:vAlign w:val="center"/>
          </w:tcPr>
          <w:p>
            <w:pPr>
              <w:pStyle w:val="18"/>
              <w:bidi w:val="0"/>
            </w:pPr>
            <w:r>
              <w:t>涉及危险物质管道运输项目、港口/码头等</w:t>
            </w:r>
          </w:p>
        </w:tc>
        <w:tc>
          <w:tcPr>
            <w:tcW w:w="749" w:type="pct"/>
            <w:tcBorders>
              <w:right w:val="single" w:color="auto" w:sz="4" w:space="0"/>
            </w:tcBorders>
            <w:shd w:val="clear" w:color="auto" w:fill="auto"/>
            <w:noWrap w:val="0"/>
            <w:vAlign w:val="center"/>
          </w:tcPr>
          <w:p>
            <w:pPr>
              <w:pStyle w:val="18"/>
              <w:bidi w:val="0"/>
            </w:pPr>
            <w:r>
              <w:t>10</w:t>
            </w:r>
          </w:p>
        </w:tc>
        <w:tc>
          <w:tcPr>
            <w:tcW w:w="1163" w:type="pct"/>
            <w:tcBorders>
              <w:left w:val="single" w:color="auto" w:sz="4" w:space="0"/>
              <w:right w:val="single" w:color="auto" w:sz="4" w:space="0"/>
            </w:tcBorders>
            <w:shd w:val="clear" w:color="auto" w:fill="auto"/>
            <w:noWrap w:val="0"/>
            <w:vAlign w:val="center"/>
          </w:tcPr>
          <w:p>
            <w:pPr>
              <w:pStyle w:val="18"/>
              <w:bidi w:val="0"/>
            </w:pPr>
            <w:r>
              <w:t>不涉及</w:t>
            </w:r>
          </w:p>
        </w:tc>
        <w:tc>
          <w:tcPr>
            <w:tcW w:w="529" w:type="pct"/>
            <w:tcBorders>
              <w:left w:val="single" w:color="auto" w:sz="4" w:space="0"/>
            </w:tcBorders>
            <w:shd w:val="clear" w:color="auto" w:fill="auto"/>
            <w:noWrap w:val="0"/>
            <w:vAlign w:val="center"/>
          </w:tcPr>
          <w:p>
            <w:pPr>
              <w:pStyle w:val="18"/>
              <w:bidi w:val="0"/>
            </w:pPr>
            <w: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shd w:val="clear" w:color="auto" w:fill="auto"/>
            <w:noWrap w:val="0"/>
            <w:vAlign w:val="center"/>
          </w:tcPr>
          <w:p>
            <w:pPr>
              <w:pStyle w:val="18"/>
              <w:bidi w:val="0"/>
            </w:pPr>
            <w:r>
              <w:t>石油天然气</w:t>
            </w:r>
          </w:p>
        </w:tc>
        <w:tc>
          <w:tcPr>
            <w:tcW w:w="1996" w:type="pct"/>
            <w:shd w:val="clear" w:color="auto" w:fill="auto"/>
            <w:noWrap w:val="0"/>
            <w:vAlign w:val="center"/>
          </w:tcPr>
          <w:p>
            <w:pPr>
              <w:pStyle w:val="18"/>
              <w:bidi w:val="0"/>
            </w:pPr>
            <w:r>
              <w:t>石油、天然气、页岩气开采(含净化)，气库(不含加气站的气库)，油库(不含加气站的油库)、油气管线b(不含城镇燃气管线)</w:t>
            </w:r>
          </w:p>
        </w:tc>
        <w:tc>
          <w:tcPr>
            <w:tcW w:w="749" w:type="pct"/>
            <w:tcBorders>
              <w:right w:val="single" w:color="auto" w:sz="4" w:space="0"/>
            </w:tcBorders>
            <w:shd w:val="clear" w:color="auto" w:fill="auto"/>
            <w:noWrap w:val="0"/>
            <w:vAlign w:val="center"/>
          </w:tcPr>
          <w:p>
            <w:pPr>
              <w:pStyle w:val="18"/>
              <w:bidi w:val="0"/>
            </w:pPr>
            <w:r>
              <w:t>10</w:t>
            </w:r>
          </w:p>
        </w:tc>
        <w:tc>
          <w:tcPr>
            <w:tcW w:w="1163" w:type="pct"/>
            <w:tcBorders>
              <w:left w:val="single" w:color="auto" w:sz="4" w:space="0"/>
              <w:right w:val="single" w:color="auto" w:sz="4" w:space="0"/>
            </w:tcBorders>
            <w:shd w:val="clear" w:color="auto" w:fill="auto"/>
            <w:noWrap w:val="0"/>
            <w:vAlign w:val="center"/>
          </w:tcPr>
          <w:p>
            <w:pPr>
              <w:pStyle w:val="18"/>
              <w:bidi w:val="0"/>
            </w:pPr>
            <w:r>
              <w:t>不涉及</w:t>
            </w:r>
          </w:p>
        </w:tc>
        <w:tc>
          <w:tcPr>
            <w:tcW w:w="529" w:type="pct"/>
            <w:tcBorders>
              <w:left w:val="single" w:color="auto" w:sz="4" w:space="0"/>
            </w:tcBorders>
            <w:shd w:val="clear" w:color="auto" w:fill="auto"/>
            <w:noWrap w:val="0"/>
            <w:vAlign w:val="center"/>
          </w:tcPr>
          <w:p>
            <w:pPr>
              <w:pStyle w:val="18"/>
              <w:bidi w:val="0"/>
            </w:pPr>
            <w: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63" w:type="pct"/>
            <w:shd w:val="clear" w:color="auto" w:fill="auto"/>
            <w:noWrap w:val="0"/>
            <w:vAlign w:val="center"/>
          </w:tcPr>
          <w:p>
            <w:pPr>
              <w:pStyle w:val="18"/>
              <w:bidi w:val="0"/>
            </w:pPr>
            <w:r>
              <w:t>其他</w:t>
            </w:r>
          </w:p>
        </w:tc>
        <w:tc>
          <w:tcPr>
            <w:tcW w:w="1996" w:type="pct"/>
            <w:shd w:val="clear" w:color="auto" w:fill="auto"/>
            <w:noWrap w:val="0"/>
            <w:vAlign w:val="center"/>
          </w:tcPr>
          <w:p>
            <w:pPr>
              <w:pStyle w:val="18"/>
              <w:bidi w:val="0"/>
            </w:pPr>
            <w:r>
              <w:t>涉及危险物质使用、贮存的项目</w:t>
            </w:r>
          </w:p>
        </w:tc>
        <w:tc>
          <w:tcPr>
            <w:tcW w:w="749" w:type="pct"/>
            <w:tcBorders>
              <w:right w:val="single" w:color="auto" w:sz="4" w:space="0"/>
            </w:tcBorders>
            <w:shd w:val="clear" w:color="auto" w:fill="auto"/>
            <w:noWrap w:val="0"/>
            <w:vAlign w:val="center"/>
          </w:tcPr>
          <w:p>
            <w:pPr>
              <w:pStyle w:val="18"/>
              <w:bidi w:val="0"/>
            </w:pPr>
            <w:r>
              <w:t>5</w:t>
            </w:r>
          </w:p>
        </w:tc>
        <w:tc>
          <w:tcPr>
            <w:tcW w:w="1163" w:type="pct"/>
            <w:tcBorders>
              <w:left w:val="single" w:color="auto" w:sz="4" w:space="0"/>
              <w:right w:val="single" w:color="auto" w:sz="4" w:space="0"/>
            </w:tcBorders>
            <w:shd w:val="clear" w:color="auto" w:fill="auto"/>
            <w:noWrap w:val="0"/>
            <w:vAlign w:val="center"/>
          </w:tcPr>
          <w:p>
            <w:pPr>
              <w:pStyle w:val="18"/>
              <w:bidi w:val="0"/>
              <w:rPr>
                <w:rFonts w:hint="default" w:eastAsia="宋体"/>
                <w:lang w:val="en-US" w:eastAsia="zh-CN"/>
              </w:rPr>
            </w:pPr>
            <w:r>
              <w:rPr>
                <w:rFonts w:hint="eastAsia"/>
                <w:lang w:val="en-US" w:eastAsia="zh-CN"/>
              </w:rPr>
              <w:t>锰铵溶液储存罐区</w:t>
            </w:r>
          </w:p>
        </w:tc>
        <w:tc>
          <w:tcPr>
            <w:tcW w:w="529" w:type="pct"/>
            <w:tcBorders>
              <w:left w:val="single" w:color="auto" w:sz="4" w:space="0"/>
            </w:tcBorders>
            <w:shd w:val="clear" w:color="auto" w:fill="auto"/>
            <w:noWrap w:val="0"/>
            <w:vAlign w:val="center"/>
          </w:tcPr>
          <w:p>
            <w:pPr>
              <w:pStyle w:val="18"/>
              <w:bidi w:val="0"/>
              <w:rPr>
                <w:rFonts w:hint="eastAsia" w:eastAsia="宋体"/>
                <w:lang w:val="en-US" w:eastAsia="zh-CN"/>
              </w:rPr>
            </w:pPr>
            <w:r>
              <w:rPr>
                <w:rFonts w:hint="eastAsia"/>
                <w:lang w:val="en-US" w:eastAsia="zh-CN"/>
              </w:rPr>
              <w:t>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559" w:type="pct"/>
            <w:gridSpan w:val="2"/>
            <w:shd w:val="clear" w:color="auto" w:fill="auto"/>
            <w:noWrap w:val="0"/>
            <w:vAlign w:val="center"/>
          </w:tcPr>
          <w:p>
            <w:pPr>
              <w:pStyle w:val="18"/>
              <w:bidi w:val="0"/>
            </w:pPr>
            <w:r>
              <w:t>项目M值Σ</w:t>
            </w:r>
          </w:p>
        </w:tc>
        <w:tc>
          <w:tcPr>
            <w:tcW w:w="749" w:type="pct"/>
            <w:tcBorders>
              <w:right w:val="single" w:color="auto" w:sz="4" w:space="0"/>
            </w:tcBorders>
            <w:shd w:val="clear" w:color="auto" w:fill="auto"/>
            <w:noWrap w:val="0"/>
            <w:vAlign w:val="center"/>
          </w:tcPr>
          <w:p>
            <w:pPr>
              <w:pStyle w:val="18"/>
              <w:bidi w:val="0"/>
            </w:pPr>
            <w:r>
              <w:t>/</w:t>
            </w:r>
          </w:p>
        </w:tc>
        <w:tc>
          <w:tcPr>
            <w:tcW w:w="1163" w:type="pct"/>
            <w:tcBorders>
              <w:left w:val="single" w:color="auto" w:sz="4" w:space="0"/>
              <w:right w:val="single" w:color="auto" w:sz="4" w:space="0"/>
            </w:tcBorders>
            <w:shd w:val="clear" w:color="auto" w:fill="auto"/>
            <w:noWrap w:val="0"/>
            <w:vAlign w:val="center"/>
          </w:tcPr>
          <w:p>
            <w:pPr>
              <w:pStyle w:val="18"/>
              <w:bidi w:val="0"/>
            </w:pPr>
            <w:r>
              <w:t>/</w:t>
            </w:r>
          </w:p>
        </w:tc>
        <w:tc>
          <w:tcPr>
            <w:tcW w:w="529" w:type="pct"/>
            <w:tcBorders>
              <w:left w:val="single" w:color="auto" w:sz="4" w:space="0"/>
            </w:tcBorders>
            <w:shd w:val="clear" w:color="auto" w:fill="auto"/>
            <w:noWrap w:val="0"/>
            <w:vAlign w:val="center"/>
          </w:tcPr>
          <w:p>
            <w:pPr>
              <w:pStyle w:val="18"/>
              <w:bidi w:val="0"/>
            </w:pPr>
            <w:r>
              <w:t>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5"/>
            <w:shd w:val="clear" w:color="auto" w:fill="auto"/>
            <w:noWrap w:val="0"/>
            <w:vAlign w:val="center"/>
          </w:tcPr>
          <w:p>
            <w:pPr>
              <w:pStyle w:val="18"/>
              <w:bidi w:val="0"/>
            </w:pPr>
            <w:r>
              <w:t>a高温指工艺温度≥300℃，高压指压力容器的设计压力(P)≥10.0MPa；</w:t>
            </w:r>
          </w:p>
          <w:p>
            <w:pPr>
              <w:pStyle w:val="18"/>
              <w:bidi w:val="0"/>
            </w:pPr>
            <w:r>
              <w:t>b长输管道运输项目应按站场、管线分段进行评价。</w:t>
            </w:r>
          </w:p>
        </w:tc>
      </w:tr>
    </w:tbl>
    <w:p>
      <w:pPr>
        <w:pStyle w:val="19"/>
        <w:bidi w:val="0"/>
        <w:rPr>
          <w:rFonts w:hint="default"/>
          <w:lang w:val="en-US" w:eastAsia="zh-CN"/>
        </w:rPr>
      </w:pPr>
      <w:r>
        <w:rPr>
          <w:sz w:val="24"/>
          <w:szCs w:val="22"/>
        </w:rPr>
        <w:t>根据工程分析可知，项目采用的生产工艺主要为</w:t>
      </w:r>
      <w:r>
        <w:rPr>
          <w:rFonts w:hint="eastAsia"/>
          <w:sz w:val="24"/>
          <w:szCs w:val="22"/>
          <w:lang w:val="en-US" w:eastAsia="zh-CN"/>
        </w:rPr>
        <w:t>制浆、压滤、MVR</w:t>
      </w:r>
      <w:r>
        <w:rPr>
          <w:sz w:val="24"/>
          <w:szCs w:val="22"/>
        </w:rPr>
        <w:t>等相关工艺，同时厂区内设置有1个</w:t>
      </w:r>
      <w:r>
        <w:rPr>
          <w:rFonts w:hint="eastAsia"/>
          <w:sz w:val="24"/>
          <w:szCs w:val="22"/>
          <w:lang w:val="en-US" w:eastAsia="zh-CN"/>
        </w:rPr>
        <w:t>锰铵溶液</w:t>
      </w:r>
      <w:r>
        <w:rPr>
          <w:sz w:val="24"/>
          <w:szCs w:val="22"/>
        </w:rPr>
        <w:t>储罐区</w:t>
      </w:r>
      <w:r>
        <w:rPr>
          <w:rFonts w:hint="eastAsia"/>
          <w:lang w:val="en-US" w:eastAsia="zh-CN"/>
        </w:rPr>
        <w:t>，</w:t>
      </w:r>
      <w:r>
        <w:rPr>
          <w:rFonts w:hint="default"/>
          <w:lang w:val="en-US" w:eastAsia="zh-CN"/>
        </w:rPr>
        <w:t>根据公司的实际情况，参照相关评分方法和标准，分析得出公司生产过程与环境风险控制水平M=5，属于“M4”类水平。</w:t>
      </w:r>
    </w:p>
    <w:p>
      <w:pPr>
        <w:pStyle w:val="5"/>
        <w:bidi w:val="0"/>
      </w:pPr>
      <w:bookmarkStart w:id="149" w:name="_Toc10334"/>
      <w:bookmarkStart w:id="150" w:name="_Toc120544894"/>
      <w:bookmarkStart w:id="151" w:name="_Toc13298"/>
      <w:r>
        <w:t>2.</w:t>
      </w:r>
      <w:r>
        <w:rPr>
          <w:rFonts w:hint="eastAsia"/>
        </w:rPr>
        <w:t>2</w:t>
      </w:r>
      <w:r>
        <w:t>.3 危险物质及工艺系统危险性（P）分级</w:t>
      </w:r>
      <w:bookmarkEnd w:id="149"/>
      <w:bookmarkEnd w:id="150"/>
      <w:bookmarkEnd w:id="151"/>
    </w:p>
    <w:p>
      <w:pPr>
        <w:pStyle w:val="19"/>
        <w:bidi w:val="0"/>
        <w:rPr>
          <w:rFonts w:hint="default"/>
          <w:lang w:val="en-US" w:eastAsia="zh-CN"/>
        </w:rPr>
      </w:pPr>
      <w:r>
        <w:rPr>
          <w:rFonts w:hint="default"/>
          <w:lang w:val="en-US" w:eastAsia="zh-CN"/>
        </w:rPr>
        <w:t>综上可知，本项目危险物质数量与临界量比值Q=</w:t>
      </w:r>
      <w:r>
        <w:rPr>
          <w:rFonts w:hint="eastAsia"/>
          <w:lang w:val="en-US" w:eastAsia="zh-CN"/>
        </w:rPr>
        <w:t>320</w:t>
      </w:r>
      <w:r>
        <w:rPr>
          <w:rFonts w:hint="default"/>
          <w:lang w:val="en-US" w:eastAsia="zh-CN"/>
        </w:rPr>
        <w:t>，行业及生产工艺M=M4，根据《建设项目环境风险评价导则》(HJ/T 169-2018)附录C确定危险物质及工艺系统危险性等级为P3。</w:t>
      </w:r>
    </w:p>
    <w:p>
      <w:pPr>
        <w:bidi w:val="0"/>
        <w:jc w:val="center"/>
        <w:rPr>
          <w:rFonts w:hint="default"/>
          <w:b/>
          <w:bCs/>
          <w:lang w:val="en-US" w:eastAsia="zh-CN"/>
        </w:rPr>
      </w:pPr>
      <w:r>
        <w:rPr>
          <w:rFonts w:hint="eastAsia"/>
          <w:b/>
          <w:bCs/>
          <w:lang w:val="en-US" w:eastAsia="zh-CN"/>
        </w:rPr>
        <w:t>表2-3  危险物质及工艺系统危险等级判断（P）</w:t>
      </w:r>
    </w:p>
    <w:tbl>
      <w:tblPr>
        <w:tblStyle w:val="1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569"/>
        <w:gridCol w:w="1277"/>
        <w:gridCol w:w="1408"/>
        <w:gridCol w:w="1546"/>
        <w:gridCol w:w="15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0" w:type="pct"/>
            <w:vMerge w:val="restart"/>
            <w:tcBorders>
              <w:tl2br w:val="nil"/>
              <w:tr2bl w:val="nil"/>
            </w:tcBorders>
            <w:noWrap w:val="0"/>
            <w:vAlign w:val="center"/>
          </w:tcPr>
          <w:p>
            <w:pPr>
              <w:spacing w:line="240" w:lineRule="exact"/>
              <w:jc w:val="center"/>
              <w:rPr>
                <w:szCs w:val="21"/>
              </w:rPr>
            </w:pPr>
            <w:r>
              <w:rPr>
                <w:szCs w:val="21"/>
              </w:rPr>
              <w:t>危险物质数量与临界量比值（Q）</w:t>
            </w:r>
          </w:p>
        </w:tc>
        <w:tc>
          <w:tcPr>
            <w:tcW w:w="3090" w:type="pct"/>
            <w:gridSpan w:val="4"/>
            <w:tcBorders>
              <w:tl2br w:val="nil"/>
              <w:tr2bl w:val="nil"/>
            </w:tcBorders>
            <w:noWrap w:val="0"/>
            <w:vAlign w:val="center"/>
          </w:tcPr>
          <w:p>
            <w:pPr>
              <w:spacing w:line="240" w:lineRule="exact"/>
              <w:jc w:val="center"/>
              <w:rPr>
                <w:szCs w:val="21"/>
              </w:rPr>
            </w:pPr>
            <w:r>
              <w:rPr>
                <w:szCs w:val="21"/>
              </w:rPr>
              <w:t>行业及生产工艺（M）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0" w:type="pct"/>
            <w:vMerge w:val="continue"/>
            <w:tcBorders>
              <w:tl2br w:val="nil"/>
              <w:tr2bl w:val="nil"/>
            </w:tcBorders>
            <w:noWrap w:val="0"/>
            <w:vAlign w:val="center"/>
          </w:tcPr>
          <w:p>
            <w:pPr>
              <w:spacing w:line="240" w:lineRule="exact"/>
              <w:jc w:val="center"/>
              <w:rPr>
                <w:szCs w:val="21"/>
              </w:rPr>
            </w:pPr>
          </w:p>
        </w:tc>
        <w:tc>
          <w:tcPr>
            <w:tcW w:w="683" w:type="pct"/>
            <w:tcBorders>
              <w:tl2br w:val="nil"/>
              <w:tr2bl w:val="nil"/>
            </w:tcBorders>
            <w:noWrap w:val="0"/>
            <w:vAlign w:val="center"/>
          </w:tcPr>
          <w:p>
            <w:pPr>
              <w:spacing w:line="240" w:lineRule="exact"/>
              <w:jc w:val="center"/>
              <w:rPr>
                <w:szCs w:val="21"/>
              </w:rPr>
            </w:pPr>
            <w:r>
              <w:rPr>
                <w:szCs w:val="21"/>
              </w:rPr>
              <w:t>M1</w:t>
            </w:r>
          </w:p>
        </w:tc>
        <w:tc>
          <w:tcPr>
            <w:tcW w:w="753" w:type="pct"/>
            <w:tcBorders>
              <w:tl2br w:val="nil"/>
              <w:tr2bl w:val="nil"/>
            </w:tcBorders>
            <w:noWrap w:val="0"/>
            <w:vAlign w:val="center"/>
          </w:tcPr>
          <w:p>
            <w:pPr>
              <w:spacing w:line="240" w:lineRule="exact"/>
              <w:jc w:val="center"/>
              <w:rPr>
                <w:szCs w:val="21"/>
              </w:rPr>
            </w:pPr>
            <w:r>
              <w:rPr>
                <w:szCs w:val="21"/>
              </w:rPr>
              <w:t>M2</w:t>
            </w:r>
          </w:p>
        </w:tc>
        <w:tc>
          <w:tcPr>
            <w:tcW w:w="827" w:type="pct"/>
            <w:tcBorders>
              <w:tl2br w:val="nil"/>
              <w:tr2bl w:val="nil"/>
            </w:tcBorders>
            <w:noWrap w:val="0"/>
            <w:vAlign w:val="center"/>
          </w:tcPr>
          <w:p>
            <w:pPr>
              <w:spacing w:line="240" w:lineRule="exact"/>
              <w:jc w:val="center"/>
              <w:rPr>
                <w:szCs w:val="21"/>
              </w:rPr>
            </w:pPr>
            <w:r>
              <w:rPr>
                <w:szCs w:val="21"/>
              </w:rPr>
              <w:t>M3</w:t>
            </w:r>
          </w:p>
        </w:tc>
        <w:tc>
          <w:tcPr>
            <w:tcW w:w="826" w:type="pct"/>
            <w:tcBorders>
              <w:tl2br w:val="nil"/>
              <w:tr2bl w:val="nil"/>
            </w:tcBorders>
            <w:noWrap w:val="0"/>
            <w:vAlign w:val="center"/>
          </w:tcPr>
          <w:p>
            <w:pPr>
              <w:spacing w:line="240" w:lineRule="exact"/>
              <w:jc w:val="center"/>
              <w:rPr>
                <w:b/>
                <w:szCs w:val="21"/>
              </w:rPr>
            </w:pPr>
            <w:r>
              <w:rPr>
                <w:b/>
                <w:szCs w:val="21"/>
              </w:rPr>
              <w:t>M4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0" w:type="pct"/>
            <w:tcBorders>
              <w:tl2br w:val="nil"/>
              <w:tr2bl w:val="nil"/>
            </w:tcBorders>
            <w:noWrap w:val="0"/>
            <w:vAlign w:val="center"/>
          </w:tcPr>
          <w:p>
            <w:pPr>
              <w:spacing w:line="240" w:lineRule="exact"/>
              <w:jc w:val="center"/>
              <w:rPr>
                <w:szCs w:val="21"/>
              </w:rPr>
            </w:pPr>
            <w:r>
              <w:rPr>
                <w:b/>
                <w:bCs/>
                <w:szCs w:val="21"/>
              </w:rPr>
              <w:t>Q≥100</w:t>
            </w:r>
          </w:p>
        </w:tc>
        <w:tc>
          <w:tcPr>
            <w:tcW w:w="683" w:type="pct"/>
            <w:tcBorders>
              <w:tl2br w:val="nil"/>
              <w:tr2bl w:val="nil"/>
            </w:tcBorders>
            <w:noWrap w:val="0"/>
            <w:vAlign w:val="center"/>
          </w:tcPr>
          <w:p>
            <w:pPr>
              <w:spacing w:line="240" w:lineRule="exact"/>
              <w:jc w:val="center"/>
              <w:rPr>
                <w:szCs w:val="21"/>
              </w:rPr>
            </w:pPr>
            <w:r>
              <w:rPr>
                <w:szCs w:val="21"/>
              </w:rPr>
              <w:t>P1</w:t>
            </w:r>
          </w:p>
        </w:tc>
        <w:tc>
          <w:tcPr>
            <w:tcW w:w="753" w:type="pct"/>
            <w:tcBorders>
              <w:tl2br w:val="nil"/>
              <w:tr2bl w:val="nil"/>
            </w:tcBorders>
            <w:noWrap w:val="0"/>
            <w:vAlign w:val="center"/>
          </w:tcPr>
          <w:p>
            <w:pPr>
              <w:spacing w:line="240" w:lineRule="exact"/>
              <w:jc w:val="center"/>
              <w:rPr>
                <w:szCs w:val="21"/>
              </w:rPr>
            </w:pPr>
            <w:r>
              <w:rPr>
                <w:szCs w:val="21"/>
              </w:rPr>
              <w:t>P1</w:t>
            </w:r>
          </w:p>
        </w:tc>
        <w:tc>
          <w:tcPr>
            <w:tcW w:w="827" w:type="pct"/>
            <w:tcBorders>
              <w:tl2br w:val="nil"/>
              <w:tr2bl w:val="nil"/>
            </w:tcBorders>
            <w:noWrap w:val="0"/>
            <w:vAlign w:val="center"/>
          </w:tcPr>
          <w:p>
            <w:pPr>
              <w:spacing w:line="240" w:lineRule="exact"/>
              <w:jc w:val="center"/>
              <w:rPr>
                <w:szCs w:val="21"/>
              </w:rPr>
            </w:pPr>
            <w:r>
              <w:rPr>
                <w:szCs w:val="21"/>
              </w:rPr>
              <w:t>P2</w:t>
            </w:r>
          </w:p>
        </w:tc>
        <w:tc>
          <w:tcPr>
            <w:tcW w:w="826" w:type="pct"/>
            <w:tcBorders>
              <w:tl2br w:val="nil"/>
              <w:tr2bl w:val="nil"/>
            </w:tcBorders>
            <w:noWrap w:val="0"/>
            <w:vAlign w:val="center"/>
          </w:tcPr>
          <w:p>
            <w:pPr>
              <w:spacing w:line="240" w:lineRule="exact"/>
              <w:jc w:val="center"/>
              <w:rPr>
                <w:szCs w:val="21"/>
              </w:rPr>
            </w:pPr>
            <w:r>
              <w:rPr>
                <w:b/>
                <w:bCs/>
                <w:szCs w:val="21"/>
              </w:rPr>
              <w:t>P3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0" w:type="pct"/>
            <w:tcBorders>
              <w:tl2br w:val="nil"/>
              <w:tr2bl w:val="nil"/>
            </w:tcBorders>
            <w:noWrap w:val="0"/>
            <w:vAlign w:val="center"/>
          </w:tcPr>
          <w:p>
            <w:pPr>
              <w:spacing w:line="240" w:lineRule="exact"/>
              <w:jc w:val="center"/>
              <w:rPr>
                <w:rFonts w:ascii="Times New Roman" w:hAnsi="Times New Roman" w:eastAsia="宋体" w:cs="Times New Roman"/>
                <w:szCs w:val="21"/>
              </w:rPr>
            </w:pPr>
            <w:r>
              <w:rPr>
                <w:rFonts w:ascii="Times New Roman" w:hAnsi="Times New Roman" w:eastAsia="宋体" w:cs="Times New Roman"/>
                <w:szCs w:val="21"/>
              </w:rPr>
              <w:t>10≤Q</w:t>
            </w:r>
            <w:r>
              <w:rPr>
                <w:rFonts w:hint="default" w:ascii="Times New Roman" w:hAnsi="Times New Roman" w:eastAsia="宋体" w:cs="Times New Roman"/>
                <w:szCs w:val="21"/>
              </w:rPr>
              <w:t>＜</w:t>
            </w:r>
            <w:r>
              <w:rPr>
                <w:rFonts w:ascii="Times New Roman" w:hAnsi="Times New Roman" w:eastAsia="宋体" w:cs="Times New Roman"/>
                <w:szCs w:val="21"/>
              </w:rPr>
              <w:t>100</w:t>
            </w:r>
          </w:p>
        </w:tc>
        <w:tc>
          <w:tcPr>
            <w:tcW w:w="683" w:type="pct"/>
            <w:tcBorders>
              <w:tl2br w:val="nil"/>
              <w:tr2bl w:val="nil"/>
            </w:tcBorders>
            <w:noWrap w:val="0"/>
            <w:vAlign w:val="center"/>
          </w:tcPr>
          <w:p>
            <w:pPr>
              <w:spacing w:line="240" w:lineRule="exact"/>
              <w:jc w:val="center"/>
              <w:rPr>
                <w:rFonts w:ascii="Times New Roman" w:hAnsi="Times New Roman" w:eastAsia="宋体" w:cs="Times New Roman"/>
                <w:szCs w:val="21"/>
              </w:rPr>
            </w:pPr>
            <w:r>
              <w:rPr>
                <w:rFonts w:ascii="Times New Roman" w:hAnsi="Times New Roman" w:eastAsia="宋体" w:cs="Times New Roman"/>
                <w:szCs w:val="21"/>
              </w:rPr>
              <w:t>P1</w:t>
            </w:r>
          </w:p>
        </w:tc>
        <w:tc>
          <w:tcPr>
            <w:tcW w:w="753" w:type="pct"/>
            <w:tcBorders>
              <w:tl2br w:val="nil"/>
              <w:tr2bl w:val="nil"/>
            </w:tcBorders>
            <w:noWrap w:val="0"/>
            <w:vAlign w:val="center"/>
          </w:tcPr>
          <w:p>
            <w:pPr>
              <w:spacing w:line="240" w:lineRule="exact"/>
              <w:jc w:val="center"/>
              <w:rPr>
                <w:rFonts w:ascii="Times New Roman" w:hAnsi="Times New Roman" w:eastAsia="宋体" w:cs="Times New Roman"/>
                <w:szCs w:val="21"/>
              </w:rPr>
            </w:pPr>
            <w:r>
              <w:rPr>
                <w:rFonts w:ascii="Times New Roman" w:hAnsi="Times New Roman" w:eastAsia="宋体" w:cs="Times New Roman"/>
                <w:szCs w:val="21"/>
              </w:rPr>
              <w:t>P2</w:t>
            </w:r>
          </w:p>
        </w:tc>
        <w:tc>
          <w:tcPr>
            <w:tcW w:w="827" w:type="pct"/>
            <w:tcBorders>
              <w:tl2br w:val="nil"/>
              <w:tr2bl w:val="nil"/>
            </w:tcBorders>
            <w:noWrap w:val="0"/>
            <w:vAlign w:val="center"/>
          </w:tcPr>
          <w:p>
            <w:pPr>
              <w:spacing w:line="240" w:lineRule="exact"/>
              <w:jc w:val="center"/>
              <w:rPr>
                <w:rFonts w:ascii="Times New Roman" w:hAnsi="Times New Roman" w:eastAsia="宋体" w:cs="Times New Roman"/>
                <w:szCs w:val="21"/>
              </w:rPr>
            </w:pPr>
            <w:r>
              <w:rPr>
                <w:rFonts w:ascii="Times New Roman" w:hAnsi="Times New Roman" w:eastAsia="宋体" w:cs="Times New Roman"/>
                <w:szCs w:val="21"/>
              </w:rPr>
              <w:t>P3</w:t>
            </w:r>
          </w:p>
        </w:tc>
        <w:tc>
          <w:tcPr>
            <w:tcW w:w="826" w:type="pct"/>
            <w:tcBorders>
              <w:tl2br w:val="nil"/>
              <w:tr2bl w:val="nil"/>
            </w:tcBorders>
            <w:noWrap w:val="0"/>
            <w:vAlign w:val="center"/>
          </w:tcPr>
          <w:p>
            <w:pPr>
              <w:spacing w:line="240" w:lineRule="exact"/>
              <w:jc w:val="center"/>
              <w:rPr>
                <w:rFonts w:ascii="Times New Roman" w:hAnsi="Times New Roman" w:eastAsia="宋体" w:cs="Times New Roman"/>
                <w:szCs w:val="21"/>
              </w:rPr>
            </w:pPr>
            <w:r>
              <w:rPr>
                <w:rFonts w:ascii="Times New Roman" w:hAnsi="Times New Roman" w:eastAsia="宋体" w:cs="Times New Roman"/>
                <w:szCs w:val="21"/>
              </w:rPr>
              <w:t>P4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0" w:type="pct"/>
            <w:tcBorders>
              <w:tl2br w:val="nil"/>
              <w:tr2bl w:val="nil"/>
            </w:tcBorders>
            <w:noWrap w:val="0"/>
            <w:vAlign w:val="center"/>
          </w:tcPr>
          <w:p>
            <w:pPr>
              <w:spacing w:line="240" w:lineRule="exact"/>
              <w:jc w:val="center"/>
              <w:rPr>
                <w:szCs w:val="21"/>
              </w:rPr>
            </w:pPr>
            <w:r>
              <w:rPr>
                <w:szCs w:val="21"/>
              </w:rPr>
              <w:t>1≤Q＜10</w:t>
            </w:r>
          </w:p>
        </w:tc>
        <w:tc>
          <w:tcPr>
            <w:tcW w:w="683" w:type="pct"/>
            <w:tcBorders>
              <w:tl2br w:val="nil"/>
              <w:tr2bl w:val="nil"/>
            </w:tcBorders>
            <w:noWrap w:val="0"/>
            <w:vAlign w:val="center"/>
          </w:tcPr>
          <w:p>
            <w:pPr>
              <w:spacing w:line="240" w:lineRule="exact"/>
              <w:jc w:val="center"/>
              <w:rPr>
                <w:szCs w:val="21"/>
              </w:rPr>
            </w:pPr>
            <w:r>
              <w:rPr>
                <w:szCs w:val="21"/>
              </w:rPr>
              <w:t>P2</w:t>
            </w:r>
          </w:p>
        </w:tc>
        <w:tc>
          <w:tcPr>
            <w:tcW w:w="753" w:type="pct"/>
            <w:tcBorders>
              <w:tl2br w:val="nil"/>
              <w:tr2bl w:val="nil"/>
            </w:tcBorders>
            <w:noWrap w:val="0"/>
            <w:vAlign w:val="center"/>
          </w:tcPr>
          <w:p>
            <w:pPr>
              <w:spacing w:line="240" w:lineRule="exact"/>
              <w:jc w:val="center"/>
              <w:rPr>
                <w:szCs w:val="21"/>
              </w:rPr>
            </w:pPr>
            <w:r>
              <w:rPr>
                <w:szCs w:val="21"/>
              </w:rPr>
              <w:t>P3</w:t>
            </w:r>
          </w:p>
        </w:tc>
        <w:tc>
          <w:tcPr>
            <w:tcW w:w="827" w:type="pct"/>
            <w:tcBorders>
              <w:tl2br w:val="nil"/>
              <w:tr2bl w:val="nil"/>
            </w:tcBorders>
            <w:noWrap w:val="0"/>
            <w:vAlign w:val="center"/>
          </w:tcPr>
          <w:p>
            <w:pPr>
              <w:spacing w:line="240" w:lineRule="exact"/>
              <w:jc w:val="center"/>
              <w:rPr>
                <w:szCs w:val="21"/>
              </w:rPr>
            </w:pPr>
            <w:r>
              <w:rPr>
                <w:szCs w:val="21"/>
              </w:rPr>
              <w:t>P4</w:t>
            </w:r>
          </w:p>
        </w:tc>
        <w:tc>
          <w:tcPr>
            <w:tcW w:w="826" w:type="pct"/>
            <w:tcBorders>
              <w:tl2br w:val="nil"/>
              <w:tr2bl w:val="nil"/>
            </w:tcBorders>
            <w:noWrap w:val="0"/>
            <w:vAlign w:val="center"/>
          </w:tcPr>
          <w:p>
            <w:pPr>
              <w:spacing w:line="240" w:lineRule="exact"/>
              <w:jc w:val="center"/>
              <w:rPr>
                <w:szCs w:val="21"/>
              </w:rPr>
            </w:pPr>
            <w:r>
              <w:rPr>
                <w:szCs w:val="21"/>
              </w:rPr>
              <w:t>P4</w:t>
            </w:r>
          </w:p>
        </w:tc>
      </w:tr>
    </w:tbl>
    <w:p>
      <w:pPr>
        <w:pStyle w:val="4"/>
        <w:bidi w:val="0"/>
        <w:rPr>
          <w:rFonts w:hint="eastAsia"/>
        </w:rPr>
      </w:pPr>
      <w:bookmarkStart w:id="152" w:name="_Toc120544896"/>
      <w:bookmarkStart w:id="153" w:name="_Toc20367"/>
      <w:bookmarkStart w:id="154" w:name="_Toc25675"/>
      <w:r>
        <w:t>2.</w:t>
      </w:r>
      <w:r>
        <w:rPr>
          <w:rFonts w:hint="eastAsia"/>
        </w:rPr>
        <w:t>3</w:t>
      </w:r>
      <w:r>
        <w:t xml:space="preserve"> 敏感程度评估</w:t>
      </w:r>
      <w:bookmarkEnd w:id="152"/>
      <w:bookmarkEnd w:id="153"/>
      <w:bookmarkEnd w:id="154"/>
    </w:p>
    <w:p>
      <w:pPr>
        <w:pStyle w:val="5"/>
        <w:bidi w:val="0"/>
        <w:rPr>
          <w:rFonts w:hint="default"/>
          <w:lang w:val="en-US" w:eastAsia="zh-CN"/>
        </w:rPr>
      </w:pPr>
      <w:bookmarkStart w:id="155" w:name="_Toc23712"/>
      <w:bookmarkStart w:id="156" w:name="_Toc6144"/>
      <w:r>
        <w:rPr>
          <w:rFonts w:hint="eastAsia"/>
          <w:lang w:val="en-US" w:eastAsia="zh-CN"/>
        </w:rPr>
        <w:t>2</w:t>
      </w:r>
      <w:r>
        <w:t>.3.</w:t>
      </w:r>
      <w:r>
        <w:rPr>
          <w:rFonts w:hint="eastAsia"/>
          <w:lang w:val="en-US" w:eastAsia="zh-CN"/>
        </w:rPr>
        <w:t xml:space="preserve">1 </w:t>
      </w:r>
      <w:r>
        <w:t>大气</w:t>
      </w:r>
      <w:r>
        <w:rPr>
          <w:rFonts w:hint="eastAsia"/>
          <w:lang w:val="en-US" w:eastAsia="zh-CN"/>
        </w:rPr>
        <w:t>环境敏感程度分级</w:t>
      </w:r>
      <w:bookmarkEnd w:id="155"/>
      <w:bookmarkEnd w:id="156"/>
    </w:p>
    <w:p>
      <w:pPr>
        <w:pStyle w:val="19"/>
        <w:bidi w:val="0"/>
      </w:pPr>
      <w:r>
        <w:t>根据调查，本项目周边5km范围内居住区、医疗卫生、文化教育、行政办公等机构人口总数</w:t>
      </w:r>
      <w:r>
        <w:rPr>
          <w:rFonts w:hint="eastAsia"/>
          <w:lang w:val="en-US" w:eastAsia="zh-CN"/>
        </w:rPr>
        <w:t>小于5</w:t>
      </w:r>
      <w:r>
        <w:t>万人，周边500m范围内人口总数小于</w:t>
      </w:r>
      <w:r>
        <w:rPr>
          <w:rFonts w:hint="eastAsia"/>
          <w:lang w:val="en-US" w:eastAsia="zh-CN"/>
        </w:rPr>
        <w:t>100</w:t>
      </w:r>
      <w:r>
        <w:t>0人。根据《建设项目环境风险评价导则》(HJ/T 169-2018)附录C确定本项目大气环境敏感程度为E</w:t>
      </w:r>
      <w:r>
        <w:rPr>
          <w:rFonts w:hint="eastAsia"/>
          <w:lang w:val="en-US" w:eastAsia="zh-CN"/>
        </w:rPr>
        <w:t>2</w:t>
      </w:r>
      <w:r>
        <w:t>。</w:t>
      </w:r>
    </w:p>
    <w:p>
      <w:pPr>
        <w:pStyle w:val="19"/>
        <w:bidi w:val="0"/>
      </w:pPr>
      <w:r>
        <w:t>大气环境敏感程度分级原则见表</w:t>
      </w:r>
      <w:r>
        <w:rPr>
          <w:rFonts w:hint="eastAsia"/>
          <w:lang w:val="en-US" w:eastAsia="zh-CN"/>
        </w:rPr>
        <w:t>2-4</w:t>
      </w:r>
      <w:r>
        <w:t>。</w:t>
      </w:r>
    </w:p>
    <w:p>
      <w:pPr>
        <w:bidi w:val="0"/>
        <w:jc w:val="center"/>
        <w:rPr>
          <w:b/>
          <w:bCs/>
        </w:rPr>
      </w:pPr>
      <w:r>
        <w:rPr>
          <w:b/>
          <w:bCs/>
        </w:rPr>
        <w:t>表</w:t>
      </w:r>
      <w:r>
        <w:rPr>
          <w:rFonts w:hint="eastAsia"/>
          <w:b/>
          <w:bCs/>
          <w:lang w:val="en-US" w:eastAsia="zh-CN"/>
        </w:rPr>
        <w:t>2-4</w:t>
      </w:r>
      <w:r>
        <w:rPr>
          <w:b/>
          <w:bCs/>
        </w:rPr>
        <w:t xml:space="preserve">  大气环境敏感程度分级</w:t>
      </w:r>
    </w:p>
    <w:tbl>
      <w:tblPr>
        <w:tblStyle w:val="15"/>
        <w:tblW w:w="5000" w:type="pct"/>
        <w:tblInd w:w="1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795"/>
        <w:gridCol w:w="836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4" w:type="pct"/>
            <w:noWrap w:val="0"/>
            <w:vAlign w:val="center"/>
          </w:tcPr>
          <w:p>
            <w:pPr>
              <w:pStyle w:val="18"/>
              <w:bidi w:val="0"/>
              <w:jc w:val="center"/>
            </w:pPr>
            <w:r>
              <w:t>分级</w:t>
            </w:r>
          </w:p>
        </w:tc>
        <w:tc>
          <w:tcPr>
            <w:tcW w:w="4566" w:type="pct"/>
            <w:noWrap w:val="0"/>
            <w:vAlign w:val="center"/>
          </w:tcPr>
          <w:p>
            <w:pPr>
              <w:pStyle w:val="18"/>
              <w:bidi w:val="0"/>
              <w:jc w:val="center"/>
            </w:pPr>
            <w:r>
              <w:t>大气环境敏感性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4" w:type="pct"/>
            <w:noWrap w:val="0"/>
            <w:vAlign w:val="center"/>
          </w:tcPr>
          <w:p>
            <w:pPr>
              <w:pStyle w:val="18"/>
              <w:bidi w:val="0"/>
              <w:jc w:val="center"/>
            </w:pPr>
            <w:r>
              <w:t>E1</w:t>
            </w:r>
          </w:p>
        </w:tc>
        <w:tc>
          <w:tcPr>
            <w:tcW w:w="4566" w:type="pct"/>
            <w:noWrap w:val="0"/>
            <w:vAlign w:val="center"/>
          </w:tcPr>
          <w:p>
            <w:pPr>
              <w:pStyle w:val="18"/>
              <w:bidi w:val="0"/>
              <w:jc w:val="both"/>
            </w:pPr>
            <w: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4" w:type="pct"/>
            <w:noWrap w:val="0"/>
            <w:vAlign w:val="center"/>
          </w:tcPr>
          <w:p>
            <w:pPr>
              <w:pStyle w:val="18"/>
              <w:bidi w:val="0"/>
              <w:jc w:val="center"/>
            </w:pPr>
            <w:r>
              <w:t>E2</w:t>
            </w:r>
          </w:p>
        </w:tc>
        <w:tc>
          <w:tcPr>
            <w:tcW w:w="4566" w:type="pct"/>
            <w:noWrap w:val="0"/>
            <w:vAlign w:val="center"/>
          </w:tcPr>
          <w:p>
            <w:pPr>
              <w:pStyle w:val="18"/>
              <w:bidi w:val="0"/>
              <w:jc w:val="both"/>
            </w:pPr>
            <w: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34" w:type="pct"/>
            <w:noWrap w:val="0"/>
            <w:vAlign w:val="center"/>
          </w:tcPr>
          <w:p>
            <w:pPr>
              <w:pStyle w:val="18"/>
              <w:bidi w:val="0"/>
              <w:jc w:val="center"/>
            </w:pPr>
            <w:r>
              <w:t>E3</w:t>
            </w:r>
          </w:p>
        </w:tc>
        <w:tc>
          <w:tcPr>
            <w:tcW w:w="4566" w:type="pct"/>
            <w:noWrap w:val="0"/>
            <w:vAlign w:val="center"/>
          </w:tcPr>
          <w:p>
            <w:pPr>
              <w:pStyle w:val="18"/>
              <w:bidi w:val="0"/>
              <w:jc w:val="both"/>
            </w:pPr>
            <w:r>
              <w:t>周边5km范围内居住区、医疗卫生、文化教育、科研、行政办公等机构人口总数小于1万人；或周边500m范围内人口总数小于500人；油气、化学品输送管线管段周边200m范围内，每千米管段人口数小于100人</w:t>
            </w:r>
          </w:p>
        </w:tc>
      </w:tr>
    </w:tbl>
    <w:p>
      <w:pPr>
        <w:pStyle w:val="5"/>
        <w:bidi w:val="0"/>
        <w:rPr>
          <w:rFonts w:hint="eastAsia"/>
          <w:lang w:eastAsia="zh-CN"/>
        </w:rPr>
      </w:pPr>
      <w:bookmarkStart w:id="157" w:name="_Toc120544898"/>
      <w:bookmarkStart w:id="158" w:name="_Toc26703"/>
      <w:bookmarkStart w:id="159" w:name="_Toc5682"/>
      <w:r>
        <w:t>2.</w:t>
      </w:r>
      <w:r>
        <w:rPr>
          <w:rFonts w:hint="eastAsia"/>
        </w:rPr>
        <w:t>3</w:t>
      </w:r>
      <w:r>
        <w:t>.</w:t>
      </w:r>
      <w:r>
        <w:rPr>
          <w:rFonts w:hint="eastAsia"/>
          <w:lang w:val="en-US" w:eastAsia="zh-CN"/>
        </w:rPr>
        <w:t>2</w:t>
      </w:r>
      <w:bookmarkEnd w:id="157"/>
      <w:r>
        <w:rPr>
          <w:rFonts w:hint="eastAsia"/>
          <w:lang w:val="en-US" w:eastAsia="zh-CN"/>
        </w:rPr>
        <w:t xml:space="preserve"> </w:t>
      </w:r>
      <w:r>
        <w:t>地表水环境</w:t>
      </w:r>
      <w:r>
        <w:rPr>
          <w:rFonts w:hint="eastAsia"/>
          <w:lang w:val="en-US" w:eastAsia="zh-CN"/>
        </w:rPr>
        <w:t>敏感程度分级</w:t>
      </w:r>
      <w:bookmarkEnd w:id="158"/>
      <w:bookmarkEnd w:id="159"/>
    </w:p>
    <w:p>
      <w:pPr>
        <w:pStyle w:val="19"/>
        <w:bidi w:val="0"/>
        <w:rPr>
          <w:rFonts w:hint="default" w:eastAsia="宋体"/>
          <w:lang w:val="en-US" w:eastAsia="zh-CN"/>
        </w:rPr>
      </w:pPr>
      <w:r>
        <w:rPr>
          <w:rFonts w:hint="eastAsia"/>
          <w:lang w:val="en-US" w:eastAsia="zh-CN"/>
        </w:rPr>
        <w:t>根据《建设项目环境风险评价技术导则》，需要对建设项目地表水环境敏感程度进行分级，具体见下表。</w:t>
      </w:r>
    </w:p>
    <w:p>
      <w:pPr>
        <w:bidi w:val="0"/>
        <w:jc w:val="center"/>
        <w:rPr>
          <w:b/>
          <w:bCs/>
        </w:rPr>
      </w:pPr>
      <w:r>
        <w:rPr>
          <w:b/>
          <w:bCs/>
        </w:rPr>
        <w:t>表2</w:t>
      </w:r>
      <w:r>
        <w:rPr>
          <w:rFonts w:hint="eastAsia"/>
          <w:b/>
          <w:bCs/>
          <w:lang w:val="en-US" w:eastAsia="zh-CN"/>
        </w:rPr>
        <w:t xml:space="preserve">-5  </w:t>
      </w:r>
      <w:r>
        <w:rPr>
          <w:b/>
          <w:bCs/>
        </w:rPr>
        <w:t>地表水功能敏感性分区表</w:t>
      </w:r>
    </w:p>
    <w:tbl>
      <w:tblPr>
        <w:tblStyle w:val="15"/>
        <w:tblW w:w="491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02"/>
        <w:gridCol w:w="73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80" w:type="pct"/>
            <w:tcBorders>
              <w:tl2br w:val="nil"/>
              <w:tr2bl w:val="nil"/>
            </w:tcBorders>
            <w:noWrap w:val="0"/>
            <w:vAlign w:val="center"/>
          </w:tcPr>
          <w:p>
            <w:pPr>
              <w:pStyle w:val="18"/>
              <w:bidi w:val="0"/>
              <w:jc w:val="center"/>
            </w:pPr>
            <w:r>
              <w:t>分级</w:t>
            </w:r>
          </w:p>
        </w:tc>
        <w:tc>
          <w:tcPr>
            <w:tcW w:w="4019" w:type="pct"/>
            <w:tcBorders>
              <w:tl2br w:val="nil"/>
              <w:tr2bl w:val="nil"/>
            </w:tcBorders>
            <w:noWrap w:val="0"/>
            <w:vAlign w:val="center"/>
          </w:tcPr>
          <w:p>
            <w:pPr>
              <w:pStyle w:val="18"/>
              <w:bidi w:val="0"/>
              <w:jc w:val="center"/>
            </w:pPr>
            <w:r>
              <w:t>地表水环境敏感特征判据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80" w:type="pct"/>
            <w:tcBorders>
              <w:tl2br w:val="nil"/>
              <w:tr2bl w:val="nil"/>
            </w:tcBorders>
            <w:noWrap w:val="0"/>
            <w:vAlign w:val="center"/>
          </w:tcPr>
          <w:p>
            <w:pPr>
              <w:pStyle w:val="18"/>
              <w:bidi w:val="0"/>
              <w:jc w:val="center"/>
            </w:pPr>
            <w:r>
              <w:t>敏感F1</w:t>
            </w:r>
          </w:p>
        </w:tc>
        <w:tc>
          <w:tcPr>
            <w:tcW w:w="4019" w:type="pct"/>
            <w:tcBorders>
              <w:tl2br w:val="nil"/>
              <w:tr2bl w:val="nil"/>
            </w:tcBorders>
            <w:noWrap w:val="0"/>
            <w:vAlign w:val="center"/>
          </w:tcPr>
          <w:p>
            <w:pPr>
              <w:pStyle w:val="18"/>
              <w:bidi w:val="0"/>
              <w:jc w:val="both"/>
            </w:pPr>
            <w:r>
              <w:t>排放点进入地表水水域环境功能为Ⅱ类及以上，或海水水质分类第一类；</w:t>
            </w:r>
            <w:r>
              <w:rPr>
                <w:rFonts w:hint="eastAsia"/>
                <w:lang w:eastAsia="zh-CN"/>
              </w:rPr>
              <w:t>或已发生</w:t>
            </w:r>
            <w:r>
              <w:t>事故时，危险物质泄漏到水体的排放点算起，排放进入受纳河流最大流速时，24h流经范围内涉跨国界的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80" w:type="pct"/>
            <w:tcBorders>
              <w:tl2br w:val="nil"/>
              <w:tr2bl w:val="nil"/>
            </w:tcBorders>
            <w:noWrap w:val="0"/>
            <w:vAlign w:val="center"/>
          </w:tcPr>
          <w:p>
            <w:pPr>
              <w:pStyle w:val="18"/>
              <w:bidi w:val="0"/>
              <w:jc w:val="center"/>
            </w:pPr>
            <w:r>
              <w:t>较敏感F2</w:t>
            </w:r>
          </w:p>
        </w:tc>
        <w:tc>
          <w:tcPr>
            <w:tcW w:w="4019" w:type="pct"/>
            <w:tcBorders>
              <w:tl2br w:val="nil"/>
              <w:tr2bl w:val="nil"/>
            </w:tcBorders>
            <w:noWrap w:val="0"/>
            <w:vAlign w:val="center"/>
          </w:tcPr>
          <w:p>
            <w:pPr>
              <w:pStyle w:val="18"/>
              <w:bidi w:val="0"/>
              <w:jc w:val="both"/>
            </w:pPr>
            <w:r>
              <w:t>排放点进入地表水水域环境功能为Ⅲ类，或海水水质分类第二类；</w:t>
            </w:r>
            <w:r>
              <w:rPr>
                <w:rFonts w:hint="eastAsia"/>
                <w:lang w:eastAsia="zh-CN"/>
              </w:rPr>
              <w:t>或已发生</w:t>
            </w:r>
            <w:r>
              <w:t>事故时，危险物质泄漏到水体的排放点算起，排放进入受纳河流最大流速时，24h流经范围内涉跨省界的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80" w:type="pct"/>
            <w:tcBorders>
              <w:tl2br w:val="nil"/>
              <w:tr2bl w:val="nil"/>
            </w:tcBorders>
            <w:noWrap w:val="0"/>
            <w:vAlign w:val="center"/>
          </w:tcPr>
          <w:p>
            <w:pPr>
              <w:pStyle w:val="18"/>
              <w:bidi w:val="0"/>
              <w:jc w:val="center"/>
            </w:pPr>
            <w:r>
              <w:t>低敏感F3</w:t>
            </w:r>
          </w:p>
        </w:tc>
        <w:tc>
          <w:tcPr>
            <w:tcW w:w="4019" w:type="pct"/>
            <w:tcBorders>
              <w:tl2br w:val="nil"/>
              <w:tr2bl w:val="nil"/>
            </w:tcBorders>
            <w:noWrap w:val="0"/>
            <w:vAlign w:val="center"/>
          </w:tcPr>
          <w:p>
            <w:pPr>
              <w:pStyle w:val="18"/>
              <w:bidi w:val="0"/>
              <w:jc w:val="both"/>
            </w:pPr>
            <w:r>
              <w:t>上述地区之外的其他地区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80" w:type="pct"/>
            <w:tcBorders>
              <w:tl2br w:val="nil"/>
              <w:tr2bl w:val="nil"/>
            </w:tcBorders>
            <w:noWrap w:val="0"/>
            <w:vAlign w:val="center"/>
          </w:tcPr>
          <w:p>
            <w:pPr>
              <w:pStyle w:val="18"/>
              <w:bidi w:val="0"/>
              <w:jc w:val="center"/>
            </w:pPr>
            <w:r>
              <w:t>本项目判定</w:t>
            </w:r>
          </w:p>
        </w:tc>
        <w:tc>
          <w:tcPr>
            <w:tcW w:w="4019" w:type="pct"/>
            <w:tcBorders>
              <w:tl2br w:val="nil"/>
              <w:tr2bl w:val="nil"/>
            </w:tcBorders>
            <w:noWrap w:val="0"/>
            <w:vAlign w:val="center"/>
          </w:tcPr>
          <w:p>
            <w:pPr>
              <w:pStyle w:val="18"/>
              <w:bidi w:val="0"/>
              <w:jc w:val="both"/>
            </w:pPr>
            <w:r>
              <w:t>项目排放点进入地表水水域环境功能为</w:t>
            </w:r>
            <w:r>
              <w:rPr>
                <w:rFonts w:hint="eastAsia"/>
                <w:lang w:val="en-US" w:eastAsia="zh-CN"/>
              </w:rPr>
              <w:t>III</w:t>
            </w:r>
            <w:r>
              <w:t>类，判定本项目地表水环境敏感性为F</w:t>
            </w:r>
            <w:r>
              <w:rPr>
                <w:rFonts w:hint="eastAsia"/>
                <w:lang w:val="en-US" w:eastAsia="zh-CN"/>
              </w:rPr>
              <w:t>2</w:t>
            </w:r>
            <w:r>
              <w:t>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80" w:type="pct"/>
            <w:tcBorders>
              <w:tl2br w:val="nil"/>
              <w:tr2bl w:val="nil"/>
            </w:tcBorders>
            <w:noWrap w:val="0"/>
            <w:vAlign w:val="center"/>
          </w:tcPr>
          <w:p>
            <w:pPr>
              <w:pStyle w:val="18"/>
              <w:bidi w:val="0"/>
              <w:jc w:val="center"/>
            </w:pPr>
            <w:r>
              <w:t>判定结果</w:t>
            </w:r>
          </w:p>
        </w:tc>
        <w:tc>
          <w:tcPr>
            <w:tcW w:w="4019" w:type="pct"/>
            <w:tcBorders>
              <w:tl2br w:val="nil"/>
              <w:tr2bl w:val="nil"/>
            </w:tcBorders>
            <w:noWrap w:val="0"/>
            <w:vAlign w:val="center"/>
          </w:tcPr>
          <w:p>
            <w:pPr>
              <w:pStyle w:val="18"/>
              <w:bidi w:val="0"/>
              <w:jc w:val="center"/>
              <w:rPr>
                <w:rFonts w:hint="eastAsia"/>
                <w:lang w:eastAsia="zh-CN"/>
              </w:rPr>
            </w:pPr>
            <w:r>
              <w:t>F</w:t>
            </w:r>
            <w:r>
              <w:rPr>
                <w:rFonts w:hint="eastAsia"/>
                <w:lang w:val="en-US" w:eastAsia="zh-CN"/>
              </w:rPr>
              <w:t>2</w:t>
            </w:r>
          </w:p>
        </w:tc>
      </w:tr>
    </w:tbl>
    <w:p>
      <w:pPr>
        <w:spacing w:line="480" w:lineRule="exact"/>
        <w:ind w:firstLine="482" w:firstLineChars="200"/>
        <w:jc w:val="center"/>
        <w:rPr>
          <w:b/>
        </w:rPr>
      </w:pPr>
      <w:r>
        <w:rPr>
          <w:rFonts w:hint="eastAsia"/>
          <w:b/>
          <w:bCs/>
          <w:lang w:val="en-US" w:eastAsia="zh-CN"/>
        </w:rPr>
        <w:t xml:space="preserve">表2-6 </w:t>
      </w:r>
      <w:r>
        <w:rPr>
          <w:rFonts w:hint="eastAsia"/>
          <w:lang w:val="en-US" w:eastAsia="zh-CN"/>
        </w:rPr>
        <w:t xml:space="preserve"> </w:t>
      </w:r>
      <w:r>
        <w:rPr>
          <w:b/>
        </w:rPr>
        <w:t>环境敏感目标分级表</w:t>
      </w:r>
    </w:p>
    <w:tbl>
      <w:tblPr>
        <w:tblStyle w:val="15"/>
        <w:tblW w:w="500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80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679" w:type="pct"/>
            <w:tcBorders>
              <w:tl2br w:val="nil"/>
              <w:tr2bl w:val="nil"/>
            </w:tcBorders>
            <w:noWrap w:val="0"/>
            <w:vAlign w:val="center"/>
          </w:tcPr>
          <w:p>
            <w:pPr>
              <w:pStyle w:val="18"/>
              <w:bidi w:val="0"/>
              <w:jc w:val="center"/>
            </w:pPr>
            <w:r>
              <w:t>分级</w:t>
            </w:r>
          </w:p>
        </w:tc>
        <w:tc>
          <w:tcPr>
            <w:tcW w:w="4320" w:type="pct"/>
            <w:tcBorders>
              <w:tl2br w:val="nil"/>
              <w:tr2bl w:val="nil"/>
            </w:tcBorders>
            <w:noWrap w:val="0"/>
            <w:vAlign w:val="center"/>
          </w:tcPr>
          <w:p>
            <w:pPr>
              <w:pStyle w:val="18"/>
              <w:bidi w:val="0"/>
              <w:jc w:val="center"/>
            </w:pPr>
            <w:r>
              <w:t>地表水环境敏感特征判据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25" w:hRule="atLeast"/>
        </w:trPr>
        <w:tc>
          <w:tcPr>
            <w:tcW w:w="679" w:type="pct"/>
            <w:tcBorders>
              <w:tl2br w:val="nil"/>
              <w:tr2bl w:val="nil"/>
            </w:tcBorders>
            <w:noWrap w:val="0"/>
            <w:vAlign w:val="center"/>
          </w:tcPr>
          <w:p>
            <w:pPr>
              <w:pStyle w:val="18"/>
              <w:bidi w:val="0"/>
              <w:jc w:val="center"/>
            </w:pPr>
            <w:r>
              <w:t>S1</w:t>
            </w:r>
          </w:p>
        </w:tc>
        <w:tc>
          <w:tcPr>
            <w:tcW w:w="4320" w:type="pct"/>
            <w:tcBorders>
              <w:tl2br w:val="nil"/>
              <w:tr2bl w:val="nil"/>
            </w:tcBorders>
            <w:noWrap w:val="0"/>
            <w:vAlign w:val="center"/>
          </w:tcPr>
          <w:p>
            <w:pPr>
              <w:pStyle w:val="18"/>
              <w:bidi w:val="0"/>
              <w:jc w:val="both"/>
            </w:pPr>
            <w: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9" w:hRule="atLeast"/>
        </w:trPr>
        <w:tc>
          <w:tcPr>
            <w:tcW w:w="679" w:type="pct"/>
            <w:tcBorders>
              <w:tl2br w:val="nil"/>
              <w:tr2bl w:val="nil"/>
            </w:tcBorders>
            <w:noWrap w:val="0"/>
            <w:vAlign w:val="center"/>
          </w:tcPr>
          <w:p>
            <w:pPr>
              <w:pStyle w:val="18"/>
              <w:bidi w:val="0"/>
              <w:jc w:val="center"/>
            </w:pPr>
            <w:r>
              <w:t>S2</w:t>
            </w:r>
          </w:p>
        </w:tc>
        <w:tc>
          <w:tcPr>
            <w:tcW w:w="4320" w:type="pct"/>
            <w:tcBorders>
              <w:tl2br w:val="nil"/>
              <w:tr2bl w:val="nil"/>
            </w:tcBorders>
            <w:noWrap w:val="0"/>
            <w:vAlign w:val="center"/>
          </w:tcPr>
          <w:p>
            <w:pPr>
              <w:pStyle w:val="18"/>
              <w:bidi w:val="0"/>
              <w:jc w:val="both"/>
            </w:pPr>
            <w: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79" w:type="pct"/>
            <w:tcBorders>
              <w:tl2br w:val="nil"/>
              <w:tr2bl w:val="nil"/>
            </w:tcBorders>
            <w:noWrap w:val="0"/>
            <w:vAlign w:val="center"/>
          </w:tcPr>
          <w:p>
            <w:pPr>
              <w:pStyle w:val="18"/>
              <w:bidi w:val="0"/>
              <w:jc w:val="center"/>
            </w:pPr>
            <w:r>
              <w:t>S3</w:t>
            </w:r>
          </w:p>
        </w:tc>
        <w:tc>
          <w:tcPr>
            <w:tcW w:w="4320" w:type="pct"/>
            <w:tcBorders>
              <w:tl2br w:val="nil"/>
              <w:tr2bl w:val="nil"/>
            </w:tcBorders>
            <w:noWrap w:val="0"/>
            <w:vAlign w:val="center"/>
          </w:tcPr>
          <w:p>
            <w:pPr>
              <w:pStyle w:val="18"/>
              <w:bidi w:val="0"/>
              <w:jc w:val="both"/>
            </w:pPr>
            <w:r>
              <w:t>排放点下游（顺水流向）10km范围、近岸海域一个潮周期水质点可能达到的最大水平距离的两倍范围内无上述类型1和类型2包括的敏感保护目标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79" w:type="pct"/>
            <w:tcBorders>
              <w:tl2br w:val="nil"/>
              <w:tr2bl w:val="nil"/>
            </w:tcBorders>
            <w:noWrap w:val="0"/>
            <w:vAlign w:val="center"/>
          </w:tcPr>
          <w:p>
            <w:pPr>
              <w:pStyle w:val="18"/>
              <w:bidi w:val="0"/>
              <w:jc w:val="center"/>
            </w:pPr>
            <w:r>
              <w:t>本项目判定</w:t>
            </w:r>
          </w:p>
        </w:tc>
        <w:tc>
          <w:tcPr>
            <w:tcW w:w="4320" w:type="pct"/>
            <w:tcBorders>
              <w:tl2br w:val="nil"/>
              <w:tr2bl w:val="nil"/>
            </w:tcBorders>
            <w:noWrap w:val="0"/>
            <w:vAlign w:val="center"/>
          </w:tcPr>
          <w:p>
            <w:pPr>
              <w:pStyle w:val="18"/>
              <w:bidi w:val="0"/>
              <w:jc w:val="both"/>
            </w:pPr>
            <w:r>
              <w:t>项目区域下游10km无上述类型1和类型2包括的敏感保护目标，判定本项目环境敏感目标敏感性为S3级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679" w:type="pct"/>
            <w:tcBorders>
              <w:tl2br w:val="nil"/>
              <w:tr2bl w:val="nil"/>
            </w:tcBorders>
            <w:noWrap w:val="0"/>
            <w:vAlign w:val="center"/>
          </w:tcPr>
          <w:p>
            <w:pPr>
              <w:pStyle w:val="18"/>
              <w:bidi w:val="0"/>
              <w:jc w:val="center"/>
            </w:pPr>
            <w:r>
              <w:t>判定结果</w:t>
            </w:r>
          </w:p>
        </w:tc>
        <w:tc>
          <w:tcPr>
            <w:tcW w:w="4320" w:type="pct"/>
            <w:tcBorders>
              <w:tl2br w:val="nil"/>
              <w:tr2bl w:val="nil"/>
            </w:tcBorders>
            <w:noWrap w:val="0"/>
            <w:vAlign w:val="center"/>
          </w:tcPr>
          <w:p>
            <w:pPr>
              <w:pStyle w:val="18"/>
              <w:bidi w:val="0"/>
              <w:jc w:val="center"/>
            </w:pPr>
            <w:r>
              <w:t>S3</w:t>
            </w:r>
          </w:p>
        </w:tc>
      </w:tr>
    </w:tbl>
    <w:p>
      <w:pPr>
        <w:spacing w:line="480" w:lineRule="exact"/>
        <w:ind w:firstLine="480" w:firstLineChars="200"/>
        <w:rPr>
          <w:rFonts w:hint="default" w:eastAsia="宋体"/>
          <w:lang w:val="en-US" w:eastAsia="zh-CN"/>
        </w:rPr>
      </w:pPr>
      <w:r>
        <w:t>根据上表可知，项目地表水环境敏感特征为低敏感S3级。</w:t>
      </w:r>
      <w:r>
        <w:rPr>
          <w:rFonts w:hint="eastAsia"/>
          <w:lang w:val="en-US" w:eastAsia="zh-CN"/>
        </w:rPr>
        <w:t>地表水功能敏感性分区为F2区。</w:t>
      </w:r>
    </w:p>
    <w:p>
      <w:pPr>
        <w:pStyle w:val="19"/>
        <w:bidi w:val="0"/>
        <w:rPr>
          <w:rFonts w:hint="default"/>
          <w:lang w:val="en-US" w:eastAsia="zh-CN"/>
        </w:rPr>
      </w:pPr>
      <w:r>
        <w:rPr>
          <w:rFonts w:hint="eastAsia"/>
          <w:lang w:val="en-US" w:eastAsia="zh-CN"/>
        </w:rPr>
        <w:t>最终确定地表水环境敏感程度为E2。</w:t>
      </w:r>
    </w:p>
    <w:p>
      <w:pPr>
        <w:spacing w:line="480" w:lineRule="exact"/>
        <w:ind w:firstLine="482" w:firstLineChars="200"/>
        <w:jc w:val="center"/>
        <w:rPr>
          <w:b/>
        </w:rPr>
      </w:pPr>
      <w:r>
        <w:rPr>
          <w:b/>
        </w:rPr>
        <w:t>表2-</w:t>
      </w:r>
      <w:r>
        <w:rPr>
          <w:rFonts w:hint="eastAsia"/>
          <w:b/>
          <w:lang w:val="en-US" w:eastAsia="zh-CN"/>
        </w:rPr>
        <w:t>8</w:t>
      </w:r>
      <w:r>
        <w:rPr>
          <w:b/>
        </w:rPr>
        <w:t>地表水环境敏感程度分级表</w:t>
      </w:r>
    </w:p>
    <w:tbl>
      <w:tblPr>
        <w:tblStyle w:val="15"/>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08"/>
        <w:gridCol w:w="2208"/>
        <w:gridCol w:w="2209"/>
        <w:gridCol w:w="22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208" w:type="dxa"/>
            <w:vMerge w:val="restart"/>
            <w:tcBorders>
              <w:tl2br w:val="nil"/>
              <w:tr2bl w:val="nil"/>
            </w:tcBorders>
            <w:noWrap w:val="0"/>
            <w:vAlign w:val="center"/>
          </w:tcPr>
          <w:p>
            <w:pPr>
              <w:pStyle w:val="18"/>
              <w:bidi w:val="0"/>
              <w:jc w:val="center"/>
            </w:pPr>
            <w:r>
              <w:t>环境敏感目标</w:t>
            </w:r>
          </w:p>
        </w:tc>
        <w:tc>
          <w:tcPr>
            <w:tcW w:w="6626" w:type="dxa"/>
            <w:gridSpan w:val="3"/>
            <w:tcBorders>
              <w:tl2br w:val="nil"/>
              <w:tr2bl w:val="nil"/>
            </w:tcBorders>
            <w:noWrap w:val="0"/>
            <w:vAlign w:val="center"/>
          </w:tcPr>
          <w:p>
            <w:pPr>
              <w:pStyle w:val="18"/>
              <w:bidi w:val="0"/>
              <w:jc w:val="center"/>
            </w:pPr>
            <w:r>
              <w:t>地表水功能敏感性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208" w:type="dxa"/>
            <w:vMerge w:val="continue"/>
            <w:tcBorders>
              <w:tl2br w:val="nil"/>
              <w:tr2bl w:val="nil"/>
            </w:tcBorders>
            <w:noWrap w:val="0"/>
            <w:vAlign w:val="center"/>
          </w:tcPr>
          <w:p>
            <w:pPr>
              <w:pStyle w:val="18"/>
              <w:bidi w:val="0"/>
              <w:jc w:val="center"/>
            </w:pPr>
          </w:p>
        </w:tc>
        <w:tc>
          <w:tcPr>
            <w:tcW w:w="2208" w:type="dxa"/>
            <w:tcBorders>
              <w:tl2br w:val="nil"/>
              <w:tr2bl w:val="nil"/>
            </w:tcBorders>
            <w:noWrap w:val="0"/>
            <w:vAlign w:val="center"/>
          </w:tcPr>
          <w:p>
            <w:pPr>
              <w:pStyle w:val="18"/>
              <w:bidi w:val="0"/>
              <w:jc w:val="center"/>
            </w:pPr>
            <w:r>
              <w:t>F1</w:t>
            </w:r>
          </w:p>
        </w:tc>
        <w:tc>
          <w:tcPr>
            <w:tcW w:w="2209" w:type="dxa"/>
            <w:tcBorders>
              <w:tl2br w:val="nil"/>
              <w:tr2bl w:val="nil"/>
            </w:tcBorders>
            <w:noWrap w:val="0"/>
            <w:vAlign w:val="center"/>
          </w:tcPr>
          <w:p>
            <w:pPr>
              <w:pStyle w:val="18"/>
              <w:bidi w:val="0"/>
              <w:jc w:val="center"/>
            </w:pPr>
            <w:r>
              <w:rPr>
                <w:b/>
                <w:bCs/>
              </w:rPr>
              <w:t>F2</w:t>
            </w:r>
          </w:p>
        </w:tc>
        <w:tc>
          <w:tcPr>
            <w:tcW w:w="2209" w:type="dxa"/>
            <w:tcBorders>
              <w:tl2br w:val="nil"/>
              <w:tr2bl w:val="nil"/>
            </w:tcBorders>
            <w:noWrap w:val="0"/>
            <w:vAlign w:val="center"/>
          </w:tcPr>
          <w:p>
            <w:pPr>
              <w:pStyle w:val="18"/>
              <w:bidi w:val="0"/>
              <w:jc w:val="center"/>
            </w:pPr>
            <w:r>
              <w:t>F3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208" w:type="dxa"/>
            <w:tcBorders>
              <w:tl2br w:val="nil"/>
              <w:tr2bl w:val="nil"/>
            </w:tcBorders>
            <w:noWrap w:val="0"/>
            <w:vAlign w:val="center"/>
          </w:tcPr>
          <w:p>
            <w:pPr>
              <w:pStyle w:val="18"/>
              <w:bidi w:val="0"/>
              <w:jc w:val="center"/>
            </w:pPr>
            <w:r>
              <w:t>S1</w:t>
            </w:r>
          </w:p>
        </w:tc>
        <w:tc>
          <w:tcPr>
            <w:tcW w:w="2208" w:type="dxa"/>
            <w:tcBorders>
              <w:tl2br w:val="nil"/>
              <w:tr2bl w:val="nil"/>
            </w:tcBorders>
            <w:noWrap w:val="0"/>
            <w:vAlign w:val="center"/>
          </w:tcPr>
          <w:p>
            <w:pPr>
              <w:pStyle w:val="18"/>
              <w:bidi w:val="0"/>
              <w:jc w:val="center"/>
            </w:pPr>
            <w:r>
              <w:t>E1</w:t>
            </w:r>
          </w:p>
        </w:tc>
        <w:tc>
          <w:tcPr>
            <w:tcW w:w="2209" w:type="dxa"/>
            <w:tcBorders>
              <w:tl2br w:val="nil"/>
              <w:tr2bl w:val="nil"/>
            </w:tcBorders>
            <w:noWrap w:val="0"/>
            <w:vAlign w:val="center"/>
          </w:tcPr>
          <w:p>
            <w:pPr>
              <w:pStyle w:val="18"/>
              <w:bidi w:val="0"/>
              <w:jc w:val="center"/>
            </w:pPr>
            <w:r>
              <w:t>E1</w:t>
            </w:r>
          </w:p>
        </w:tc>
        <w:tc>
          <w:tcPr>
            <w:tcW w:w="2209" w:type="dxa"/>
            <w:tcBorders>
              <w:tl2br w:val="nil"/>
              <w:tr2bl w:val="nil"/>
            </w:tcBorders>
            <w:noWrap w:val="0"/>
            <w:vAlign w:val="center"/>
          </w:tcPr>
          <w:p>
            <w:pPr>
              <w:pStyle w:val="18"/>
              <w:bidi w:val="0"/>
              <w:jc w:val="center"/>
            </w:pPr>
            <w:r>
              <w:t>E2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208" w:type="dxa"/>
            <w:tcBorders>
              <w:tl2br w:val="nil"/>
              <w:tr2bl w:val="nil"/>
            </w:tcBorders>
            <w:noWrap w:val="0"/>
            <w:vAlign w:val="center"/>
          </w:tcPr>
          <w:p>
            <w:pPr>
              <w:pStyle w:val="18"/>
              <w:bidi w:val="0"/>
              <w:jc w:val="center"/>
            </w:pPr>
            <w:r>
              <w:t>S2</w:t>
            </w:r>
          </w:p>
        </w:tc>
        <w:tc>
          <w:tcPr>
            <w:tcW w:w="2208" w:type="dxa"/>
            <w:tcBorders>
              <w:tl2br w:val="nil"/>
              <w:tr2bl w:val="nil"/>
            </w:tcBorders>
            <w:noWrap w:val="0"/>
            <w:vAlign w:val="center"/>
          </w:tcPr>
          <w:p>
            <w:pPr>
              <w:pStyle w:val="18"/>
              <w:bidi w:val="0"/>
              <w:jc w:val="center"/>
            </w:pPr>
            <w:r>
              <w:t>E1</w:t>
            </w:r>
          </w:p>
        </w:tc>
        <w:tc>
          <w:tcPr>
            <w:tcW w:w="2209" w:type="dxa"/>
            <w:tcBorders>
              <w:tl2br w:val="nil"/>
              <w:tr2bl w:val="nil"/>
            </w:tcBorders>
            <w:noWrap w:val="0"/>
            <w:vAlign w:val="center"/>
          </w:tcPr>
          <w:p>
            <w:pPr>
              <w:pStyle w:val="18"/>
              <w:bidi w:val="0"/>
              <w:jc w:val="center"/>
            </w:pPr>
            <w:r>
              <w:t>E2</w:t>
            </w:r>
          </w:p>
        </w:tc>
        <w:tc>
          <w:tcPr>
            <w:tcW w:w="2209" w:type="dxa"/>
            <w:tcBorders>
              <w:tl2br w:val="nil"/>
              <w:tr2bl w:val="nil"/>
            </w:tcBorders>
            <w:noWrap w:val="0"/>
            <w:vAlign w:val="center"/>
          </w:tcPr>
          <w:p>
            <w:pPr>
              <w:pStyle w:val="18"/>
              <w:bidi w:val="0"/>
              <w:jc w:val="center"/>
            </w:pPr>
            <w:r>
              <w:t>E3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208" w:type="dxa"/>
            <w:tcBorders>
              <w:tl2br w:val="nil"/>
              <w:tr2bl w:val="nil"/>
            </w:tcBorders>
            <w:noWrap w:val="0"/>
            <w:vAlign w:val="center"/>
          </w:tcPr>
          <w:p>
            <w:pPr>
              <w:pStyle w:val="18"/>
              <w:bidi w:val="0"/>
              <w:jc w:val="center"/>
            </w:pPr>
            <w:r>
              <w:rPr>
                <w:b/>
                <w:bCs/>
              </w:rPr>
              <w:t>S3</w:t>
            </w:r>
          </w:p>
        </w:tc>
        <w:tc>
          <w:tcPr>
            <w:tcW w:w="2208" w:type="dxa"/>
            <w:tcBorders>
              <w:tl2br w:val="nil"/>
              <w:tr2bl w:val="nil"/>
            </w:tcBorders>
            <w:noWrap w:val="0"/>
            <w:vAlign w:val="center"/>
          </w:tcPr>
          <w:p>
            <w:pPr>
              <w:pStyle w:val="18"/>
              <w:bidi w:val="0"/>
              <w:jc w:val="center"/>
            </w:pPr>
            <w:r>
              <w:t>E1</w:t>
            </w:r>
          </w:p>
        </w:tc>
        <w:tc>
          <w:tcPr>
            <w:tcW w:w="2209" w:type="dxa"/>
            <w:tcBorders>
              <w:tl2br w:val="nil"/>
              <w:tr2bl w:val="nil"/>
            </w:tcBorders>
            <w:noWrap w:val="0"/>
            <w:vAlign w:val="center"/>
          </w:tcPr>
          <w:p>
            <w:pPr>
              <w:pStyle w:val="18"/>
              <w:bidi w:val="0"/>
              <w:jc w:val="center"/>
            </w:pPr>
            <w:r>
              <w:rPr>
                <w:b/>
                <w:bCs/>
              </w:rPr>
              <w:t>E2</w:t>
            </w:r>
          </w:p>
        </w:tc>
        <w:tc>
          <w:tcPr>
            <w:tcW w:w="2209" w:type="dxa"/>
            <w:tcBorders>
              <w:tl2br w:val="nil"/>
              <w:tr2bl w:val="nil"/>
            </w:tcBorders>
            <w:noWrap w:val="0"/>
            <w:vAlign w:val="center"/>
          </w:tcPr>
          <w:p>
            <w:pPr>
              <w:pStyle w:val="18"/>
              <w:bidi w:val="0"/>
              <w:jc w:val="center"/>
            </w:pPr>
            <w:r>
              <w:t>E3</w:t>
            </w:r>
          </w:p>
        </w:tc>
      </w:tr>
    </w:tbl>
    <w:p>
      <w:pPr>
        <w:pStyle w:val="5"/>
        <w:bidi w:val="0"/>
        <w:rPr>
          <w:rFonts w:hint="eastAsia"/>
          <w:lang w:val="en-US" w:eastAsia="zh-CN"/>
        </w:rPr>
      </w:pPr>
      <w:bookmarkStart w:id="160" w:name="_Toc3953"/>
      <w:bookmarkStart w:id="161" w:name="_Toc1466"/>
      <w:r>
        <w:rPr>
          <w:rFonts w:hint="eastAsia"/>
          <w:lang w:val="en-US" w:eastAsia="zh-CN"/>
        </w:rPr>
        <w:t>2.3.3 地下水环境敏感程度分级</w:t>
      </w:r>
      <w:bookmarkEnd w:id="160"/>
      <w:bookmarkEnd w:id="161"/>
    </w:p>
    <w:p>
      <w:pPr>
        <w:pStyle w:val="19"/>
        <w:bidi w:val="0"/>
        <w:rPr>
          <w:rFonts w:hint="default"/>
          <w:lang w:val="en-US" w:eastAsia="zh-CN"/>
        </w:rPr>
      </w:pPr>
      <w:r>
        <w:rPr>
          <w:rFonts w:hint="eastAsia"/>
          <w:lang w:val="en-US" w:eastAsia="zh-CN"/>
        </w:rPr>
        <w:t>根据调查，项目地下水评价范围内无集中式饮用水源及其补给径流区，无热水、矿泉水、温泉等特殊地下水资源和地下水敏感区；根据项目区地勘资料，项目区包气带岩土层单层厚度大于1m，渗透系数2.3×10</w:t>
      </w:r>
      <w:r>
        <w:rPr>
          <w:rFonts w:hint="eastAsia"/>
          <w:vertAlign w:val="superscript"/>
          <w:lang w:val="en-US" w:eastAsia="zh-CN"/>
        </w:rPr>
        <w:t>-5</w:t>
      </w:r>
      <w:r>
        <w:rPr>
          <w:rFonts w:hint="eastAsia"/>
          <w:lang w:val="en-US" w:eastAsia="zh-CN"/>
        </w:rPr>
        <w:t>cm/s。根据《建设项目环境风险评价导则》(HJ/T 169-2018)附录C可以确定本项目地下水功能敏感性分区为G3、包气带防污性能分级为D2，同时根据该附录确定本项目地下水环境敏感程度为E3。</w:t>
      </w:r>
    </w:p>
    <w:p>
      <w:pPr>
        <w:bidi w:val="0"/>
        <w:jc w:val="center"/>
        <w:rPr>
          <w:b/>
          <w:bCs/>
        </w:rPr>
      </w:pPr>
      <w:r>
        <w:rPr>
          <w:b/>
          <w:bCs/>
        </w:rPr>
        <w:t>表</w:t>
      </w:r>
      <w:r>
        <w:rPr>
          <w:rFonts w:hint="eastAsia"/>
          <w:b/>
          <w:bCs/>
          <w:lang w:val="en-US" w:eastAsia="zh-CN"/>
        </w:rPr>
        <w:t>2-9</w:t>
      </w:r>
      <w:r>
        <w:rPr>
          <w:b/>
          <w:bCs/>
        </w:rPr>
        <w:t xml:space="preserve">  地下水功能敏感性分区</w:t>
      </w:r>
    </w:p>
    <w:tbl>
      <w:tblPr>
        <w:tblStyle w:val="15"/>
        <w:tblW w:w="5000" w:type="pct"/>
        <w:tblInd w:w="1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76"/>
        <w:gridCol w:w="758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60" w:type="pct"/>
            <w:noWrap w:val="0"/>
            <w:vAlign w:val="center"/>
          </w:tcPr>
          <w:p>
            <w:pPr>
              <w:pStyle w:val="18"/>
              <w:bidi w:val="0"/>
              <w:jc w:val="center"/>
            </w:pPr>
            <w:r>
              <w:t>敏感性</w:t>
            </w:r>
          </w:p>
        </w:tc>
        <w:tc>
          <w:tcPr>
            <w:tcW w:w="4140" w:type="pct"/>
            <w:noWrap w:val="0"/>
            <w:vAlign w:val="center"/>
          </w:tcPr>
          <w:p>
            <w:pPr>
              <w:pStyle w:val="18"/>
              <w:bidi w:val="0"/>
              <w:jc w:val="center"/>
            </w:pPr>
            <w:r>
              <w:t>地下水环境敏感特征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60" w:type="pct"/>
            <w:noWrap w:val="0"/>
            <w:vAlign w:val="center"/>
          </w:tcPr>
          <w:p>
            <w:pPr>
              <w:pStyle w:val="18"/>
              <w:bidi w:val="0"/>
              <w:jc w:val="center"/>
            </w:pPr>
            <w:r>
              <w:t>敏感G1</w:t>
            </w:r>
          </w:p>
        </w:tc>
        <w:tc>
          <w:tcPr>
            <w:tcW w:w="4140" w:type="pct"/>
            <w:noWrap w:val="0"/>
            <w:vAlign w:val="center"/>
          </w:tcPr>
          <w:p>
            <w:pPr>
              <w:pStyle w:val="18"/>
              <w:bidi w:val="0"/>
            </w:pPr>
            <w: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60" w:type="pct"/>
            <w:noWrap w:val="0"/>
            <w:vAlign w:val="center"/>
          </w:tcPr>
          <w:p>
            <w:pPr>
              <w:pStyle w:val="18"/>
              <w:bidi w:val="0"/>
              <w:jc w:val="center"/>
            </w:pPr>
            <w:r>
              <w:t>较敏感G2</w:t>
            </w:r>
          </w:p>
        </w:tc>
        <w:tc>
          <w:tcPr>
            <w:tcW w:w="4140" w:type="pct"/>
            <w:noWrap w:val="0"/>
            <w:vAlign w:val="center"/>
          </w:tcPr>
          <w:p>
            <w:pPr>
              <w:pStyle w:val="18"/>
              <w:bidi w:val="0"/>
            </w:pPr>
            <w: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860" w:type="pct"/>
            <w:noWrap w:val="0"/>
            <w:vAlign w:val="center"/>
          </w:tcPr>
          <w:p>
            <w:pPr>
              <w:pStyle w:val="18"/>
              <w:bidi w:val="0"/>
              <w:jc w:val="center"/>
            </w:pPr>
            <w:r>
              <w:t>不敏感G3</w:t>
            </w:r>
          </w:p>
        </w:tc>
        <w:tc>
          <w:tcPr>
            <w:tcW w:w="4140" w:type="pct"/>
            <w:noWrap w:val="0"/>
            <w:vAlign w:val="center"/>
          </w:tcPr>
          <w:p>
            <w:pPr>
              <w:pStyle w:val="18"/>
              <w:bidi w:val="0"/>
            </w:pPr>
            <w:r>
              <w:t>上述地区之外的其他地区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2"/>
            <w:noWrap w:val="0"/>
            <w:vAlign w:val="center"/>
          </w:tcPr>
          <w:p>
            <w:pPr>
              <w:pStyle w:val="18"/>
              <w:bidi w:val="0"/>
            </w:pPr>
            <w:r>
              <w:t>a“环境敏感区”是指《建设项目环境影响评价分类管理名录》中所界定的涉及地下水的环境敏感区</w:t>
            </w:r>
          </w:p>
        </w:tc>
      </w:tr>
    </w:tbl>
    <w:p>
      <w:pPr>
        <w:bidi w:val="0"/>
        <w:jc w:val="center"/>
        <w:rPr>
          <w:b/>
          <w:bCs/>
        </w:rPr>
      </w:pPr>
      <w:r>
        <w:rPr>
          <w:b/>
          <w:bCs/>
        </w:rPr>
        <w:t>表</w:t>
      </w:r>
      <w:r>
        <w:rPr>
          <w:rFonts w:hint="eastAsia"/>
          <w:b/>
          <w:bCs/>
          <w:lang w:val="en-US" w:eastAsia="zh-CN"/>
        </w:rPr>
        <w:t>2-10</w:t>
      </w:r>
      <w:r>
        <w:rPr>
          <w:b/>
          <w:bCs/>
        </w:rPr>
        <w:t xml:space="preserve">  包气带防污性能分级</w:t>
      </w:r>
    </w:p>
    <w:tbl>
      <w:tblPr>
        <w:tblStyle w:val="15"/>
        <w:tblW w:w="5000" w:type="pct"/>
        <w:tblInd w:w="1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108"/>
        <w:gridCol w:w="805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5" w:type="pct"/>
            <w:noWrap w:val="0"/>
            <w:vAlign w:val="center"/>
          </w:tcPr>
          <w:p>
            <w:pPr>
              <w:pStyle w:val="18"/>
              <w:bidi w:val="0"/>
              <w:jc w:val="center"/>
            </w:pPr>
            <w:r>
              <w:t>分级</w:t>
            </w:r>
          </w:p>
        </w:tc>
        <w:tc>
          <w:tcPr>
            <w:tcW w:w="4395" w:type="pct"/>
            <w:noWrap w:val="0"/>
            <w:vAlign w:val="center"/>
          </w:tcPr>
          <w:p>
            <w:pPr>
              <w:pStyle w:val="18"/>
              <w:bidi w:val="0"/>
              <w:jc w:val="center"/>
            </w:pPr>
            <w:r>
              <w:t>包气带岩土的渗透性能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5" w:type="pct"/>
            <w:noWrap w:val="0"/>
            <w:vAlign w:val="center"/>
          </w:tcPr>
          <w:p>
            <w:pPr>
              <w:pStyle w:val="18"/>
              <w:bidi w:val="0"/>
              <w:jc w:val="center"/>
            </w:pPr>
            <w:r>
              <w:t>D3</w:t>
            </w:r>
          </w:p>
        </w:tc>
        <w:tc>
          <w:tcPr>
            <w:tcW w:w="4395" w:type="pct"/>
            <w:noWrap w:val="0"/>
            <w:vAlign w:val="center"/>
          </w:tcPr>
          <w:p>
            <w:pPr>
              <w:pStyle w:val="18"/>
              <w:bidi w:val="0"/>
            </w:pPr>
            <w:r>
              <w:t>Mb≥1.0m，K≤1.0×10-6cm/s，且分布连续、稳定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5" w:type="pct"/>
            <w:noWrap w:val="0"/>
            <w:vAlign w:val="center"/>
          </w:tcPr>
          <w:p>
            <w:pPr>
              <w:pStyle w:val="18"/>
              <w:bidi w:val="0"/>
              <w:jc w:val="center"/>
            </w:pPr>
            <w:r>
              <w:t>D2</w:t>
            </w:r>
          </w:p>
        </w:tc>
        <w:tc>
          <w:tcPr>
            <w:tcW w:w="4395" w:type="pct"/>
            <w:noWrap w:val="0"/>
            <w:vAlign w:val="center"/>
          </w:tcPr>
          <w:p>
            <w:pPr>
              <w:pStyle w:val="18"/>
              <w:bidi w:val="0"/>
            </w:pPr>
            <w:r>
              <w:t>0.5m≤Mb&lt;1.0m，K≤1.0×10-6cm/s，且分布连续、稳定</w:t>
            </w:r>
          </w:p>
          <w:p>
            <w:pPr>
              <w:pStyle w:val="18"/>
              <w:bidi w:val="0"/>
            </w:pPr>
            <w:r>
              <w:t>Mb≥1.0m，1.0×10-6cm/s＜K≤1.0×10-4cm/s，且分布连续、稳定</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5" w:type="pct"/>
            <w:noWrap w:val="0"/>
            <w:vAlign w:val="center"/>
          </w:tcPr>
          <w:p>
            <w:pPr>
              <w:pStyle w:val="18"/>
              <w:bidi w:val="0"/>
              <w:jc w:val="center"/>
            </w:pPr>
            <w:r>
              <w:t>D1</w:t>
            </w:r>
          </w:p>
        </w:tc>
        <w:tc>
          <w:tcPr>
            <w:tcW w:w="4395" w:type="pct"/>
            <w:noWrap w:val="0"/>
            <w:vAlign w:val="center"/>
          </w:tcPr>
          <w:p>
            <w:pPr>
              <w:pStyle w:val="18"/>
              <w:bidi w:val="0"/>
            </w:pPr>
            <w:r>
              <w:t>岩(土)层不满足上述“D2”和“D3”条件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gridSpan w:val="2"/>
            <w:noWrap w:val="0"/>
            <w:vAlign w:val="center"/>
          </w:tcPr>
          <w:p>
            <w:pPr>
              <w:pStyle w:val="18"/>
              <w:bidi w:val="0"/>
            </w:pPr>
            <w:r>
              <w:t>Mb：岩土层单层厚度。</w:t>
            </w:r>
          </w:p>
          <w:p>
            <w:pPr>
              <w:pStyle w:val="18"/>
              <w:bidi w:val="0"/>
            </w:pPr>
            <w:r>
              <w:t>K：渗透系数。</w:t>
            </w:r>
          </w:p>
        </w:tc>
      </w:tr>
    </w:tbl>
    <w:p>
      <w:pPr>
        <w:bidi w:val="0"/>
        <w:jc w:val="center"/>
        <w:rPr>
          <w:b/>
          <w:bCs/>
        </w:rPr>
      </w:pPr>
      <w:r>
        <w:rPr>
          <w:b/>
          <w:bCs/>
        </w:rPr>
        <w:t>表</w:t>
      </w:r>
      <w:r>
        <w:rPr>
          <w:rFonts w:hint="eastAsia"/>
          <w:b/>
          <w:bCs/>
          <w:lang w:val="en-US" w:eastAsia="zh-CN"/>
        </w:rPr>
        <w:t>2-11</w:t>
      </w:r>
      <w:r>
        <w:rPr>
          <w:b/>
          <w:bCs/>
        </w:rPr>
        <w:t xml:space="preserve">  地下水环境敏感程度分级</w:t>
      </w:r>
    </w:p>
    <w:tbl>
      <w:tblPr>
        <w:tblStyle w:val="15"/>
        <w:tblW w:w="5000" w:type="pct"/>
        <w:tblInd w:w="15" w:type="dxa"/>
        <w:tblLayout w:type="autofit"/>
        <w:tblCellMar>
          <w:top w:w="0" w:type="dxa"/>
          <w:left w:w="0" w:type="dxa"/>
          <w:bottom w:w="0" w:type="dxa"/>
          <w:right w:w="0" w:type="dxa"/>
        </w:tblCellMar>
      </w:tblPr>
      <w:tblGrid>
        <w:gridCol w:w="2939"/>
        <w:gridCol w:w="1641"/>
        <w:gridCol w:w="2290"/>
        <w:gridCol w:w="2290"/>
      </w:tblGrid>
      <w:tr>
        <w:tblPrEx>
          <w:tblCellMar>
            <w:top w:w="0" w:type="dxa"/>
            <w:left w:w="0" w:type="dxa"/>
            <w:bottom w:w="0" w:type="dxa"/>
            <w:right w:w="0" w:type="dxa"/>
          </w:tblCellMar>
        </w:tblPrEx>
        <w:trPr>
          <w:trHeight w:val="340" w:hRule="exact"/>
        </w:trPr>
        <w:tc>
          <w:tcPr>
            <w:tcW w:w="1604" w:type="pct"/>
            <w:vMerge w:val="restart"/>
            <w:tcBorders>
              <w:top w:val="single" w:color="000000" w:sz="12" w:space="0"/>
              <w:left w:val="single" w:color="000000" w:sz="12" w:space="0"/>
              <w:bottom w:val="single" w:color="000000" w:sz="4" w:space="0"/>
              <w:right w:val="single" w:color="000000" w:sz="4" w:space="0"/>
            </w:tcBorders>
            <w:noWrap w:val="0"/>
            <w:vAlign w:val="center"/>
          </w:tcPr>
          <w:p>
            <w:pPr>
              <w:pStyle w:val="18"/>
              <w:bidi w:val="0"/>
              <w:jc w:val="center"/>
            </w:pPr>
            <w:r>
              <w:t>包气带防污性能</w:t>
            </w:r>
          </w:p>
        </w:tc>
        <w:tc>
          <w:tcPr>
            <w:tcW w:w="3396" w:type="pct"/>
            <w:gridSpan w:val="3"/>
            <w:tcBorders>
              <w:top w:val="single" w:color="000000" w:sz="12" w:space="0"/>
              <w:left w:val="single" w:color="000000" w:sz="4" w:space="0"/>
              <w:bottom w:val="single" w:color="000000" w:sz="4" w:space="0"/>
              <w:right w:val="single" w:color="000000" w:sz="12" w:space="0"/>
            </w:tcBorders>
            <w:noWrap w:val="0"/>
            <w:vAlign w:val="center"/>
          </w:tcPr>
          <w:p>
            <w:pPr>
              <w:pStyle w:val="18"/>
              <w:bidi w:val="0"/>
              <w:jc w:val="center"/>
            </w:pPr>
            <w:r>
              <w:t>地下水功能敏感性</w:t>
            </w:r>
          </w:p>
        </w:tc>
      </w:tr>
      <w:tr>
        <w:tblPrEx>
          <w:tblCellMar>
            <w:top w:w="0" w:type="dxa"/>
            <w:left w:w="0" w:type="dxa"/>
            <w:bottom w:w="0" w:type="dxa"/>
            <w:right w:w="0" w:type="dxa"/>
          </w:tblCellMar>
        </w:tblPrEx>
        <w:trPr>
          <w:trHeight w:val="340" w:hRule="exact"/>
        </w:trPr>
        <w:tc>
          <w:tcPr>
            <w:tcW w:w="1604" w:type="pct"/>
            <w:vMerge w:val="continue"/>
            <w:tcBorders>
              <w:top w:val="single" w:color="000000" w:sz="6" w:space="0"/>
              <w:left w:val="single" w:color="000000" w:sz="12" w:space="0"/>
              <w:bottom w:val="single" w:color="000000" w:sz="4" w:space="0"/>
              <w:right w:val="single" w:color="000000" w:sz="4" w:space="0"/>
            </w:tcBorders>
            <w:noWrap w:val="0"/>
            <w:vAlign w:val="center"/>
          </w:tcPr>
          <w:p>
            <w:pPr>
              <w:pStyle w:val="18"/>
              <w:bidi w:val="0"/>
              <w:jc w:val="center"/>
            </w:pPr>
          </w:p>
        </w:tc>
        <w:tc>
          <w:tcPr>
            <w:tcW w:w="896" w:type="pct"/>
            <w:tcBorders>
              <w:top w:val="single" w:color="000000" w:sz="4" w:space="0"/>
              <w:left w:val="single" w:color="000000" w:sz="4" w:space="0"/>
              <w:bottom w:val="single" w:color="000000" w:sz="4" w:space="0"/>
              <w:right w:val="single" w:color="000000" w:sz="4" w:space="0"/>
            </w:tcBorders>
            <w:noWrap w:val="0"/>
            <w:vAlign w:val="center"/>
          </w:tcPr>
          <w:p>
            <w:pPr>
              <w:pStyle w:val="18"/>
              <w:bidi w:val="0"/>
              <w:jc w:val="center"/>
            </w:pPr>
            <w:r>
              <w:t>G1</w:t>
            </w:r>
          </w:p>
        </w:tc>
        <w:tc>
          <w:tcPr>
            <w:tcW w:w="1250" w:type="pct"/>
            <w:tcBorders>
              <w:top w:val="single" w:color="000000" w:sz="4" w:space="0"/>
              <w:left w:val="single" w:color="000000" w:sz="4" w:space="0"/>
              <w:bottom w:val="single" w:color="000000" w:sz="4" w:space="0"/>
              <w:right w:val="single" w:color="000000" w:sz="4" w:space="0"/>
            </w:tcBorders>
            <w:noWrap w:val="0"/>
            <w:vAlign w:val="center"/>
          </w:tcPr>
          <w:p>
            <w:pPr>
              <w:pStyle w:val="18"/>
              <w:bidi w:val="0"/>
              <w:jc w:val="center"/>
            </w:pPr>
            <w:r>
              <w:t>G2</w:t>
            </w:r>
          </w:p>
        </w:tc>
        <w:tc>
          <w:tcPr>
            <w:tcW w:w="1250" w:type="pct"/>
            <w:tcBorders>
              <w:top w:val="single" w:color="000000" w:sz="4" w:space="0"/>
              <w:left w:val="single" w:color="000000" w:sz="4" w:space="0"/>
              <w:bottom w:val="single" w:color="000000" w:sz="4" w:space="0"/>
              <w:right w:val="single" w:color="000000" w:sz="12" w:space="0"/>
            </w:tcBorders>
            <w:noWrap w:val="0"/>
            <w:vAlign w:val="center"/>
          </w:tcPr>
          <w:p>
            <w:pPr>
              <w:pStyle w:val="18"/>
              <w:bidi w:val="0"/>
              <w:jc w:val="center"/>
            </w:pPr>
            <w:r>
              <w:rPr>
                <w:b/>
                <w:bCs/>
              </w:rPr>
              <w:t>G3</w:t>
            </w:r>
          </w:p>
        </w:tc>
      </w:tr>
      <w:tr>
        <w:tblPrEx>
          <w:tblCellMar>
            <w:top w:w="0" w:type="dxa"/>
            <w:left w:w="0" w:type="dxa"/>
            <w:bottom w:w="0" w:type="dxa"/>
            <w:right w:w="0" w:type="dxa"/>
          </w:tblCellMar>
        </w:tblPrEx>
        <w:trPr>
          <w:trHeight w:val="340" w:hRule="exact"/>
        </w:trPr>
        <w:tc>
          <w:tcPr>
            <w:tcW w:w="1604" w:type="pct"/>
            <w:tcBorders>
              <w:top w:val="single" w:color="000000" w:sz="4" w:space="0"/>
              <w:left w:val="single" w:color="000000" w:sz="12" w:space="0"/>
              <w:bottom w:val="single" w:color="000000" w:sz="4" w:space="0"/>
              <w:right w:val="single" w:color="000000" w:sz="4" w:space="0"/>
            </w:tcBorders>
            <w:shd w:val="clear" w:color="auto" w:fill="auto"/>
            <w:noWrap w:val="0"/>
            <w:vAlign w:val="center"/>
          </w:tcPr>
          <w:p>
            <w:pPr>
              <w:pStyle w:val="18"/>
              <w:bidi w:val="0"/>
              <w:jc w:val="center"/>
            </w:pPr>
            <w:r>
              <w:t>D1</w:t>
            </w:r>
          </w:p>
        </w:tc>
        <w:tc>
          <w:tcPr>
            <w:tcW w:w="89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E1</w:t>
            </w:r>
          </w:p>
        </w:tc>
        <w:tc>
          <w:tcPr>
            <w:tcW w:w="125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E1</w:t>
            </w:r>
          </w:p>
        </w:tc>
        <w:tc>
          <w:tcPr>
            <w:tcW w:w="1250" w:type="pct"/>
            <w:tcBorders>
              <w:top w:val="single" w:color="000000" w:sz="4" w:space="0"/>
              <w:left w:val="single" w:color="000000" w:sz="4" w:space="0"/>
              <w:bottom w:val="single" w:color="000000" w:sz="4" w:space="0"/>
              <w:right w:val="single" w:color="000000" w:sz="12" w:space="0"/>
            </w:tcBorders>
            <w:shd w:val="clear" w:color="auto" w:fill="auto"/>
            <w:noWrap w:val="0"/>
            <w:vAlign w:val="center"/>
          </w:tcPr>
          <w:p>
            <w:pPr>
              <w:pStyle w:val="18"/>
              <w:bidi w:val="0"/>
              <w:jc w:val="center"/>
            </w:pPr>
            <w:r>
              <w:t>E2</w:t>
            </w:r>
          </w:p>
        </w:tc>
      </w:tr>
      <w:tr>
        <w:tblPrEx>
          <w:tblCellMar>
            <w:top w:w="0" w:type="dxa"/>
            <w:left w:w="0" w:type="dxa"/>
            <w:bottom w:w="0" w:type="dxa"/>
            <w:right w:w="0" w:type="dxa"/>
          </w:tblCellMar>
        </w:tblPrEx>
        <w:trPr>
          <w:trHeight w:val="340" w:hRule="exact"/>
        </w:trPr>
        <w:tc>
          <w:tcPr>
            <w:tcW w:w="1604" w:type="pct"/>
            <w:tcBorders>
              <w:top w:val="single" w:color="000000" w:sz="4" w:space="0"/>
              <w:left w:val="single" w:color="000000" w:sz="12" w:space="0"/>
              <w:bottom w:val="single" w:color="000000" w:sz="4" w:space="0"/>
              <w:right w:val="single" w:color="000000" w:sz="4" w:space="0"/>
            </w:tcBorders>
            <w:shd w:val="clear" w:color="auto" w:fill="auto"/>
            <w:noWrap w:val="0"/>
            <w:vAlign w:val="center"/>
          </w:tcPr>
          <w:p>
            <w:pPr>
              <w:pStyle w:val="18"/>
              <w:bidi w:val="0"/>
              <w:jc w:val="center"/>
            </w:pPr>
            <w:r>
              <w:rPr>
                <w:b/>
                <w:bCs/>
              </w:rPr>
              <w:t>D2</w:t>
            </w:r>
          </w:p>
        </w:tc>
        <w:tc>
          <w:tcPr>
            <w:tcW w:w="89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E1</w:t>
            </w:r>
          </w:p>
        </w:tc>
        <w:tc>
          <w:tcPr>
            <w:tcW w:w="125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E2</w:t>
            </w:r>
          </w:p>
        </w:tc>
        <w:tc>
          <w:tcPr>
            <w:tcW w:w="1250" w:type="pct"/>
            <w:tcBorders>
              <w:top w:val="single" w:color="000000" w:sz="4" w:space="0"/>
              <w:left w:val="single" w:color="000000" w:sz="4" w:space="0"/>
              <w:bottom w:val="single" w:color="000000" w:sz="4" w:space="0"/>
              <w:right w:val="single" w:color="000000" w:sz="12" w:space="0"/>
            </w:tcBorders>
            <w:shd w:val="clear" w:color="auto" w:fill="auto"/>
            <w:noWrap w:val="0"/>
            <w:vAlign w:val="center"/>
          </w:tcPr>
          <w:p>
            <w:pPr>
              <w:pStyle w:val="18"/>
              <w:bidi w:val="0"/>
              <w:jc w:val="center"/>
              <w:rPr>
                <w:shd w:val="clear" w:color="auto" w:fill="auto"/>
              </w:rPr>
            </w:pPr>
            <w:r>
              <w:rPr>
                <w:b/>
                <w:bCs/>
                <w:shd w:val="clear" w:color="auto" w:fill="auto"/>
              </w:rPr>
              <w:t>E3</w:t>
            </w:r>
          </w:p>
        </w:tc>
      </w:tr>
      <w:tr>
        <w:tblPrEx>
          <w:tblCellMar>
            <w:top w:w="0" w:type="dxa"/>
            <w:left w:w="0" w:type="dxa"/>
            <w:bottom w:w="0" w:type="dxa"/>
            <w:right w:w="0" w:type="dxa"/>
          </w:tblCellMar>
        </w:tblPrEx>
        <w:trPr>
          <w:trHeight w:val="340" w:hRule="exact"/>
        </w:trPr>
        <w:tc>
          <w:tcPr>
            <w:tcW w:w="1604" w:type="pct"/>
            <w:tcBorders>
              <w:top w:val="single" w:color="000000" w:sz="4" w:space="0"/>
              <w:left w:val="single" w:color="000000" w:sz="12" w:space="0"/>
              <w:bottom w:val="single" w:color="000000" w:sz="12" w:space="0"/>
              <w:right w:val="single" w:color="000000" w:sz="4" w:space="0"/>
            </w:tcBorders>
            <w:shd w:val="clear" w:color="auto" w:fill="auto"/>
            <w:noWrap w:val="0"/>
            <w:vAlign w:val="center"/>
          </w:tcPr>
          <w:p>
            <w:pPr>
              <w:pStyle w:val="18"/>
              <w:bidi w:val="0"/>
              <w:jc w:val="center"/>
            </w:pPr>
            <w:r>
              <w:t>D3</w:t>
            </w:r>
          </w:p>
        </w:tc>
        <w:tc>
          <w:tcPr>
            <w:tcW w:w="896" w:type="pct"/>
            <w:tcBorders>
              <w:top w:val="single" w:color="000000" w:sz="4" w:space="0"/>
              <w:left w:val="single" w:color="000000" w:sz="4" w:space="0"/>
              <w:bottom w:val="single" w:color="000000" w:sz="12" w:space="0"/>
              <w:right w:val="single" w:color="000000" w:sz="4" w:space="0"/>
            </w:tcBorders>
            <w:shd w:val="clear" w:color="auto" w:fill="auto"/>
            <w:noWrap w:val="0"/>
            <w:vAlign w:val="center"/>
          </w:tcPr>
          <w:p>
            <w:pPr>
              <w:pStyle w:val="18"/>
              <w:bidi w:val="0"/>
              <w:jc w:val="center"/>
            </w:pPr>
            <w:r>
              <w:t>E2</w:t>
            </w:r>
          </w:p>
        </w:tc>
        <w:tc>
          <w:tcPr>
            <w:tcW w:w="1250" w:type="pct"/>
            <w:tcBorders>
              <w:top w:val="single" w:color="000000" w:sz="4" w:space="0"/>
              <w:left w:val="single" w:color="000000" w:sz="4" w:space="0"/>
              <w:bottom w:val="single" w:color="000000" w:sz="12" w:space="0"/>
              <w:right w:val="single" w:color="000000" w:sz="4" w:space="0"/>
            </w:tcBorders>
            <w:shd w:val="clear" w:color="auto" w:fill="auto"/>
            <w:noWrap w:val="0"/>
            <w:vAlign w:val="center"/>
          </w:tcPr>
          <w:p>
            <w:pPr>
              <w:pStyle w:val="18"/>
              <w:bidi w:val="0"/>
              <w:jc w:val="center"/>
            </w:pPr>
            <w:r>
              <w:t>E3</w:t>
            </w:r>
          </w:p>
        </w:tc>
        <w:tc>
          <w:tcPr>
            <w:tcW w:w="1250" w:type="pct"/>
            <w:tcBorders>
              <w:top w:val="single" w:color="000000" w:sz="4" w:space="0"/>
              <w:left w:val="single" w:color="000000" w:sz="4" w:space="0"/>
              <w:bottom w:val="single" w:color="000000" w:sz="12" w:space="0"/>
              <w:right w:val="single" w:color="000000" w:sz="12" w:space="0"/>
            </w:tcBorders>
            <w:shd w:val="clear" w:color="auto" w:fill="auto"/>
            <w:noWrap w:val="0"/>
            <w:vAlign w:val="center"/>
          </w:tcPr>
          <w:p>
            <w:pPr>
              <w:pStyle w:val="18"/>
              <w:bidi w:val="0"/>
              <w:jc w:val="center"/>
            </w:pPr>
            <w:r>
              <w:t>E3</w:t>
            </w:r>
          </w:p>
        </w:tc>
      </w:tr>
    </w:tbl>
    <w:p>
      <w:pPr>
        <w:pStyle w:val="4"/>
        <w:bidi w:val="0"/>
        <w:rPr>
          <w:rFonts w:hint="eastAsia"/>
        </w:rPr>
      </w:pPr>
      <w:bookmarkStart w:id="162" w:name="_Toc21262"/>
      <w:bookmarkStart w:id="163" w:name="_Toc5781"/>
      <w:r>
        <w:rPr>
          <w:rFonts w:hint="eastAsia"/>
          <w:lang w:val="en-US" w:eastAsia="zh-CN"/>
        </w:rPr>
        <w:t xml:space="preserve">2.4 </w:t>
      </w:r>
      <w:r>
        <w:t>环境风险潜势划分和工作等级划分</w:t>
      </w:r>
      <w:bookmarkEnd w:id="162"/>
      <w:bookmarkEnd w:id="163"/>
    </w:p>
    <w:p>
      <w:pPr>
        <w:spacing w:line="480" w:lineRule="exact"/>
        <w:ind w:firstLine="480" w:firstLineChars="200"/>
        <w:rPr>
          <w:rFonts w:ascii="Times New Roman" w:hAnsi="Times New Roman" w:eastAsia="宋体" w:cs="Times New Roman"/>
          <w:color w:val="000000"/>
          <w:kern w:val="0"/>
          <w:szCs w:val="21"/>
        </w:rPr>
      </w:pPr>
      <w:r>
        <w:rPr>
          <w:rStyle w:val="21"/>
        </w:rPr>
        <w:t>根据项目危险物质及工艺系统危险性(P)分级和项目各环境要素环境敏感程度(E)分级，按照《建设项目环境风险评价导则》(HJ/T 169-2018)中“6.1 环境风险潜势划分”，确定</w:t>
      </w:r>
      <w:r>
        <w:rPr>
          <w:rStyle w:val="21"/>
          <w:rFonts w:hint="eastAsia"/>
          <w:lang w:eastAsia="zh-CN"/>
        </w:rPr>
        <w:t>本项目</w:t>
      </w:r>
      <w:r>
        <w:rPr>
          <w:rStyle w:val="21"/>
        </w:rPr>
        <w:t>地表水环境风险潜势、大气环境风险潜势为I</w:t>
      </w:r>
      <w:r>
        <w:rPr>
          <w:rStyle w:val="21"/>
          <w:rFonts w:hint="eastAsia"/>
          <w:lang w:val="en-US" w:eastAsia="zh-CN"/>
        </w:rPr>
        <w:t>I</w:t>
      </w:r>
      <w:r>
        <w:rPr>
          <w:rStyle w:val="21"/>
        </w:rPr>
        <w:t>I，评价工作等级为</w:t>
      </w:r>
      <w:r>
        <w:rPr>
          <w:rStyle w:val="21"/>
          <w:rFonts w:hint="eastAsia"/>
          <w:lang w:val="en-US" w:eastAsia="zh-CN"/>
        </w:rPr>
        <w:t>二</w:t>
      </w:r>
      <w:r>
        <w:rPr>
          <w:rStyle w:val="21"/>
        </w:rPr>
        <w:t>级评价，地下水环境风险潜势评价为</w:t>
      </w:r>
      <w:r>
        <w:rPr>
          <w:rStyle w:val="21"/>
          <w:rFonts w:hint="eastAsia"/>
          <w:lang w:val="en-US" w:eastAsia="zh-CN"/>
        </w:rPr>
        <w:t>I</w:t>
      </w:r>
      <w:r>
        <w:rPr>
          <w:rStyle w:val="21"/>
          <w:rFonts w:hint="eastAsia"/>
        </w:rPr>
        <w:t>I，</w:t>
      </w:r>
      <w:r>
        <w:rPr>
          <w:rStyle w:val="21"/>
        </w:rPr>
        <w:t>工作等级划分为</w:t>
      </w:r>
      <w:r>
        <w:rPr>
          <w:rStyle w:val="21"/>
          <w:rFonts w:hint="eastAsia"/>
          <w:lang w:val="en-US" w:eastAsia="zh-CN"/>
        </w:rPr>
        <w:t>三级评价</w:t>
      </w:r>
      <w:r>
        <w:rPr>
          <w:rFonts w:ascii="Times New Roman" w:hAnsi="Times New Roman" w:eastAsia="宋体" w:cs="Times New Roman"/>
          <w:color w:val="000000"/>
          <w:kern w:val="0"/>
          <w:szCs w:val="21"/>
        </w:rPr>
        <w:t>。</w:t>
      </w:r>
    </w:p>
    <w:p>
      <w:pPr>
        <w:pStyle w:val="19"/>
        <w:bidi w:val="0"/>
      </w:pPr>
      <w:r>
        <w:t>项目环境风险潜势分级见表</w:t>
      </w:r>
      <w:r>
        <w:rPr>
          <w:rFonts w:hint="eastAsia"/>
          <w:lang w:val="en-US" w:eastAsia="zh-CN"/>
        </w:rPr>
        <w:t>2-13</w:t>
      </w:r>
      <w:r>
        <w:t>。建设项目环境风险</w:t>
      </w:r>
      <w:r>
        <w:rPr>
          <w:rFonts w:hint="eastAsia"/>
          <w:lang w:val="en-US" w:eastAsia="zh-CN"/>
        </w:rPr>
        <w:t>评价工作等级</w:t>
      </w:r>
      <w:r>
        <w:t>见表</w:t>
      </w:r>
      <w:r>
        <w:rPr>
          <w:rFonts w:hint="eastAsia"/>
          <w:lang w:val="en-US" w:eastAsia="zh-CN"/>
        </w:rPr>
        <w:t>2-14</w:t>
      </w:r>
      <w:r>
        <w:t>。</w:t>
      </w:r>
    </w:p>
    <w:p>
      <w:pPr>
        <w:bidi w:val="0"/>
        <w:jc w:val="center"/>
        <w:rPr>
          <w:b/>
          <w:bCs/>
        </w:rPr>
      </w:pPr>
      <w:r>
        <w:rPr>
          <w:b/>
          <w:bCs/>
        </w:rPr>
        <w:t>表</w:t>
      </w:r>
      <w:r>
        <w:rPr>
          <w:rFonts w:hint="eastAsia"/>
          <w:b/>
          <w:bCs/>
          <w:lang w:val="en-US" w:eastAsia="zh-CN"/>
        </w:rPr>
        <w:t>2</w:t>
      </w:r>
      <w:r>
        <w:rPr>
          <w:b/>
          <w:bCs/>
        </w:rPr>
        <w:t>-13  项目环境风险潜势划分</w:t>
      </w:r>
    </w:p>
    <w:tbl>
      <w:tblPr>
        <w:tblStyle w:val="15"/>
        <w:tblW w:w="5000" w:type="pct"/>
        <w:tblInd w:w="15" w:type="dxa"/>
        <w:tblLayout w:type="autofit"/>
        <w:tblCellMar>
          <w:top w:w="0" w:type="dxa"/>
          <w:left w:w="0" w:type="dxa"/>
          <w:bottom w:w="0" w:type="dxa"/>
          <w:right w:w="0" w:type="dxa"/>
        </w:tblCellMar>
      </w:tblPr>
      <w:tblGrid>
        <w:gridCol w:w="2198"/>
        <w:gridCol w:w="1660"/>
        <w:gridCol w:w="1768"/>
        <w:gridCol w:w="1768"/>
        <w:gridCol w:w="1766"/>
      </w:tblGrid>
      <w:tr>
        <w:tblPrEx>
          <w:tblCellMar>
            <w:top w:w="0" w:type="dxa"/>
            <w:left w:w="0" w:type="dxa"/>
            <w:bottom w:w="0" w:type="dxa"/>
            <w:right w:w="0" w:type="dxa"/>
          </w:tblCellMar>
        </w:tblPrEx>
        <w:trPr>
          <w:trHeight w:val="340" w:hRule="atLeast"/>
        </w:trPr>
        <w:tc>
          <w:tcPr>
            <w:tcW w:w="1200" w:type="pct"/>
            <w:vMerge w:val="restart"/>
            <w:tcBorders>
              <w:top w:val="single" w:color="000000" w:sz="12" w:space="0"/>
              <w:left w:val="single" w:color="000000" w:sz="12" w:space="0"/>
              <w:right w:val="single" w:color="000000" w:sz="4" w:space="0"/>
            </w:tcBorders>
            <w:shd w:val="clear" w:color="auto" w:fill="auto"/>
            <w:noWrap w:val="0"/>
            <w:vAlign w:val="center"/>
          </w:tcPr>
          <w:p>
            <w:pPr>
              <w:pStyle w:val="18"/>
              <w:bidi w:val="0"/>
              <w:jc w:val="center"/>
            </w:pPr>
            <w:r>
              <w:t>环境敏感程度(E)</w:t>
            </w:r>
          </w:p>
        </w:tc>
        <w:tc>
          <w:tcPr>
            <w:tcW w:w="3800" w:type="pct"/>
            <w:gridSpan w:val="4"/>
            <w:tcBorders>
              <w:top w:val="single" w:color="000000" w:sz="12" w:space="0"/>
              <w:left w:val="single" w:color="000000" w:sz="4" w:space="0"/>
              <w:bottom w:val="single" w:color="000000" w:sz="4" w:space="0"/>
              <w:right w:val="single" w:color="000000" w:sz="12" w:space="0"/>
            </w:tcBorders>
            <w:shd w:val="clear" w:color="auto" w:fill="auto"/>
            <w:noWrap w:val="0"/>
            <w:vAlign w:val="center"/>
          </w:tcPr>
          <w:p>
            <w:pPr>
              <w:pStyle w:val="18"/>
              <w:bidi w:val="0"/>
              <w:jc w:val="center"/>
            </w:pPr>
            <w:r>
              <w:t>危险物质及工艺系统危险性(P)</w:t>
            </w:r>
          </w:p>
        </w:tc>
      </w:tr>
      <w:tr>
        <w:tblPrEx>
          <w:tblCellMar>
            <w:top w:w="0" w:type="dxa"/>
            <w:left w:w="0" w:type="dxa"/>
            <w:bottom w:w="0" w:type="dxa"/>
            <w:right w:w="0" w:type="dxa"/>
          </w:tblCellMar>
        </w:tblPrEx>
        <w:trPr>
          <w:trHeight w:val="340" w:hRule="atLeast"/>
        </w:trPr>
        <w:tc>
          <w:tcPr>
            <w:tcW w:w="1200" w:type="pct"/>
            <w:vMerge w:val="continue"/>
            <w:tcBorders>
              <w:left w:val="single" w:color="000000" w:sz="12" w:space="0"/>
              <w:bottom w:val="single" w:color="000000" w:sz="4" w:space="0"/>
              <w:right w:val="single" w:color="000000" w:sz="4" w:space="0"/>
            </w:tcBorders>
            <w:shd w:val="clear" w:color="auto" w:fill="auto"/>
            <w:noWrap w:val="0"/>
            <w:vAlign w:val="center"/>
          </w:tcPr>
          <w:p>
            <w:pPr>
              <w:pStyle w:val="18"/>
              <w:bidi w:val="0"/>
              <w:jc w:val="center"/>
            </w:pPr>
          </w:p>
        </w:tc>
        <w:tc>
          <w:tcPr>
            <w:tcW w:w="90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极高危害(P1)</w:t>
            </w:r>
          </w:p>
        </w:tc>
        <w:tc>
          <w:tcPr>
            <w:tcW w:w="96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高度危害(P2)</w:t>
            </w:r>
          </w:p>
        </w:tc>
        <w:tc>
          <w:tcPr>
            <w:tcW w:w="96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中度危害(P3)</w:t>
            </w:r>
          </w:p>
        </w:tc>
        <w:tc>
          <w:tcPr>
            <w:tcW w:w="964" w:type="pct"/>
            <w:tcBorders>
              <w:top w:val="single" w:color="000000" w:sz="4" w:space="0"/>
              <w:left w:val="single" w:color="000000" w:sz="4" w:space="0"/>
              <w:bottom w:val="single" w:color="000000" w:sz="4" w:space="0"/>
              <w:right w:val="single" w:color="000000" w:sz="12" w:space="0"/>
            </w:tcBorders>
            <w:shd w:val="clear" w:color="auto" w:fill="auto"/>
            <w:noWrap w:val="0"/>
            <w:vAlign w:val="center"/>
          </w:tcPr>
          <w:p>
            <w:pPr>
              <w:pStyle w:val="18"/>
              <w:bidi w:val="0"/>
              <w:jc w:val="center"/>
            </w:pPr>
            <w:r>
              <w:t>轻度危害(P4)</w:t>
            </w:r>
          </w:p>
        </w:tc>
      </w:tr>
      <w:tr>
        <w:tblPrEx>
          <w:tblCellMar>
            <w:top w:w="0" w:type="dxa"/>
            <w:left w:w="0" w:type="dxa"/>
            <w:bottom w:w="0" w:type="dxa"/>
            <w:right w:w="0" w:type="dxa"/>
          </w:tblCellMar>
        </w:tblPrEx>
        <w:trPr>
          <w:trHeight w:val="340" w:hRule="atLeast"/>
        </w:trPr>
        <w:tc>
          <w:tcPr>
            <w:tcW w:w="1200" w:type="pct"/>
            <w:tcBorders>
              <w:top w:val="single" w:color="000000" w:sz="4" w:space="0"/>
              <w:left w:val="single" w:color="000000" w:sz="12" w:space="0"/>
              <w:bottom w:val="single" w:color="000000" w:sz="4" w:space="0"/>
              <w:right w:val="single" w:color="000000" w:sz="4" w:space="0"/>
            </w:tcBorders>
            <w:shd w:val="clear" w:color="auto" w:fill="auto"/>
            <w:noWrap w:val="0"/>
            <w:vAlign w:val="center"/>
          </w:tcPr>
          <w:p>
            <w:pPr>
              <w:pStyle w:val="18"/>
              <w:bidi w:val="0"/>
              <w:jc w:val="center"/>
            </w:pPr>
            <w:r>
              <w:t>环境高度敏感区(E1)</w:t>
            </w:r>
          </w:p>
        </w:tc>
        <w:tc>
          <w:tcPr>
            <w:tcW w:w="90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Ⅳ+</w:t>
            </w:r>
          </w:p>
        </w:tc>
        <w:tc>
          <w:tcPr>
            <w:tcW w:w="96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Ⅳ</w:t>
            </w:r>
          </w:p>
        </w:tc>
        <w:tc>
          <w:tcPr>
            <w:tcW w:w="96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Ⅲ</w:t>
            </w:r>
          </w:p>
        </w:tc>
        <w:tc>
          <w:tcPr>
            <w:tcW w:w="964" w:type="pct"/>
            <w:tcBorders>
              <w:top w:val="single" w:color="000000" w:sz="4" w:space="0"/>
              <w:left w:val="single" w:color="000000" w:sz="4" w:space="0"/>
              <w:bottom w:val="single" w:color="000000" w:sz="4" w:space="0"/>
              <w:right w:val="single" w:color="000000" w:sz="12" w:space="0"/>
            </w:tcBorders>
            <w:shd w:val="clear" w:color="auto" w:fill="auto"/>
            <w:noWrap w:val="0"/>
            <w:vAlign w:val="center"/>
          </w:tcPr>
          <w:p>
            <w:pPr>
              <w:pStyle w:val="18"/>
              <w:bidi w:val="0"/>
              <w:jc w:val="center"/>
            </w:pPr>
            <w:r>
              <w:t>Ⅲ</w:t>
            </w:r>
          </w:p>
        </w:tc>
      </w:tr>
      <w:tr>
        <w:tblPrEx>
          <w:tblCellMar>
            <w:top w:w="0" w:type="dxa"/>
            <w:left w:w="0" w:type="dxa"/>
            <w:bottom w:w="0" w:type="dxa"/>
            <w:right w:w="0" w:type="dxa"/>
          </w:tblCellMar>
        </w:tblPrEx>
        <w:trPr>
          <w:trHeight w:val="340" w:hRule="atLeast"/>
        </w:trPr>
        <w:tc>
          <w:tcPr>
            <w:tcW w:w="1200" w:type="pct"/>
            <w:tcBorders>
              <w:top w:val="single" w:color="000000" w:sz="4" w:space="0"/>
              <w:left w:val="single" w:color="000000" w:sz="12" w:space="0"/>
              <w:bottom w:val="single" w:color="000000" w:sz="4" w:space="0"/>
              <w:right w:val="single" w:color="000000" w:sz="4" w:space="0"/>
            </w:tcBorders>
            <w:shd w:val="clear" w:color="auto" w:fill="auto"/>
            <w:noWrap w:val="0"/>
            <w:vAlign w:val="center"/>
          </w:tcPr>
          <w:p>
            <w:pPr>
              <w:pStyle w:val="18"/>
              <w:bidi w:val="0"/>
              <w:jc w:val="center"/>
            </w:pPr>
            <w:r>
              <w:t>环境中度敏感区(E2)</w:t>
            </w:r>
          </w:p>
        </w:tc>
        <w:tc>
          <w:tcPr>
            <w:tcW w:w="90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Ⅳ</w:t>
            </w:r>
          </w:p>
        </w:tc>
        <w:tc>
          <w:tcPr>
            <w:tcW w:w="96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Ⅲ</w:t>
            </w:r>
          </w:p>
        </w:tc>
        <w:tc>
          <w:tcPr>
            <w:tcW w:w="96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Ⅲ</w:t>
            </w:r>
          </w:p>
        </w:tc>
        <w:tc>
          <w:tcPr>
            <w:tcW w:w="964" w:type="pct"/>
            <w:tcBorders>
              <w:top w:val="single" w:color="000000" w:sz="4" w:space="0"/>
              <w:left w:val="single" w:color="000000" w:sz="4" w:space="0"/>
              <w:bottom w:val="single" w:color="000000" w:sz="4" w:space="0"/>
              <w:right w:val="single" w:color="000000" w:sz="12" w:space="0"/>
            </w:tcBorders>
            <w:shd w:val="clear" w:color="auto" w:fill="auto"/>
            <w:noWrap w:val="0"/>
            <w:vAlign w:val="center"/>
          </w:tcPr>
          <w:p>
            <w:pPr>
              <w:pStyle w:val="18"/>
              <w:bidi w:val="0"/>
              <w:jc w:val="center"/>
            </w:pPr>
            <w:r>
              <w:t>Ⅱ</w:t>
            </w:r>
          </w:p>
        </w:tc>
      </w:tr>
      <w:tr>
        <w:tblPrEx>
          <w:tblCellMar>
            <w:top w:w="0" w:type="dxa"/>
            <w:left w:w="0" w:type="dxa"/>
            <w:bottom w:w="0" w:type="dxa"/>
            <w:right w:w="0" w:type="dxa"/>
          </w:tblCellMar>
        </w:tblPrEx>
        <w:trPr>
          <w:trHeight w:val="340" w:hRule="atLeast"/>
        </w:trPr>
        <w:tc>
          <w:tcPr>
            <w:tcW w:w="1200" w:type="pct"/>
            <w:tcBorders>
              <w:top w:val="single" w:color="000000" w:sz="4" w:space="0"/>
              <w:left w:val="single" w:color="000000" w:sz="12" w:space="0"/>
              <w:bottom w:val="single" w:color="000000" w:sz="4" w:space="0"/>
              <w:right w:val="single" w:color="000000" w:sz="4" w:space="0"/>
            </w:tcBorders>
            <w:shd w:val="clear" w:color="auto" w:fill="auto"/>
            <w:noWrap w:val="0"/>
            <w:vAlign w:val="center"/>
          </w:tcPr>
          <w:p>
            <w:pPr>
              <w:pStyle w:val="18"/>
              <w:bidi w:val="0"/>
              <w:jc w:val="center"/>
            </w:pPr>
            <w:r>
              <w:t>环境低度敏感区(E3)</w:t>
            </w:r>
          </w:p>
        </w:tc>
        <w:tc>
          <w:tcPr>
            <w:tcW w:w="90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Ⅲ</w:t>
            </w:r>
          </w:p>
        </w:tc>
        <w:tc>
          <w:tcPr>
            <w:tcW w:w="96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Ⅲ</w:t>
            </w:r>
          </w:p>
        </w:tc>
        <w:tc>
          <w:tcPr>
            <w:tcW w:w="96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8"/>
              <w:bidi w:val="0"/>
              <w:jc w:val="center"/>
            </w:pPr>
            <w:r>
              <w:t>Ⅱ</w:t>
            </w:r>
          </w:p>
        </w:tc>
        <w:tc>
          <w:tcPr>
            <w:tcW w:w="964" w:type="pct"/>
            <w:tcBorders>
              <w:top w:val="single" w:color="000000" w:sz="4" w:space="0"/>
              <w:left w:val="single" w:color="000000" w:sz="4" w:space="0"/>
              <w:bottom w:val="single" w:color="000000" w:sz="4" w:space="0"/>
              <w:right w:val="single" w:color="000000" w:sz="12" w:space="0"/>
            </w:tcBorders>
            <w:shd w:val="clear" w:color="auto" w:fill="auto"/>
            <w:noWrap w:val="0"/>
            <w:vAlign w:val="center"/>
          </w:tcPr>
          <w:p>
            <w:pPr>
              <w:pStyle w:val="18"/>
              <w:bidi w:val="0"/>
              <w:jc w:val="center"/>
            </w:pPr>
            <w:r>
              <w:t>Ⅰ</w:t>
            </w:r>
          </w:p>
        </w:tc>
      </w:tr>
      <w:tr>
        <w:tblPrEx>
          <w:tblCellMar>
            <w:top w:w="0" w:type="dxa"/>
            <w:left w:w="0" w:type="dxa"/>
            <w:bottom w:w="0" w:type="dxa"/>
            <w:right w:w="0" w:type="dxa"/>
          </w:tblCellMar>
        </w:tblPrEx>
        <w:trPr>
          <w:trHeight w:val="340" w:hRule="atLeast"/>
        </w:trPr>
        <w:tc>
          <w:tcPr>
            <w:tcW w:w="5000" w:type="pct"/>
            <w:gridSpan w:val="5"/>
            <w:tcBorders>
              <w:top w:val="single" w:color="000000" w:sz="4" w:space="0"/>
              <w:left w:val="single" w:color="000000" w:sz="12" w:space="0"/>
              <w:bottom w:val="single" w:color="000000" w:sz="12" w:space="0"/>
              <w:right w:val="single" w:color="000000" w:sz="12" w:space="0"/>
            </w:tcBorders>
            <w:shd w:val="clear" w:color="auto" w:fill="auto"/>
            <w:noWrap w:val="0"/>
            <w:vAlign w:val="center"/>
          </w:tcPr>
          <w:p>
            <w:pPr>
              <w:pStyle w:val="18"/>
              <w:bidi w:val="0"/>
              <w:jc w:val="center"/>
            </w:pPr>
            <w:r>
              <w:t>注：Ⅳ+为极高环境风险。</w:t>
            </w:r>
          </w:p>
        </w:tc>
      </w:tr>
    </w:tbl>
    <w:p>
      <w:pPr>
        <w:bidi w:val="0"/>
        <w:jc w:val="center"/>
        <w:rPr>
          <w:rFonts w:hint="default"/>
          <w:lang w:val="en-US" w:eastAsia="zh-CN"/>
        </w:rPr>
      </w:pPr>
      <w:r>
        <w:rPr>
          <w:rFonts w:hint="eastAsia"/>
          <w:b/>
          <w:bCs/>
          <w:lang w:val="en-US" w:eastAsia="zh-CN"/>
        </w:rPr>
        <w:t xml:space="preserve">表2-14  </w:t>
      </w:r>
      <w:r>
        <w:rPr>
          <w:b/>
          <w:bCs/>
          <w:szCs w:val="21"/>
        </w:rPr>
        <w:t>项目</w:t>
      </w:r>
      <w:r>
        <w:rPr>
          <w:b/>
          <w:szCs w:val="21"/>
        </w:rPr>
        <w:t>环境风险评价工作等级划分</w:t>
      </w:r>
    </w:p>
    <w:tbl>
      <w:tblPr>
        <w:tblStyle w:val="15"/>
        <w:tblW w:w="5000" w:type="pct"/>
        <w:tblInd w:w="12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869"/>
        <w:gridCol w:w="1869"/>
        <w:gridCol w:w="1869"/>
        <w:gridCol w:w="1869"/>
        <w:gridCol w:w="187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00" w:type="pct"/>
            <w:shd w:val="clear" w:color="auto" w:fill="auto"/>
            <w:noWrap w:val="0"/>
            <w:vAlign w:val="center"/>
          </w:tcPr>
          <w:p>
            <w:pPr>
              <w:pStyle w:val="18"/>
              <w:bidi w:val="0"/>
            </w:pPr>
            <w:r>
              <w:t>环境风险潜势</w:t>
            </w:r>
          </w:p>
        </w:tc>
        <w:tc>
          <w:tcPr>
            <w:tcW w:w="1000" w:type="pct"/>
            <w:tcBorders>
              <w:bottom w:val="single" w:color="000000" w:sz="4" w:space="0"/>
            </w:tcBorders>
            <w:shd w:val="clear" w:color="auto" w:fill="auto"/>
            <w:noWrap w:val="0"/>
            <w:vAlign w:val="center"/>
          </w:tcPr>
          <w:p>
            <w:pPr>
              <w:pStyle w:val="18"/>
              <w:bidi w:val="0"/>
            </w:pPr>
            <w:r>
              <w:t>Ⅳ、Ⅳ+</w:t>
            </w:r>
          </w:p>
        </w:tc>
        <w:tc>
          <w:tcPr>
            <w:tcW w:w="1000" w:type="pct"/>
            <w:tcBorders>
              <w:bottom w:val="single" w:color="000000" w:sz="4" w:space="0"/>
            </w:tcBorders>
            <w:shd w:val="clear" w:color="auto" w:fill="auto"/>
            <w:noWrap w:val="0"/>
            <w:vAlign w:val="center"/>
          </w:tcPr>
          <w:p>
            <w:pPr>
              <w:pStyle w:val="18"/>
              <w:bidi w:val="0"/>
            </w:pPr>
            <w:r>
              <w:t>Ⅲ</w:t>
            </w:r>
          </w:p>
        </w:tc>
        <w:tc>
          <w:tcPr>
            <w:tcW w:w="1000" w:type="pct"/>
            <w:shd w:val="clear" w:color="auto" w:fill="auto"/>
            <w:noWrap w:val="0"/>
            <w:vAlign w:val="center"/>
          </w:tcPr>
          <w:p>
            <w:pPr>
              <w:pStyle w:val="18"/>
              <w:bidi w:val="0"/>
            </w:pPr>
            <w:r>
              <w:t>Ⅱ</w:t>
            </w:r>
          </w:p>
        </w:tc>
        <w:tc>
          <w:tcPr>
            <w:tcW w:w="1000" w:type="pct"/>
            <w:shd w:val="clear" w:color="auto" w:fill="auto"/>
            <w:noWrap w:val="0"/>
            <w:vAlign w:val="center"/>
          </w:tcPr>
          <w:p>
            <w:pPr>
              <w:pStyle w:val="18"/>
              <w:bidi w:val="0"/>
            </w:pPr>
            <w:r>
              <w:t>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00" w:type="pct"/>
            <w:shd w:val="clear" w:color="auto" w:fill="auto"/>
            <w:noWrap w:val="0"/>
            <w:vAlign w:val="center"/>
          </w:tcPr>
          <w:p>
            <w:pPr>
              <w:pStyle w:val="18"/>
              <w:bidi w:val="0"/>
            </w:pPr>
            <w:r>
              <w:t>评价工作等级</w:t>
            </w:r>
          </w:p>
        </w:tc>
        <w:tc>
          <w:tcPr>
            <w:tcW w:w="1000" w:type="pct"/>
            <w:tcBorders>
              <w:top w:val="single" w:color="000000" w:sz="4" w:space="0"/>
              <w:bottom w:val="single" w:color="000000" w:sz="4" w:space="0"/>
            </w:tcBorders>
            <w:shd w:val="clear" w:color="auto" w:fill="auto"/>
            <w:noWrap w:val="0"/>
            <w:vAlign w:val="center"/>
          </w:tcPr>
          <w:p>
            <w:pPr>
              <w:pStyle w:val="18"/>
              <w:bidi w:val="0"/>
            </w:pPr>
            <w:r>
              <w:t>一</w:t>
            </w:r>
          </w:p>
        </w:tc>
        <w:tc>
          <w:tcPr>
            <w:tcW w:w="1000" w:type="pct"/>
            <w:tcBorders>
              <w:top w:val="single" w:color="000000" w:sz="4" w:space="0"/>
              <w:bottom w:val="single" w:color="000000" w:sz="4" w:space="0"/>
            </w:tcBorders>
            <w:shd w:val="clear" w:color="auto" w:fill="auto"/>
            <w:noWrap w:val="0"/>
            <w:vAlign w:val="center"/>
          </w:tcPr>
          <w:p>
            <w:pPr>
              <w:pStyle w:val="18"/>
              <w:bidi w:val="0"/>
            </w:pPr>
            <w:r>
              <w:t>二</w:t>
            </w:r>
          </w:p>
        </w:tc>
        <w:tc>
          <w:tcPr>
            <w:tcW w:w="1000" w:type="pct"/>
            <w:shd w:val="clear" w:color="auto" w:fill="auto"/>
            <w:noWrap w:val="0"/>
            <w:vAlign w:val="center"/>
          </w:tcPr>
          <w:p>
            <w:pPr>
              <w:pStyle w:val="18"/>
              <w:bidi w:val="0"/>
            </w:pPr>
            <w:r>
              <w:t>三</w:t>
            </w:r>
          </w:p>
        </w:tc>
        <w:tc>
          <w:tcPr>
            <w:tcW w:w="1000" w:type="pct"/>
            <w:shd w:val="clear" w:color="auto" w:fill="auto"/>
            <w:noWrap w:val="0"/>
            <w:vAlign w:val="center"/>
          </w:tcPr>
          <w:p>
            <w:pPr>
              <w:pStyle w:val="18"/>
              <w:bidi w:val="0"/>
            </w:pPr>
            <w:r>
              <w:t>简单分析a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5"/>
            <w:shd w:val="clear" w:color="auto" w:fill="auto"/>
            <w:noWrap w:val="0"/>
            <w:vAlign w:val="center"/>
          </w:tcPr>
          <w:p>
            <w:pPr>
              <w:pStyle w:val="18"/>
              <w:bidi w:val="0"/>
            </w:pPr>
            <w:r>
              <w:t>a是相对于详细评价工作内容而言，在描述危险物质、环境影响途径、环境危害后果、风险防范措施等方面给出定性的说明。</w:t>
            </w:r>
          </w:p>
        </w:tc>
      </w:tr>
    </w:tbl>
    <w:p>
      <w:pPr>
        <w:pStyle w:val="4"/>
        <w:bidi w:val="0"/>
        <w:rPr>
          <w:rFonts w:hint="eastAsia"/>
          <w:lang w:val="en-US" w:eastAsia="zh-CN"/>
        </w:rPr>
      </w:pPr>
      <w:bookmarkStart w:id="164" w:name="_Toc26909"/>
      <w:bookmarkStart w:id="165" w:name="_Toc6553"/>
      <w:r>
        <w:rPr>
          <w:rFonts w:hint="eastAsia"/>
          <w:lang w:val="en-US" w:eastAsia="zh-CN"/>
        </w:rPr>
        <w:t>2.5 评价范围</w:t>
      </w:r>
      <w:bookmarkEnd w:id="164"/>
      <w:bookmarkEnd w:id="165"/>
    </w:p>
    <w:p>
      <w:pPr>
        <w:pStyle w:val="19"/>
        <w:bidi w:val="0"/>
      </w:pPr>
      <w:r>
        <w:rPr>
          <w:rFonts w:hint="eastAsia"/>
        </w:rPr>
        <w:t>根据《建设项目环境风险评价技术导则》（</w:t>
      </w:r>
      <w:r>
        <w:t>HJ169-2018</w:t>
      </w:r>
      <w:r>
        <w:rPr>
          <w:rFonts w:hint="eastAsia"/>
        </w:rPr>
        <w:t>）评价等级确定评价范围，项目风险评价范围见表</w:t>
      </w:r>
      <w:r>
        <w:t>2-1</w:t>
      </w:r>
      <w:r>
        <w:rPr>
          <w:rFonts w:hint="eastAsia"/>
          <w:lang w:val="en-US" w:eastAsia="zh-CN"/>
        </w:rPr>
        <w:t>5</w:t>
      </w:r>
      <w:r>
        <w:rPr>
          <w:rFonts w:hint="eastAsia"/>
        </w:rPr>
        <w:t>。</w:t>
      </w:r>
    </w:p>
    <w:p>
      <w:pPr>
        <w:bidi w:val="0"/>
        <w:jc w:val="center"/>
        <w:rPr>
          <w:b/>
          <w:bCs/>
        </w:rPr>
      </w:pPr>
      <w:r>
        <w:rPr>
          <w:rFonts w:hint="eastAsia"/>
          <w:b/>
          <w:bCs/>
        </w:rPr>
        <w:t>表</w:t>
      </w:r>
      <w:r>
        <w:rPr>
          <w:b/>
          <w:bCs/>
        </w:rPr>
        <w:t>2-1</w:t>
      </w:r>
      <w:r>
        <w:rPr>
          <w:rFonts w:hint="eastAsia"/>
          <w:b/>
          <w:bCs/>
          <w:lang w:val="en-US" w:eastAsia="zh-CN"/>
        </w:rPr>
        <w:t xml:space="preserve">5  </w:t>
      </w:r>
      <w:r>
        <w:rPr>
          <w:rFonts w:hint="eastAsia"/>
          <w:b/>
          <w:bCs/>
        </w:rPr>
        <w:t>风险评价范围表</w:t>
      </w:r>
    </w:p>
    <w:tbl>
      <w:tblPr>
        <w:tblStyle w:val="15"/>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51"/>
        <w:gridCol w:w="4616"/>
        <w:gridCol w:w="1056"/>
        <w:gridCol w:w="23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3" w:type="pct"/>
            <w:vMerge w:val="restart"/>
            <w:tcBorders>
              <w:tl2br w:val="nil"/>
              <w:tr2bl w:val="nil"/>
            </w:tcBorders>
            <w:noWrap w:val="0"/>
            <w:vAlign w:val="center"/>
          </w:tcPr>
          <w:p>
            <w:pPr>
              <w:pStyle w:val="18"/>
              <w:bidi w:val="0"/>
              <w:jc w:val="center"/>
            </w:pPr>
            <w:r>
              <w:rPr>
                <w:rFonts w:hint="eastAsia"/>
              </w:rPr>
              <w:t>环境要素</w:t>
            </w:r>
          </w:p>
        </w:tc>
        <w:tc>
          <w:tcPr>
            <w:tcW w:w="2470" w:type="pct"/>
            <w:vMerge w:val="restart"/>
            <w:tcBorders>
              <w:tl2br w:val="nil"/>
              <w:tr2bl w:val="nil"/>
            </w:tcBorders>
            <w:noWrap w:val="0"/>
            <w:vAlign w:val="center"/>
          </w:tcPr>
          <w:p>
            <w:pPr>
              <w:pStyle w:val="18"/>
              <w:bidi w:val="0"/>
              <w:jc w:val="center"/>
            </w:pPr>
            <w:r>
              <w:rPr>
                <w:rFonts w:hint="eastAsia"/>
              </w:rPr>
              <w:t>风险导则中</w:t>
            </w:r>
            <w:r>
              <w:t>—</w:t>
            </w:r>
            <w:r>
              <w:rPr>
                <w:rFonts w:hint="eastAsia"/>
              </w:rPr>
              <w:t>评价范围确定依据</w:t>
            </w:r>
          </w:p>
        </w:tc>
        <w:tc>
          <w:tcPr>
            <w:tcW w:w="1805" w:type="pct"/>
            <w:gridSpan w:val="2"/>
            <w:tcBorders>
              <w:tl2br w:val="nil"/>
              <w:tr2bl w:val="nil"/>
            </w:tcBorders>
            <w:noWrap w:val="0"/>
            <w:vAlign w:val="center"/>
          </w:tcPr>
          <w:p>
            <w:pPr>
              <w:pStyle w:val="18"/>
              <w:bidi w:val="0"/>
              <w:jc w:val="center"/>
            </w:pPr>
            <w:r>
              <w:rPr>
                <w:rFonts w:hint="eastAsia"/>
              </w:rPr>
              <w:t>本项目风险评价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3" w:type="pct"/>
            <w:vMerge w:val="continue"/>
            <w:tcBorders>
              <w:tl2br w:val="nil"/>
              <w:tr2bl w:val="nil"/>
            </w:tcBorders>
            <w:noWrap w:val="0"/>
            <w:vAlign w:val="center"/>
          </w:tcPr>
          <w:p>
            <w:pPr>
              <w:pStyle w:val="18"/>
              <w:bidi w:val="0"/>
              <w:jc w:val="center"/>
            </w:pPr>
          </w:p>
        </w:tc>
        <w:tc>
          <w:tcPr>
            <w:tcW w:w="2470" w:type="pct"/>
            <w:vMerge w:val="continue"/>
            <w:tcBorders>
              <w:tl2br w:val="nil"/>
              <w:tr2bl w:val="nil"/>
            </w:tcBorders>
            <w:noWrap w:val="0"/>
            <w:vAlign w:val="center"/>
          </w:tcPr>
          <w:p>
            <w:pPr>
              <w:pStyle w:val="18"/>
              <w:bidi w:val="0"/>
              <w:jc w:val="center"/>
            </w:pPr>
          </w:p>
        </w:tc>
        <w:tc>
          <w:tcPr>
            <w:tcW w:w="565" w:type="pct"/>
            <w:tcBorders>
              <w:tl2br w:val="nil"/>
              <w:tr2bl w:val="nil"/>
            </w:tcBorders>
            <w:noWrap w:val="0"/>
            <w:vAlign w:val="center"/>
          </w:tcPr>
          <w:p>
            <w:pPr>
              <w:pStyle w:val="18"/>
              <w:bidi w:val="0"/>
              <w:jc w:val="center"/>
            </w:pPr>
            <w:r>
              <w:rPr>
                <w:rFonts w:hint="eastAsia"/>
              </w:rPr>
              <w:t>等级</w:t>
            </w:r>
          </w:p>
        </w:tc>
        <w:tc>
          <w:tcPr>
            <w:tcW w:w="1240" w:type="pct"/>
            <w:tcBorders>
              <w:tl2br w:val="nil"/>
              <w:tr2bl w:val="nil"/>
            </w:tcBorders>
            <w:noWrap w:val="0"/>
            <w:vAlign w:val="center"/>
          </w:tcPr>
          <w:p>
            <w:pPr>
              <w:pStyle w:val="18"/>
              <w:bidi w:val="0"/>
              <w:jc w:val="center"/>
            </w:pPr>
            <w:r>
              <w:rPr>
                <w:rFonts w:hint="eastAsia"/>
              </w:rPr>
              <w:t>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3" w:type="pct"/>
            <w:tcBorders>
              <w:tl2br w:val="nil"/>
              <w:tr2bl w:val="nil"/>
            </w:tcBorders>
            <w:noWrap w:val="0"/>
            <w:vAlign w:val="center"/>
          </w:tcPr>
          <w:p>
            <w:pPr>
              <w:pStyle w:val="18"/>
              <w:bidi w:val="0"/>
              <w:jc w:val="center"/>
            </w:pPr>
            <w:r>
              <w:rPr>
                <w:rFonts w:hint="eastAsia"/>
              </w:rPr>
              <w:t>大气环境</w:t>
            </w:r>
          </w:p>
        </w:tc>
        <w:tc>
          <w:tcPr>
            <w:tcW w:w="2470" w:type="pct"/>
            <w:tcBorders>
              <w:tl2br w:val="nil"/>
              <w:tr2bl w:val="nil"/>
            </w:tcBorders>
            <w:noWrap w:val="0"/>
            <w:vAlign w:val="center"/>
          </w:tcPr>
          <w:p>
            <w:pPr>
              <w:pStyle w:val="18"/>
              <w:bidi w:val="0"/>
              <w:jc w:val="center"/>
            </w:pPr>
            <w:r>
              <w:rPr>
                <w:rFonts w:hint="eastAsia"/>
              </w:rPr>
              <w:t>大气环境风险评价范围：一级、二级评价距建设项目边界一般不低于</w:t>
            </w:r>
            <w:r>
              <w:t>5km</w:t>
            </w:r>
            <w:r>
              <w:rPr>
                <w:rFonts w:hint="eastAsia"/>
              </w:rPr>
              <w:t>；三级评价距建设项目边界一般不低于</w:t>
            </w:r>
            <w:r>
              <w:t>3km</w:t>
            </w:r>
            <w:r>
              <w:rPr>
                <w:rFonts w:hint="eastAsia"/>
              </w:rPr>
              <w:t>。油气、化学品输送管线项目一级、二级评价距管道中心线两侧一般均不低于</w:t>
            </w:r>
            <w:r>
              <w:t>200m</w:t>
            </w:r>
            <w:r>
              <w:rPr>
                <w:rFonts w:hint="eastAsia"/>
              </w:rPr>
              <w:t>；三级评价距管道中心线两侧一般均不低于</w:t>
            </w:r>
            <w:r>
              <w:t>100m</w:t>
            </w:r>
            <w:r>
              <w:rPr>
                <w:rFonts w:hint="eastAsia"/>
              </w:rPr>
              <w:t>。当大气毒性终点浓度预测到达距离超出评价范围时，应根据预测到达距离进一步调整评价范围</w:t>
            </w:r>
          </w:p>
        </w:tc>
        <w:tc>
          <w:tcPr>
            <w:tcW w:w="565" w:type="pct"/>
            <w:tcBorders>
              <w:tl2br w:val="nil"/>
              <w:tr2bl w:val="nil"/>
            </w:tcBorders>
            <w:noWrap w:val="0"/>
            <w:vAlign w:val="center"/>
          </w:tcPr>
          <w:p>
            <w:pPr>
              <w:pStyle w:val="18"/>
              <w:bidi w:val="0"/>
              <w:jc w:val="center"/>
              <w:rPr>
                <w:rFonts w:hint="default"/>
                <w:lang w:val="en-US" w:eastAsia="zh-CN"/>
              </w:rPr>
            </w:pPr>
            <w:r>
              <w:rPr>
                <w:rFonts w:hint="eastAsia"/>
                <w:lang w:val="en-US" w:eastAsia="zh-CN"/>
              </w:rPr>
              <w:t>二级</w:t>
            </w:r>
          </w:p>
        </w:tc>
        <w:tc>
          <w:tcPr>
            <w:tcW w:w="1240" w:type="pct"/>
            <w:tcBorders>
              <w:tl2br w:val="nil"/>
              <w:tr2bl w:val="nil"/>
            </w:tcBorders>
            <w:noWrap w:val="0"/>
            <w:vAlign w:val="center"/>
          </w:tcPr>
          <w:p>
            <w:pPr>
              <w:pStyle w:val="18"/>
              <w:bidi w:val="0"/>
              <w:jc w:val="center"/>
              <w:rPr>
                <w:rFonts w:hint="default"/>
                <w:lang w:val="en-US" w:eastAsia="zh-CN"/>
              </w:rPr>
            </w:pPr>
            <w:r>
              <w:rPr>
                <w:rFonts w:hint="eastAsia"/>
                <w:lang w:val="en-US" w:eastAsia="zh-CN"/>
              </w:rPr>
              <w:t>边界外5km范围内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3" w:type="pct"/>
            <w:tcBorders>
              <w:tl2br w:val="nil"/>
              <w:tr2bl w:val="nil"/>
            </w:tcBorders>
            <w:noWrap w:val="0"/>
            <w:vAlign w:val="center"/>
          </w:tcPr>
          <w:p>
            <w:pPr>
              <w:pStyle w:val="18"/>
              <w:bidi w:val="0"/>
              <w:jc w:val="center"/>
            </w:pPr>
            <w:r>
              <w:rPr>
                <w:rFonts w:hint="eastAsia"/>
              </w:rPr>
              <w:t>地表水环境</w:t>
            </w:r>
          </w:p>
        </w:tc>
        <w:tc>
          <w:tcPr>
            <w:tcW w:w="2470" w:type="pct"/>
            <w:tcBorders>
              <w:tl2br w:val="nil"/>
              <w:tr2bl w:val="nil"/>
            </w:tcBorders>
            <w:noWrap w:val="0"/>
            <w:vAlign w:val="center"/>
          </w:tcPr>
          <w:p>
            <w:pPr>
              <w:pStyle w:val="18"/>
              <w:bidi w:val="0"/>
              <w:jc w:val="center"/>
            </w:pPr>
            <w:r>
              <w:rPr>
                <w:rFonts w:hint="eastAsia"/>
              </w:rPr>
              <w:t>地表水环境风险评价范围参照</w:t>
            </w:r>
            <w:r>
              <w:t>HJ2.3</w:t>
            </w:r>
            <w:r>
              <w:rPr>
                <w:rFonts w:hint="eastAsia"/>
              </w:rPr>
              <w:t>确定</w:t>
            </w:r>
          </w:p>
        </w:tc>
        <w:tc>
          <w:tcPr>
            <w:tcW w:w="565" w:type="pct"/>
            <w:tcBorders>
              <w:tl2br w:val="nil"/>
              <w:tr2bl w:val="nil"/>
            </w:tcBorders>
            <w:noWrap w:val="0"/>
            <w:vAlign w:val="center"/>
          </w:tcPr>
          <w:p>
            <w:pPr>
              <w:pStyle w:val="18"/>
              <w:bidi w:val="0"/>
              <w:jc w:val="center"/>
              <w:rPr>
                <w:rFonts w:hint="default"/>
                <w:lang w:val="en-US" w:eastAsia="zh-CN"/>
              </w:rPr>
            </w:pPr>
            <w:r>
              <w:rPr>
                <w:rFonts w:hint="eastAsia"/>
                <w:lang w:val="en-US" w:eastAsia="zh-CN"/>
              </w:rPr>
              <w:t>二级</w:t>
            </w:r>
          </w:p>
        </w:tc>
        <w:tc>
          <w:tcPr>
            <w:tcW w:w="1240" w:type="pct"/>
            <w:tcBorders>
              <w:tl2br w:val="nil"/>
              <w:tr2bl w:val="nil"/>
            </w:tcBorders>
            <w:noWrap w:val="0"/>
            <w:vAlign w:val="center"/>
          </w:tcPr>
          <w:p>
            <w:pPr>
              <w:pStyle w:val="18"/>
              <w:bidi w:val="0"/>
              <w:jc w:val="center"/>
              <w:rPr>
                <w:rFonts w:hint="default" w:eastAsia="宋体"/>
                <w:lang w:val="en-US" w:eastAsia="zh-CN"/>
              </w:rPr>
            </w:pPr>
            <w:r>
              <w:rPr>
                <w:rFonts w:hint="eastAsia"/>
                <w:lang w:val="en-US" w:eastAsia="zh-CN"/>
              </w:rPr>
              <w:t>园区排污口上游 500m 至下游 3000m 之间约 3.5km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3" w:type="pct"/>
            <w:tcBorders>
              <w:tl2br w:val="nil"/>
              <w:tr2bl w:val="nil"/>
            </w:tcBorders>
            <w:noWrap w:val="0"/>
            <w:vAlign w:val="center"/>
          </w:tcPr>
          <w:p>
            <w:pPr>
              <w:pStyle w:val="18"/>
              <w:bidi w:val="0"/>
              <w:jc w:val="center"/>
            </w:pPr>
            <w:r>
              <w:rPr>
                <w:rFonts w:hint="eastAsia"/>
              </w:rPr>
              <w:t>地下水环境</w:t>
            </w:r>
          </w:p>
        </w:tc>
        <w:tc>
          <w:tcPr>
            <w:tcW w:w="2470" w:type="pct"/>
            <w:tcBorders>
              <w:tl2br w:val="nil"/>
              <w:tr2bl w:val="nil"/>
            </w:tcBorders>
            <w:noWrap w:val="0"/>
            <w:vAlign w:val="center"/>
          </w:tcPr>
          <w:p>
            <w:pPr>
              <w:pStyle w:val="18"/>
              <w:bidi w:val="0"/>
              <w:jc w:val="center"/>
            </w:pPr>
            <w:r>
              <w:rPr>
                <w:rFonts w:hint="eastAsia"/>
              </w:rPr>
              <w:t>地下水环境风险评价范围参照</w:t>
            </w:r>
            <w:r>
              <w:t>HJ610</w:t>
            </w:r>
            <w:r>
              <w:rPr>
                <w:rFonts w:hint="eastAsia"/>
              </w:rPr>
              <w:t>确定</w:t>
            </w:r>
          </w:p>
        </w:tc>
        <w:tc>
          <w:tcPr>
            <w:tcW w:w="565" w:type="pct"/>
            <w:tcBorders>
              <w:tl2br w:val="nil"/>
              <w:tr2bl w:val="nil"/>
            </w:tcBorders>
            <w:noWrap w:val="0"/>
            <w:vAlign w:val="center"/>
          </w:tcPr>
          <w:p>
            <w:pPr>
              <w:pStyle w:val="18"/>
              <w:bidi w:val="0"/>
              <w:jc w:val="center"/>
            </w:pPr>
            <w:r>
              <w:rPr>
                <w:rFonts w:hint="eastAsia"/>
                <w:lang w:val="en-US" w:eastAsia="zh-CN"/>
              </w:rPr>
              <w:t>三级</w:t>
            </w:r>
          </w:p>
        </w:tc>
        <w:tc>
          <w:tcPr>
            <w:tcW w:w="1240" w:type="pct"/>
            <w:tcBorders>
              <w:tl2br w:val="nil"/>
              <w:tr2bl w:val="nil"/>
            </w:tcBorders>
            <w:noWrap w:val="0"/>
            <w:vAlign w:val="center"/>
          </w:tcPr>
          <w:p>
            <w:pPr>
              <w:pStyle w:val="18"/>
              <w:bidi w:val="0"/>
              <w:jc w:val="center"/>
              <w:rPr>
                <w:rFonts w:hint="default"/>
                <w:lang w:val="en-US" w:eastAsia="zh-CN"/>
              </w:rPr>
            </w:pPr>
            <w:r>
              <w:rPr>
                <w:rFonts w:hint="eastAsia" w:ascii="Times New Roman" w:hAnsi="Times New Roman" w:cs="Times New Roman"/>
                <w:color w:val="auto"/>
                <w:highlight w:val="none"/>
                <w:u w:val="none"/>
                <w:lang w:val="en-US" w:eastAsia="zh-CN"/>
              </w:rPr>
              <w:t>工</w:t>
            </w:r>
            <w:r>
              <w:rPr>
                <w:rFonts w:ascii="Times New Roman" w:hAnsi="Times New Roman" w:cs="Times New Roman"/>
                <w:color w:val="auto"/>
                <w:highlight w:val="none"/>
                <w:u w:val="none"/>
              </w:rPr>
              <w:t>程厂区6km</w:t>
            </w:r>
            <w:r>
              <w:rPr>
                <w:rFonts w:ascii="Times New Roman" w:hAnsi="Times New Roman" w:cs="Times New Roman"/>
                <w:color w:val="auto"/>
                <w:highlight w:val="none"/>
                <w:u w:val="none"/>
                <w:vertAlign w:val="superscript"/>
              </w:rPr>
              <w:t>2</w:t>
            </w:r>
            <w:r>
              <w:rPr>
                <w:rFonts w:ascii="Times New Roman" w:hAnsi="Times New Roman" w:cs="Times New Roman"/>
                <w:color w:val="auto"/>
                <w:highlight w:val="none"/>
                <w:u w:val="none"/>
              </w:rPr>
              <w:t>范围内地下含水层及周边水井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noWrap w:val="0"/>
            <w:vAlign w:val="center"/>
          </w:tcPr>
          <w:p>
            <w:pPr>
              <w:pStyle w:val="18"/>
              <w:bidi w:val="0"/>
              <w:jc w:val="center"/>
            </w:pPr>
            <w:r>
              <w:rPr>
                <w:rFonts w:hint="eastAsia"/>
              </w:rPr>
              <w:t>注：环境风险评价范围应根据环境敏感目标分布情况、事故后果预测可能对环境产生危害的范围等综合确定。项目周边所在区域，评价范围外存在需要特别关注的环境敏感目标，评价范围需延伸至所关心的目标。</w:t>
            </w:r>
          </w:p>
        </w:tc>
      </w:tr>
    </w:tbl>
    <w:p>
      <w:pPr>
        <w:pStyle w:val="4"/>
        <w:bidi w:val="0"/>
        <w:rPr>
          <w:rFonts w:hint="default"/>
          <w:lang w:val="en-US" w:eastAsia="zh-CN"/>
        </w:rPr>
      </w:pPr>
      <w:bookmarkStart w:id="166" w:name="_Toc14312"/>
      <w:bookmarkStart w:id="167" w:name="_Toc7295"/>
      <w:r>
        <w:rPr>
          <w:rFonts w:hint="eastAsia"/>
          <w:lang w:val="en-US" w:eastAsia="zh-CN"/>
        </w:rPr>
        <w:t>2.6 环境保护目标</w:t>
      </w:r>
      <w:bookmarkEnd w:id="166"/>
      <w:bookmarkEnd w:id="167"/>
    </w:p>
    <w:p>
      <w:pPr>
        <w:pStyle w:val="19"/>
        <w:bidi w:val="0"/>
        <w:rPr>
          <w:rFonts w:hint="default"/>
          <w:lang w:val="en-US" w:eastAsia="zh-CN"/>
        </w:rPr>
      </w:pPr>
      <w:r>
        <w:rPr>
          <w:rFonts w:hint="eastAsia"/>
          <w:lang w:val="en-US" w:eastAsia="zh-CN"/>
        </w:rPr>
        <w:t>本项目地表水、地下水环境风险敏感目标详见表2-17</w:t>
      </w:r>
    </w:p>
    <w:p>
      <w:pPr>
        <w:bidi w:val="0"/>
        <w:jc w:val="center"/>
        <w:rPr>
          <w:rFonts w:hint="default"/>
          <w:b/>
          <w:bCs/>
          <w:lang w:val="en-US" w:eastAsia="zh-CN"/>
        </w:rPr>
      </w:pPr>
      <w:r>
        <w:rPr>
          <w:rFonts w:hint="eastAsia"/>
          <w:b/>
          <w:bCs/>
          <w:lang w:val="en-US" w:eastAsia="zh-CN"/>
        </w:rPr>
        <w:t>表2-17  水环境保护目标</w:t>
      </w:r>
    </w:p>
    <w:tbl>
      <w:tblPr>
        <w:tblStyle w:val="15"/>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81"/>
        <w:gridCol w:w="1006"/>
        <w:gridCol w:w="2622"/>
        <w:gridCol w:w="2002"/>
        <w:gridCol w:w="21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46" w:type="pct"/>
            <w:vAlign w:val="center"/>
          </w:tcPr>
          <w:p>
            <w:pPr>
              <w:pStyle w:val="18"/>
              <w:bidi w:val="0"/>
              <w:jc w:val="center"/>
            </w:pPr>
            <w:r>
              <w:t>类别</w:t>
            </w:r>
          </w:p>
        </w:tc>
        <w:tc>
          <w:tcPr>
            <w:tcW w:w="538" w:type="pct"/>
            <w:vAlign w:val="center"/>
          </w:tcPr>
          <w:p>
            <w:pPr>
              <w:pStyle w:val="18"/>
              <w:bidi w:val="0"/>
              <w:jc w:val="center"/>
            </w:pPr>
            <w:r>
              <w:t>序号</w:t>
            </w:r>
          </w:p>
        </w:tc>
        <w:tc>
          <w:tcPr>
            <w:tcW w:w="1403" w:type="pct"/>
            <w:vAlign w:val="center"/>
          </w:tcPr>
          <w:p>
            <w:pPr>
              <w:pStyle w:val="18"/>
              <w:bidi w:val="0"/>
              <w:jc w:val="center"/>
            </w:pPr>
            <w:r>
              <w:t>保护目标</w:t>
            </w:r>
          </w:p>
        </w:tc>
        <w:tc>
          <w:tcPr>
            <w:tcW w:w="1071" w:type="pct"/>
            <w:vAlign w:val="center"/>
          </w:tcPr>
          <w:p>
            <w:pPr>
              <w:pStyle w:val="18"/>
              <w:bidi w:val="0"/>
              <w:jc w:val="center"/>
            </w:pPr>
            <w:r>
              <w:t>规模、功能</w:t>
            </w:r>
          </w:p>
        </w:tc>
        <w:tc>
          <w:tcPr>
            <w:tcW w:w="1140" w:type="pct"/>
            <w:vAlign w:val="center"/>
          </w:tcPr>
          <w:p>
            <w:pPr>
              <w:pStyle w:val="18"/>
              <w:bidi w:val="0"/>
              <w:jc w:val="center"/>
            </w:pPr>
            <w:r>
              <w:t>距离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46" w:type="pct"/>
            <w:vMerge w:val="restart"/>
            <w:vAlign w:val="center"/>
          </w:tcPr>
          <w:p>
            <w:pPr>
              <w:pStyle w:val="18"/>
              <w:bidi w:val="0"/>
              <w:jc w:val="center"/>
            </w:pPr>
            <w:r>
              <w:t>水环境</w:t>
            </w:r>
          </w:p>
        </w:tc>
        <w:tc>
          <w:tcPr>
            <w:tcW w:w="538" w:type="pct"/>
            <w:vAlign w:val="center"/>
          </w:tcPr>
          <w:p>
            <w:pPr>
              <w:pStyle w:val="18"/>
              <w:bidi w:val="0"/>
              <w:jc w:val="center"/>
            </w:pPr>
            <w:r>
              <w:t>1</w:t>
            </w:r>
          </w:p>
        </w:tc>
        <w:tc>
          <w:tcPr>
            <w:tcW w:w="1403" w:type="pct"/>
            <w:vAlign w:val="center"/>
          </w:tcPr>
          <w:p>
            <w:pPr>
              <w:pStyle w:val="18"/>
              <w:bidi w:val="0"/>
              <w:jc w:val="center"/>
            </w:pPr>
            <w:r>
              <w:rPr>
                <w:rFonts w:hint="eastAsia"/>
                <w:lang w:val="en-US" w:eastAsia="zh-CN"/>
              </w:rPr>
              <w:t>花垣河</w:t>
            </w:r>
          </w:p>
        </w:tc>
        <w:tc>
          <w:tcPr>
            <w:tcW w:w="1071" w:type="pct"/>
            <w:vAlign w:val="center"/>
          </w:tcPr>
          <w:p>
            <w:pPr>
              <w:pStyle w:val="18"/>
              <w:bidi w:val="0"/>
              <w:jc w:val="center"/>
            </w:pPr>
            <w:r>
              <w:rPr>
                <w:rFonts w:hint="eastAsia"/>
              </w:rPr>
              <w:t>排洪</w:t>
            </w:r>
          </w:p>
        </w:tc>
        <w:tc>
          <w:tcPr>
            <w:tcW w:w="1140" w:type="pct"/>
            <w:vAlign w:val="center"/>
          </w:tcPr>
          <w:p>
            <w:pPr>
              <w:pStyle w:val="18"/>
              <w:bidi w:val="0"/>
              <w:jc w:val="center"/>
              <w:rPr>
                <w:rFonts w:hint="default" w:eastAsia="宋体"/>
                <w:lang w:val="en-US" w:eastAsia="zh-CN"/>
              </w:rPr>
            </w:pPr>
            <w:r>
              <w:rPr>
                <w:rFonts w:hint="eastAsia"/>
                <w:lang w:val="en-US" w:eastAsia="zh-CN"/>
              </w:rPr>
              <w:t>N700m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46" w:type="pct"/>
            <w:vMerge w:val="continue"/>
            <w:vAlign w:val="center"/>
          </w:tcPr>
          <w:p>
            <w:pPr>
              <w:pStyle w:val="18"/>
              <w:bidi w:val="0"/>
              <w:jc w:val="center"/>
            </w:pPr>
          </w:p>
        </w:tc>
        <w:tc>
          <w:tcPr>
            <w:tcW w:w="538" w:type="pct"/>
            <w:vAlign w:val="center"/>
          </w:tcPr>
          <w:p>
            <w:pPr>
              <w:pStyle w:val="18"/>
              <w:bidi w:val="0"/>
              <w:jc w:val="center"/>
            </w:pPr>
            <w:r>
              <w:rPr>
                <w:rFonts w:hint="eastAsia"/>
              </w:rPr>
              <w:t>2</w:t>
            </w:r>
          </w:p>
        </w:tc>
        <w:tc>
          <w:tcPr>
            <w:tcW w:w="1403" w:type="pct"/>
            <w:vAlign w:val="center"/>
          </w:tcPr>
          <w:p>
            <w:pPr>
              <w:pStyle w:val="18"/>
              <w:bidi w:val="0"/>
              <w:jc w:val="center"/>
            </w:pPr>
            <w:r>
              <w:t>项目区周边地下水</w:t>
            </w:r>
          </w:p>
        </w:tc>
        <w:tc>
          <w:tcPr>
            <w:tcW w:w="1071" w:type="pct"/>
            <w:vAlign w:val="center"/>
          </w:tcPr>
          <w:p>
            <w:pPr>
              <w:pStyle w:val="18"/>
              <w:bidi w:val="0"/>
              <w:jc w:val="center"/>
            </w:pPr>
            <w:r>
              <w:rPr>
                <w:rFonts w:hint="eastAsia"/>
              </w:rPr>
              <w:t>无饮用功能</w:t>
            </w:r>
          </w:p>
        </w:tc>
        <w:tc>
          <w:tcPr>
            <w:tcW w:w="1140" w:type="pct"/>
            <w:vAlign w:val="center"/>
          </w:tcPr>
          <w:p>
            <w:pPr>
              <w:pStyle w:val="18"/>
              <w:bidi w:val="0"/>
              <w:jc w:val="center"/>
            </w:pPr>
            <w:r>
              <w:t>/</w:t>
            </w:r>
          </w:p>
        </w:tc>
      </w:tr>
    </w:tbl>
    <w:p>
      <w:pPr>
        <w:pStyle w:val="19"/>
        <w:bidi w:val="0"/>
        <w:rPr>
          <w:rFonts w:hint="eastAsia"/>
          <w:lang w:val="en-US" w:eastAsia="zh-CN"/>
        </w:rPr>
      </w:pPr>
      <w:r>
        <w:rPr>
          <w:rFonts w:hint="eastAsia"/>
          <w:lang w:val="en-US" w:eastAsia="zh-CN"/>
        </w:rPr>
        <w:t>本项目大气环境敏感目标见表2-18。</w:t>
      </w:r>
    </w:p>
    <w:p>
      <w:pPr>
        <w:bidi w:val="0"/>
        <w:jc w:val="center"/>
        <w:rPr>
          <w:rFonts w:hint="default"/>
          <w:b/>
          <w:bCs/>
          <w:lang w:val="en-US" w:eastAsia="zh-CN"/>
        </w:rPr>
      </w:pPr>
      <w:r>
        <w:rPr>
          <w:rFonts w:hint="eastAsia"/>
          <w:b/>
          <w:bCs/>
          <w:lang w:val="en-US" w:eastAsia="zh-CN"/>
        </w:rPr>
        <w:t>表2-18  大气环境保护目标</w:t>
      </w:r>
    </w:p>
    <w:tbl>
      <w:tblPr>
        <w:tblStyle w:val="1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17"/>
        <w:gridCol w:w="729"/>
        <w:gridCol w:w="1800"/>
        <w:gridCol w:w="1324"/>
        <w:gridCol w:w="1376"/>
        <w:gridCol w:w="1274"/>
        <w:gridCol w:w="11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restart"/>
            <w:tcBorders>
              <w:top w:val="single" w:color="auto" w:sz="12" w:space="0"/>
              <w:left w:val="single" w:color="auto" w:sz="12" w:space="0"/>
              <w:bottom w:val="single" w:color="auto" w:sz="6" w:space="0"/>
              <w:right w:val="single" w:color="auto" w:sz="6" w:space="0"/>
            </w:tcBorders>
            <w:noWrap/>
            <w:vAlign w:val="center"/>
          </w:tcPr>
          <w:p>
            <w:pPr>
              <w:pStyle w:val="18"/>
              <w:bidi w:val="0"/>
              <w:jc w:val="center"/>
              <w:rPr>
                <w:b/>
                <w:bCs/>
              </w:rPr>
            </w:pPr>
            <w:r>
              <w:rPr>
                <w:b/>
                <w:bCs/>
              </w:rPr>
              <w:t>类别</w:t>
            </w:r>
          </w:p>
        </w:tc>
        <w:tc>
          <w:tcPr>
            <w:tcW w:w="7688" w:type="dxa"/>
            <w:gridSpan w:val="6"/>
            <w:tcBorders>
              <w:top w:val="single" w:color="auto" w:sz="12" w:space="0"/>
              <w:left w:val="single" w:color="auto" w:sz="6" w:space="0"/>
              <w:bottom w:val="single" w:color="auto" w:sz="6" w:space="0"/>
              <w:right w:val="single" w:color="auto" w:sz="12" w:space="0"/>
            </w:tcBorders>
            <w:noWrap/>
            <w:vAlign w:val="center"/>
          </w:tcPr>
          <w:p>
            <w:pPr>
              <w:pStyle w:val="18"/>
              <w:bidi w:val="0"/>
              <w:jc w:val="center"/>
              <w:rPr>
                <w:b/>
                <w:bCs/>
              </w:rPr>
            </w:pPr>
            <w:r>
              <w:rPr>
                <w:b/>
                <w:bCs/>
              </w:rPr>
              <w:t>环境敏感特征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top w:val="single" w:color="auto" w:sz="12" w:space="0"/>
              <w:left w:val="single" w:color="auto" w:sz="12" w:space="0"/>
              <w:bottom w:val="single" w:color="auto" w:sz="6" w:space="0"/>
              <w:right w:val="single" w:color="auto" w:sz="6" w:space="0"/>
            </w:tcBorders>
            <w:noWrap w:val="0"/>
            <w:vAlign w:val="center"/>
          </w:tcPr>
          <w:p>
            <w:pPr>
              <w:pStyle w:val="18"/>
              <w:bidi w:val="0"/>
              <w:jc w:val="center"/>
              <w:rPr>
                <w:b/>
                <w:bCs/>
              </w:rPr>
            </w:pPr>
          </w:p>
        </w:tc>
        <w:tc>
          <w:tcPr>
            <w:tcW w:w="7688" w:type="dxa"/>
            <w:gridSpan w:val="6"/>
            <w:tcBorders>
              <w:top w:val="single" w:color="auto" w:sz="6" w:space="0"/>
              <w:left w:val="single" w:color="auto" w:sz="6" w:space="0"/>
              <w:bottom w:val="single" w:color="auto" w:sz="6" w:space="0"/>
              <w:right w:val="single" w:color="auto" w:sz="12" w:space="0"/>
            </w:tcBorders>
            <w:noWrap/>
            <w:vAlign w:val="center"/>
          </w:tcPr>
          <w:p>
            <w:pPr>
              <w:pStyle w:val="18"/>
              <w:bidi w:val="0"/>
              <w:jc w:val="center"/>
              <w:rPr>
                <w:b/>
                <w:bCs/>
              </w:rPr>
            </w:pPr>
            <w:r>
              <w:rPr>
                <w:b/>
                <w:bCs/>
              </w:rPr>
              <w:t>厂界周边</w:t>
            </w:r>
            <w:r>
              <w:rPr>
                <w:rFonts w:hint="eastAsia"/>
                <w:b/>
                <w:bCs/>
              </w:rPr>
              <w:t>5</w:t>
            </w:r>
            <w:r>
              <w:rPr>
                <w:b/>
                <w:bCs/>
              </w:rPr>
              <w:t>km范围内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top w:val="single" w:color="auto" w:sz="12" w:space="0"/>
              <w:left w:val="single" w:color="auto" w:sz="12" w:space="0"/>
              <w:bottom w:val="single" w:color="auto" w:sz="6" w:space="0"/>
              <w:right w:val="single" w:color="auto" w:sz="6" w:space="0"/>
            </w:tcBorders>
            <w:noWrap w:val="0"/>
            <w:vAlign w:val="center"/>
          </w:tcPr>
          <w:p>
            <w:pPr>
              <w:pStyle w:val="18"/>
              <w:bidi w:val="0"/>
              <w:jc w:val="center"/>
              <w:rPr>
                <w:b/>
                <w:bCs/>
              </w:rP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rPr>
                <w:b/>
                <w:bCs/>
              </w:rPr>
            </w:pPr>
            <w:r>
              <w:rPr>
                <w:b/>
                <w:bCs/>
              </w:rPr>
              <w:t>序号</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rPr>
                <w:b/>
                <w:bCs/>
              </w:rPr>
            </w:pPr>
            <w:r>
              <w:rPr>
                <w:b/>
                <w:bCs/>
              </w:rPr>
              <w:t>敏感目标名称</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rPr>
                <w:b/>
                <w:bCs/>
              </w:rPr>
            </w:pPr>
            <w:r>
              <w:rPr>
                <w:b/>
                <w:bCs/>
              </w:rPr>
              <w:t>相对方位</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rPr>
                <w:b/>
                <w:bCs/>
              </w:rPr>
            </w:pPr>
            <w:r>
              <w:rPr>
                <w:b/>
                <w:bCs/>
              </w:rPr>
              <w:t>距离厂界/m</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rPr>
                <w:b/>
                <w:bCs/>
              </w:rPr>
            </w:pPr>
            <w:r>
              <w:rPr>
                <w:b/>
                <w:bCs/>
              </w:rPr>
              <w:t>属性</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jc w:val="center"/>
              <w:rPr>
                <w:b/>
                <w:bCs/>
              </w:rPr>
            </w:pPr>
            <w:r>
              <w:rPr>
                <w:b/>
                <w:bCs/>
              </w:rPr>
              <w:t>人口数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restart"/>
            <w:tcBorders>
              <w:top w:val="single" w:color="auto" w:sz="6" w:space="0"/>
              <w:left w:val="single" w:color="auto" w:sz="12" w:space="0"/>
              <w:right w:val="single" w:color="auto" w:sz="6" w:space="0"/>
            </w:tcBorders>
            <w:noWrap w:val="0"/>
            <w:vAlign w:val="center"/>
          </w:tcPr>
          <w:p>
            <w:pPr>
              <w:pStyle w:val="18"/>
              <w:bidi w:val="0"/>
              <w:jc w:val="center"/>
            </w:pPr>
            <w:bookmarkStart w:id="168" w:name="OLE_LINK76" w:colFirst="6" w:colLast="6"/>
            <w:bookmarkStart w:id="169" w:name="OLE_LINK79" w:colFirst="6" w:colLast="6"/>
            <w:bookmarkStart w:id="170" w:name="_Hlk11850304"/>
            <w:r>
              <w:t>环境空气</w:t>
            </w: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rPr>
                <w:rFonts w:hint="eastAsia" w:eastAsia="宋体"/>
                <w:lang w:val="en-US" w:eastAsia="zh-CN"/>
              </w:rPr>
            </w:pPr>
            <w:r>
              <w:rPr>
                <w:rFonts w:hint="eastAsia"/>
                <w:lang w:val="en-US" w:eastAsia="zh-CN"/>
              </w:rPr>
              <w:t>1</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卡地村</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NE</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500</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1350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2</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大冲村</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W</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2000</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860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3</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龙洞村</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S</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6</w:t>
            </w:r>
            <w:r>
              <w:t>41</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rPr>
              <w:t>2100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4</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下瓦水村</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W</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3</w:t>
            </w:r>
            <w:r>
              <w:t>106</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1200</w:t>
            </w:r>
          </w:p>
        </w:tc>
      </w:tr>
      <w:bookmarkEnd w:id="168"/>
      <w:bookmarkEnd w:id="169"/>
      <w:bookmarkEnd w:id="170"/>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5</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杨家寨村</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SW</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w:t>
            </w:r>
            <w:r>
              <w:rPr>
                <w:rFonts w:hint="eastAsia"/>
                <w:lang w:val="en-US" w:eastAsia="zh-CN"/>
              </w:rPr>
              <w:t>5</w:t>
            </w:r>
            <w:r>
              <w:t>39</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750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6</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岩坝塘村</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SW</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3</w:t>
            </w:r>
            <w:r>
              <w:t>330</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1630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7</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老鸦塘村</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SW</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3</w:t>
            </w:r>
            <w:r>
              <w:t>272</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1130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8</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花垣职校</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SE</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10</w:t>
            </w:r>
            <w:r>
              <w:t>05</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文教区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1800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9</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新生屯村</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SE</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2057</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rPr>
              <w:t>2</w:t>
            </w:r>
            <w:r>
              <w:t>600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10</w:t>
            </w:r>
          </w:p>
        </w:tc>
        <w:tc>
          <w:tcPr>
            <w:tcW w:w="1800"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清水塘村</w:t>
            </w:r>
          </w:p>
        </w:tc>
        <w:tc>
          <w:tcPr>
            <w:tcW w:w="132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SE</w:t>
            </w:r>
          </w:p>
        </w:tc>
        <w:tc>
          <w:tcPr>
            <w:tcW w:w="1376"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31</w:t>
            </w:r>
            <w:r>
              <w:t>25</w:t>
            </w:r>
          </w:p>
        </w:tc>
        <w:tc>
          <w:tcPr>
            <w:tcW w:w="1274" w:type="dxa"/>
            <w:tcBorders>
              <w:top w:val="single" w:color="auto" w:sz="6" w:space="0"/>
              <w:left w:val="single" w:color="auto" w:sz="6" w:space="0"/>
              <w:bottom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rPr>
              <w:t>18</w:t>
            </w:r>
            <w: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t>11</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那冲村</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NE</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2</w:t>
            </w:r>
            <w:r>
              <w:rPr>
                <w:rFonts w:hint="eastAsia"/>
                <w:lang w:val="en-US" w:eastAsia="zh-CN"/>
              </w:rPr>
              <w:t>2</w:t>
            </w:r>
            <w:r>
              <w:t>49</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1340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t>12</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凉水井村</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cs="Times New Roman"/>
                <w:kern w:val="2"/>
                <w:sz w:val="22"/>
                <w:szCs w:val="22"/>
                <w:lang w:val="en-US" w:eastAsia="zh-CN" w:bidi="ar-SA"/>
              </w:rPr>
              <w:t>SE</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39</w:t>
            </w:r>
            <w:r>
              <w:rPr>
                <w:rFonts w:hint="eastAsia"/>
              </w:rPr>
              <w:t>60</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1230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rPr>
                <w:rFonts w:hint="eastAsia"/>
              </w:rPr>
              <w:t>13</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边城中学</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E</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rPr>
              <w:t>3670</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rPr>
              <w:t>文教区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1800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rPr>
                <w:rFonts w:hint="eastAsia"/>
              </w:rPr>
              <w:t>14</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花垣县城</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E</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rPr>
              <w:t>4</w:t>
            </w:r>
            <w:r>
              <w:rPr>
                <w:rFonts w:hint="eastAsia"/>
                <w:lang w:val="en-US" w:eastAsia="zh-CN"/>
              </w:rPr>
              <w:t>4</w:t>
            </w:r>
            <w:r>
              <w:rPr>
                <w:rFonts w:hint="eastAsia"/>
              </w:rPr>
              <w:t>00</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混合区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18200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rPr>
                <w:rFonts w:hint="eastAsia"/>
              </w:rPr>
              <w:t>17</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依溪村</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S</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rPr>
              <w:t>3</w:t>
            </w:r>
            <w:r>
              <w:rPr>
                <w:rFonts w:hint="eastAsia"/>
                <w:lang w:val="en-US" w:eastAsia="zh-CN"/>
              </w:rPr>
              <w:t>5</w:t>
            </w:r>
            <w:r>
              <w:rPr>
                <w:rFonts w:hint="eastAsia"/>
              </w:rPr>
              <w:t>80</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990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rPr>
                <w:rFonts w:hint="eastAsia"/>
              </w:rPr>
              <w:t>18</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漾水坪村</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SW</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41</w:t>
            </w:r>
            <w:r>
              <w:rPr>
                <w:rFonts w:hint="eastAsia"/>
              </w:rPr>
              <w:t>40</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1080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rPr>
                <w:rFonts w:hint="eastAsia"/>
              </w:rPr>
              <w:t>19</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毛沟镇</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cs="Times New Roman"/>
                <w:kern w:val="2"/>
                <w:sz w:val="22"/>
                <w:szCs w:val="22"/>
                <w:lang w:val="en-US" w:eastAsia="zh-CN" w:bidi="ar-SA"/>
              </w:rPr>
              <w:t>NW</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rPr>
              <w:t>4330</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3640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rPr>
                <w:rFonts w:hint="eastAsia"/>
              </w:rPr>
              <w:t>20</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大湾村</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NE</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rPr>
              <w:t>4</w:t>
            </w:r>
            <w:r>
              <w:rPr>
                <w:rFonts w:hint="eastAsia"/>
                <w:lang w:val="en-US" w:eastAsia="zh-CN"/>
              </w:rPr>
              <w:t>4</w:t>
            </w:r>
            <w:r>
              <w:rPr>
                <w:rFonts w:hint="eastAsia"/>
              </w:rPr>
              <w:t>20</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1320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rPr>
                <w:rFonts w:hint="eastAsia"/>
              </w:rPr>
              <w:t>21</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白坪村</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NW</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38</w:t>
            </w:r>
            <w:r>
              <w:rPr>
                <w:rFonts w:hint="eastAsia"/>
              </w:rPr>
              <w:t>50</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860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729" w:type="dxa"/>
            <w:tcBorders>
              <w:top w:val="single" w:color="auto" w:sz="6" w:space="0"/>
              <w:left w:val="single" w:color="auto" w:sz="6" w:space="0"/>
              <w:right w:val="single" w:color="auto" w:sz="6" w:space="0"/>
            </w:tcBorders>
            <w:noWrap/>
            <w:vAlign w:val="center"/>
          </w:tcPr>
          <w:p>
            <w:pPr>
              <w:pStyle w:val="18"/>
              <w:bidi w:val="0"/>
              <w:jc w:val="center"/>
            </w:pPr>
            <w:r>
              <w:rPr>
                <w:rFonts w:hint="eastAsia"/>
              </w:rPr>
              <w:t>22</w:t>
            </w:r>
          </w:p>
        </w:tc>
        <w:tc>
          <w:tcPr>
            <w:tcW w:w="1800"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花交村</w:t>
            </w:r>
          </w:p>
        </w:tc>
        <w:tc>
          <w:tcPr>
            <w:tcW w:w="132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N</w:t>
            </w:r>
          </w:p>
        </w:tc>
        <w:tc>
          <w:tcPr>
            <w:tcW w:w="1376"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rPr>
                <w:rFonts w:hint="eastAsia"/>
                <w:lang w:val="en-US" w:eastAsia="zh-CN"/>
              </w:rPr>
              <w:t>38</w:t>
            </w:r>
            <w:r>
              <w:rPr>
                <w:rFonts w:hint="eastAsia"/>
              </w:rPr>
              <w:t>00</w:t>
            </w:r>
          </w:p>
        </w:tc>
        <w:tc>
          <w:tcPr>
            <w:tcW w:w="1274" w:type="dxa"/>
            <w:tcBorders>
              <w:top w:val="single" w:color="auto" w:sz="6" w:space="0"/>
              <w:left w:val="single" w:color="auto" w:sz="6" w:space="0"/>
              <w:right w:val="single" w:color="auto" w:sz="6"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居住区</w:t>
            </w:r>
          </w:p>
        </w:tc>
        <w:tc>
          <w:tcPr>
            <w:tcW w:w="1185" w:type="dxa"/>
            <w:tcBorders>
              <w:top w:val="single" w:color="auto" w:sz="6" w:space="0"/>
              <w:left w:val="single" w:color="auto" w:sz="6" w:space="0"/>
              <w:right w:val="single" w:color="auto" w:sz="12" w:space="0"/>
            </w:tcBorders>
            <w:noWrap/>
            <w:vAlign w:val="center"/>
          </w:tcPr>
          <w:p>
            <w:pPr>
              <w:pStyle w:val="18"/>
              <w:bidi w:val="0"/>
              <w:ind w:left="40" w:leftChars="0" w:right="40" w:rightChars="0"/>
              <w:jc w:val="center"/>
              <w:rPr>
                <w:rFonts w:ascii="Times New Roman" w:hAnsi="Times New Roman" w:eastAsia="宋体" w:cs="Times New Roman"/>
                <w:kern w:val="2"/>
                <w:sz w:val="22"/>
                <w:szCs w:val="22"/>
                <w:lang w:val="en-US" w:eastAsia="zh-CN" w:bidi="ar-SA"/>
              </w:rPr>
            </w:pPr>
            <w:r>
              <w:t>980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6503" w:type="dxa"/>
            <w:gridSpan w:val="5"/>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厂址周边500m范围内人口数小计</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jc w:val="center"/>
            </w:pPr>
            <w:r>
              <w:rPr>
                <w:rFonts w:hint="eastAsia"/>
                <w:lang w:val="en-US" w:eastAsia="zh-CN"/>
              </w:rPr>
              <w:t>60</w:t>
            </w:r>
            <w:r>
              <w:t>0人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7" w:type="dxa"/>
            <w:vMerge w:val="continue"/>
            <w:tcBorders>
              <w:left w:val="single" w:color="auto" w:sz="12" w:space="0"/>
              <w:right w:val="single" w:color="auto" w:sz="6" w:space="0"/>
            </w:tcBorders>
            <w:noWrap w:val="0"/>
            <w:vAlign w:val="center"/>
          </w:tcPr>
          <w:p>
            <w:pPr>
              <w:pStyle w:val="18"/>
              <w:bidi w:val="0"/>
              <w:jc w:val="center"/>
            </w:pPr>
          </w:p>
        </w:tc>
        <w:tc>
          <w:tcPr>
            <w:tcW w:w="6503" w:type="dxa"/>
            <w:gridSpan w:val="5"/>
            <w:tcBorders>
              <w:top w:val="single" w:color="auto" w:sz="6" w:space="0"/>
              <w:left w:val="single" w:color="auto" w:sz="6" w:space="0"/>
              <w:bottom w:val="single" w:color="auto" w:sz="6" w:space="0"/>
              <w:right w:val="single" w:color="auto" w:sz="6" w:space="0"/>
            </w:tcBorders>
            <w:noWrap/>
            <w:vAlign w:val="center"/>
          </w:tcPr>
          <w:p>
            <w:pPr>
              <w:pStyle w:val="18"/>
              <w:bidi w:val="0"/>
              <w:jc w:val="center"/>
            </w:pPr>
            <w:r>
              <w:t>厂址周边5km范围内人口数小计</w:t>
            </w:r>
          </w:p>
        </w:tc>
        <w:tc>
          <w:tcPr>
            <w:tcW w:w="1185" w:type="dxa"/>
            <w:tcBorders>
              <w:top w:val="single" w:color="auto" w:sz="6" w:space="0"/>
              <w:left w:val="single" w:color="auto" w:sz="6" w:space="0"/>
              <w:bottom w:val="single" w:color="auto" w:sz="6" w:space="0"/>
              <w:right w:val="single" w:color="auto" w:sz="12" w:space="0"/>
            </w:tcBorders>
            <w:noWrap/>
            <w:vAlign w:val="center"/>
          </w:tcPr>
          <w:p>
            <w:pPr>
              <w:pStyle w:val="18"/>
              <w:bidi w:val="0"/>
              <w:jc w:val="center"/>
            </w:pPr>
            <w:r>
              <w:rPr>
                <w:rFonts w:hint="eastAsia"/>
                <w:lang w:val="en-US" w:eastAsia="zh-CN"/>
              </w:rPr>
              <w:t>44900</w:t>
            </w:r>
            <w:r>
              <w:t>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7" w:type="dxa"/>
            <w:vMerge w:val="continue"/>
            <w:tcBorders>
              <w:left w:val="single" w:color="auto" w:sz="12" w:space="0"/>
              <w:bottom w:val="single" w:color="auto" w:sz="12" w:space="0"/>
              <w:right w:val="single" w:color="auto" w:sz="6" w:space="0"/>
            </w:tcBorders>
            <w:noWrap w:val="0"/>
            <w:vAlign w:val="center"/>
          </w:tcPr>
          <w:p>
            <w:pPr>
              <w:pStyle w:val="18"/>
              <w:bidi w:val="0"/>
              <w:jc w:val="center"/>
            </w:pPr>
          </w:p>
        </w:tc>
        <w:tc>
          <w:tcPr>
            <w:tcW w:w="6503" w:type="dxa"/>
            <w:gridSpan w:val="5"/>
            <w:tcBorders>
              <w:top w:val="single" w:color="auto" w:sz="6" w:space="0"/>
              <w:left w:val="single" w:color="auto" w:sz="6" w:space="0"/>
              <w:bottom w:val="single" w:color="auto" w:sz="12" w:space="0"/>
              <w:right w:val="single" w:color="auto" w:sz="6" w:space="0"/>
            </w:tcBorders>
            <w:noWrap/>
            <w:vAlign w:val="center"/>
          </w:tcPr>
          <w:p>
            <w:pPr>
              <w:pStyle w:val="18"/>
              <w:bidi w:val="0"/>
              <w:jc w:val="center"/>
            </w:pPr>
            <w:r>
              <w:t>大气环境敏感程度E值</w:t>
            </w:r>
          </w:p>
        </w:tc>
        <w:tc>
          <w:tcPr>
            <w:tcW w:w="1185" w:type="dxa"/>
            <w:tcBorders>
              <w:top w:val="single" w:color="auto" w:sz="6" w:space="0"/>
              <w:left w:val="single" w:color="auto" w:sz="6" w:space="0"/>
              <w:bottom w:val="single" w:color="auto" w:sz="12" w:space="0"/>
              <w:right w:val="single" w:color="auto" w:sz="12" w:space="0"/>
            </w:tcBorders>
            <w:noWrap/>
            <w:vAlign w:val="center"/>
          </w:tcPr>
          <w:p>
            <w:pPr>
              <w:pStyle w:val="18"/>
              <w:bidi w:val="0"/>
              <w:jc w:val="center"/>
            </w:pPr>
            <w:r>
              <w:t>E2</w:t>
            </w:r>
          </w:p>
        </w:tc>
      </w:tr>
    </w:tbl>
    <w:p>
      <w:pPr>
        <w:jc w:val="center"/>
      </w:pPr>
      <w:r>
        <w:drawing>
          <wp:inline distT="0" distB="0" distL="114300" distR="114300">
            <wp:extent cx="5796915" cy="4152900"/>
            <wp:effectExtent l="0" t="0" r="3810" b="0"/>
            <wp:docPr id="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pic:cNvPicPr>
                      <a:picLocks noChangeAspect="1"/>
                    </pic:cNvPicPr>
                  </pic:nvPicPr>
                  <pic:blipFill>
                    <a:blip r:embed="rId69"/>
                    <a:stretch>
                      <a:fillRect/>
                    </a:stretch>
                  </pic:blipFill>
                  <pic:spPr>
                    <a:xfrm>
                      <a:off x="0" y="0"/>
                      <a:ext cx="5796915" cy="4152900"/>
                    </a:xfrm>
                    <a:prstGeom prst="rect">
                      <a:avLst/>
                    </a:prstGeom>
                    <a:noFill/>
                    <a:ln>
                      <a:noFill/>
                    </a:ln>
                  </pic:spPr>
                </pic:pic>
              </a:graphicData>
            </a:graphic>
          </wp:inline>
        </w:drawing>
      </w:r>
    </w:p>
    <w:p>
      <w:pPr>
        <w:bidi w:val="0"/>
        <w:jc w:val="center"/>
        <w:rPr>
          <w:rFonts w:hint="eastAsia"/>
          <w:b/>
          <w:bCs/>
          <w:lang w:val="en-US" w:eastAsia="zh-CN"/>
        </w:rPr>
      </w:pPr>
      <w:r>
        <w:rPr>
          <w:rFonts w:hint="eastAsia"/>
          <w:b/>
          <w:bCs/>
          <w:lang w:val="en-US" w:eastAsia="zh-CN"/>
        </w:rPr>
        <w:t xml:space="preserve">图2-1  </w:t>
      </w:r>
      <w:r>
        <w:rPr>
          <w:b/>
          <w:bCs/>
        </w:rPr>
        <w:t>大气环境风险敏感目标分布图</w:t>
      </w:r>
    </w:p>
    <w:p>
      <w:pPr>
        <w:rPr>
          <w:rFonts w:hint="default"/>
          <w:lang w:val="en-US" w:eastAsia="zh-CN"/>
        </w:rPr>
      </w:pPr>
      <w:r>
        <w:rPr>
          <w:rFonts w:hint="default"/>
          <w:lang w:val="en-US" w:eastAsia="zh-CN"/>
        </w:rPr>
        <w:br w:type="page"/>
      </w:r>
    </w:p>
    <w:p>
      <w:pPr>
        <w:pStyle w:val="3"/>
        <w:bidi w:val="0"/>
        <w:jc w:val="center"/>
      </w:pPr>
      <w:bookmarkStart w:id="171" w:name="_Toc12328"/>
      <w:bookmarkStart w:id="172" w:name="_Toc120544911"/>
      <w:bookmarkStart w:id="173" w:name="_Toc14158"/>
      <w:r>
        <w:t>3</w:t>
      </w:r>
      <w:r>
        <w:rPr>
          <w:rFonts w:hint="eastAsia"/>
          <w:lang w:val="en-US" w:eastAsia="zh-CN"/>
        </w:rPr>
        <w:t xml:space="preserve"> </w:t>
      </w:r>
      <w:r>
        <w:t>风险识别</w:t>
      </w:r>
      <w:bookmarkEnd w:id="171"/>
      <w:bookmarkEnd w:id="172"/>
      <w:bookmarkEnd w:id="173"/>
    </w:p>
    <w:p>
      <w:pPr>
        <w:pStyle w:val="4"/>
        <w:bidi w:val="0"/>
        <w:rPr>
          <w:rFonts w:hint="eastAsia"/>
        </w:rPr>
      </w:pPr>
      <w:bookmarkStart w:id="174" w:name="_Toc79"/>
      <w:bookmarkStart w:id="175" w:name="_Toc120544912"/>
      <w:bookmarkStart w:id="176" w:name="_Toc30969"/>
      <w:r>
        <w:t>3.1 物质危险性识别</w:t>
      </w:r>
      <w:bookmarkEnd w:id="174"/>
      <w:bookmarkEnd w:id="175"/>
      <w:bookmarkEnd w:id="176"/>
    </w:p>
    <w:p>
      <w:pPr>
        <w:spacing w:line="480" w:lineRule="exact"/>
        <w:ind w:firstLine="480" w:firstLineChars="200"/>
        <w:rPr>
          <w:rFonts w:hint="eastAsia" w:ascii="Times New Roman" w:hAnsi="Times New Roman" w:eastAsia="宋体" w:cs="Times New Roman"/>
          <w:color w:val="000000"/>
          <w:kern w:val="0"/>
          <w:szCs w:val="21"/>
          <w:lang w:val="en-US" w:eastAsia="zh-CN"/>
        </w:rPr>
      </w:pPr>
      <w:r>
        <w:rPr>
          <w:rFonts w:hint="eastAsia" w:ascii="Times New Roman" w:hAnsi="Times New Roman" w:eastAsia="宋体" w:cs="Times New Roman"/>
          <w:color w:val="000000"/>
          <w:kern w:val="0"/>
          <w:szCs w:val="21"/>
          <w:lang w:val="en-US" w:eastAsia="zh-CN"/>
        </w:rPr>
        <w:t>本项目原料、辅助材料、中间产品、产品、火灾和爆炸伴生/次生污染物涉及的物料种类较少，本项目主要涉及的危险物质有废矿物油、锰及其化合物。其风险物质理化特性及判定表3-1。</w:t>
      </w:r>
    </w:p>
    <w:p>
      <w:pPr>
        <w:bidi w:val="0"/>
        <w:jc w:val="center"/>
        <w:rPr>
          <w:rFonts w:hint="default"/>
          <w:b/>
          <w:bCs/>
          <w:lang w:val="en-US" w:eastAsia="zh-CN"/>
        </w:rPr>
      </w:pPr>
      <w:r>
        <w:rPr>
          <w:rFonts w:hint="eastAsia"/>
          <w:b/>
          <w:bCs/>
          <w:lang w:val="en-US" w:eastAsia="zh-CN"/>
        </w:rPr>
        <w:t xml:space="preserve">表3-1  </w:t>
      </w:r>
      <w:r>
        <w:rPr>
          <w:rFonts w:ascii="Times New Roman" w:hAnsi="Times New Roman"/>
          <w:b/>
          <w:bCs/>
          <w:color w:val="auto"/>
          <w:highlight w:val="none"/>
          <w:u w:val="none"/>
        </w:rPr>
        <w:t>风险物质理化特性及判定表</w:t>
      </w:r>
    </w:p>
    <w:tbl>
      <w:tblPr>
        <w:tblStyle w:val="15"/>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17"/>
        <w:gridCol w:w="1052"/>
        <w:gridCol w:w="560"/>
        <w:gridCol w:w="737"/>
        <w:gridCol w:w="517"/>
        <w:gridCol w:w="786"/>
        <w:gridCol w:w="1098"/>
        <w:gridCol w:w="1040"/>
        <w:gridCol w:w="1236"/>
        <w:gridCol w:w="17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276" w:type="pct"/>
            <w:noWrap w:val="0"/>
            <w:vAlign w:val="center"/>
          </w:tcPr>
          <w:p>
            <w:pPr>
              <w:pStyle w:val="18"/>
              <w:bidi w:val="0"/>
              <w:jc w:val="center"/>
              <w:rPr>
                <w:b/>
                <w:bCs/>
              </w:rPr>
            </w:pPr>
            <w:r>
              <w:rPr>
                <w:b/>
                <w:bCs/>
              </w:rPr>
              <w:t>序号</w:t>
            </w:r>
          </w:p>
        </w:tc>
        <w:tc>
          <w:tcPr>
            <w:tcW w:w="563" w:type="pct"/>
            <w:noWrap w:val="0"/>
            <w:vAlign w:val="center"/>
          </w:tcPr>
          <w:p>
            <w:pPr>
              <w:pStyle w:val="18"/>
              <w:bidi w:val="0"/>
              <w:jc w:val="center"/>
              <w:rPr>
                <w:b/>
                <w:bCs/>
              </w:rPr>
            </w:pPr>
            <w:r>
              <w:rPr>
                <w:b/>
                <w:bCs/>
              </w:rPr>
              <w:t>物质</w:t>
            </w:r>
          </w:p>
          <w:p>
            <w:pPr>
              <w:pStyle w:val="18"/>
              <w:bidi w:val="0"/>
              <w:jc w:val="center"/>
              <w:rPr>
                <w:b/>
                <w:bCs/>
              </w:rPr>
            </w:pPr>
            <w:r>
              <w:rPr>
                <w:b/>
                <w:bCs/>
              </w:rPr>
              <w:t>名称</w:t>
            </w:r>
          </w:p>
        </w:tc>
        <w:tc>
          <w:tcPr>
            <w:tcW w:w="300" w:type="pct"/>
            <w:noWrap w:val="0"/>
            <w:vAlign w:val="center"/>
          </w:tcPr>
          <w:p>
            <w:pPr>
              <w:pStyle w:val="18"/>
              <w:bidi w:val="0"/>
              <w:jc w:val="center"/>
              <w:rPr>
                <w:b/>
                <w:bCs/>
              </w:rPr>
            </w:pPr>
            <w:r>
              <w:rPr>
                <w:b/>
                <w:bCs/>
              </w:rPr>
              <w:t>相态</w:t>
            </w:r>
          </w:p>
        </w:tc>
        <w:tc>
          <w:tcPr>
            <w:tcW w:w="394" w:type="pct"/>
            <w:noWrap w:val="0"/>
            <w:vAlign w:val="center"/>
          </w:tcPr>
          <w:p>
            <w:pPr>
              <w:pStyle w:val="18"/>
              <w:bidi w:val="0"/>
              <w:jc w:val="center"/>
              <w:rPr>
                <w:b/>
                <w:bCs/>
              </w:rPr>
            </w:pPr>
            <w:r>
              <w:rPr>
                <w:b/>
                <w:bCs/>
              </w:rPr>
              <w:t>CAS</w:t>
            </w:r>
          </w:p>
        </w:tc>
        <w:tc>
          <w:tcPr>
            <w:tcW w:w="276" w:type="pct"/>
            <w:noWrap w:val="0"/>
            <w:vAlign w:val="center"/>
          </w:tcPr>
          <w:p>
            <w:pPr>
              <w:pStyle w:val="18"/>
              <w:bidi w:val="0"/>
              <w:jc w:val="center"/>
              <w:rPr>
                <w:b/>
                <w:bCs/>
              </w:rPr>
            </w:pPr>
            <w:r>
              <w:rPr>
                <w:b/>
                <w:bCs/>
              </w:rPr>
              <w:t>毒性</w:t>
            </w:r>
          </w:p>
        </w:tc>
        <w:tc>
          <w:tcPr>
            <w:tcW w:w="420" w:type="pct"/>
            <w:noWrap w:val="0"/>
            <w:vAlign w:val="center"/>
          </w:tcPr>
          <w:p>
            <w:pPr>
              <w:pStyle w:val="18"/>
              <w:bidi w:val="0"/>
              <w:jc w:val="center"/>
              <w:rPr>
                <w:b/>
                <w:bCs/>
              </w:rPr>
            </w:pPr>
            <w:r>
              <w:rPr>
                <w:b/>
                <w:bCs/>
              </w:rPr>
              <w:t>腐蚀性</w:t>
            </w:r>
          </w:p>
        </w:tc>
        <w:tc>
          <w:tcPr>
            <w:tcW w:w="587" w:type="pct"/>
            <w:noWrap w:val="0"/>
            <w:vAlign w:val="center"/>
          </w:tcPr>
          <w:p>
            <w:pPr>
              <w:pStyle w:val="18"/>
              <w:bidi w:val="0"/>
              <w:jc w:val="center"/>
              <w:rPr>
                <w:b/>
                <w:bCs/>
              </w:rPr>
            </w:pPr>
            <w:r>
              <w:rPr>
                <w:b/>
                <w:bCs/>
              </w:rPr>
              <w:t>易燃</w:t>
            </w:r>
          </w:p>
          <w:p>
            <w:pPr>
              <w:pStyle w:val="18"/>
              <w:bidi w:val="0"/>
              <w:jc w:val="center"/>
              <w:rPr>
                <w:b/>
                <w:bCs/>
              </w:rPr>
            </w:pPr>
            <w:r>
              <w:rPr>
                <w:b/>
                <w:bCs/>
              </w:rPr>
              <w:t>可燃性</w:t>
            </w:r>
          </w:p>
        </w:tc>
        <w:tc>
          <w:tcPr>
            <w:tcW w:w="556" w:type="pct"/>
            <w:noWrap w:val="0"/>
            <w:vAlign w:val="center"/>
          </w:tcPr>
          <w:p>
            <w:pPr>
              <w:pStyle w:val="18"/>
              <w:bidi w:val="0"/>
              <w:jc w:val="center"/>
              <w:rPr>
                <w:b/>
                <w:bCs/>
              </w:rPr>
            </w:pPr>
            <w:r>
              <w:rPr>
                <w:b/>
                <w:bCs/>
              </w:rPr>
              <w:t>比重</w:t>
            </w:r>
            <w:r>
              <w:rPr>
                <w:rFonts w:hint="eastAsia"/>
                <w:b/>
                <w:bCs/>
              </w:rPr>
              <w:t>/密度</w:t>
            </w:r>
          </w:p>
        </w:tc>
        <w:tc>
          <w:tcPr>
            <w:tcW w:w="661" w:type="pct"/>
            <w:noWrap w:val="0"/>
            <w:vAlign w:val="center"/>
          </w:tcPr>
          <w:p>
            <w:pPr>
              <w:pStyle w:val="18"/>
              <w:bidi w:val="0"/>
              <w:jc w:val="center"/>
              <w:rPr>
                <w:b/>
                <w:bCs/>
              </w:rPr>
            </w:pPr>
            <w:r>
              <w:rPr>
                <w:b/>
                <w:bCs/>
              </w:rPr>
              <w:t>是否是环境风险物质</w:t>
            </w:r>
          </w:p>
        </w:tc>
        <w:tc>
          <w:tcPr>
            <w:tcW w:w="960" w:type="pct"/>
            <w:noWrap w:val="0"/>
            <w:vAlign w:val="center"/>
          </w:tcPr>
          <w:p>
            <w:pPr>
              <w:pStyle w:val="18"/>
              <w:bidi w:val="0"/>
              <w:jc w:val="center"/>
              <w:rPr>
                <w:b/>
                <w:bCs/>
              </w:rPr>
            </w:pPr>
            <w:r>
              <w:rPr>
                <w:rFonts w:hint="eastAsia"/>
                <w:b/>
                <w:bCs/>
              </w:rPr>
              <w:t>危险性类别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0" w:hRule="atLeast"/>
          <w:jc w:val="center"/>
        </w:trPr>
        <w:tc>
          <w:tcPr>
            <w:tcW w:w="276" w:type="pct"/>
            <w:noWrap w:val="0"/>
            <w:vAlign w:val="center"/>
          </w:tcPr>
          <w:p>
            <w:pPr>
              <w:pStyle w:val="18"/>
              <w:bidi w:val="0"/>
              <w:jc w:val="center"/>
              <w:rPr>
                <w:rFonts w:hint="eastAsia"/>
                <w:lang w:eastAsia="zh-CN"/>
              </w:rPr>
            </w:pPr>
            <w:r>
              <w:rPr>
                <w:rFonts w:hint="eastAsia"/>
                <w:lang w:val="en-US" w:eastAsia="zh-CN"/>
              </w:rPr>
              <w:t>1</w:t>
            </w:r>
          </w:p>
        </w:tc>
        <w:tc>
          <w:tcPr>
            <w:tcW w:w="563"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锰及其化合物</w:t>
            </w:r>
          </w:p>
        </w:tc>
        <w:tc>
          <w:tcPr>
            <w:tcW w:w="300"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液</w:t>
            </w:r>
          </w:p>
        </w:tc>
        <w:tc>
          <w:tcPr>
            <w:tcW w:w="394"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w:t>
            </w:r>
          </w:p>
        </w:tc>
        <w:tc>
          <w:tcPr>
            <w:tcW w:w="276"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w:t>
            </w:r>
          </w:p>
        </w:tc>
        <w:tc>
          <w:tcPr>
            <w:tcW w:w="420"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w:t>
            </w:r>
          </w:p>
        </w:tc>
        <w:tc>
          <w:tcPr>
            <w:tcW w:w="587"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w:t>
            </w:r>
          </w:p>
        </w:tc>
        <w:tc>
          <w:tcPr>
            <w:tcW w:w="556"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w:t>
            </w:r>
          </w:p>
        </w:tc>
        <w:tc>
          <w:tcPr>
            <w:tcW w:w="661"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是</w:t>
            </w:r>
          </w:p>
        </w:tc>
        <w:tc>
          <w:tcPr>
            <w:tcW w:w="960"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重金属毒性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0" w:hRule="atLeast"/>
          <w:jc w:val="center"/>
        </w:trPr>
        <w:tc>
          <w:tcPr>
            <w:tcW w:w="276" w:type="pct"/>
            <w:noWrap w:val="0"/>
            <w:vAlign w:val="center"/>
          </w:tcPr>
          <w:p>
            <w:pPr>
              <w:pStyle w:val="18"/>
              <w:bidi w:val="0"/>
              <w:jc w:val="center"/>
              <w:rPr>
                <w:rFonts w:hint="eastAsia"/>
                <w:lang w:val="en-US" w:eastAsia="zh-CN"/>
              </w:rPr>
            </w:pPr>
            <w:r>
              <w:rPr>
                <w:rFonts w:hint="eastAsia"/>
                <w:lang w:val="en-US" w:eastAsia="zh-CN"/>
              </w:rPr>
              <w:t>2</w:t>
            </w:r>
          </w:p>
        </w:tc>
        <w:tc>
          <w:tcPr>
            <w:tcW w:w="563"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废矿物油</w:t>
            </w:r>
          </w:p>
        </w:tc>
        <w:tc>
          <w:tcPr>
            <w:tcW w:w="300" w:type="pct"/>
            <w:noWrap w:val="0"/>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液</w:t>
            </w:r>
          </w:p>
        </w:tc>
        <w:tc>
          <w:tcPr>
            <w:tcW w:w="394"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w:t>
            </w:r>
          </w:p>
        </w:tc>
        <w:tc>
          <w:tcPr>
            <w:tcW w:w="276"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w:t>
            </w:r>
          </w:p>
        </w:tc>
        <w:tc>
          <w:tcPr>
            <w:tcW w:w="420"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w:t>
            </w:r>
          </w:p>
        </w:tc>
        <w:tc>
          <w:tcPr>
            <w:tcW w:w="587"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w:t>
            </w:r>
          </w:p>
        </w:tc>
        <w:tc>
          <w:tcPr>
            <w:tcW w:w="556"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w:t>
            </w:r>
          </w:p>
        </w:tc>
        <w:tc>
          <w:tcPr>
            <w:tcW w:w="661"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是</w:t>
            </w:r>
          </w:p>
        </w:tc>
        <w:tc>
          <w:tcPr>
            <w:tcW w:w="960" w:type="pct"/>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油类物质</w:t>
            </w:r>
          </w:p>
        </w:tc>
      </w:tr>
    </w:tbl>
    <w:p>
      <w:pPr>
        <w:pStyle w:val="4"/>
        <w:bidi w:val="0"/>
        <w:rPr>
          <w:rFonts w:hint="eastAsia"/>
        </w:rPr>
      </w:pPr>
      <w:bookmarkStart w:id="177" w:name="_Toc10966"/>
      <w:bookmarkStart w:id="178" w:name="_Toc3559"/>
      <w:r>
        <w:t>3.2 生产系统危险性识别</w:t>
      </w:r>
      <w:bookmarkEnd w:id="177"/>
      <w:bookmarkEnd w:id="178"/>
    </w:p>
    <w:p>
      <w:pPr>
        <w:pStyle w:val="5"/>
        <w:bidi w:val="0"/>
      </w:pPr>
      <w:bookmarkStart w:id="179" w:name="_Toc19793"/>
      <w:bookmarkStart w:id="180" w:name="_Toc120544914"/>
      <w:bookmarkStart w:id="181" w:name="_Toc19625"/>
      <w:r>
        <w:t>3.2.1生产、储存过程潜在危险性识别</w:t>
      </w:r>
      <w:bookmarkEnd w:id="179"/>
      <w:bookmarkEnd w:id="180"/>
      <w:bookmarkEnd w:id="181"/>
    </w:p>
    <w:p>
      <w:pPr>
        <w:pStyle w:val="19"/>
        <w:bidi w:val="0"/>
      </w:pPr>
      <w:r>
        <w:rPr>
          <w:rFonts w:hint="eastAsia"/>
          <w:lang w:val="en-US" w:eastAsia="zh-CN"/>
        </w:rPr>
        <w:t>本项目主要的环境风险来源于废矿物油泄漏</w:t>
      </w:r>
      <w:r>
        <w:rPr>
          <w:rFonts w:hint="eastAsia"/>
          <w:lang w:eastAsia="zh-CN"/>
        </w:rPr>
        <w:t>、</w:t>
      </w:r>
      <w:r>
        <w:rPr>
          <w:rFonts w:hint="eastAsia"/>
        </w:rPr>
        <w:t>锰及其化合物</w:t>
      </w:r>
      <w:r>
        <w:rPr>
          <w:rFonts w:hint="eastAsia"/>
          <w:lang w:val="en-US" w:eastAsia="zh-CN"/>
        </w:rPr>
        <w:t>的泄露。具体见表3-2</w:t>
      </w:r>
      <w:r>
        <w:t>。</w:t>
      </w:r>
    </w:p>
    <w:p>
      <w:pPr>
        <w:bidi w:val="0"/>
        <w:jc w:val="center"/>
        <w:rPr>
          <w:rFonts w:hint="default"/>
          <w:b/>
          <w:bCs/>
          <w:lang w:val="en-US" w:eastAsia="zh-CN"/>
        </w:rPr>
      </w:pPr>
      <w:r>
        <w:rPr>
          <w:b/>
          <w:bCs/>
        </w:rPr>
        <w:t>表</w:t>
      </w:r>
      <w:r>
        <w:rPr>
          <w:rFonts w:hint="eastAsia"/>
          <w:b/>
          <w:bCs/>
          <w:lang w:val="en-US" w:eastAsia="zh-CN"/>
        </w:rPr>
        <w:t>3-2</w:t>
      </w:r>
      <w:r>
        <w:rPr>
          <w:rFonts w:hint="eastAsia"/>
          <w:b/>
          <w:bCs/>
        </w:rPr>
        <w:t xml:space="preserve">  </w:t>
      </w:r>
      <w:r>
        <w:rPr>
          <w:b/>
          <w:bCs/>
        </w:rPr>
        <w:t>生产设施环境风险源项识别</w:t>
      </w:r>
      <w:r>
        <w:rPr>
          <w:rFonts w:hint="eastAsia"/>
          <w:b/>
          <w:bCs/>
          <w:lang w:val="en-US" w:eastAsia="zh-CN"/>
        </w:rPr>
        <w:t>、扩散途径及环境影响</w:t>
      </w:r>
    </w:p>
    <w:tbl>
      <w:tblPr>
        <w:tblStyle w:val="15"/>
        <w:tblW w:w="9237"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595"/>
        <w:gridCol w:w="2530"/>
        <w:gridCol w:w="2037"/>
        <w:gridCol w:w="1450"/>
        <w:gridCol w:w="262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595" w:type="dxa"/>
            <w:noWrap w:val="0"/>
            <w:vAlign w:val="center"/>
          </w:tcPr>
          <w:p>
            <w:pPr>
              <w:pStyle w:val="18"/>
              <w:bidi w:val="0"/>
              <w:jc w:val="center"/>
              <w:rPr>
                <w:rFonts w:hint="eastAsia"/>
              </w:rPr>
            </w:pPr>
            <w:r>
              <w:rPr>
                <w:rFonts w:hint="eastAsia"/>
              </w:rPr>
              <w:t>序号</w:t>
            </w:r>
          </w:p>
        </w:tc>
        <w:tc>
          <w:tcPr>
            <w:tcW w:w="2530" w:type="dxa"/>
            <w:noWrap w:val="0"/>
            <w:vAlign w:val="center"/>
          </w:tcPr>
          <w:p>
            <w:pPr>
              <w:pStyle w:val="18"/>
              <w:bidi w:val="0"/>
              <w:jc w:val="center"/>
              <w:rPr>
                <w:rFonts w:hint="eastAsia"/>
              </w:rPr>
            </w:pPr>
            <w:r>
              <w:rPr>
                <w:rFonts w:hint="eastAsia"/>
              </w:rPr>
              <w:t>场所或装置</w:t>
            </w:r>
          </w:p>
        </w:tc>
        <w:tc>
          <w:tcPr>
            <w:tcW w:w="2037" w:type="dxa"/>
            <w:noWrap w:val="0"/>
            <w:vAlign w:val="center"/>
          </w:tcPr>
          <w:p>
            <w:pPr>
              <w:pStyle w:val="18"/>
              <w:bidi w:val="0"/>
              <w:jc w:val="center"/>
              <w:rPr>
                <w:rFonts w:hint="eastAsia"/>
              </w:rPr>
            </w:pPr>
            <w:r>
              <w:rPr>
                <w:rFonts w:hint="eastAsia"/>
              </w:rPr>
              <w:t>风险物质或因素</w:t>
            </w:r>
          </w:p>
        </w:tc>
        <w:tc>
          <w:tcPr>
            <w:tcW w:w="1450" w:type="dxa"/>
            <w:noWrap w:val="0"/>
            <w:vAlign w:val="center"/>
          </w:tcPr>
          <w:p>
            <w:pPr>
              <w:pStyle w:val="18"/>
              <w:bidi w:val="0"/>
              <w:jc w:val="center"/>
              <w:rPr>
                <w:rFonts w:hint="default"/>
                <w:lang w:val="en-US" w:eastAsia="zh-CN"/>
              </w:rPr>
            </w:pPr>
            <w:r>
              <w:rPr>
                <w:rFonts w:hint="eastAsia"/>
                <w:lang w:val="en-US" w:eastAsia="zh-CN"/>
              </w:rPr>
              <w:t>事故发生原因</w:t>
            </w:r>
          </w:p>
        </w:tc>
        <w:tc>
          <w:tcPr>
            <w:tcW w:w="2625" w:type="dxa"/>
            <w:noWrap w:val="0"/>
            <w:vAlign w:val="center"/>
          </w:tcPr>
          <w:p>
            <w:pPr>
              <w:pStyle w:val="18"/>
              <w:bidi w:val="0"/>
              <w:jc w:val="center"/>
              <w:rPr>
                <w:rFonts w:hint="eastAsia"/>
              </w:rPr>
            </w:pPr>
            <w:r>
              <w:rPr>
                <w:rFonts w:hint="default"/>
                <w:lang w:val="en-US" w:eastAsia="zh-CN"/>
              </w:rPr>
              <w:t>影响途径及可能受影响的环保目标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95" w:type="dxa"/>
            <w:tcBorders>
              <w:right w:val="single" w:color="auto" w:sz="4" w:space="0"/>
            </w:tcBorders>
            <w:noWrap w:val="0"/>
            <w:vAlign w:val="center"/>
          </w:tcPr>
          <w:p>
            <w:pPr>
              <w:pStyle w:val="18"/>
              <w:bidi w:val="0"/>
              <w:jc w:val="center"/>
              <w:rPr>
                <w:rFonts w:hint="eastAsia" w:eastAsia="宋体"/>
                <w:lang w:val="en-US" w:eastAsia="zh-CN"/>
              </w:rPr>
            </w:pPr>
            <w:r>
              <w:rPr>
                <w:rFonts w:hint="eastAsia"/>
                <w:lang w:val="en-US" w:eastAsia="zh-CN"/>
              </w:rPr>
              <w:t>1</w:t>
            </w:r>
          </w:p>
        </w:tc>
        <w:tc>
          <w:tcPr>
            <w:tcW w:w="2530" w:type="dxa"/>
            <w:noWrap w:val="0"/>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锰铵溶液储罐</w:t>
            </w:r>
          </w:p>
        </w:tc>
        <w:tc>
          <w:tcPr>
            <w:tcW w:w="2037" w:type="dxa"/>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锰及其化合物</w:t>
            </w:r>
          </w:p>
        </w:tc>
        <w:tc>
          <w:tcPr>
            <w:tcW w:w="1450" w:type="dxa"/>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rPr>
              <w:t>泄漏</w:t>
            </w:r>
          </w:p>
        </w:tc>
        <w:tc>
          <w:tcPr>
            <w:tcW w:w="2625" w:type="dxa"/>
            <w:noWrap w:val="0"/>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锰铵溶液泄漏可能</w:t>
            </w:r>
            <w:r>
              <w:rPr>
                <w:rFonts w:hint="eastAsia"/>
                <w:lang w:val="de-DE" w:eastAsia="zh-CN"/>
              </w:rPr>
              <w:t>下渗进入土壤、溢流进入地表水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95" w:type="dxa"/>
            <w:tcBorders>
              <w:right w:val="single" w:color="auto" w:sz="4" w:space="0"/>
            </w:tcBorders>
            <w:noWrap w:val="0"/>
            <w:vAlign w:val="center"/>
          </w:tcPr>
          <w:p>
            <w:pPr>
              <w:pStyle w:val="18"/>
              <w:bidi w:val="0"/>
              <w:jc w:val="center"/>
              <w:rPr>
                <w:rFonts w:hint="eastAsia" w:eastAsia="宋体"/>
                <w:lang w:val="en-US" w:eastAsia="zh-CN"/>
              </w:rPr>
            </w:pPr>
            <w:r>
              <w:rPr>
                <w:rFonts w:hint="eastAsia"/>
                <w:lang w:val="en-US" w:eastAsia="zh-CN"/>
              </w:rPr>
              <w:t>2</w:t>
            </w:r>
          </w:p>
        </w:tc>
        <w:tc>
          <w:tcPr>
            <w:tcW w:w="2530" w:type="dxa"/>
            <w:noWrap w:val="0"/>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危废暂存间、生产车间</w:t>
            </w:r>
          </w:p>
        </w:tc>
        <w:tc>
          <w:tcPr>
            <w:tcW w:w="2037" w:type="dxa"/>
            <w:noWrap w:val="0"/>
            <w:vAlign w:val="center"/>
          </w:tcPr>
          <w:p>
            <w:pPr>
              <w:pStyle w:val="18"/>
              <w:bidi w:val="0"/>
              <w:ind w:left="40" w:leftChars="0" w:right="40" w:rightChars="0"/>
              <w:jc w:val="center"/>
              <w:rPr>
                <w:rFonts w:hint="default" w:ascii="Times New Roman" w:hAnsi="Times New Roman" w:eastAsia="宋体" w:cs="Times New Roman"/>
                <w:kern w:val="2"/>
                <w:sz w:val="22"/>
                <w:szCs w:val="22"/>
                <w:lang w:val="en-US" w:eastAsia="zh-CN" w:bidi="ar-SA"/>
              </w:rPr>
            </w:pPr>
            <w:r>
              <w:rPr>
                <w:rFonts w:hint="eastAsia"/>
                <w:lang w:val="en-US" w:eastAsia="zh-CN"/>
              </w:rPr>
              <w:t>废矿物油</w:t>
            </w:r>
          </w:p>
        </w:tc>
        <w:tc>
          <w:tcPr>
            <w:tcW w:w="1450" w:type="dxa"/>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en-US" w:eastAsia="zh-CN" w:bidi="ar-SA"/>
              </w:rPr>
            </w:pPr>
            <w:r>
              <w:rPr>
                <w:rFonts w:hint="eastAsia"/>
                <w:lang w:val="en-US" w:eastAsia="zh-CN"/>
              </w:rPr>
              <w:t>泄漏</w:t>
            </w:r>
          </w:p>
        </w:tc>
        <w:tc>
          <w:tcPr>
            <w:tcW w:w="2625" w:type="dxa"/>
            <w:noWrap w:val="0"/>
            <w:vAlign w:val="center"/>
          </w:tcPr>
          <w:p>
            <w:pPr>
              <w:pStyle w:val="18"/>
              <w:bidi w:val="0"/>
              <w:ind w:left="40" w:leftChars="0" w:right="40" w:rightChars="0"/>
              <w:jc w:val="center"/>
              <w:rPr>
                <w:rFonts w:hint="eastAsia" w:ascii="Times New Roman" w:hAnsi="Times New Roman" w:eastAsia="宋体" w:cs="Times New Roman"/>
                <w:kern w:val="2"/>
                <w:sz w:val="22"/>
                <w:szCs w:val="22"/>
                <w:lang w:val="de-DE" w:eastAsia="zh-CN" w:bidi="ar-SA"/>
              </w:rPr>
            </w:pPr>
            <w:r>
              <w:rPr>
                <w:rFonts w:hint="eastAsia"/>
                <w:lang w:val="en-US" w:eastAsia="zh-CN"/>
              </w:rPr>
              <w:t>泄漏后及时收集处理，车间及危废暂存间已做好防渗处理，基本不会对外环境造成影响</w:t>
            </w:r>
          </w:p>
        </w:tc>
      </w:tr>
    </w:tbl>
    <w:p>
      <w:pPr>
        <w:pStyle w:val="5"/>
        <w:bidi w:val="0"/>
      </w:pPr>
      <w:bookmarkStart w:id="182" w:name="_Toc10139"/>
      <w:bookmarkStart w:id="183" w:name="_Toc120544916"/>
      <w:bookmarkStart w:id="184" w:name="_Toc29877"/>
      <w:r>
        <w:t>3.2.</w:t>
      </w:r>
      <w:r>
        <w:rPr>
          <w:rFonts w:hint="eastAsia"/>
          <w:lang w:val="en-US" w:eastAsia="zh-CN"/>
        </w:rPr>
        <w:t>2</w:t>
      </w:r>
      <w:r>
        <w:t>环境风险类型及危害分析</w:t>
      </w:r>
      <w:bookmarkEnd w:id="182"/>
      <w:bookmarkEnd w:id="183"/>
      <w:bookmarkEnd w:id="184"/>
    </w:p>
    <w:p>
      <w:pPr>
        <w:pStyle w:val="19"/>
        <w:bidi w:val="0"/>
      </w:pPr>
      <w:r>
        <w:t>事故的风险通常划分为火灾、爆炸、毒物泄漏三种类型，拟建项目</w:t>
      </w:r>
      <w:r>
        <w:rPr>
          <w:rFonts w:hint="eastAsia"/>
          <w:lang w:val="en-US" w:eastAsia="zh-CN"/>
        </w:rPr>
        <w:t>不涉及爆炸性物质</w:t>
      </w:r>
      <w:r>
        <w:t>，也没有高压力设施，但拟建项目</w:t>
      </w:r>
      <w:r>
        <w:rPr>
          <w:rFonts w:hint="eastAsia"/>
          <w:lang w:val="en-US" w:eastAsia="zh-CN"/>
        </w:rPr>
        <w:t>锰渣和锰铵溶液中的锰具有毒性</w:t>
      </w:r>
      <w:r>
        <w:t>，</w:t>
      </w:r>
      <w:r>
        <w:rPr>
          <w:rFonts w:hint="eastAsia"/>
          <w:lang w:val="en-US" w:eastAsia="zh-CN"/>
        </w:rPr>
        <w:t>存放的废矿物油具有可燃性，</w:t>
      </w:r>
      <w:r>
        <w:t>生产设施或生产过程中存在的可能引发环境风险的事故有：</w:t>
      </w:r>
    </w:p>
    <w:p>
      <w:pPr>
        <w:pStyle w:val="19"/>
        <w:bidi w:val="0"/>
        <w:rPr>
          <w:rFonts w:hint="eastAsia"/>
        </w:rPr>
      </w:pPr>
      <w:r>
        <w:rPr>
          <w:rFonts w:hint="eastAsia"/>
        </w:rPr>
        <w:t>（1）泄漏</w:t>
      </w:r>
    </w:p>
    <w:p>
      <w:pPr>
        <w:pStyle w:val="19"/>
        <w:bidi w:val="0"/>
        <w:rPr>
          <w:rFonts w:hint="eastAsia"/>
        </w:rPr>
      </w:pPr>
      <w:r>
        <w:rPr>
          <w:rFonts w:hint="eastAsia"/>
        </w:rPr>
        <w:t>①储存区储罐或生产区设备、管道、中间储罐和反应器等破损、破裂，将导致大量</w:t>
      </w:r>
      <w:r>
        <w:rPr>
          <w:rFonts w:hint="eastAsia"/>
          <w:lang w:val="en-US" w:eastAsia="zh-CN"/>
        </w:rPr>
        <w:t>锰铵溶液</w:t>
      </w:r>
      <w:r>
        <w:rPr>
          <w:rFonts w:hint="eastAsia"/>
        </w:rPr>
        <w:t>排放；</w:t>
      </w:r>
    </w:p>
    <w:p>
      <w:pPr>
        <w:pStyle w:val="19"/>
        <w:bidi w:val="0"/>
        <w:rPr>
          <w:rFonts w:hint="eastAsia"/>
        </w:rPr>
      </w:pPr>
      <w:r>
        <w:rPr>
          <w:rFonts w:hint="eastAsia"/>
        </w:rPr>
        <w:t>②操作有误或违章作业导致</w:t>
      </w:r>
      <w:r>
        <w:rPr>
          <w:rFonts w:hint="eastAsia"/>
          <w:lang w:val="en-US" w:eastAsia="zh-CN"/>
        </w:rPr>
        <w:t>锰铵溶液</w:t>
      </w:r>
      <w:r>
        <w:rPr>
          <w:rFonts w:hint="eastAsia"/>
        </w:rPr>
        <w:t>泄漏；</w:t>
      </w:r>
    </w:p>
    <w:p>
      <w:pPr>
        <w:pStyle w:val="19"/>
        <w:bidi w:val="0"/>
        <w:rPr>
          <w:rFonts w:hint="eastAsia" w:eastAsia="宋体"/>
          <w:lang w:eastAsia="zh-CN"/>
        </w:rPr>
      </w:pPr>
      <w:r>
        <w:rPr>
          <w:rFonts w:hint="eastAsia"/>
        </w:rPr>
        <w:t>③危险废物暂存库、原料和成品库房地面防渗层破损，造成有毒有害物质渗入地下污染地下水</w:t>
      </w:r>
      <w:r>
        <w:rPr>
          <w:rFonts w:hint="eastAsia"/>
          <w:lang w:eastAsia="zh-CN"/>
        </w:rPr>
        <w:t>；</w:t>
      </w:r>
    </w:p>
    <w:p>
      <w:pPr>
        <w:pStyle w:val="19"/>
        <w:bidi w:val="0"/>
        <w:rPr>
          <w:rFonts w:hint="eastAsia"/>
        </w:rPr>
      </w:pPr>
      <w:r>
        <w:rPr>
          <w:rFonts w:hint="eastAsia"/>
        </w:rPr>
        <w:t>（2）火灾、爆炸</w:t>
      </w:r>
    </w:p>
    <w:p>
      <w:pPr>
        <w:pStyle w:val="19"/>
        <w:bidi w:val="0"/>
        <w:rPr>
          <w:rFonts w:hint="eastAsia"/>
        </w:rPr>
      </w:pPr>
      <w:r>
        <w:rPr>
          <w:rFonts w:hint="eastAsia"/>
        </w:rPr>
        <w:t>拟建项目涉及到的可燃物品，在引发火灾的情况下，大都伴随着爆炸的可能，可能引发火灾、爆炸的事故如下：</w:t>
      </w:r>
    </w:p>
    <w:p>
      <w:pPr>
        <w:pStyle w:val="19"/>
        <w:bidi w:val="0"/>
        <w:rPr>
          <w:rFonts w:hint="eastAsia"/>
        </w:rPr>
      </w:pPr>
      <w:r>
        <w:rPr>
          <w:rFonts w:hint="eastAsia"/>
        </w:rPr>
        <w:t>①装置内使用的电气设备、机械设备的电机、照明、开关箱，应设计为防爆型；否则电气设备不防爆或防爆级别不够，在电气设备运行时，能产生电火花，存在引发火灾爆炸的危险；</w:t>
      </w:r>
    </w:p>
    <w:p>
      <w:pPr>
        <w:pStyle w:val="19"/>
        <w:bidi w:val="0"/>
        <w:rPr>
          <w:rFonts w:hint="eastAsia" w:eastAsia="宋体"/>
          <w:lang w:eastAsia="zh-CN"/>
        </w:rPr>
      </w:pPr>
      <w:r>
        <w:rPr>
          <w:rFonts w:hint="eastAsia"/>
        </w:rPr>
        <w:t>②在设备检修时，检修的设备如果没有与系统彻底的断开、隔离，并对被检修的设备进行置换，没有进行易燃易爆物质的测定并达到合格，就违章进行动火、烧焊作业，存在发生爆炸的极大危险</w:t>
      </w:r>
      <w:r>
        <w:rPr>
          <w:rFonts w:hint="eastAsia"/>
          <w:lang w:eastAsia="zh-CN"/>
        </w:rPr>
        <w:t>。</w:t>
      </w:r>
    </w:p>
    <w:p>
      <w:pPr>
        <w:rPr>
          <w:rFonts w:hint="default"/>
          <w:lang w:val="en-US" w:eastAsia="zh-CN"/>
        </w:rPr>
      </w:pPr>
      <w:r>
        <w:rPr>
          <w:rFonts w:hint="default"/>
          <w:lang w:val="en-US" w:eastAsia="zh-CN"/>
        </w:rPr>
        <w:br w:type="page"/>
      </w:r>
    </w:p>
    <w:p>
      <w:pPr>
        <w:pStyle w:val="3"/>
        <w:bidi w:val="0"/>
        <w:jc w:val="center"/>
      </w:pPr>
      <w:bookmarkStart w:id="185" w:name="_Toc16074"/>
      <w:bookmarkStart w:id="186" w:name="_Toc21947"/>
      <w:bookmarkStart w:id="187" w:name="_Toc120544918"/>
      <w:r>
        <w:rPr>
          <w:rFonts w:hint="eastAsia"/>
          <w:szCs w:val="21"/>
          <w:lang w:val="en-US" w:eastAsia="zh-CN"/>
        </w:rPr>
        <w:t xml:space="preserve">4 </w:t>
      </w:r>
      <w:r>
        <w:t>风险事</w:t>
      </w:r>
      <w:r>
        <w:rPr>
          <w:rStyle w:val="24"/>
          <w:b/>
        </w:rPr>
        <w:t>故</w:t>
      </w:r>
      <w:r>
        <w:t>情形分析</w:t>
      </w:r>
      <w:bookmarkEnd w:id="185"/>
      <w:bookmarkEnd w:id="186"/>
      <w:bookmarkEnd w:id="187"/>
    </w:p>
    <w:p>
      <w:pPr>
        <w:pStyle w:val="4"/>
        <w:bidi w:val="0"/>
        <w:rPr>
          <w:rFonts w:hint="default"/>
          <w:lang w:val="en-US" w:eastAsia="zh-CN"/>
        </w:rPr>
      </w:pPr>
      <w:bookmarkStart w:id="188" w:name="_Toc19917"/>
      <w:bookmarkStart w:id="189" w:name="_Toc3149"/>
      <w:r>
        <w:rPr>
          <w:rFonts w:hint="eastAsia"/>
          <w:lang w:val="en-US" w:eastAsia="zh-CN"/>
        </w:rPr>
        <w:t>4.1 最大可信事故概率分析</w:t>
      </w:r>
      <w:bookmarkEnd w:id="188"/>
      <w:bookmarkEnd w:id="189"/>
    </w:p>
    <w:p>
      <w:pPr>
        <w:pStyle w:val="19"/>
        <w:bidi w:val="0"/>
        <w:rPr>
          <w:rFonts w:hint="eastAsia"/>
        </w:rPr>
      </w:pPr>
      <w:r>
        <w:rPr>
          <w:rFonts w:hint="eastAsia"/>
        </w:rPr>
        <w:t>根据《建设项目环境风险评价技术导则》（HJ/T-2018）的定义，最大可信事故是指基于经验统计分析，在一定可能性区间内发生的事故中，造成环境危害最严重的事故。最大可信事故源项分析是确定发生概率及危险物质的释放量。</w:t>
      </w:r>
    </w:p>
    <w:p>
      <w:pPr>
        <w:pStyle w:val="19"/>
        <w:bidi w:val="0"/>
        <w:rPr>
          <w:rFonts w:hint="eastAsia"/>
        </w:rPr>
      </w:pPr>
      <w:r>
        <w:rPr>
          <w:rFonts w:hint="eastAsia"/>
        </w:rPr>
        <w:t>根据《建设项目环境风险评价技术导则》表 E.1，容器和管道的泄漏频率见下表</w:t>
      </w:r>
    </w:p>
    <w:p>
      <w:pPr>
        <w:pStyle w:val="19"/>
        <w:bidi w:val="0"/>
        <w:ind w:left="0" w:leftChars="0" w:firstLine="0" w:firstLineChars="0"/>
        <w:jc w:val="center"/>
        <w:rPr>
          <w:rFonts w:hint="default" w:eastAsia="宋体"/>
          <w:b/>
          <w:bCs/>
          <w:lang w:val="en-US" w:eastAsia="zh-CN"/>
        </w:rPr>
      </w:pPr>
      <w:r>
        <w:rPr>
          <w:rFonts w:hint="eastAsia"/>
          <w:b/>
          <w:bCs/>
          <w:lang w:val="en-US" w:eastAsia="zh-CN"/>
        </w:rPr>
        <w:t>表4-1  泄漏频率表</w:t>
      </w:r>
    </w:p>
    <w:p>
      <w:pPr>
        <w:bidi w:val="0"/>
        <w:jc w:val="center"/>
        <w:rPr>
          <w:rFonts w:hint="eastAsia"/>
        </w:rPr>
      </w:pPr>
      <w:r>
        <w:rPr>
          <w:sz w:val="24"/>
        </w:rPr>
        <mc:AlternateContent>
          <mc:Choice Requires="wps">
            <w:drawing>
              <wp:anchor distT="0" distB="0" distL="114300" distR="114300" simplePos="0" relativeHeight="251659264" behindDoc="0" locked="0" layoutInCell="1" allowOverlap="1">
                <wp:simplePos x="0" y="0"/>
                <wp:positionH relativeFrom="column">
                  <wp:posOffset>6350</wp:posOffset>
                </wp:positionH>
                <wp:positionV relativeFrom="paragraph">
                  <wp:posOffset>657225</wp:posOffset>
                </wp:positionV>
                <wp:extent cx="5843270" cy="469900"/>
                <wp:effectExtent l="6350" t="6350" r="8255" b="9525"/>
                <wp:wrapNone/>
                <wp:docPr id="17" name="矩形 17"/>
                <wp:cNvGraphicFramePr/>
                <a:graphic xmlns:a="http://schemas.openxmlformats.org/drawingml/2006/main">
                  <a:graphicData uri="http://schemas.microsoft.com/office/word/2010/wordprocessingShape">
                    <wps:wsp>
                      <wps:cNvSpPr/>
                      <wps:spPr>
                        <a:xfrm>
                          <a:off x="1235710" y="3900805"/>
                          <a:ext cx="5843270" cy="4699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5pt;margin-top:51.75pt;height:37pt;width:460.1pt;z-index:251659264;v-text-anchor:middle;mso-width-relative:page;mso-height-relative:page;" filled="f" stroked="t" coordsize="21600,21600" o:gfxdata="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d/dQj1AAAAAkBAAAPAAAAAAAAAAEAIAAAACIAAABkcnMvZG93&#10;bnJldi54bWxQSwECFAAUAAAACACHTuJArN6fLHYCAADZBAAADgAAAAAAAAABACAAAAAjAQAAZHJz&#10;L2Uyb0RvYy54bWxQSwUGAAAAAAYABgBZAQAACwYAAAAA&#10;">
                <v:fill on="f" focussize="0,0"/>
                <v:stroke weight="1pt" color="#FF0000 [2404]" miterlimit="8" joinstyle="miter"/>
                <v:imagedata o:title=""/>
                <o:lock v:ext="edit" aspectratio="f"/>
              </v:rect>
            </w:pict>
          </mc:Fallback>
        </mc:AlternateContent>
      </w:r>
      <w:r>
        <w:drawing>
          <wp:inline distT="0" distB="0" distL="114300" distR="114300">
            <wp:extent cx="5688330" cy="4309745"/>
            <wp:effectExtent l="0" t="0" r="7620" b="508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70"/>
                    <a:stretch>
                      <a:fillRect/>
                    </a:stretch>
                  </pic:blipFill>
                  <pic:spPr>
                    <a:xfrm>
                      <a:off x="0" y="0"/>
                      <a:ext cx="5688330" cy="4309745"/>
                    </a:xfrm>
                    <a:prstGeom prst="rect">
                      <a:avLst/>
                    </a:prstGeom>
                    <a:noFill/>
                    <a:ln>
                      <a:noFill/>
                    </a:ln>
                  </pic:spPr>
                </pic:pic>
              </a:graphicData>
            </a:graphic>
          </wp:inline>
        </w:drawing>
      </w:r>
    </w:p>
    <w:p>
      <w:pPr>
        <w:pStyle w:val="19"/>
        <w:bidi w:val="0"/>
        <w:rPr>
          <w:rFonts w:hint="eastAsia"/>
        </w:rPr>
      </w:pPr>
      <w:r>
        <w:rPr>
          <w:rFonts w:hint="eastAsia"/>
        </w:rPr>
        <w:t>根据导则附录E，泄漏事故类型包括容器、管道、泵体、压缩机、装卸臂和装卸软管的泄漏和破裂等，本项目</w:t>
      </w:r>
      <w:r>
        <w:rPr>
          <w:rFonts w:hint="eastAsia"/>
          <w:lang w:val="en-US" w:eastAsia="zh-CN"/>
        </w:rPr>
        <w:t>锰铵溶液</w:t>
      </w:r>
      <w:r>
        <w:rPr>
          <w:rFonts w:hint="eastAsia"/>
        </w:rPr>
        <w:t>储罐最大可信事故为泄漏孔径为10mm孔径，泄漏频率为1×10</w:t>
      </w:r>
      <w:r>
        <w:rPr>
          <w:rFonts w:hint="eastAsia"/>
          <w:vertAlign w:val="superscript"/>
        </w:rPr>
        <w:t>-4</w:t>
      </w:r>
      <w:r>
        <w:rPr>
          <w:rFonts w:hint="eastAsia"/>
        </w:rPr>
        <w:t>/a。</w:t>
      </w:r>
    </w:p>
    <w:p>
      <w:pPr>
        <w:pStyle w:val="4"/>
        <w:bidi w:val="0"/>
        <w:rPr>
          <w:rFonts w:hint="default"/>
          <w:lang w:val="en-US" w:eastAsia="zh-CN"/>
        </w:rPr>
      </w:pPr>
      <w:bookmarkStart w:id="190" w:name="_Toc2350"/>
      <w:bookmarkStart w:id="191" w:name="_Toc29171"/>
      <w:r>
        <w:rPr>
          <w:rFonts w:hint="eastAsia"/>
          <w:lang w:val="en-US" w:eastAsia="zh-CN"/>
        </w:rPr>
        <w:t>4.2 风险事故情形设定</w:t>
      </w:r>
      <w:bookmarkEnd w:id="190"/>
      <w:bookmarkEnd w:id="191"/>
    </w:p>
    <w:p>
      <w:pPr>
        <w:pStyle w:val="19"/>
        <w:bidi w:val="0"/>
        <w:rPr>
          <w:rFonts w:hint="eastAsia"/>
        </w:rPr>
      </w:pPr>
      <w:r>
        <w:rPr>
          <w:rFonts w:hint="eastAsia"/>
        </w:rPr>
        <w:t>项目涉及的危险物质为</w:t>
      </w:r>
      <w:r>
        <w:rPr>
          <w:rFonts w:hint="eastAsia"/>
          <w:lang w:val="en-US" w:eastAsia="zh-CN"/>
        </w:rPr>
        <w:t>锰铵溶液</w:t>
      </w:r>
      <w:r>
        <w:rPr>
          <w:rFonts w:hint="eastAsia"/>
        </w:rPr>
        <w:t>。根据危险源的主要工艺参数、危险物质储存、危害等特征事故影响及应急救援难易程度，结合国内类似风险事故的调查分析及项目所在区域环境敏感点的特征、分布情况、风险事故情形设定原则。本次评价预测情景分析如下：</w:t>
      </w:r>
    </w:p>
    <w:p>
      <w:pPr>
        <w:pStyle w:val="19"/>
        <w:numPr>
          <w:ilvl w:val="0"/>
          <w:numId w:val="13"/>
        </w:numPr>
        <w:bidi w:val="0"/>
        <w:rPr>
          <w:rFonts w:hint="eastAsia"/>
          <w:lang w:val="en-US" w:eastAsia="zh-CN"/>
        </w:rPr>
      </w:pPr>
      <w:r>
        <w:rPr>
          <w:rFonts w:hint="eastAsia"/>
          <w:lang w:val="en-US" w:eastAsia="zh-CN"/>
        </w:rPr>
        <w:t>锰铵溶液</w:t>
      </w:r>
      <w:r>
        <w:rPr>
          <w:rFonts w:hint="eastAsia"/>
        </w:rPr>
        <w:t>最大储存量为</w:t>
      </w:r>
      <w:r>
        <w:rPr>
          <w:rFonts w:hint="eastAsia"/>
          <w:lang w:val="en-US" w:eastAsia="zh-CN"/>
        </w:rPr>
        <w:t>2000</w:t>
      </w:r>
      <w:r>
        <w:rPr>
          <w:rFonts w:hint="eastAsia"/>
        </w:rPr>
        <w:t>t，</w:t>
      </w:r>
      <w:r>
        <w:rPr>
          <w:rFonts w:hint="eastAsia"/>
          <w:lang w:val="en-US" w:eastAsia="zh-CN"/>
        </w:rPr>
        <w:t>蕴含的锰约为80t，是本项目最大的环境风险源，</w:t>
      </w:r>
      <w:r>
        <w:rPr>
          <w:rFonts w:hint="eastAsia"/>
        </w:rPr>
        <w:t>储罐</w:t>
      </w:r>
      <w:r>
        <w:rPr>
          <w:rFonts w:hint="eastAsia"/>
          <w:lang w:val="en-US" w:eastAsia="zh-CN"/>
        </w:rPr>
        <w:t>最有可能发生的事故为泄露，最严重的事故为完全破裂</w:t>
      </w:r>
      <w:r>
        <w:rPr>
          <w:rFonts w:hint="eastAsia"/>
        </w:rPr>
        <w:t>。</w:t>
      </w:r>
      <w:r>
        <w:rPr>
          <w:rFonts w:hint="eastAsia"/>
          <w:lang w:val="en-US" w:eastAsia="zh-CN"/>
        </w:rPr>
        <w:t>锰铵溶液中不存在具有挥发性的有毒物质，泄露后不会对大气环境造成影响。厂区发生泄露事故时，在没有事故水防控系统的情况下，厂区内锰铵溶液可能会流入厂外水体，造成大量废水进入水体内，从而导致一系列继发水体污染事故。锰铵溶液泄漏同时存在对厂区土壤与地下水污染的可能性。</w:t>
      </w:r>
    </w:p>
    <w:p>
      <w:pPr>
        <w:pStyle w:val="19"/>
        <w:numPr>
          <w:ilvl w:val="0"/>
          <w:numId w:val="13"/>
        </w:numPr>
        <w:bidi w:val="0"/>
        <w:rPr>
          <w:rFonts w:hint="eastAsia"/>
        </w:rPr>
      </w:pPr>
      <w:r>
        <w:rPr>
          <w:rFonts w:hint="eastAsia"/>
          <w:lang w:val="en-US" w:eastAsia="zh-CN"/>
        </w:rPr>
        <w:t>废矿物油在本项目中存量较小未超过《建设项目环境风险评价技术导则》中的临界值，且存放于防护等级较高的危废间中，发生事故的概率较小造成的危害较低。</w:t>
      </w:r>
    </w:p>
    <w:p>
      <w:pPr>
        <w:pStyle w:val="4"/>
        <w:bidi w:val="0"/>
        <w:rPr>
          <w:rFonts w:hint="default"/>
          <w:lang w:val="en-US" w:eastAsia="zh-CN"/>
        </w:rPr>
      </w:pPr>
      <w:bookmarkStart w:id="192" w:name="_Toc26688"/>
      <w:bookmarkStart w:id="193" w:name="_Toc25947"/>
      <w:r>
        <w:rPr>
          <w:rFonts w:hint="eastAsia"/>
          <w:lang w:val="en-US" w:eastAsia="zh-CN"/>
        </w:rPr>
        <w:t>4.3 项源分析</w:t>
      </w:r>
      <w:bookmarkEnd w:id="192"/>
      <w:bookmarkEnd w:id="193"/>
    </w:p>
    <w:p>
      <w:pPr>
        <w:pStyle w:val="19"/>
        <w:bidi w:val="0"/>
        <w:rPr>
          <w:rFonts w:hint="eastAsia"/>
        </w:rPr>
      </w:pPr>
      <w:r>
        <w:rPr>
          <w:rFonts w:hint="eastAsia"/>
        </w:rPr>
        <w:t>最大可信事</w:t>
      </w:r>
      <w:r>
        <w:rPr>
          <w:rFonts w:hint="eastAsia"/>
          <w:lang w:val="en-US" w:eastAsia="zh-CN"/>
        </w:rPr>
        <w:t>故项源分析</w:t>
      </w:r>
      <w:r>
        <w:rPr>
          <w:rFonts w:hint="eastAsia"/>
        </w:rPr>
        <w:t>是对所识别选出的危险物质，在最大可信事故情况下的释放率和释放时间的设定。事故发生具有随机性，服从一定的概率分布，最大可信事故的设定是在大量统计资料基础上的一种合理假设。</w:t>
      </w:r>
    </w:p>
    <w:p>
      <w:pPr>
        <w:pStyle w:val="19"/>
        <w:bidi w:val="0"/>
        <w:rPr>
          <w:rFonts w:hint="eastAsia"/>
        </w:rPr>
      </w:pPr>
      <w:r>
        <w:rPr>
          <w:rFonts w:hint="eastAsia"/>
        </w:rPr>
        <w:t>本项目</w:t>
      </w:r>
      <w:r>
        <w:rPr>
          <w:rFonts w:hint="eastAsia"/>
          <w:lang w:val="en-US" w:eastAsia="zh-CN"/>
        </w:rPr>
        <w:t>预计3个800m</w:t>
      </w:r>
      <w:r>
        <w:rPr>
          <w:rFonts w:hint="eastAsia"/>
          <w:vertAlign w:val="superscript"/>
          <w:lang w:val="en-US" w:eastAsia="zh-CN"/>
        </w:rPr>
        <w:t>3</w:t>
      </w:r>
      <w:r>
        <w:rPr>
          <w:rFonts w:hint="eastAsia"/>
          <w:lang w:val="en-US" w:eastAsia="zh-CN"/>
        </w:rPr>
        <w:t>锰铵溶液储</w:t>
      </w:r>
      <w:r>
        <w:rPr>
          <w:rFonts w:hint="eastAsia"/>
        </w:rPr>
        <w:t>罐</w:t>
      </w:r>
      <w:r>
        <w:rPr>
          <w:rFonts w:hint="eastAsia"/>
          <w:lang w:val="en-US" w:eastAsia="zh-CN"/>
        </w:rPr>
        <w:t>，高约8m</w:t>
      </w:r>
      <w:r>
        <w:rPr>
          <w:rFonts w:hint="eastAsia"/>
          <w:lang w:eastAsia="zh-CN"/>
        </w:rPr>
        <w:t>，</w:t>
      </w:r>
      <w:r>
        <w:rPr>
          <w:rFonts w:hint="eastAsia"/>
        </w:rPr>
        <w:t>泄漏源强采用《建设项目环境风险评价技术导则》（HJ169-2018）附录F中计算法确定，计算公式如下：</w:t>
      </w:r>
    </w:p>
    <w:p>
      <w:pPr>
        <w:pStyle w:val="19"/>
        <w:numPr>
          <w:ilvl w:val="0"/>
          <w:numId w:val="0"/>
        </w:numPr>
        <w:bidi w:val="0"/>
        <w:ind w:leftChars="200" w:right="40" w:rightChars="0"/>
        <w:jc w:val="center"/>
        <w:rPr>
          <w:rFonts w:hint="eastAsia"/>
        </w:rPr>
      </w:pPr>
      <w:r>
        <w:drawing>
          <wp:inline distT="0" distB="0" distL="114300" distR="114300">
            <wp:extent cx="2291080" cy="536575"/>
            <wp:effectExtent l="0" t="0" r="0"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71"/>
                    <a:srcRect l="-895" t="9237"/>
                    <a:stretch>
                      <a:fillRect/>
                    </a:stretch>
                  </pic:blipFill>
                  <pic:spPr>
                    <a:xfrm>
                      <a:off x="0" y="0"/>
                      <a:ext cx="2291080" cy="536575"/>
                    </a:xfrm>
                    <a:prstGeom prst="rect">
                      <a:avLst/>
                    </a:prstGeom>
                    <a:noFill/>
                    <a:ln>
                      <a:noFill/>
                    </a:ln>
                  </pic:spPr>
                </pic:pic>
              </a:graphicData>
            </a:graphic>
          </wp:inline>
        </w:drawing>
      </w:r>
    </w:p>
    <w:p>
      <w:pPr>
        <w:pStyle w:val="19"/>
        <w:numPr>
          <w:ilvl w:val="0"/>
          <w:numId w:val="0"/>
        </w:numPr>
        <w:bidi w:val="0"/>
        <w:ind w:leftChars="200" w:right="40" w:rightChars="0"/>
        <w:rPr>
          <w:rFonts w:hint="eastAsia"/>
        </w:rPr>
      </w:pPr>
      <w:r>
        <w:rPr>
          <w:rFonts w:hint="eastAsia"/>
        </w:rPr>
        <w:t>式中：Q</w:t>
      </w:r>
      <w:r>
        <w:rPr>
          <w:rFonts w:hint="eastAsia"/>
          <w:vertAlign w:val="subscript"/>
        </w:rPr>
        <w:t>L</w:t>
      </w:r>
      <w:r>
        <w:rPr>
          <w:rFonts w:hint="eastAsia"/>
        </w:rPr>
        <w:t>——液体泄漏速率，kg/s；</w:t>
      </w:r>
    </w:p>
    <w:p>
      <w:pPr>
        <w:pStyle w:val="19"/>
        <w:numPr>
          <w:ilvl w:val="0"/>
          <w:numId w:val="0"/>
        </w:numPr>
        <w:bidi w:val="0"/>
        <w:ind w:leftChars="200" w:right="40" w:rightChars="0"/>
        <w:rPr>
          <w:rFonts w:hint="eastAsia"/>
        </w:rPr>
      </w:pPr>
      <w:r>
        <w:rPr>
          <w:rFonts w:hint="eastAsia"/>
        </w:rPr>
        <w:t xml:space="preserve">      P——容器内介质压力，Pa；</w:t>
      </w:r>
    </w:p>
    <w:p>
      <w:pPr>
        <w:pStyle w:val="19"/>
        <w:numPr>
          <w:ilvl w:val="0"/>
          <w:numId w:val="0"/>
        </w:numPr>
        <w:bidi w:val="0"/>
        <w:ind w:leftChars="200" w:right="40" w:rightChars="0"/>
        <w:rPr>
          <w:rFonts w:hint="eastAsia"/>
        </w:rPr>
      </w:pPr>
      <w:r>
        <w:rPr>
          <w:rFonts w:hint="eastAsia"/>
        </w:rPr>
        <w:t xml:space="preserve">      P</w:t>
      </w:r>
      <w:r>
        <w:rPr>
          <w:rFonts w:hint="eastAsia"/>
          <w:vertAlign w:val="subscript"/>
        </w:rPr>
        <w:t>0</w:t>
      </w:r>
      <w:r>
        <w:rPr>
          <w:rFonts w:hint="eastAsia"/>
        </w:rPr>
        <w:t>——环境压力，Pa；</w:t>
      </w:r>
    </w:p>
    <w:p>
      <w:pPr>
        <w:pStyle w:val="19"/>
        <w:numPr>
          <w:ilvl w:val="0"/>
          <w:numId w:val="0"/>
        </w:numPr>
        <w:bidi w:val="0"/>
        <w:ind w:leftChars="200" w:right="40" w:rightChars="0"/>
        <w:rPr>
          <w:rFonts w:hint="eastAsia"/>
        </w:rPr>
      </w:pPr>
      <w:r>
        <w:rPr>
          <w:rFonts w:hint="eastAsia"/>
        </w:rPr>
        <w:t xml:space="preserve">      </w:t>
      </w:r>
      <w:r>
        <w:rPr>
          <w:rFonts w:hint="default" w:ascii="Times New Roman" w:hAnsi="Times New Roman" w:cs="Times New Roman"/>
        </w:rPr>
        <w:t>ρ</w:t>
      </w:r>
      <w:r>
        <w:rPr>
          <w:rFonts w:hint="eastAsia"/>
        </w:rPr>
        <w:t>——液体泄漏密度，kg/m</w:t>
      </w:r>
      <w:r>
        <w:rPr>
          <w:rFonts w:hint="eastAsia"/>
          <w:vertAlign w:val="superscript"/>
        </w:rPr>
        <w:t>3</w:t>
      </w:r>
      <w:r>
        <w:rPr>
          <w:rFonts w:hint="eastAsia"/>
        </w:rPr>
        <w:t>；</w:t>
      </w:r>
    </w:p>
    <w:p>
      <w:pPr>
        <w:pStyle w:val="19"/>
        <w:numPr>
          <w:ilvl w:val="0"/>
          <w:numId w:val="0"/>
        </w:numPr>
        <w:bidi w:val="0"/>
        <w:ind w:leftChars="200" w:right="40" w:rightChars="0"/>
        <w:rPr>
          <w:rFonts w:hint="eastAsia"/>
        </w:rPr>
      </w:pPr>
      <w:r>
        <w:rPr>
          <w:rFonts w:hint="eastAsia"/>
        </w:rPr>
        <w:t xml:space="preserve">      g——重力加速度，9.81m/s</w:t>
      </w:r>
      <w:r>
        <w:rPr>
          <w:rFonts w:hint="eastAsia"/>
          <w:vertAlign w:val="superscript"/>
        </w:rPr>
        <w:t>2</w:t>
      </w:r>
      <w:r>
        <w:rPr>
          <w:rFonts w:hint="eastAsia"/>
        </w:rPr>
        <w:t>；</w:t>
      </w:r>
    </w:p>
    <w:p>
      <w:pPr>
        <w:pStyle w:val="19"/>
        <w:numPr>
          <w:ilvl w:val="0"/>
          <w:numId w:val="0"/>
        </w:numPr>
        <w:bidi w:val="0"/>
        <w:ind w:leftChars="200" w:right="40" w:rightChars="0"/>
        <w:rPr>
          <w:rFonts w:hint="eastAsia"/>
        </w:rPr>
      </w:pPr>
      <w:r>
        <w:rPr>
          <w:rFonts w:hint="eastAsia"/>
        </w:rPr>
        <w:t xml:space="preserve">      h——裂口之上液位高度，m；</w:t>
      </w:r>
    </w:p>
    <w:p>
      <w:pPr>
        <w:pStyle w:val="19"/>
        <w:numPr>
          <w:ilvl w:val="0"/>
          <w:numId w:val="0"/>
        </w:numPr>
        <w:bidi w:val="0"/>
        <w:ind w:leftChars="200" w:right="40" w:rightChars="0"/>
        <w:rPr>
          <w:rFonts w:hint="eastAsia"/>
        </w:rPr>
      </w:pPr>
      <w:r>
        <w:rPr>
          <w:rFonts w:hint="eastAsia"/>
        </w:rPr>
        <w:t xml:space="preserve">      C</w:t>
      </w:r>
      <w:r>
        <w:rPr>
          <w:rFonts w:hint="eastAsia"/>
          <w:vertAlign w:val="subscript"/>
        </w:rPr>
        <w:t>d</w:t>
      </w:r>
      <w:r>
        <w:rPr>
          <w:rFonts w:hint="eastAsia"/>
        </w:rPr>
        <w:t>——液体泄漏系数，此值常用0.6~0.64；</w:t>
      </w:r>
    </w:p>
    <w:p>
      <w:pPr>
        <w:pStyle w:val="19"/>
        <w:numPr>
          <w:ilvl w:val="0"/>
          <w:numId w:val="0"/>
        </w:numPr>
        <w:bidi w:val="0"/>
        <w:ind w:leftChars="200" w:right="40" w:rightChars="0"/>
        <w:rPr>
          <w:rFonts w:hint="eastAsia"/>
        </w:rPr>
      </w:pPr>
      <w:r>
        <w:rPr>
          <w:rFonts w:hint="eastAsia"/>
        </w:rPr>
        <w:t xml:space="preserve">      A——裂口面积，m</w:t>
      </w:r>
      <w:r>
        <w:rPr>
          <w:rFonts w:hint="eastAsia"/>
          <w:vertAlign w:val="superscript"/>
        </w:rPr>
        <w:t>2</w:t>
      </w:r>
      <w:r>
        <w:rPr>
          <w:rFonts w:hint="eastAsia"/>
        </w:rPr>
        <w:t>。</w:t>
      </w:r>
    </w:p>
    <w:p>
      <w:pPr>
        <w:pStyle w:val="19"/>
        <w:bidi w:val="0"/>
        <w:rPr>
          <w:rFonts w:hint="eastAsia"/>
        </w:rPr>
      </w:pPr>
      <w:r>
        <w:rPr>
          <w:rFonts w:hint="eastAsia"/>
        </w:rPr>
        <w:t>液体泄漏系数Cd取0.62，裂口面积取0.0000785m</w:t>
      </w:r>
      <w:r>
        <w:rPr>
          <w:rFonts w:hint="eastAsia"/>
          <w:vertAlign w:val="superscript"/>
        </w:rPr>
        <w:t>2</w:t>
      </w:r>
      <w:r>
        <w:rPr>
          <w:rFonts w:hint="eastAsia"/>
        </w:rPr>
        <w:t>（泄漏孔径为10mm），液面高度6m，根据上式可以计算得出Q</w:t>
      </w:r>
      <w:r>
        <w:rPr>
          <w:rFonts w:hint="eastAsia"/>
          <w:vertAlign w:val="subscript"/>
        </w:rPr>
        <w:t>L</w:t>
      </w:r>
      <w:r>
        <w:rPr>
          <w:rFonts w:hint="eastAsia"/>
        </w:rPr>
        <w:t>=</w:t>
      </w:r>
      <w:r>
        <w:rPr>
          <w:rFonts w:hint="eastAsia"/>
          <w:lang w:val="en-US" w:eastAsia="zh-CN"/>
        </w:rPr>
        <w:t>0.63</w:t>
      </w:r>
      <w:r>
        <w:rPr>
          <w:rFonts w:hint="eastAsia"/>
        </w:rPr>
        <w:t>kg/s，泄漏时间按20min计算，则</w:t>
      </w:r>
      <w:r>
        <w:rPr>
          <w:rFonts w:hint="eastAsia"/>
          <w:lang w:val="en-US" w:eastAsia="zh-CN"/>
        </w:rPr>
        <w:t>锰铵溶液储</w:t>
      </w:r>
      <w:r>
        <w:rPr>
          <w:rFonts w:hint="eastAsia"/>
        </w:rPr>
        <w:t>罐的泄漏量为</w:t>
      </w:r>
      <w:r>
        <w:rPr>
          <w:rFonts w:hint="eastAsia"/>
          <w:lang w:val="en-US" w:eastAsia="zh-CN"/>
        </w:rPr>
        <w:t>0.76</w:t>
      </w:r>
      <w:r>
        <w:rPr>
          <w:rFonts w:hint="eastAsia"/>
        </w:rPr>
        <w:t>t。</w:t>
      </w:r>
    </w:p>
    <w:p>
      <w:r>
        <w:br w:type="page"/>
      </w:r>
    </w:p>
    <w:p>
      <w:pPr>
        <w:pStyle w:val="3"/>
        <w:bidi w:val="0"/>
        <w:jc w:val="center"/>
        <w:rPr>
          <w:rFonts w:hint="default"/>
          <w:lang w:val="en-US" w:eastAsia="zh-CN"/>
        </w:rPr>
      </w:pPr>
      <w:bookmarkStart w:id="194" w:name="_Toc7364"/>
      <w:bookmarkStart w:id="195" w:name="_Toc30746"/>
      <w:r>
        <w:rPr>
          <w:rFonts w:hint="eastAsia"/>
          <w:lang w:val="en-US" w:eastAsia="zh-CN"/>
        </w:rPr>
        <w:t>5 风险预测及分析</w:t>
      </w:r>
      <w:bookmarkEnd w:id="194"/>
      <w:bookmarkEnd w:id="195"/>
    </w:p>
    <w:p>
      <w:pPr>
        <w:pStyle w:val="4"/>
        <w:bidi w:val="0"/>
        <w:rPr>
          <w:rFonts w:hint="eastAsia"/>
          <w:lang w:val="en-US" w:eastAsia="zh-CN"/>
        </w:rPr>
      </w:pPr>
      <w:bookmarkStart w:id="196" w:name="_Toc30415"/>
      <w:bookmarkStart w:id="197" w:name="_Toc28184"/>
      <w:r>
        <w:rPr>
          <w:rFonts w:hint="eastAsia"/>
          <w:lang w:val="en-US" w:eastAsia="zh-CN"/>
        </w:rPr>
        <w:t>5.1 大气环境风险预测</w:t>
      </w:r>
      <w:bookmarkEnd w:id="196"/>
      <w:bookmarkEnd w:id="197"/>
    </w:p>
    <w:p>
      <w:pPr>
        <w:ind w:firstLine="480" w:firstLineChars="200"/>
        <w:rPr>
          <w:rFonts w:hint="eastAsia"/>
          <w:lang w:val="en-US" w:eastAsia="zh-CN"/>
        </w:rPr>
      </w:pPr>
      <w:r>
        <w:rPr>
          <w:rFonts w:hint="eastAsia"/>
          <w:lang w:val="en-US" w:eastAsia="zh-CN"/>
        </w:rPr>
        <w:t>本项目环境风险物质为废矿物油和锰及其化合物，其中废矿物油主要贮存在危废间内且存量较少，危废间具备良好的防渗防腐防泄漏措施并进行严格的管理，发生环境风险事件的概率较小。项目环境风险来源主要为原材料锰渣和产品锰铵溶液中的锰，锰渣存放于原材料仓库，锰渣含水率较高不易起粉尘，原材料仓库按照危险废物贮存污染控制标准GB18597-2023的要求进行防渗处理，发生环境风险事件概率较小。锰铵溶液产生于MVR，储存在锰铵溶液储罐中，可能发生的环境风险事件为管道、储罐泄漏，但锰铵溶液中的铵以硫酸盐形式存在，不具有挥发性，虽然大气环境风险定级为二级评价，但发生环境风险事件后对大气环境影响较小。</w:t>
      </w:r>
    </w:p>
    <w:p>
      <w:pPr>
        <w:pStyle w:val="4"/>
        <w:bidi w:val="0"/>
        <w:rPr>
          <w:rFonts w:hint="eastAsia"/>
          <w:lang w:val="en-US" w:eastAsia="zh-CN"/>
        </w:rPr>
      </w:pPr>
      <w:bookmarkStart w:id="198" w:name="_Toc19999"/>
      <w:bookmarkStart w:id="199" w:name="_Toc3989"/>
      <w:r>
        <w:rPr>
          <w:rFonts w:hint="eastAsia"/>
          <w:lang w:val="en-US" w:eastAsia="zh-CN"/>
        </w:rPr>
        <w:t>5.2 地表水环境风险预测</w:t>
      </w:r>
      <w:bookmarkEnd w:id="198"/>
      <w:bookmarkEnd w:id="199"/>
    </w:p>
    <w:p>
      <w:pPr>
        <w:ind w:firstLine="480" w:firstLineChars="200"/>
        <w:rPr>
          <w:rFonts w:hint="default"/>
          <w:lang w:val="en-US" w:eastAsia="zh-CN"/>
        </w:rPr>
      </w:pPr>
      <w:r>
        <w:rPr>
          <w:rFonts w:hint="eastAsia"/>
          <w:lang w:val="en-US" w:eastAsia="zh-CN"/>
        </w:rPr>
        <w:t>（1）锰铵溶液</w:t>
      </w:r>
    </w:p>
    <w:p>
      <w:pPr>
        <w:ind w:firstLine="480" w:firstLineChars="200"/>
        <w:rPr>
          <w:rFonts w:hint="default"/>
          <w:lang w:val="en-US" w:eastAsia="zh-CN"/>
        </w:rPr>
      </w:pPr>
      <w:r>
        <w:rPr>
          <w:rFonts w:hint="default"/>
          <w:lang w:val="en-US" w:eastAsia="zh-CN"/>
        </w:rPr>
        <w:t>本项目</w:t>
      </w:r>
      <w:r>
        <w:rPr>
          <w:rFonts w:hint="eastAsia"/>
          <w:lang w:val="en-US" w:eastAsia="zh-CN"/>
        </w:rPr>
        <w:t>锰铵溶液储罐</w:t>
      </w:r>
      <w:r>
        <w:rPr>
          <w:rFonts w:hint="default"/>
          <w:lang w:val="en-US" w:eastAsia="zh-CN"/>
        </w:rPr>
        <w:t>中有</w:t>
      </w:r>
      <w:r>
        <w:rPr>
          <w:rFonts w:hint="eastAsia"/>
          <w:lang w:val="en-US" w:eastAsia="zh-CN"/>
        </w:rPr>
        <w:t>大量含锰离子的溶液</w:t>
      </w:r>
      <w:r>
        <w:rPr>
          <w:rFonts w:hint="default"/>
          <w:lang w:val="en-US" w:eastAsia="zh-CN"/>
        </w:rPr>
        <w:t>，若生产设施发生</w:t>
      </w:r>
      <w:r>
        <w:rPr>
          <w:rFonts w:hint="eastAsia"/>
          <w:lang w:val="en-US" w:eastAsia="zh-CN"/>
        </w:rPr>
        <w:t>小型泄漏事故</w:t>
      </w:r>
      <w:r>
        <w:rPr>
          <w:rFonts w:hint="default"/>
          <w:lang w:val="en-US" w:eastAsia="zh-CN"/>
        </w:rPr>
        <w:t>，可能导致有毒重金属酸性液体泄漏，对周边地表水环境造成影响。通过在生产车间设置导流渠，并且进行防腐、防渗处理，可以有效收集泄漏液体，同时厂区设置事故池，可暂时贮存泄漏废水。储罐区设</w:t>
      </w:r>
      <w:r>
        <w:rPr>
          <w:rFonts w:hint="eastAsia"/>
          <w:lang w:val="en-US" w:eastAsia="zh-CN"/>
        </w:rPr>
        <w:t>3个800m</w:t>
      </w:r>
      <w:r>
        <w:rPr>
          <w:rFonts w:hint="eastAsia"/>
          <w:vertAlign w:val="superscript"/>
          <w:lang w:val="en-US" w:eastAsia="zh-CN"/>
        </w:rPr>
        <w:t>3</w:t>
      </w:r>
      <w:r>
        <w:rPr>
          <w:rFonts w:hint="eastAsia"/>
          <w:lang w:val="en-US" w:eastAsia="zh-CN"/>
        </w:rPr>
        <w:t>锰铵溶液</w:t>
      </w:r>
      <w:r>
        <w:rPr>
          <w:rFonts w:hint="default"/>
          <w:lang w:val="en-US" w:eastAsia="zh-CN"/>
        </w:rPr>
        <w:t>储罐，以单个罐体发生10mm孔径泄漏为最大可信事故分析，计算</w:t>
      </w:r>
      <w:r>
        <w:rPr>
          <w:rFonts w:hint="eastAsia"/>
          <w:lang w:val="en-US" w:eastAsia="zh-CN"/>
        </w:rPr>
        <w:t>的</w:t>
      </w:r>
      <w:r>
        <w:rPr>
          <w:rFonts w:hint="default"/>
          <w:lang w:val="en-US" w:eastAsia="zh-CN"/>
        </w:rPr>
        <w:t>泄漏速率为0.</w:t>
      </w:r>
      <w:r>
        <w:rPr>
          <w:rFonts w:hint="eastAsia"/>
          <w:lang w:val="en-US" w:eastAsia="zh-CN"/>
        </w:rPr>
        <w:t>63</w:t>
      </w:r>
      <w:r>
        <w:rPr>
          <w:rFonts w:hint="default"/>
          <w:lang w:val="en-US" w:eastAsia="zh-CN"/>
        </w:rPr>
        <w:t>kg/s，假设需</w:t>
      </w:r>
      <w:r>
        <w:rPr>
          <w:rFonts w:hint="eastAsia"/>
          <w:lang w:val="en-US" w:eastAsia="zh-CN"/>
        </w:rPr>
        <w:t>2</w:t>
      </w:r>
      <w:r>
        <w:rPr>
          <w:rFonts w:hint="default"/>
          <w:lang w:val="en-US" w:eastAsia="zh-CN"/>
        </w:rPr>
        <w:t>0min进行应急处置，最大泄漏量为</w:t>
      </w:r>
      <w:r>
        <w:rPr>
          <w:rFonts w:hint="eastAsia"/>
          <w:lang w:val="en-US" w:eastAsia="zh-CN"/>
        </w:rPr>
        <w:t>0.76</w:t>
      </w:r>
      <w:r>
        <w:rPr>
          <w:rFonts w:hint="default"/>
          <w:lang w:val="en-US" w:eastAsia="zh-CN"/>
        </w:rPr>
        <w:t>t。罐区设置围堰，并且进行防腐、防渗处理，可以有效收集泄漏液体，</w:t>
      </w:r>
      <w:r>
        <w:rPr>
          <w:rFonts w:hint="eastAsia"/>
          <w:lang w:val="en-US" w:eastAsia="zh-CN"/>
        </w:rPr>
        <w:t>锰铵溶液</w:t>
      </w:r>
      <w:r>
        <w:rPr>
          <w:rFonts w:hint="default"/>
          <w:lang w:val="en-US" w:eastAsia="zh-CN"/>
        </w:rPr>
        <w:t>泄漏事故发生后不会流失至外界，不会影响区域地表水环境。</w:t>
      </w:r>
    </w:p>
    <w:p>
      <w:pPr>
        <w:ind w:firstLine="480" w:firstLineChars="200"/>
        <w:rPr>
          <w:rFonts w:hint="default"/>
          <w:lang w:val="en-US" w:eastAsia="zh-CN"/>
        </w:rPr>
      </w:pPr>
      <w:r>
        <w:rPr>
          <w:rFonts w:hint="eastAsia"/>
          <w:lang w:val="en-US" w:eastAsia="zh-CN"/>
        </w:rPr>
        <w:t>如果发生更为严重的罐体破裂事故，则围堰无法阻止锰铵的流失，按照最严重的环境风险事件进行预测。锰铵溶液3个储罐同时破碎的可能性极低，本次预测1个储罐破碎的发生情况。储罐破裂后内部800m</w:t>
      </w:r>
      <w:r>
        <w:rPr>
          <w:rFonts w:hint="eastAsia"/>
          <w:vertAlign w:val="superscript"/>
          <w:lang w:val="en-US" w:eastAsia="zh-CN"/>
        </w:rPr>
        <w:t>3</w:t>
      </w:r>
      <w:r>
        <w:rPr>
          <w:rFonts w:hint="eastAsia"/>
          <w:lang w:val="en-US" w:eastAsia="zh-CN"/>
        </w:rPr>
        <w:t>的锰铵溶液将会泄露，厂界以北1km为花垣河且为地势较低点，因此发生事故后溢流的锰铵溶液最终将流入花垣河中。围堰能够阻碍三分之一的锰铵溶液外溢，正常情况围堰连通900m</w:t>
      </w:r>
      <w:r>
        <w:rPr>
          <w:rFonts w:hint="eastAsia"/>
          <w:vertAlign w:val="superscript"/>
          <w:lang w:val="en-US" w:eastAsia="zh-CN"/>
        </w:rPr>
        <w:t>3</w:t>
      </w:r>
      <w:r>
        <w:rPr>
          <w:rFonts w:hint="eastAsia"/>
          <w:lang w:val="en-US" w:eastAsia="zh-CN"/>
        </w:rPr>
        <w:t>容量的应急事故池能够容纳单个罐体破裂，按照最极端情况事故池此时失效进行后续预测。</w:t>
      </w:r>
    </w:p>
    <w:p>
      <w:pPr>
        <w:ind w:firstLine="480" w:firstLineChars="200"/>
        <w:rPr>
          <w:rFonts w:hint="eastAsia"/>
          <w:lang w:val="en-US" w:eastAsia="zh-CN"/>
        </w:rPr>
      </w:pPr>
      <w:r>
        <w:rPr>
          <w:rFonts w:hint="eastAsia"/>
          <w:lang w:val="en-US" w:eastAsia="zh-CN"/>
        </w:rPr>
        <w:t>按照533m</w:t>
      </w:r>
      <w:r>
        <w:rPr>
          <w:rFonts w:hint="eastAsia"/>
          <w:vertAlign w:val="superscript"/>
          <w:lang w:val="en-US" w:eastAsia="zh-CN"/>
        </w:rPr>
        <w:t>3</w:t>
      </w:r>
      <w:r>
        <w:rPr>
          <w:rFonts w:hint="eastAsia"/>
          <w:lang w:val="en-US" w:eastAsia="zh-CN"/>
        </w:rPr>
        <w:t>的锰铵溶液在120min中内全部流入花垣河进行预测。</w:t>
      </w:r>
    </w:p>
    <w:p>
      <w:pPr>
        <w:bidi w:val="0"/>
        <w:jc w:val="center"/>
        <w:rPr>
          <w:rFonts w:hint="eastAsia"/>
          <w:b/>
          <w:bCs/>
          <w:lang w:val="en-US" w:eastAsia="zh-CN"/>
        </w:rPr>
      </w:pPr>
    </w:p>
    <w:p>
      <w:pPr>
        <w:bidi w:val="0"/>
        <w:jc w:val="center"/>
        <w:rPr>
          <w:rFonts w:hint="eastAsia"/>
          <w:b/>
          <w:bCs/>
          <w:lang w:val="en-US" w:eastAsia="zh-CN"/>
        </w:rPr>
      </w:pPr>
    </w:p>
    <w:p>
      <w:pPr>
        <w:bidi w:val="0"/>
        <w:jc w:val="center"/>
        <w:rPr>
          <w:rFonts w:hint="default"/>
          <w:b/>
          <w:bCs/>
          <w:lang w:val="en-US" w:eastAsia="zh-CN"/>
        </w:rPr>
      </w:pPr>
      <w:r>
        <w:rPr>
          <w:rFonts w:hint="eastAsia"/>
          <w:b/>
          <w:bCs/>
          <w:lang w:val="en-US" w:eastAsia="zh-CN"/>
        </w:rPr>
        <w:t>表5-1  事故排放源强参数一览表</w:t>
      </w:r>
    </w:p>
    <w:tbl>
      <w:tblPr>
        <w:tblStyle w:val="15"/>
        <w:tblW w:w="4114"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20"/>
        <w:gridCol w:w="1658"/>
        <w:gridCol w:w="1260"/>
        <w:gridCol w:w="1146"/>
        <w:gridCol w:w="26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63" w:type="pct"/>
            <w:vMerge w:val="restart"/>
            <w:noWrap w:val="0"/>
            <w:vAlign w:val="center"/>
          </w:tcPr>
          <w:p>
            <w:pPr>
              <w:pStyle w:val="18"/>
              <w:bidi w:val="0"/>
              <w:jc w:val="center"/>
              <w:rPr>
                <w:rFonts w:hint="eastAsia"/>
              </w:rPr>
            </w:pPr>
            <w:r>
              <w:rPr>
                <w:rFonts w:hint="eastAsia"/>
              </w:rPr>
              <w:t>工况</w:t>
            </w:r>
          </w:p>
        </w:tc>
        <w:tc>
          <w:tcPr>
            <w:tcW w:w="1078" w:type="pct"/>
            <w:vMerge w:val="restart"/>
            <w:noWrap w:val="0"/>
            <w:vAlign w:val="center"/>
          </w:tcPr>
          <w:p>
            <w:pPr>
              <w:pStyle w:val="18"/>
              <w:bidi w:val="0"/>
              <w:jc w:val="center"/>
              <w:rPr>
                <w:rFonts w:hint="eastAsia"/>
              </w:rPr>
            </w:pPr>
            <w:r>
              <w:rPr>
                <w:rFonts w:hint="eastAsia"/>
              </w:rPr>
              <w:t>来源</w:t>
            </w:r>
          </w:p>
        </w:tc>
        <w:tc>
          <w:tcPr>
            <w:tcW w:w="1564" w:type="pct"/>
            <w:gridSpan w:val="2"/>
            <w:noWrap w:val="0"/>
            <w:vAlign w:val="center"/>
          </w:tcPr>
          <w:p>
            <w:pPr>
              <w:pStyle w:val="18"/>
              <w:bidi w:val="0"/>
              <w:jc w:val="center"/>
              <w:rPr>
                <w:rFonts w:hint="eastAsia"/>
              </w:rPr>
            </w:pPr>
            <w:r>
              <w:t>废水量</w:t>
            </w:r>
          </w:p>
        </w:tc>
        <w:tc>
          <w:tcPr>
            <w:tcW w:w="1694" w:type="pct"/>
            <w:noWrap w:val="0"/>
            <w:vAlign w:val="center"/>
          </w:tcPr>
          <w:p>
            <w:pPr>
              <w:pStyle w:val="18"/>
              <w:bidi w:val="0"/>
              <w:jc w:val="center"/>
            </w:pPr>
            <w:r>
              <w:t>主要污染物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63" w:type="pct"/>
            <w:vMerge w:val="continue"/>
            <w:noWrap w:val="0"/>
            <w:vAlign w:val="center"/>
          </w:tcPr>
          <w:p>
            <w:pPr>
              <w:pStyle w:val="18"/>
              <w:bidi w:val="0"/>
              <w:jc w:val="center"/>
            </w:pPr>
          </w:p>
        </w:tc>
        <w:tc>
          <w:tcPr>
            <w:tcW w:w="1078" w:type="pct"/>
            <w:vMerge w:val="continue"/>
            <w:noWrap w:val="0"/>
            <w:vAlign w:val="center"/>
          </w:tcPr>
          <w:p>
            <w:pPr>
              <w:pStyle w:val="18"/>
              <w:bidi w:val="0"/>
              <w:jc w:val="center"/>
            </w:pPr>
          </w:p>
        </w:tc>
        <w:tc>
          <w:tcPr>
            <w:tcW w:w="819" w:type="pct"/>
            <w:noWrap w:val="0"/>
            <w:vAlign w:val="center"/>
          </w:tcPr>
          <w:p>
            <w:pPr>
              <w:pStyle w:val="18"/>
              <w:bidi w:val="0"/>
              <w:jc w:val="center"/>
              <w:rPr>
                <w:rFonts w:hint="eastAsia"/>
              </w:rPr>
            </w:pPr>
            <w:r>
              <w:t>m</w:t>
            </w:r>
            <w:r>
              <w:rPr>
                <w:vertAlign w:val="superscript"/>
              </w:rPr>
              <w:t>3</w:t>
            </w:r>
          </w:p>
        </w:tc>
        <w:tc>
          <w:tcPr>
            <w:tcW w:w="745" w:type="pct"/>
            <w:noWrap w:val="0"/>
            <w:vAlign w:val="center"/>
          </w:tcPr>
          <w:p>
            <w:pPr>
              <w:pStyle w:val="18"/>
              <w:bidi w:val="0"/>
              <w:jc w:val="center"/>
            </w:pPr>
            <w:r>
              <w:t>m</w:t>
            </w:r>
            <w:r>
              <w:rPr>
                <w:vertAlign w:val="superscript"/>
              </w:rPr>
              <w:t>3</w:t>
            </w:r>
            <w:r>
              <w:t>/</w:t>
            </w:r>
            <w:r>
              <w:rPr>
                <w:rFonts w:hint="eastAsia"/>
              </w:rPr>
              <w:t xml:space="preserve"> s</w:t>
            </w:r>
          </w:p>
        </w:tc>
        <w:tc>
          <w:tcPr>
            <w:tcW w:w="1694" w:type="pct"/>
            <w:noWrap w:val="0"/>
            <w:vAlign w:val="center"/>
          </w:tcPr>
          <w:p>
            <w:pPr>
              <w:pStyle w:val="18"/>
              <w:bidi w:val="0"/>
              <w:jc w:val="center"/>
            </w:pPr>
            <w:r>
              <w:rPr>
                <w:rFonts w:hint="eastAsia"/>
                <w:lang w:val="en-US" w:eastAsia="zh-CN"/>
              </w:rPr>
              <w:t>Mn</w:t>
            </w:r>
            <w:r>
              <w:rPr>
                <w:rFonts w:hint="eastAsia"/>
              </w:rPr>
              <w:t>（g/L）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663" w:type="pct"/>
            <w:noWrap w:val="0"/>
            <w:vAlign w:val="center"/>
          </w:tcPr>
          <w:p>
            <w:pPr>
              <w:pStyle w:val="18"/>
              <w:bidi w:val="0"/>
              <w:jc w:val="center"/>
              <w:rPr>
                <w:rFonts w:hint="eastAsia"/>
              </w:rPr>
            </w:pPr>
            <w:r>
              <w:rPr>
                <w:rFonts w:hint="eastAsia"/>
              </w:rPr>
              <w:t>正常</w:t>
            </w:r>
          </w:p>
        </w:tc>
        <w:tc>
          <w:tcPr>
            <w:tcW w:w="1078" w:type="pct"/>
            <w:noWrap w:val="0"/>
            <w:vAlign w:val="center"/>
          </w:tcPr>
          <w:p>
            <w:pPr>
              <w:pStyle w:val="18"/>
              <w:bidi w:val="0"/>
              <w:jc w:val="center"/>
              <w:rPr>
                <w:rFonts w:hint="default" w:eastAsia="宋体"/>
                <w:lang w:val="en-US" w:eastAsia="zh-CN"/>
              </w:rPr>
            </w:pPr>
            <w:r>
              <w:rPr>
                <w:rFonts w:hint="eastAsia"/>
                <w:lang w:val="en-US" w:eastAsia="zh-CN"/>
              </w:rPr>
              <w:t>锰铵溶液</w:t>
            </w:r>
          </w:p>
        </w:tc>
        <w:tc>
          <w:tcPr>
            <w:tcW w:w="819" w:type="pct"/>
            <w:noWrap w:val="0"/>
            <w:vAlign w:val="center"/>
          </w:tcPr>
          <w:p>
            <w:pPr>
              <w:pStyle w:val="18"/>
              <w:bidi w:val="0"/>
              <w:jc w:val="center"/>
              <w:rPr>
                <w:rFonts w:hint="default" w:eastAsia="宋体"/>
                <w:lang w:val="en-US" w:eastAsia="zh-CN"/>
              </w:rPr>
            </w:pPr>
            <w:r>
              <w:rPr>
                <w:rFonts w:hint="eastAsia"/>
                <w:lang w:val="en-US" w:eastAsia="zh-CN"/>
              </w:rPr>
              <w:t>533</w:t>
            </w:r>
          </w:p>
        </w:tc>
        <w:tc>
          <w:tcPr>
            <w:tcW w:w="745" w:type="pct"/>
            <w:noWrap w:val="0"/>
            <w:vAlign w:val="center"/>
          </w:tcPr>
          <w:p>
            <w:pPr>
              <w:pStyle w:val="18"/>
              <w:bidi w:val="0"/>
              <w:jc w:val="center"/>
              <w:rPr>
                <w:rFonts w:hint="default" w:eastAsia="宋体"/>
                <w:lang w:val="en-US" w:eastAsia="zh-CN"/>
              </w:rPr>
            </w:pPr>
            <w:r>
              <w:rPr>
                <w:rFonts w:hint="eastAsia"/>
              </w:rPr>
              <w:t>0.</w:t>
            </w:r>
            <w:r>
              <w:rPr>
                <w:rFonts w:hint="eastAsia"/>
                <w:lang w:val="en-US" w:eastAsia="zh-CN"/>
              </w:rPr>
              <w:t>074</w:t>
            </w:r>
          </w:p>
        </w:tc>
        <w:tc>
          <w:tcPr>
            <w:tcW w:w="1694" w:type="pct"/>
            <w:noWrap w:val="0"/>
            <w:vAlign w:val="center"/>
          </w:tcPr>
          <w:p>
            <w:pPr>
              <w:pStyle w:val="18"/>
              <w:bidi w:val="0"/>
              <w:jc w:val="center"/>
              <w:rPr>
                <w:rFonts w:hint="default"/>
                <w:lang w:val="en-US"/>
              </w:rPr>
            </w:pPr>
            <w:r>
              <w:rPr>
                <w:rFonts w:hint="eastAsia"/>
                <w:lang w:val="en-US" w:eastAsia="zh-CN"/>
              </w:rPr>
              <w:t>36</w:t>
            </w:r>
          </w:p>
        </w:tc>
      </w:tr>
    </w:tbl>
    <w:p>
      <w:pPr>
        <w:pStyle w:val="19"/>
        <w:bidi w:val="0"/>
      </w:pPr>
      <w:r>
        <w:t>采用河流完全混合模式进行预测：</w:t>
      </w:r>
    </w:p>
    <w:p>
      <w:pPr>
        <w:ind w:firstLine="480" w:firstLineChars="200"/>
        <w:jc w:val="center"/>
        <w:rPr>
          <w:rFonts w:hint="eastAsia"/>
          <w:lang w:val="en-US" w:eastAsia="zh-CN"/>
        </w:rPr>
      </w:pPr>
      <w:r>
        <w:drawing>
          <wp:inline distT="0" distB="0" distL="114300" distR="114300">
            <wp:extent cx="2212340" cy="290195"/>
            <wp:effectExtent l="0" t="0" r="6985" b="508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72"/>
                    <a:stretch>
                      <a:fillRect/>
                    </a:stretch>
                  </pic:blipFill>
                  <pic:spPr>
                    <a:xfrm>
                      <a:off x="0" y="0"/>
                      <a:ext cx="2212340" cy="290195"/>
                    </a:xfrm>
                    <a:prstGeom prst="rect">
                      <a:avLst/>
                    </a:prstGeom>
                    <a:noFill/>
                    <a:ln>
                      <a:noFill/>
                    </a:ln>
                  </pic:spPr>
                </pic:pic>
              </a:graphicData>
            </a:graphic>
          </wp:inline>
        </w:drawing>
      </w:r>
    </w:p>
    <w:p>
      <w:pPr>
        <w:spacing w:line="480" w:lineRule="exact"/>
        <w:ind w:firstLine="480" w:firstLineChars="200"/>
        <w:rPr>
          <w:sz w:val="24"/>
        </w:rPr>
      </w:pPr>
      <w:r>
        <w:rPr>
          <w:sz w:val="24"/>
        </w:rPr>
        <w:t>式中： C——污染物混合浓度（mg/L）</w:t>
      </w:r>
    </w:p>
    <w:p>
      <w:pPr>
        <w:spacing w:line="480" w:lineRule="exact"/>
        <w:ind w:firstLine="1320" w:firstLineChars="550"/>
        <w:rPr>
          <w:sz w:val="24"/>
        </w:rPr>
      </w:pPr>
      <w:r>
        <w:rPr>
          <w:sz w:val="24"/>
        </w:rPr>
        <w:t>C</w:t>
      </w:r>
      <w:r>
        <w:rPr>
          <w:sz w:val="24"/>
          <w:vertAlign w:val="subscript"/>
        </w:rPr>
        <w:t>p</w:t>
      </w:r>
      <w:r>
        <w:rPr>
          <w:sz w:val="24"/>
        </w:rPr>
        <w:t>——污染物排放浓度（mg/L）</w:t>
      </w:r>
    </w:p>
    <w:p>
      <w:pPr>
        <w:spacing w:line="480" w:lineRule="exact"/>
        <w:ind w:firstLine="1320" w:firstLineChars="550"/>
        <w:rPr>
          <w:sz w:val="24"/>
        </w:rPr>
      </w:pPr>
      <w:r>
        <w:rPr>
          <w:sz w:val="24"/>
        </w:rPr>
        <w:t>Q</w:t>
      </w:r>
      <w:r>
        <w:rPr>
          <w:sz w:val="24"/>
          <w:vertAlign w:val="subscript"/>
        </w:rPr>
        <w:t>p</w:t>
      </w:r>
      <w:r>
        <w:rPr>
          <w:sz w:val="24"/>
        </w:rPr>
        <w:t>——废水排放量（m</w:t>
      </w:r>
      <w:r>
        <w:rPr>
          <w:sz w:val="24"/>
          <w:vertAlign w:val="superscript"/>
        </w:rPr>
        <w:t>3</w:t>
      </w:r>
      <w:r>
        <w:rPr>
          <w:sz w:val="24"/>
        </w:rPr>
        <w:t>/s）</w:t>
      </w:r>
    </w:p>
    <w:p>
      <w:pPr>
        <w:spacing w:line="480" w:lineRule="exact"/>
        <w:ind w:firstLine="1320" w:firstLineChars="550"/>
        <w:rPr>
          <w:rFonts w:hint="eastAsia"/>
          <w:sz w:val="24"/>
        </w:rPr>
      </w:pPr>
      <w:r>
        <w:rPr>
          <w:sz w:val="24"/>
        </w:rPr>
        <w:t>C</w:t>
      </w:r>
      <w:r>
        <w:rPr>
          <w:sz w:val="24"/>
          <w:vertAlign w:val="subscript"/>
        </w:rPr>
        <w:t>h</w:t>
      </w:r>
      <w:r>
        <w:rPr>
          <w:sz w:val="24"/>
        </w:rPr>
        <w:t>——河流上游某污染物的浓度（mg/L）</w:t>
      </w:r>
      <w:r>
        <w:rPr>
          <w:rFonts w:hint="eastAsia"/>
          <w:sz w:val="24"/>
        </w:rPr>
        <w:t>（</w:t>
      </w:r>
      <w:r>
        <w:rPr>
          <w:rFonts w:hint="eastAsia"/>
          <w:sz w:val="24"/>
          <w:lang w:val="en-US" w:eastAsia="zh-CN"/>
        </w:rPr>
        <w:t>0.01</w:t>
      </w:r>
      <w:r>
        <w:rPr>
          <w:rFonts w:hint="eastAsia"/>
          <w:sz w:val="24"/>
        </w:rPr>
        <w:t>mg/L）</w:t>
      </w:r>
    </w:p>
    <w:p>
      <w:pPr>
        <w:spacing w:line="480" w:lineRule="exact"/>
        <w:ind w:firstLine="1320" w:firstLineChars="550"/>
        <w:rPr>
          <w:sz w:val="24"/>
        </w:rPr>
      </w:pPr>
      <w:r>
        <w:rPr>
          <w:sz w:val="24"/>
        </w:rPr>
        <w:t>Q</w:t>
      </w:r>
      <w:r>
        <w:rPr>
          <w:sz w:val="24"/>
          <w:vertAlign w:val="subscript"/>
        </w:rPr>
        <w:t>h</w:t>
      </w:r>
      <w:r>
        <w:rPr>
          <w:sz w:val="24"/>
        </w:rPr>
        <w:t>——</w:t>
      </w:r>
      <w:r>
        <w:rPr>
          <w:rFonts w:hint="eastAsia"/>
          <w:sz w:val="24"/>
          <w:lang w:val="en-US" w:eastAsia="zh-CN"/>
        </w:rPr>
        <w:t>花垣</w:t>
      </w:r>
      <w:r>
        <w:rPr>
          <w:sz w:val="24"/>
        </w:rPr>
        <w:t>河流量（</w:t>
      </w:r>
      <w:r>
        <w:rPr>
          <w:rFonts w:hint="eastAsia"/>
          <w:sz w:val="24"/>
          <w:lang w:val="en-US" w:eastAsia="zh-CN"/>
        </w:rPr>
        <w:t>76</w:t>
      </w:r>
      <w:r>
        <w:rPr>
          <w:sz w:val="24"/>
        </w:rPr>
        <w:t>m</w:t>
      </w:r>
      <w:r>
        <w:rPr>
          <w:sz w:val="24"/>
          <w:vertAlign w:val="superscript"/>
        </w:rPr>
        <w:t>3</w:t>
      </w:r>
      <w:r>
        <w:rPr>
          <w:sz w:val="24"/>
        </w:rPr>
        <w:t>/s）。</w:t>
      </w:r>
    </w:p>
    <w:p>
      <w:pPr>
        <w:ind w:firstLine="480" w:firstLineChars="200"/>
        <w:rPr>
          <w:rFonts w:hint="default"/>
          <w:lang w:val="en-US" w:eastAsia="zh-CN"/>
        </w:rPr>
      </w:pPr>
      <w:r>
        <w:rPr>
          <w:rFonts w:hint="eastAsia"/>
          <w:lang w:val="en-US" w:eastAsia="zh-CN"/>
        </w:rPr>
        <w:t>预测的结果如下表：</w:t>
      </w:r>
    </w:p>
    <w:p>
      <w:pPr>
        <w:bidi w:val="0"/>
        <w:jc w:val="center"/>
        <w:rPr>
          <w:b/>
          <w:bCs/>
        </w:rPr>
      </w:pPr>
      <w:r>
        <w:rPr>
          <w:b/>
          <w:bCs/>
        </w:rPr>
        <w:t>表</w:t>
      </w:r>
      <w:r>
        <w:rPr>
          <w:rFonts w:hint="eastAsia"/>
          <w:b/>
          <w:bCs/>
          <w:lang w:val="en-US" w:eastAsia="zh-CN"/>
        </w:rPr>
        <w:t>5-2</w:t>
      </w:r>
      <w:r>
        <w:rPr>
          <w:b/>
          <w:bCs/>
        </w:rPr>
        <w:t xml:space="preserve">  本项目地表水环境影响预测结果一览表（单位：mg/l）</w:t>
      </w:r>
    </w:p>
    <w:tbl>
      <w:tblPr>
        <w:tblStyle w:val="1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827"/>
        <w:gridCol w:w="63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 w:hRule="atLeast"/>
        </w:trPr>
        <w:tc>
          <w:tcPr>
            <w:tcW w:w="1539" w:type="pct"/>
            <w:tcBorders>
              <w:tl2br w:val="single" w:color="auto" w:sz="4" w:space="0"/>
            </w:tcBorders>
            <w:noWrap w:val="0"/>
            <w:tcMar>
              <w:left w:w="28" w:type="dxa"/>
              <w:right w:w="28" w:type="dxa"/>
            </w:tcMar>
            <w:vAlign w:val="center"/>
          </w:tcPr>
          <w:p>
            <w:pPr>
              <w:spacing w:line="240" w:lineRule="exact"/>
              <w:jc w:val="right"/>
              <w:rPr>
                <w:sz w:val="21"/>
                <w:szCs w:val="21"/>
              </w:rPr>
            </w:pPr>
            <w:r>
              <w:rPr>
                <w:sz w:val="21"/>
                <w:szCs w:val="21"/>
              </w:rPr>
              <w:t>因子</w:t>
            </w:r>
          </w:p>
          <w:p>
            <w:pPr>
              <w:spacing w:line="240" w:lineRule="exact"/>
              <w:jc w:val="both"/>
              <w:rPr>
                <w:sz w:val="21"/>
                <w:szCs w:val="21"/>
              </w:rPr>
            </w:pPr>
            <w:r>
              <w:rPr>
                <w:sz w:val="21"/>
                <w:szCs w:val="21"/>
              </w:rPr>
              <w:t>工况</w:t>
            </w:r>
          </w:p>
        </w:tc>
        <w:tc>
          <w:tcPr>
            <w:tcW w:w="3461" w:type="pct"/>
            <w:noWrap w:val="0"/>
            <w:tcMar>
              <w:left w:w="28" w:type="dxa"/>
              <w:right w:w="28" w:type="dxa"/>
            </w:tcMar>
            <w:vAlign w:val="center"/>
          </w:tcPr>
          <w:p>
            <w:pPr>
              <w:spacing w:line="240" w:lineRule="exact"/>
              <w:jc w:val="center"/>
              <w:rPr>
                <w:rFonts w:hint="eastAsia" w:eastAsia="宋体"/>
                <w:sz w:val="21"/>
                <w:szCs w:val="21"/>
                <w:lang w:eastAsia="zh-CN"/>
              </w:rPr>
            </w:pPr>
            <w:r>
              <w:rPr>
                <w:rFonts w:hint="eastAsia"/>
                <w:sz w:val="21"/>
                <w:szCs w:val="21"/>
                <w:lang w:val="en-US" w:eastAsia="zh-CN"/>
              </w:rPr>
              <w:t>Mn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 w:hRule="atLeast"/>
        </w:trPr>
        <w:tc>
          <w:tcPr>
            <w:tcW w:w="1539" w:type="pct"/>
            <w:noWrap w:val="0"/>
            <w:tcMar>
              <w:left w:w="28" w:type="dxa"/>
              <w:right w:w="28" w:type="dxa"/>
            </w:tcMar>
            <w:vAlign w:val="center"/>
          </w:tcPr>
          <w:p>
            <w:pPr>
              <w:spacing w:line="240" w:lineRule="exact"/>
              <w:jc w:val="center"/>
              <w:rPr>
                <w:sz w:val="21"/>
                <w:szCs w:val="21"/>
              </w:rPr>
            </w:pPr>
            <w:r>
              <w:rPr>
                <w:rFonts w:hint="eastAsia"/>
                <w:sz w:val="21"/>
                <w:szCs w:val="21"/>
              </w:rPr>
              <w:t>本底值</w:t>
            </w:r>
          </w:p>
        </w:tc>
        <w:tc>
          <w:tcPr>
            <w:tcW w:w="3461" w:type="pct"/>
            <w:noWrap w:val="0"/>
            <w:tcMar>
              <w:left w:w="28" w:type="dxa"/>
              <w:right w:w="28" w:type="dxa"/>
            </w:tcMar>
            <w:vAlign w:val="center"/>
          </w:tcPr>
          <w:p>
            <w:pPr>
              <w:spacing w:line="240" w:lineRule="exact"/>
              <w:jc w:val="center"/>
              <w:rPr>
                <w:rFonts w:hint="default" w:eastAsia="宋体"/>
                <w:sz w:val="21"/>
                <w:szCs w:val="18"/>
                <w:lang w:val="en-US" w:eastAsia="zh-CN"/>
              </w:rPr>
            </w:pPr>
            <w:r>
              <w:rPr>
                <w:rFonts w:hint="eastAsia"/>
                <w:sz w:val="22"/>
                <w:szCs w:val="20"/>
                <w:lang w:val="en-US" w:eastAsia="zh-CN"/>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 w:hRule="atLeast"/>
        </w:trPr>
        <w:tc>
          <w:tcPr>
            <w:tcW w:w="1539" w:type="pct"/>
            <w:noWrap w:val="0"/>
            <w:tcMar>
              <w:left w:w="28" w:type="dxa"/>
              <w:right w:w="28" w:type="dxa"/>
            </w:tcMar>
            <w:vAlign w:val="center"/>
          </w:tcPr>
          <w:p>
            <w:pPr>
              <w:spacing w:line="240" w:lineRule="exact"/>
              <w:jc w:val="center"/>
              <w:rPr>
                <w:rFonts w:hint="eastAsia"/>
                <w:sz w:val="21"/>
                <w:szCs w:val="21"/>
              </w:rPr>
            </w:pPr>
            <w:r>
              <w:rPr>
                <w:rFonts w:hint="eastAsia"/>
                <w:sz w:val="21"/>
                <w:szCs w:val="21"/>
              </w:rPr>
              <w:t>预测</w:t>
            </w:r>
            <w:r>
              <w:rPr>
                <w:sz w:val="21"/>
                <w:szCs w:val="21"/>
              </w:rPr>
              <w:t>值</w:t>
            </w:r>
          </w:p>
        </w:tc>
        <w:tc>
          <w:tcPr>
            <w:tcW w:w="3461" w:type="pct"/>
            <w:noWrap w:val="0"/>
            <w:tcMar>
              <w:left w:w="28" w:type="dxa"/>
              <w:right w:w="28" w:type="dxa"/>
            </w:tcMar>
            <w:vAlign w:val="center"/>
          </w:tcPr>
          <w:p>
            <w:pPr>
              <w:spacing w:line="240" w:lineRule="exact"/>
              <w:jc w:val="center"/>
              <w:rPr>
                <w:rFonts w:hint="default" w:eastAsia="宋体"/>
                <w:sz w:val="22"/>
                <w:szCs w:val="20"/>
                <w:lang w:val="en-US" w:eastAsia="zh-CN"/>
              </w:rPr>
            </w:pPr>
            <w:r>
              <w:rPr>
                <w:rFonts w:hint="eastAsia"/>
                <w:sz w:val="22"/>
                <w:szCs w:val="20"/>
                <w:lang w:val="en-US" w:eastAsia="zh-CN"/>
              </w:rPr>
              <w:t>35.05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 w:hRule="atLeast"/>
        </w:trPr>
        <w:tc>
          <w:tcPr>
            <w:tcW w:w="1539" w:type="pct"/>
            <w:noWrap w:val="0"/>
            <w:tcMar>
              <w:left w:w="28" w:type="dxa"/>
              <w:right w:w="28" w:type="dxa"/>
            </w:tcMar>
            <w:vAlign w:val="center"/>
          </w:tcPr>
          <w:p>
            <w:pPr>
              <w:spacing w:line="240" w:lineRule="exact"/>
              <w:jc w:val="center"/>
              <w:rPr>
                <w:rFonts w:hint="eastAsia"/>
                <w:sz w:val="21"/>
                <w:szCs w:val="21"/>
              </w:rPr>
            </w:pPr>
            <w:r>
              <w:rPr>
                <w:rFonts w:hint="eastAsia"/>
                <w:sz w:val="21"/>
                <w:szCs w:val="21"/>
              </w:rPr>
              <w:t>贡献值</w:t>
            </w:r>
          </w:p>
        </w:tc>
        <w:tc>
          <w:tcPr>
            <w:tcW w:w="3461" w:type="pct"/>
            <w:noWrap w:val="0"/>
            <w:tcMar>
              <w:left w:w="28" w:type="dxa"/>
              <w:right w:w="28" w:type="dxa"/>
            </w:tcMar>
            <w:vAlign w:val="center"/>
          </w:tcPr>
          <w:p>
            <w:pPr>
              <w:spacing w:line="240" w:lineRule="exact"/>
              <w:jc w:val="center"/>
              <w:rPr>
                <w:rFonts w:hint="default" w:eastAsia="宋体"/>
                <w:sz w:val="22"/>
                <w:szCs w:val="20"/>
                <w:lang w:val="en-US" w:eastAsia="zh-CN"/>
              </w:rPr>
            </w:pPr>
            <w:r>
              <w:rPr>
                <w:rFonts w:hint="eastAsia"/>
                <w:sz w:val="22"/>
                <w:szCs w:val="20"/>
                <w:lang w:val="en-US" w:eastAsia="zh-CN"/>
              </w:rPr>
              <w:t>35.05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 w:hRule="atLeast"/>
        </w:trPr>
        <w:tc>
          <w:tcPr>
            <w:tcW w:w="1539" w:type="pct"/>
            <w:noWrap w:val="0"/>
            <w:tcMar>
              <w:left w:w="28" w:type="dxa"/>
              <w:right w:w="28" w:type="dxa"/>
            </w:tcMar>
            <w:vAlign w:val="center"/>
          </w:tcPr>
          <w:p>
            <w:pPr>
              <w:spacing w:line="240" w:lineRule="exact"/>
              <w:jc w:val="center"/>
              <w:rPr>
                <w:sz w:val="21"/>
                <w:szCs w:val="21"/>
              </w:rPr>
            </w:pPr>
            <w:r>
              <w:rPr>
                <w:rFonts w:hint="eastAsia"/>
                <w:sz w:val="21"/>
                <w:szCs w:val="21"/>
              </w:rPr>
              <w:t>GB3838-2002</w:t>
            </w:r>
            <w:r>
              <w:rPr>
                <w:rFonts w:hint="default" w:ascii="Times New Roman" w:hAnsi="Times New Roman" w:cs="Times New Roman"/>
                <w:sz w:val="21"/>
                <w:szCs w:val="21"/>
              </w:rPr>
              <w:t>Ⅲ</w:t>
            </w:r>
            <w:r>
              <w:rPr>
                <w:sz w:val="21"/>
                <w:szCs w:val="21"/>
              </w:rPr>
              <w:t>类标准</w:t>
            </w:r>
          </w:p>
        </w:tc>
        <w:tc>
          <w:tcPr>
            <w:tcW w:w="3461" w:type="pct"/>
            <w:noWrap w:val="0"/>
            <w:tcMar>
              <w:left w:w="28" w:type="dxa"/>
              <w:right w:w="28" w:type="dxa"/>
            </w:tcMar>
            <w:vAlign w:val="center"/>
          </w:tcPr>
          <w:p>
            <w:pPr>
              <w:spacing w:line="240" w:lineRule="exact"/>
              <w:jc w:val="center"/>
              <w:rPr>
                <w:rFonts w:hint="default" w:eastAsia="宋体"/>
                <w:sz w:val="20"/>
                <w:szCs w:val="20"/>
                <w:lang w:val="en-US" w:eastAsia="zh-CN"/>
              </w:rPr>
            </w:pPr>
            <w:r>
              <w:rPr>
                <w:rFonts w:hint="eastAsia"/>
                <w:sz w:val="20"/>
                <w:szCs w:val="20"/>
                <w:lang w:val="en-US" w:eastAsia="zh-CN"/>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 w:hRule="atLeast"/>
        </w:trPr>
        <w:tc>
          <w:tcPr>
            <w:tcW w:w="1539" w:type="pct"/>
            <w:noWrap w:val="0"/>
            <w:tcMar>
              <w:left w:w="28" w:type="dxa"/>
              <w:right w:w="28" w:type="dxa"/>
            </w:tcMar>
            <w:vAlign w:val="center"/>
          </w:tcPr>
          <w:p>
            <w:pPr>
              <w:spacing w:line="240" w:lineRule="exact"/>
              <w:jc w:val="center"/>
              <w:rPr>
                <w:rFonts w:hint="default" w:eastAsia="宋体"/>
                <w:sz w:val="21"/>
                <w:szCs w:val="21"/>
                <w:lang w:val="en-US" w:eastAsia="zh-CN"/>
              </w:rPr>
            </w:pPr>
            <w:r>
              <w:rPr>
                <w:rFonts w:hint="eastAsia"/>
                <w:sz w:val="21"/>
                <w:szCs w:val="21"/>
                <w:lang w:val="en-US" w:eastAsia="zh-CN"/>
              </w:rPr>
              <w:t>达标情况</w:t>
            </w:r>
          </w:p>
        </w:tc>
        <w:tc>
          <w:tcPr>
            <w:tcW w:w="3461" w:type="pct"/>
            <w:noWrap w:val="0"/>
            <w:tcMar>
              <w:left w:w="28" w:type="dxa"/>
              <w:right w:w="28" w:type="dxa"/>
            </w:tcMar>
            <w:vAlign w:val="center"/>
          </w:tcPr>
          <w:p>
            <w:pPr>
              <w:spacing w:line="240" w:lineRule="exact"/>
              <w:jc w:val="center"/>
              <w:rPr>
                <w:rFonts w:hint="default"/>
                <w:sz w:val="20"/>
                <w:szCs w:val="20"/>
                <w:lang w:val="en-US" w:eastAsia="zh-CN"/>
              </w:rPr>
            </w:pPr>
            <w:r>
              <w:rPr>
                <w:rFonts w:hint="eastAsia"/>
                <w:sz w:val="20"/>
                <w:szCs w:val="20"/>
                <w:lang w:val="en-US" w:eastAsia="zh-CN"/>
              </w:rPr>
              <w:t>超标350倍</w:t>
            </w:r>
          </w:p>
        </w:tc>
      </w:tr>
    </w:tbl>
    <w:p>
      <w:pPr>
        <w:ind w:firstLine="480" w:firstLineChars="200"/>
        <w:rPr>
          <w:rFonts w:hint="eastAsia"/>
          <w:lang w:val="en-US" w:eastAsia="zh-CN"/>
        </w:rPr>
      </w:pPr>
      <w:r>
        <w:rPr>
          <w:rFonts w:hint="eastAsia"/>
          <w:lang w:val="en-US" w:eastAsia="zh-CN"/>
        </w:rPr>
        <w:t>如表5-2可知，锰铵溶液储罐发生破碎事件将会导致花垣河中锰浓度超过标准限值。</w:t>
      </w:r>
    </w:p>
    <w:p>
      <w:pPr>
        <w:ind w:firstLine="480" w:firstLineChars="200"/>
        <w:rPr>
          <w:rFonts w:hint="default"/>
          <w:lang w:val="en-US" w:eastAsia="zh-CN"/>
        </w:rPr>
      </w:pPr>
      <w:r>
        <w:rPr>
          <w:rFonts w:hint="eastAsia"/>
          <w:lang w:val="en-US" w:eastAsia="zh-CN"/>
        </w:rPr>
        <w:t>（2）废矿物油</w:t>
      </w:r>
    </w:p>
    <w:p>
      <w:pPr>
        <w:ind w:firstLine="480" w:firstLineChars="200"/>
        <w:rPr>
          <w:rFonts w:hint="default"/>
          <w:lang w:val="en-US" w:eastAsia="zh-CN"/>
        </w:rPr>
      </w:pPr>
      <w:r>
        <w:rPr>
          <w:rFonts w:hint="default"/>
          <w:lang w:val="en-US" w:eastAsia="zh-CN"/>
        </w:rPr>
        <w:t>本项目危险废物暂存库内堆存大量危险废物，若雨水进入会产生淋浸液污染地表水环境，建设方应在危废库周围修截排水措施，对周围产生的雨水进行截流疏导。本项目仓库内储存危险物质原料，包装规模及储量较小，若包装发生破损泄漏量一般较小，通过设置托盘、在仓库四周设置截排水沟等措施，可以将泄漏物料的影响范围控制在厂房以内。通过采取上述措施，可以避免污染事故发生，减小对周边地表水环境的风险影响。</w:t>
      </w:r>
    </w:p>
    <w:p>
      <w:pPr>
        <w:pStyle w:val="4"/>
        <w:bidi w:val="0"/>
        <w:rPr>
          <w:rFonts w:hint="eastAsia"/>
          <w:lang w:val="en-US" w:eastAsia="zh-CN"/>
        </w:rPr>
      </w:pPr>
      <w:bookmarkStart w:id="200" w:name="_Toc16882"/>
      <w:bookmarkStart w:id="201" w:name="_Toc26504"/>
      <w:r>
        <w:rPr>
          <w:rFonts w:hint="eastAsia"/>
          <w:lang w:val="en-US" w:eastAsia="zh-CN"/>
        </w:rPr>
        <w:t>5.3 地下水环境风险预测</w:t>
      </w:r>
      <w:bookmarkEnd w:id="200"/>
      <w:bookmarkEnd w:id="201"/>
    </w:p>
    <w:p>
      <w:pPr>
        <w:pStyle w:val="19"/>
        <w:bidi w:val="0"/>
        <w:rPr>
          <w:rFonts w:hint="default"/>
          <w:lang w:val="en-US" w:eastAsia="zh-CN"/>
        </w:rPr>
      </w:pPr>
      <w:r>
        <w:rPr>
          <w:rFonts w:hint="default"/>
          <w:lang w:val="en-US" w:eastAsia="zh-CN"/>
        </w:rPr>
        <w:t>本项目</w:t>
      </w:r>
      <w:r>
        <w:rPr>
          <w:rFonts w:hint="eastAsia"/>
          <w:lang w:val="en-US" w:eastAsia="zh-CN"/>
        </w:rPr>
        <w:t>厂区内</w:t>
      </w:r>
      <w:r>
        <w:rPr>
          <w:rFonts w:hint="default"/>
          <w:lang w:val="en-US" w:eastAsia="zh-CN"/>
        </w:rPr>
        <w:t>除了绿化用地以外，其它全部都是混凝土路面，基本没有直接裸露的土壤存在</w:t>
      </w:r>
      <w:r>
        <w:rPr>
          <w:rFonts w:hint="eastAsia"/>
          <w:lang w:val="en-US" w:eastAsia="zh-CN"/>
        </w:rPr>
        <w:t>。</w:t>
      </w:r>
      <w:r>
        <w:rPr>
          <w:rFonts w:hint="default"/>
          <w:lang w:val="en-US" w:eastAsia="zh-CN"/>
        </w:rPr>
        <w:t>本工程</w:t>
      </w:r>
      <w:r>
        <w:rPr>
          <w:rFonts w:hint="eastAsia"/>
          <w:lang w:val="en-US" w:eastAsia="zh-CN"/>
        </w:rPr>
        <w:t>锰铵溶液储罐发生泄漏会被围堰所阻拦，围堰连通事故应急池能够储存泄漏的溶液，不会流失溶液到外界。围堰与事故应急池做好防腐防渗漏的措施，</w:t>
      </w:r>
      <w:r>
        <w:rPr>
          <w:rFonts w:hint="default"/>
          <w:lang w:val="en-US" w:eastAsia="zh-CN"/>
        </w:rPr>
        <w:t>因此</w:t>
      </w:r>
      <w:r>
        <w:rPr>
          <w:rFonts w:hint="eastAsia"/>
          <w:lang w:val="en-US" w:eastAsia="zh-CN"/>
        </w:rPr>
        <w:t>本项目</w:t>
      </w:r>
      <w:r>
        <w:rPr>
          <w:rFonts w:hint="default"/>
          <w:lang w:val="en-US" w:eastAsia="zh-CN"/>
        </w:rPr>
        <w:t>对厂界内的土壤与地下水影响有限，事故后及时控制基本不会对厂界内的土壤与地下水造成严重污染。</w:t>
      </w:r>
    </w:p>
    <w:p>
      <w:pPr>
        <w:pStyle w:val="19"/>
        <w:bidi w:val="0"/>
        <w:rPr>
          <w:rFonts w:hint="default"/>
          <w:lang w:val="en-US" w:eastAsia="zh-CN"/>
        </w:rPr>
      </w:pPr>
      <w:r>
        <w:rPr>
          <w:rFonts w:hint="eastAsia"/>
          <w:lang w:val="en-US" w:eastAsia="zh-CN"/>
        </w:rPr>
        <w:t>综上所述</w:t>
      </w:r>
      <w:r>
        <w:rPr>
          <w:rFonts w:hint="default"/>
          <w:lang w:val="en-US" w:eastAsia="zh-CN"/>
        </w:rPr>
        <w:t>，</w:t>
      </w:r>
      <w:r>
        <w:rPr>
          <w:rFonts w:hint="eastAsia"/>
          <w:lang w:val="en-US" w:eastAsia="zh-CN"/>
        </w:rPr>
        <w:t>项目对</w:t>
      </w:r>
      <w:r>
        <w:rPr>
          <w:rFonts w:hint="default"/>
          <w:lang w:val="en-US" w:eastAsia="zh-CN"/>
        </w:rPr>
        <w:t>土壤与地下水都不会造成明显的影响。</w:t>
      </w:r>
    </w:p>
    <w:p>
      <w:pPr>
        <w:rPr>
          <w:rFonts w:hint="eastAsia"/>
          <w:lang w:val="en-US" w:eastAsia="zh-CN"/>
        </w:rPr>
      </w:pPr>
      <w:r>
        <w:rPr>
          <w:rFonts w:hint="eastAsia"/>
          <w:lang w:val="en-US" w:eastAsia="zh-CN"/>
        </w:rPr>
        <w:br w:type="page"/>
      </w:r>
    </w:p>
    <w:p>
      <w:pPr>
        <w:pStyle w:val="3"/>
        <w:bidi w:val="0"/>
        <w:jc w:val="center"/>
        <w:rPr>
          <w:rFonts w:hint="default"/>
          <w:lang w:val="en-US" w:eastAsia="zh-CN"/>
        </w:rPr>
      </w:pPr>
      <w:bookmarkStart w:id="202" w:name="_Toc5644"/>
      <w:bookmarkStart w:id="203" w:name="_Toc15093"/>
      <w:r>
        <w:rPr>
          <w:rFonts w:hint="eastAsia"/>
          <w:lang w:val="en-US" w:eastAsia="zh-CN"/>
        </w:rPr>
        <w:t>6 风险防范措施</w:t>
      </w:r>
      <w:bookmarkEnd w:id="202"/>
      <w:bookmarkEnd w:id="203"/>
    </w:p>
    <w:p>
      <w:pPr>
        <w:pStyle w:val="4"/>
        <w:bidi w:val="0"/>
      </w:pPr>
      <w:bookmarkStart w:id="204" w:name="_Toc25061"/>
      <w:bookmarkStart w:id="205" w:name="_Toc20435"/>
      <w:r>
        <w:rPr>
          <w:rFonts w:hint="eastAsia"/>
          <w:lang w:val="en-US" w:eastAsia="zh-CN"/>
        </w:rPr>
        <w:t>6.</w:t>
      </w:r>
      <w:r>
        <w:t>1</w:t>
      </w:r>
      <w:r>
        <w:rPr>
          <w:rFonts w:hint="eastAsia"/>
          <w:lang w:val="en-US" w:eastAsia="zh-CN"/>
        </w:rPr>
        <w:t xml:space="preserve"> </w:t>
      </w:r>
      <w:r>
        <w:t>总平面布置风险防范措施</w:t>
      </w:r>
      <w:bookmarkEnd w:id="204"/>
      <w:bookmarkEnd w:id="205"/>
    </w:p>
    <w:p>
      <w:pPr>
        <w:pStyle w:val="19"/>
        <w:bidi w:val="0"/>
      </w:pPr>
      <w:r>
        <w:t>厂区总平面布置及各装置区内平面布置在满足防火、防爆等安全规范的前提下，工艺装置尽量采取联合布置的方式，装置之间直接进料，以减少中间原料罐的设置。性质和功能相近的设施集中布置。与生产密切相关的辅助生产设施、原料罐区紧邻工艺装置区布置。厂区道路采取环形布置，道路宽度、转弯半径和净空高度满足消防车辆的通行要求。</w:t>
      </w:r>
    </w:p>
    <w:p>
      <w:pPr>
        <w:pStyle w:val="19"/>
        <w:bidi w:val="0"/>
      </w:pPr>
      <w:r>
        <w:t>各装置之间，装置内部的设备之间，储罐之间都应留有相应的安全距离，能保证消防及日常管理的需要。</w:t>
      </w:r>
    </w:p>
    <w:p>
      <w:pPr>
        <w:pStyle w:val="19"/>
        <w:bidi w:val="0"/>
      </w:pPr>
      <w:r>
        <w:t>厂区绿化应充分贯彻因地制宜、有利生产、保障安全、美化环境、节约用地、经济合理的原则，根据厂区的总图布置、生产特点、管网布局、消防安全、环境特征，以及当地的土壤情况、气候条件、植物习性等因素，合理选择抗污、净化、减噪或滞尘</w:t>
      </w:r>
      <w:r>
        <w:rPr>
          <w:rFonts w:hint="eastAsia"/>
          <w:lang w:eastAsia="zh-CN"/>
        </w:rPr>
        <w:t>能力强的</w:t>
      </w:r>
      <w:r>
        <w:t>绿化植物。</w:t>
      </w:r>
    </w:p>
    <w:p>
      <w:pPr>
        <w:pStyle w:val="4"/>
        <w:bidi w:val="0"/>
      </w:pPr>
      <w:bookmarkStart w:id="206" w:name="_Toc22839"/>
      <w:bookmarkStart w:id="207" w:name="_Toc18651"/>
      <w:r>
        <w:rPr>
          <w:rFonts w:hint="eastAsia"/>
          <w:lang w:val="en-US" w:eastAsia="zh-CN"/>
        </w:rPr>
        <w:t>6.</w:t>
      </w:r>
      <w:r>
        <w:t>2</w:t>
      </w:r>
      <w:r>
        <w:rPr>
          <w:rFonts w:hint="eastAsia"/>
          <w:lang w:val="en-US" w:eastAsia="zh-CN"/>
        </w:rPr>
        <w:t xml:space="preserve"> </w:t>
      </w:r>
      <w:r>
        <w:t>工艺及设备技术风险防范措施</w:t>
      </w:r>
      <w:bookmarkEnd w:id="206"/>
      <w:bookmarkEnd w:id="207"/>
    </w:p>
    <w:p>
      <w:pPr>
        <w:pStyle w:val="19"/>
        <w:bidi w:val="0"/>
      </w:pPr>
      <w:r>
        <w:t>本工程各工艺装置均采用成熟可靠的工艺技术和合理的工艺流程，确保安全运行。装置设计考虑必要操作弹性，以适应加工负荷波动需要。采用先进的设备技术提高装置的安全生产水平，使得装置在适应性、可操作性和长周期运转等方面均达到较高水平。</w:t>
      </w:r>
    </w:p>
    <w:p>
      <w:pPr>
        <w:pStyle w:val="19"/>
        <w:bidi w:val="0"/>
        <w:rPr>
          <w:rFonts w:hint="eastAsia" w:eastAsia="宋体"/>
          <w:lang w:eastAsia="zh-CN"/>
        </w:rPr>
      </w:pPr>
      <w:r>
        <w:t>各装置设计采用密闭系统，设计中加强管道、设备密封，防止介质泄漏，使物料在操作条件下置于密闭的设备和管道中，各个连接处均采用可靠的密闭措施</w:t>
      </w:r>
      <w:r>
        <w:rPr>
          <w:rFonts w:hint="eastAsia"/>
          <w:lang w:eastAsia="zh-CN"/>
        </w:rPr>
        <w:t>。</w:t>
      </w:r>
    </w:p>
    <w:p>
      <w:pPr>
        <w:pStyle w:val="19"/>
        <w:bidi w:val="0"/>
      </w:pPr>
      <w:r>
        <w:t>工艺控制系统中具有联锁保护装置，以确保在误操作或非正常生产状况下危险物料始终处于安全控制中。装置设有紧急事故泄压排放系统</w:t>
      </w:r>
    </w:p>
    <w:p>
      <w:pPr>
        <w:pStyle w:val="19"/>
        <w:bidi w:val="0"/>
      </w:pPr>
      <w:r>
        <w:t>根据工艺过程中，工艺介质的性质、温度、压力、流速等因素按要求进行选材。通过来用各种有效的工艺技术和有效的设备防腐技术措施，保证装置长周期安全运行。在选材上考虑防腐措施，根据腐蚀介质、操作温度、</w:t>
      </w:r>
      <w:r>
        <w:rPr>
          <w:rFonts w:hint="eastAsia"/>
          <w:lang w:eastAsia="zh-CN"/>
        </w:rPr>
        <w:t>压力</w:t>
      </w:r>
      <w:r>
        <w:t>和腐蚀情况对各装置中重要部位和设备的用材，按规范选择材料等级，以保证防腐能力，确保设备安全和操作人员安全，保证设备寿命满足长周期运行需要。</w:t>
      </w:r>
    </w:p>
    <w:p>
      <w:pPr>
        <w:pStyle w:val="19"/>
        <w:bidi w:val="0"/>
      </w:pPr>
      <w:r>
        <w:rPr>
          <w:rFonts w:hint="eastAsia"/>
        </w:rPr>
        <w:t>在项目浸出除渣区域设置车间导流沟以及集液池等措施，防止发生风险泄漏</w:t>
      </w:r>
      <w:r>
        <w:rPr>
          <w:rFonts w:hint="eastAsia"/>
          <w:lang w:eastAsia="zh-CN"/>
        </w:rPr>
        <w:t>情况</w:t>
      </w:r>
      <w:r>
        <w:rPr>
          <w:rFonts w:hint="eastAsia"/>
        </w:rPr>
        <w:t>，相关废水外溢影响周边环境。</w:t>
      </w:r>
    </w:p>
    <w:p>
      <w:pPr>
        <w:pStyle w:val="19"/>
        <w:bidi w:val="0"/>
        <w:rPr>
          <w:rFonts w:hint="eastAsia"/>
        </w:rPr>
      </w:pPr>
      <w:r>
        <w:rPr>
          <w:rFonts w:hint="eastAsia"/>
        </w:rPr>
        <w:t>在项目压滤、滤渣暂存、</w:t>
      </w:r>
      <w:r>
        <w:rPr>
          <w:rFonts w:hint="eastAsia"/>
          <w:lang w:val="en-US" w:eastAsia="zh-CN"/>
        </w:rPr>
        <w:t>锰铵储罐</w:t>
      </w:r>
      <w:r>
        <w:rPr>
          <w:rFonts w:hint="eastAsia"/>
        </w:rPr>
        <w:t>等相关可能产生跑冒滴漏、渗滤水的区域，设置车间导流沟以及集液池等措施，防止跑冒滴漏等相关废水溢流影响周边环境。</w:t>
      </w:r>
    </w:p>
    <w:p>
      <w:pPr>
        <w:pStyle w:val="4"/>
        <w:bidi w:val="0"/>
      </w:pPr>
      <w:bookmarkStart w:id="208" w:name="_Toc2966"/>
      <w:bookmarkStart w:id="209" w:name="_Toc17614"/>
      <w:r>
        <w:rPr>
          <w:rFonts w:hint="eastAsia"/>
          <w:lang w:val="en-US" w:eastAsia="zh-CN"/>
        </w:rPr>
        <w:t>6.</w:t>
      </w:r>
      <w:r>
        <w:t>3</w:t>
      </w:r>
      <w:r>
        <w:rPr>
          <w:rFonts w:hint="eastAsia"/>
          <w:lang w:val="en-US" w:eastAsia="zh-CN"/>
        </w:rPr>
        <w:t xml:space="preserve"> </w:t>
      </w:r>
      <w:r>
        <w:t>运输过程中的风险防范措施</w:t>
      </w:r>
      <w:bookmarkEnd w:id="208"/>
      <w:bookmarkEnd w:id="209"/>
    </w:p>
    <w:p>
      <w:pPr>
        <w:pStyle w:val="19"/>
        <w:bidi w:val="0"/>
        <w:rPr>
          <w:rFonts w:hint="eastAsia"/>
          <w:lang w:val="en-US" w:eastAsia="zh-CN"/>
        </w:rPr>
      </w:pPr>
      <w:r>
        <w:rPr>
          <w:rFonts w:hint="eastAsia"/>
          <w:lang w:val="en-US" w:eastAsia="zh-CN"/>
        </w:rPr>
        <w:t>运输过程中要防渗漏、防溢出、防扬散，不得超载。有发生抛锚、撞车、翻车事故的应急措施(包括器材、药剂)。运输工具表面按标准设立危险废(货)物标识。标识的信息包括：主要化学成分或废物名称、数量、物理形态、危险类别、应急措施和补救方法。</w:t>
      </w:r>
    </w:p>
    <w:p>
      <w:pPr>
        <w:pStyle w:val="19"/>
        <w:bidi w:val="0"/>
        <w:rPr>
          <w:rFonts w:hint="eastAsia"/>
          <w:lang w:val="en-US" w:eastAsia="zh-CN"/>
        </w:rPr>
      </w:pPr>
      <w:r>
        <w:rPr>
          <w:rFonts w:hint="eastAsia"/>
          <w:lang w:val="en-US" w:eastAsia="zh-CN"/>
        </w:rPr>
        <w:t>在运输危险废物过程中具有一定的危险性，因此在运输过程中应小心谨慎，以确保运输安全。主要运输管理措施如下：</w:t>
      </w:r>
    </w:p>
    <w:p>
      <w:pPr>
        <w:pStyle w:val="19"/>
        <w:bidi w:val="0"/>
        <w:rPr>
          <w:rFonts w:hint="eastAsia"/>
          <w:lang w:val="en-US" w:eastAsia="zh-CN"/>
        </w:rPr>
      </w:pPr>
      <w:r>
        <w:rPr>
          <w:rFonts w:hint="eastAsia"/>
          <w:lang w:val="en-US" w:eastAsia="zh-CN"/>
        </w:rPr>
        <w:t>1、合理规划运输时间，避免在车流和人流高峰时间运输。</w:t>
      </w:r>
    </w:p>
    <w:p>
      <w:pPr>
        <w:pStyle w:val="19"/>
        <w:bidi w:val="0"/>
        <w:rPr>
          <w:rFonts w:hint="eastAsia"/>
          <w:lang w:val="en-US" w:eastAsia="zh-CN"/>
        </w:rPr>
      </w:pPr>
      <w:r>
        <w:rPr>
          <w:rFonts w:hint="eastAsia"/>
          <w:lang w:val="en-US" w:eastAsia="zh-CN"/>
        </w:rPr>
        <w:t>2、特殊物料的装运应做到定车、定人。</w:t>
      </w:r>
    </w:p>
    <w:p>
      <w:pPr>
        <w:pStyle w:val="19"/>
        <w:bidi w:val="0"/>
        <w:rPr>
          <w:rFonts w:hint="eastAsia"/>
          <w:lang w:val="en-US" w:eastAsia="zh-CN"/>
        </w:rPr>
      </w:pPr>
      <w:r>
        <w:rPr>
          <w:rFonts w:hint="eastAsia"/>
          <w:lang w:val="en-US" w:eastAsia="zh-CN"/>
        </w:rPr>
        <w:t>3、各运输车辆的明显位置应有规定的废物标志。</w:t>
      </w:r>
    </w:p>
    <w:p>
      <w:pPr>
        <w:pStyle w:val="19"/>
        <w:bidi w:val="0"/>
        <w:rPr>
          <w:rFonts w:hint="eastAsia"/>
          <w:lang w:val="en-US" w:eastAsia="zh-CN"/>
        </w:rPr>
      </w:pPr>
      <w:r>
        <w:rPr>
          <w:rFonts w:hint="eastAsia"/>
          <w:lang w:val="en-US" w:eastAsia="zh-CN"/>
        </w:rPr>
        <w:t>4、运输过程中发生意外，在采取紧急处理的同时，必须迅速报告公安机关和环保等有关部门，必要时疏散群众，防止事态进一步扩大，并积极协助公安交通和消防人员抢救伤者和物资，使损失降低到最低程度。</w:t>
      </w:r>
    </w:p>
    <w:p>
      <w:pPr>
        <w:pStyle w:val="19"/>
        <w:bidi w:val="0"/>
        <w:rPr>
          <w:rFonts w:hint="eastAsia"/>
          <w:lang w:val="en-US" w:eastAsia="zh-CN"/>
        </w:rPr>
      </w:pPr>
      <w:r>
        <w:rPr>
          <w:rFonts w:hint="eastAsia"/>
          <w:lang w:val="en-US" w:eastAsia="zh-CN"/>
        </w:rPr>
        <w:t>5、应对各运输车辆定期维护和检修，防患于未然，保持车辆在良好的工作状态。</w:t>
      </w:r>
    </w:p>
    <w:p>
      <w:pPr>
        <w:pStyle w:val="4"/>
        <w:bidi w:val="0"/>
      </w:pPr>
      <w:bookmarkStart w:id="210" w:name="_Toc31675"/>
      <w:bookmarkStart w:id="211" w:name="_Toc9974"/>
      <w:r>
        <w:rPr>
          <w:rFonts w:hint="eastAsia"/>
          <w:lang w:val="en-US" w:eastAsia="zh-CN"/>
        </w:rPr>
        <w:t>6</w:t>
      </w:r>
      <w:r>
        <w:t>.4</w:t>
      </w:r>
      <w:r>
        <w:rPr>
          <w:rFonts w:hint="eastAsia"/>
          <w:lang w:val="en-US" w:eastAsia="zh-CN"/>
        </w:rPr>
        <w:t xml:space="preserve"> </w:t>
      </w:r>
      <w:r>
        <w:t>贮存过程中的风险防范措施</w:t>
      </w:r>
      <w:bookmarkEnd w:id="210"/>
      <w:bookmarkEnd w:id="211"/>
    </w:p>
    <w:p>
      <w:pPr>
        <w:pStyle w:val="19"/>
        <w:bidi w:val="0"/>
      </w:pPr>
      <w:r>
        <w:t>储罐地基与基础应符合相关设计规范的规定。建议委托有资质的单位对装置所在地的地质条件进行勘察。罐区建(构)筑物应根据具体的荷载情况进行加固处理，以满足荷载要求。</w:t>
      </w:r>
    </w:p>
    <w:p>
      <w:pPr>
        <w:pStyle w:val="19"/>
        <w:bidi w:val="0"/>
      </w:pPr>
      <w:r>
        <w:t>(1)储罐及其它贮存建(构)筑物的设计应符合《建筑设计防火规范》、《建筑抗震设计规范》以及《建筑物防雷设计规范》等标准、规范的要求。</w:t>
      </w:r>
    </w:p>
    <w:p>
      <w:pPr>
        <w:pStyle w:val="19"/>
        <w:bidi w:val="0"/>
      </w:pPr>
      <w:r>
        <w:t>(2)消防设计应符合《建筑设计防火规范》、《储罐区防火堤设计规范)》等标准、规范的要求。</w:t>
      </w:r>
    </w:p>
    <w:p>
      <w:pPr>
        <w:pStyle w:val="19"/>
        <w:bidi w:val="0"/>
      </w:pPr>
      <w:r>
        <w:t>(3)根据《爆炸和火灾危险环境电力装置设计规范》的有关规定，将本项目存在的危险区域按爆炸性物质出现的频率、持续时间和危险程度划分成不同危险等级的区域，并对主要设备、设施等划出爆炸危险区域等级图。</w:t>
      </w:r>
    </w:p>
    <w:p>
      <w:pPr>
        <w:pStyle w:val="19"/>
        <w:bidi w:val="0"/>
      </w:pPr>
      <w:r>
        <w:t>(4)建设单位应按有关规定，委托有相关资质的单位对该建设装置进行勘察、设计、施工和监理。同时，建设单位按有关规定，编制安全预评价及安全评价，做好安全防范措施，减小因安全事故导致次生环境污染事件。</w:t>
      </w:r>
    </w:p>
    <w:p>
      <w:pPr>
        <w:pStyle w:val="4"/>
        <w:bidi w:val="0"/>
        <w:rPr>
          <w:rFonts w:hint="eastAsia"/>
          <w:lang w:val="en-US" w:eastAsia="zh-CN"/>
        </w:rPr>
      </w:pPr>
      <w:bookmarkStart w:id="212" w:name="_Toc25787"/>
      <w:bookmarkStart w:id="213" w:name="_Toc7465"/>
      <w:r>
        <w:rPr>
          <w:rFonts w:hint="eastAsia"/>
          <w:lang w:val="en-US" w:eastAsia="zh-CN"/>
        </w:rPr>
        <w:t>6.5 生产过程中的风险防范措施</w:t>
      </w:r>
      <w:bookmarkEnd w:id="212"/>
      <w:bookmarkEnd w:id="213"/>
    </w:p>
    <w:p>
      <w:pPr>
        <w:ind w:firstLine="480" w:firstLineChars="200"/>
        <w:rPr>
          <w:rFonts w:hint="eastAsia"/>
          <w:lang w:val="en-US" w:eastAsia="zh-CN"/>
        </w:rPr>
      </w:pPr>
      <w:r>
        <w:rPr>
          <w:rFonts w:hint="eastAsia"/>
          <w:lang w:val="en-US" w:eastAsia="zh-CN"/>
        </w:rPr>
        <w:t>1、生产工艺安全措施</w:t>
      </w:r>
    </w:p>
    <w:p>
      <w:pPr>
        <w:pStyle w:val="19"/>
        <w:bidi w:val="0"/>
        <w:rPr>
          <w:rFonts w:hint="eastAsia"/>
          <w:lang w:val="en-US" w:eastAsia="zh-CN"/>
        </w:rPr>
      </w:pPr>
      <w:r>
        <w:rPr>
          <w:rFonts w:hint="eastAsia"/>
          <w:lang w:val="en-US" w:eastAsia="zh-CN"/>
        </w:rPr>
        <w:t>工程严格按照有关规范采取必要的安全措施，抓好本质安全化。在生产中要严格执行安全技术规程和生产操作规程，并认真做好生产运行记录。在工艺条件方面，应主要检查反应介质、操作压力、温度、流量、液位等指标是否在操作规程规定的范围之内。</w:t>
      </w:r>
    </w:p>
    <w:p>
      <w:pPr>
        <w:ind w:firstLine="480" w:firstLineChars="200"/>
        <w:rPr>
          <w:rFonts w:hint="eastAsia"/>
          <w:lang w:val="en-US" w:eastAsia="zh-CN"/>
        </w:rPr>
      </w:pPr>
      <w:r>
        <w:rPr>
          <w:rFonts w:hint="eastAsia"/>
          <w:lang w:val="en-US" w:eastAsia="zh-CN"/>
        </w:rPr>
        <w:t>2、生产设备风险防范措施</w:t>
      </w:r>
    </w:p>
    <w:p>
      <w:pPr>
        <w:pStyle w:val="19"/>
        <w:bidi w:val="0"/>
        <w:rPr>
          <w:rFonts w:hint="eastAsia"/>
          <w:lang w:val="en-US" w:eastAsia="zh-CN"/>
        </w:rPr>
      </w:pPr>
      <w:r>
        <w:rPr>
          <w:rFonts w:hint="eastAsia"/>
          <w:lang w:val="en-US" w:eastAsia="zh-CN"/>
        </w:rPr>
        <w:t>设备安全措施是安全生产的重要环节，许多生产事故都是由于设备的不完善、故障、隐患等不安全因素所造成，因此必须对设备的安全性状给予高度重视。标准设备要选择符合工艺要求、质量好的设备、管道、阀门；非标准设备要选择有资质的设备制造企业，并进行必要的监造，确保质量。生产和使用过程中，要对可能的泄漏点进行经常性的检查、维护和控制，加强对设备及管道的巡视和维修，防止跑、冒、滴、漏、串等现象发生，防患于未然。</w:t>
      </w:r>
    </w:p>
    <w:p>
      <w:pPr>
        <w:pStyle w:val="4"/>
        <w:bidi w:val="0"/>
        <w:rPr>
          <w:rFonts w:hint="eastAsia"/>
          <w:lang w:val="en-US" w:eastAsia="zh-CN"/>
        </w:rPr>
      </w:pPr>
      <w:bookmarkStart w:id="214" w:name="_Toc571"/>
      <w:bookmarkStart w:id="215" w:name="_Toc5664"/>
      <w:r>
        <w:rPr>
          <w:rFonts w:hint="eastAsia"/>
          <w:lang w:val="en-US" w:eastAsia="zh-CN"/>
        </w:rPr>
        <w:t>6.6 事故应急预案</w:t>
      </w:r>
      <w:bookmarkEnd w:id="214"/>
      <w:bookmarkEnd w:id="215"/>
    </w:p>
    <w:p>
      <w:pPr>
        <w:pStyle w:val="19"/>
        <w:bidi w:val="0"/>
        <w:rPr>
          <w:rFonts w:hint="eastAsia"/>
          <w:lang w:val="en-US" w:eastAsia="zh-CN"/>
        </w:rPr>
      </w:pPr>
      <w:r>
        <w:rPr>
          <w:rFonts w:hint="eastAsia"/>
          <w:lang w:val="en-US" w:eastAsia="zh-CN"/>
        </w:rPr>
        <w:t>应急预案是指根据预测危险源、危险目标可能发生事故的类别和危害程度而制定的事故应急救援方案，是针对危险源制定的一项应急反应计划。应急预案应按照《关于印发〈突发环境事件应急预案管理暂行办法〉的通知》(环发〔2010〕113号)（已经废止，由2015年4号文代替）、《关于印发&lt;企业事业单位突发环境事件应急预案备案管理办法(试行)&gt;的通知》(环发[2015]4号)和《关于进一步加强环境影响评价管理防范环境风险的通知》(环发[2012]77号)进行编制，具体应急预案需要明确和制定的内容见表：</w:t>
      </w:r>
    </w:p>
    <w:p>
      <w:pPr>
        <w:rPr>
          <w:rFonts w:hint="eastAsia"/>
          <w:lang w:val="en-US" w:eastAsia="zh-CN"/>
        </w:rPr>
      </w:pPr>
    </w:p>
    <w:tbl>
      <w:tblPr>
        <w:tblStyle w:val="15"/>
        <w:tblW w:w="5000"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740"/>
        <w:gridCol w:w="1566"/>
        <w:gridCol w:w="7040"/>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pPr>
            <w:r>
              <w:t>序号</w:t>
            </w:r>
          </w:p>
        </w:tc>
        <w:tc>
          <w:tcPr>
            <w:tcW w:w="838" w:type="pct"/>
            <w:noWrap w:val="0"/>
            <w:vAlign w:val="center"/>
          </w:tcPr>
          <w:p>
            <w:pPr>
              <w:pStyle w:val="18"/>
              <w:bidi w:val="0"/>
              <w:jc w:val="center"/>
            </w:pPr>
            <w:r>
              <w:t>项目</w:t>
            </w:r>
          </w:p>
        </w:tc>
        <w:tc>
          <w:tcPr>
            <w:tcW w:w="3767" w:type="pct"/>
            <w:noWrap w:val="0"/>
            <w:vAlign w:val="center"/>
          </w:tcPr>
          <w:p>
            <w:pPr>
              <w:pStyle w:val="18"/>
              <w:bidi w:val="0"/>
              <w:jc w:val="center"/>
            </w:pPr>
            <w:r>
              <w:t>重点内容及要求</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pPr>
            <w:r>
              <w:t>1</w:t>
            </w:r>
          </w:p>
        </w:tc>
        <w:tc>
          <w:tcPr>
            <w:tcW w:w="838" w:type="pct"/>
            <w:noWrap w:val="0"/>
            <w:vAlign w:val="center"/>
          </w:tcPr>
          <w:p>
            <w:pPr>
              <w:pStyle w:val="18"/>
              <w:bidi w:val="0"/>
              <w:jc w:val="center"/>
            </w:pPr>
            <w:r>
              <w:t>企业基本情况</w:t>
            </w:r>
          </w:p>
        </w:tc>
        <w:tc>
          <w:tcPr>
            <w:tcW w:w="3767" w:type="pct"/>
            <w:noWrap w:val="0"/>
            <w:vAlign w:val="center"/>
          </w:tcPr>
          <w:p>
            <w:pPr>
              <w:pStyle w:val="18"/>
              <w:bidi w:val="0"/>
              <w:jc w:val="both"/>
            </w:pPr>
            <w:r>
              <w:t>地理位置，企业人数，上级部门，产品与原辅材料规模，周边区域单位和社区情况，重要基础设施、道路等情况，危险化学品运输单位、车辆及主要的运输产品、运量、运地、行车路线等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pPr>
            <w:r>
              <w:t>2</w:t>
            </w:r>
          </w:p>
        </w:tc>
        <w:tc>
          <w:tcPr>
            <w:tcW w:w="838" w:type="pct"/>
            <w:noWrap w:val="0"/>
            <w:vAlign w:val="center"/>
          </w:tcPr>
          <w:p>
            <w:pPr>
              <w:pStyle w:val="18"/>
              <w:bidi w:val="0"/>
              <w:jc w:val="center"/>
            </w:pPr>
            <w:r>
              <w:t>确定危险目标及其危险对周围的影响</w:t>
            </w:r>
          </w:p>
        </w:tc>
        <w:tc>
          <w:tcPr>
            <w:tcW w:w="3767" w:type="pct"/>
            <w:noWrap w:val="0"/>
            <w:vAlign w:val="center"/>
          </w:tcPr>
          <w:p>
            <w:pPr>
              <w:pStyle w:val="18"/>
              <w:bidi w:val="0"/>
              <w:jc w:val="both"/>
            </w:pPr>
            <w:r>
              <w:t>(1)根据事故类别、综合分析的危害程度，确定危险目标</w:t>
            </w:r>
          </w:p>
          <w:p>
            <w:pPr>
              <w:pStyle w:val="18"/>
              <w:bidi w:val="0"/>
              <w:jc w:val="both"/>
            </w:pPr>
            <w:r>
              <w:t>(2)根据确定的危险目标，明确其危险特性及对周边的影响</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3</w:t>
            </w:r>
          </w:p>
        </w:tc>
        <w:tc>
          <w:tcPr>
            <w:tcW w:w="838" w:type="pct"/>
            <w:noWrap w:val="0"/>
            <w:vAlign w:val="center"/>
          </w:tcPr>
          <w:p>
            <w:pPr>
              <w:pStyle w:val="18"/>
              <w:bidi w:val="0"/>
              <w:jc w:val="center"/>
              <w:rPr>
                <w:lang w:eastAsia="en-US"/>
              </w:rPr>
            </w:pPr>
            <w:r>
              <w:rPr>
                <w:lang w:eastAsia="en-US"/>
              </w:rPr>
              <w:t>设备、器材</w:t>
            </w:r>
          </w:p>
        </w:tc>
        <w:tc>
          <w:tcPr>
            <w:tcW w:w="3767" w:type="pct"/>
            <w:noWrap w:val="0"/>
            <w:vAlign w:val="center"/>
          </w:tcPr>
          <w:p>
            <w:pPr>
              <w:pStyle w:val="18"/>
              <w:bidi w:val="0"/>
              <w:jc w:val="both"/>
            </w:pPr>
            <w:r>
              <w:t>危险目标周围可利用的安全、消防、个体防护的设备、器材及其分布</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4</w:t>
            </w:r>
          </w:p>
        </w:tc>
        <w:tc>
          <w:tcPr>
            <w:tcW w:w="838" w:type="pct"/>
            <w:noWrap w:val="0"/>
            <w:vAlign w:val="center"/>
          </w:tcPr>
          <w:p>
            <w:pPr>
              <w:pStyle w:val="18"/>
              <w:bidi w:val="0"/>
              <w:jc w:val="center"/>
            </w:pPr>
            <w:r>
              <w:t>组织机构、组成人员和职责划分</w:t>
            </w:r>
          </w:p>
        </w:tc>
        <w:tc>
          <w:tcPr>
            <w:tcW w:w="3767" w:type="pct"/>
            <w:noWrap w:val="0"/>
            <w:vAlign w:val="center"/>
          </w:tcPr>
          <w:p>
            <w:pPr>
              <w:pStyle w:val="18"/>
              <w:bidi w:val="0"/>
              <w:jc w:val="both"/>
            </w:pPr>
            <w:r>
              <w:t>(1)依据危险品事故危害程度的级别，设置分级应急救援组织机构。</w:t>
            </w:r>
          </w:p>
          <w:p>
            <w:pPr>
              <w:pStyle w:val="18"/>
              <w:bidi w:val="0"/>
              <w:jc w:val="both"/>
            </w:pPr>
            <w:r>
              <w:t>(2)组成人员和主要职责，确定负责人、资源配置、应急队伍的调动</w:t>
            </w:r>
          </w:p>
          <w:p>
            <w:pPr>
              <w:pStyle w:val="18"/>
              <w:bidi w:val="0"/>
              <w:jc w:val="both"/>
            </w:pPr>
            <w:r>
              <w:t>(3)组织制订危险化学品事故应急救援预案</w:t>
            </w:r>
          </w:p>
          <w:p>
            <w:pPr>
              <w:pStyle w:val="18"/>
              <w:bidi w:val="0"/>
              <w:jc w:val="both"/>
            </w:pPr>
            <w:r>
              <w:t>(4)确定事故现场协调方案，预案启动与终止的批准，事故信息的上报，保护现场及相关数据采集，接受指令和调动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5</w:t>
            </w:r>
          </w:p>
        </w:tc>
        <w:tc>
          <w:tcPr>
            <w:tcW w:w="838" w:type="pct"/>
            <w:noWrap w:val="0"/>
            <w:vAlign w:val="center"/>
          </w:tcPr>
          <w:p>
            <w:pPr>
              <w:pStyle w:val="18"/>
              <w:bidi w:val="0"/>
              <w:jc w:val="center"/>
              <w:rPr>
                <w:lang w:eastAsia="en-US"/>
              </w:rPr>
            </w:pPr>
            <w:r>
              <w:rPr>
                <w:lang w:eastAsia="en-US"/>
              </w:rPr>
              <w:t>报警、通讯联络方式</w:t>
            </w:r>
          </w:p>
        </w:tc>
        <w:tc>
          <w:tcPr>
            <w:tcW w:w="3767" w:type="pct"/>
            <w:noWrap w:val="0"/>
            <w:vAlign w:val="center"/>
          </w:tcPr>
          <w:p>
            <w:pPr>
              <w:pStyle w:val="18"/>
              <w:bidi w:val="0"/>
              <w:jc w:val="both"/>
            </w:pPr>
            <w:r>
              <w:t>设置24小时有效报警装置，确定内外部通讯联络手段，包括危险化学品驾驶员、押运员报警及与单位、生产厂、托运方联系的方式方法</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6</w:t>
            </w:r>
          </w:p>
        </w:tc>
        <w:tc>
          <w:tcPr>
            <w:tcW w:w="838" w:type="pct"/>
            <w:noWrap w:val="0"/>
            <w:vAlign w:val="center"/>
          </w:tcPr>
          <w:p>
            <w:pPr>
              <w:pStyle w:val="18"/>
              <w:bidi w:val="0"/>
              <w:jc w:val="center"/>
              <w:rPr>
                <w:lang w:eastAsia="en-US"/>
              </w:rPr>
            </w:pPr>
            <w:r>
              <w:rPr>
                <w:lang w:eastAsia="en-US"/>
              </w:rPr>
              <w:t>处理措施</w:t>
            </w:r>
          </w:p>
        </w:tc>
        <w:tc>
          <w:tcPr>
            <w:tcW w:w="3767" w:type="pct"/>
            <w:noWrap w:val="0"/>
            <w:vAlign w:val="center"/>
          </w:tcPr>
          <w:p>
            <w:pPr>
              <w:pStyle w:val="18"/>
              <w:bidi w:val="0"/>
              <w:jc w:val="both"/>
            </w:pPr>
            <w:r>
              <w:t>(1)根据工艺、操作规程技术要求，确定采取紧急处理措施</w:t>
            </w:r>
          </w:p>
          <w:p>
            <w:pPr>
              <w:pStyle w:val="18"/>
              <w:bidi w:val="0"/>
              <w:jc w:val="both"/>
            </w:pPr>
            <w:r>
              <w:t>(2)根据安全运输、本单位、相关厂家、托运方信息采取的应急措施</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7</w:t>
            </w:r>
          </w:p>
        </w:tc>
        <w:tc>
          <w:tcPr>
            <w:tcW w:w="838" w:type="pct"/>
            <w:noWrap w:val="0"/>
            <w:vAlign w:val="center"/>
          </w:tcPr>
          <w:p>
            <w:pPr>
              <w:pStyle w:val="18"/>
              <w:bidi w:val="0"/>
              <w:jc w:val="center"/>
              <w:rPr>
                <w:lang w:eastAsia="en-US"/>
              </w:rPr>
            </w:pPr>
            <w:r>
              <w:rPr>
                <w:lang w:eastAsia="en-US"/>
              </w:rPr>
              <w:t>人员紧急疏散、撤离</w:t>
            </w:r>
          </w:p>
        </w:tc>
        <w:tc>
          <w:tcPr>
            <w:tcW w:w="3767" w:type="pct"/>
            <w:noWrap w:val="0"/>
            <w:vAlign w:val="center"/>
          </w:tcPr>
          <w:p>
            <w:pPr>
              <w:pStyle w:val="18"/>
              <w:bidi w:val="0"/>
              <w:jc w:val="both"/>
            </w:pPr>
            <w:r>
              <w:t>事故现场人员清点与撤离、非事故现场人员紧急疏散、周边区域单位和社区人员疏散的方式方法。抢救人员在撤离前、撤离后的报告</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8</w:t>
            </w:r>
          </w:p>
        </w:tc>
        <w:tc>
          <w:tcPr>
            <w:tcW w:w="838" w:type="pct"/>
            <w:noWrap w:val="0"/>
            <w:vAlign w:val="center"/>
          </w:tcPr>
          <w:p>
            <w:pPr>
              <w:pStyle w:val="18"/>
              <w:bidi w:val="0"/>
              <w:jc w:val="center"/>
              <w:rPr>
                <w:lang w:eastAsia="en-US"/>
              </w:rPr>
            </w:pPr>
            <w:r>
              <w:rPr>
                <w:lang w:eastAsia="en-US"/>
              </w:rPr>
              <w:t>危险区的隔离</w:t>
            </w:r>
          </w:p>
        </w:tc>
        <w:tc>
          <w:tcPr>
            <w:tcW w:w="3767" w:type="pct"/>
            <w:noWrap w:val="0"/>
            <w:vAlign w:val="center"/>
          </w:tcPr>
          <w:p>
            <w:pPr>
              <w:pStyle w:val="18"/>
              <w:bidi w:val="0"/>
              <w:jc w:val="both"/>
            </w:pPr>
            <w:r>
              <w:t>设定危险区、事故现场隔离区的划定方式方法和事故现场隔离方法，事故现场周边区域的道路隔离或交通疏导办法</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9</w:t>
            </w:r>
          </w:p>
        </w:tc>
        <w:tc>
          <w:tcPr>
            <w:tcW w:w="838" w:type="pct"/>
            <w:noWrap w:val="0"/>
            <w:vAlign w:val="center"/>
          </w:tcPr>
          <w:p>
            <w:pPr>
              <w:pStyle w:val="18"/>
              <w:bidi w:val="0"/>
              <w:jc w:val="center"/>
            </w:pPr>
            <w:r>
              <w:t>监测、抢险、救援 及控制措施</w:t>
            </w:r>
          </w:p>
        </w:tc>
        <w:tc>
          <w:tcPr>
            <w:tcW w:w="3767" w:type="pct"/>
            <w:noWrap w:val="0"/>
            <w:vAlign w:val="center"/>
          </w:tcPr>
          <w:p>
            <w:pPr>
              <w:pStyle w:val="18"/>
              <w:bidi w:val="0"/>
              <w:jc w:val="both"/>
            </w:pPr>
            <w:r>
              <w:t>(1)制定事故快速环境监测方法及监测人员防护监护措施</w:t>
            </w:r>
          </w:p>
          <w:p>
            <w:pPr>
              <w:pStyle w:val="18"/>
              <w:bidi w:val="0"/>
              <w:jc w:val="both"/>
            </w:pPr>
            <w:r>
              <w:t>(2)抢险救援方式方法及人员的防护监护措施</w:t>
            </w:r>
          </w:p>
          <w:p>
            <w:pPr>
              <w:pStyle w:val="18"/>
              <w:bidi w:val="0"/>
              <w:jc w:val="both"/>
            </w:pPr>
            <w:r>
              <w:t>(3)现场实时监测及异常情况下抢险人员的撤离条件和方法</w:t>
            </w:r>
          </w:p>
          <w:p>
            <w:pPr>
              <w:pStyle w:val="18"/>
              <w:bidi w:val="0"/>
              <w:jc w:val="both"/>
            </w:pPr>
            <w:r>
              <w:t>(4)控制事故扩大的措施和事故可能扩大后的应急措施</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10</w:t>
            </w:r>
          </w:p>
        </w:tc>
        <w:tc>
          <w:tcPr>
            <w:tcW w:w="838" w:type="pct"/>
            <w:noWrap w:val="0"/>
            <w:vAlign w:val="center"/>
          </w:tcPr>
          <w:p>
            <w:pPr>
              <w:pStyle w:val="18"/>
              <w:bidi w:val="0"/>
              <w:jc w:val="center"/>
            </w:pPr>
            <w:r>
              <w:t>受伤人员现场救 护、救治及医院救 治</w:t>
            </w:r>
          </w:p>
        </w:tc>
        <w:tc>
          <w:tcPr>
            <w:tcW w:w="3767" w:type="pct"/>
            <w:noWrap w:val="0"/>
            <w:vAlign w:val="center"/>
          </w:tcPr>
          <w:p>
            <w:pPr>
              <w:pStyle w:val="18"/>
              <w:bidi w:val="0"/>
              <w:jc w:val="both"/>
            </w:pPr>
            <w:r>
              <w:t>(1)接触人群检伤分类方案及执行人员；进行分类现场紧急抢救方案；</w:t>
            </w:r>
          </w:p>
          <w:p>
            <w:pPr>
              <w:pStyle w:val="18"/>
              <w:bidi w:val="0"/>
              <w:jc w:val="both"/>
            </w:pPr>
            <w:r>
              <w:t>(2)接触者医学观察方案；转运及转运中的救治方案；患者治疗方案；</w:t>
            </w:r>
          </w:p>
          <w:p>
            <w:pPr>
              <w:pStyle w:val="18"/>
              <w:bidi w:val="0"/>
              <w:jc w:val="both"/>
            </w:pPr>
            <w:r>
              <w:t>(3)入院前和医院救治机构确定及处置方案；</w:t>
            </w:r>
          </w:p>
          <w:p>
            <w:pPr>
              <w:pStyle w:val="18"/>
              <w:bidi w:val="0"/>
              <w:jc w:val="both"/>
            </w:pPr>
            <w:r>
              <w:t>(4)信息、药物、器材的储备</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11</w:t>
            </w:r>
          </w:p>
        </w:tc>
        <w:tc>
          <w:tcPr>
            <w:tcW w:w="838" w:type="pct"/>
            <w:noWrap w:val="0"/>
            <w:vAlign w:val="center"/>
          </w:tcPr>
          <w:p>
            <w:pPr>
              <w:pStyle w:val="18"/>
              <w:bidi w:val="0"/>
              <w:jc w:val="center"/>
              <w:rPr>
                <w:lang w:eastAsia="en-US"/>
              </w:rPr>
            </w:pPr>
            <w:r>
              <w:rPr>
                <w:lang w:eastAsia="en-US"/>
              </w:rPr>
              <w:t>现场保护与现场洗消</w:t>
            </w:r>
          </w:p>
        </w:tc>
        <w:tc>
          <w:tcPr>
            <w:tcW w:w="3767" w:type="pct"/>
            <w:noWrap w:val="0"/>
            <w:vAlign w:val="center"/>
          </w:tcPr>
          <w:p>
            <w:pPr>
              <w:pStyle w:val="18"/>
              <w:bidi w:val="0"/>
              <w:jc w:val="both"/>
            </w:pPr>
            <w:r>
              <w:t>(1)事故现场的保护措施</w:t>
            </w:r>
          </w:p>
          <w:p>
            <w:pPr>
              <w:pStyle w:val="18"/>
              <w:bidi w:val="0"/>
              <w:jc w:val="both"/>
            </w:pPr>
            <w:r>
              <w:t>(2)明确事故现场洗消工作的负责人和专业队伍</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12</w:t>
            </w:r>
          </w:p>
        </w:tc>
        <w:tc>
          <w:tcPr>
            <w:tcW w:w="838" w:type="pct"/>
            <w:noWrap w:val="0"/>
            <w:vAlign w:val="center"/>
          </w:tcPr>
          <w:p>
            <w:pPr>
              <w:pStyle w:val="18"/>
              <w:bidi w:val="0"/>
              <w:jc w:val="center"/>
              <w:rPr>
                <w:lang w:eastAsia="en-US"/>
              </w:rPr>
            </w:pPr>
            <w:r>
              <w:rPr>
                <w:lang w:eastAsia="en-US"/>
              </w:rPr>
              <w:t>应急救援保障</w:t>
            </w:r>
          </w:p>
        </w:tc>
        <w:tc>
          <w:tcPr>
            <w:tcW w:w="3767" w:type="pct"/>
            <w:noWrap w:val="0"/>
            <w:vAlign w:val="center"/>
          </w:tcPr>
          <w:p>
            <w:pPr>
              <w:pStyle w:val="18"/>
              <w:bidi w:val="0"/>
              <w:jc w:val="both"/>
            </w:pPr>
            <w:r>
              <w:t>(1)内部保障包括(a)确定应急队伍；(b)消防设施配置图、工艺流程图、现场平面布置图和周围地区图、气象资料、危险品安全技术说明书、互救信息等存放地点、保管人；(c)应急通信系统；(d)应急电源、照明；(e)应急救援装备、物资、药 品等；(f)危险化学品运输车辆的安全、消防设备、器材及人 员防护装备；(g)保障制度目录</w:t>
            </w:r>
          </w:p>
          <w:p>
            <w:pPr>
              <w:pStyle w:val="18"/>
              <w:bidi w:val="0"/>
              <w:jc w:val="both"/>
            </w:pPr>
            <w:r>
              <w:t>(2)外部救援包括(a)单位互助的方式；(b)请求政府协调应急救援力量；(c)应急救援信息咨询；(d)专家信息</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13</w:t>
            </w:r>
          </w:p>
        </w:tc>
        <w:tc>
          <w:tcPr>
            <w:tcW w:w="838" w:type="pct"/>
            <w:noWrap w:val="0"/>
            <w:vAlign w:val="center"/>
          </w:tcPr>
          <w:p>
            <w:pPr>
              <w:pStyle w:val="18"/>
              <w:bidi w:val="0"/>
              <w:jc w:val="center"/>
              <w:rPr>
                <w:lang w:eastAsia="en-US"/>
              </w:rPr>
            </w:pPr>
            <w:r>
              <w:rPr>
                <w:lang w:eastAsia="en-US"/>
              </w:rPr>
              <w:t>预案分级响应条件</w:t>
            </w:r>
          </w:p>
        </w:tc>
        <w:tc>
          <w:tcPr>
            <w:tcW w:w="3767" w:type="pct"/>
            <w:noWrap w:val="0"/>
            <w:vAlign w:val="center"/>
          </w:tcPr>
          <w:p>
            <w:pPr>
              <w:pStyle w:val="18"/>
              <w:bidi w:val="0"/>
              <w:jc w:val="both"/>
            </w:pPr>
            <w:r>
              <w:t>依据危险品事故类别、危害程度和现场评估结果，设定预案启动条件</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14</w:t>
            </w:r>
          </w:p>
        </w:tc>
        <w:tc>
          <w:tcPr>
            <w:tcW w:w="838" w:type="pct"/>
            <w:noWrap w:val="0"/>
            <w:vAlign w:val="center"/>
          </w:tcPr>
          <w:p>
            <w:pPr>
              <w:pStyle w:val="18"/>
              <w:bidi w:val="0"/>
              <w:jc w:val="center"/>
            </w:pPr>
            <w:r>
              <w:t>事故应急救援终止程序</w:t>
            </w:r>
          </w:p>
        </w:tc>
        <w:tc>
          <w:tcPr>
            <w:tcW w:w="3767" w:type="pct"/>
            <w:noWrap w:val="0"/>
            <w:vAlign w:val="center"/>
          </w:tcPr>
          <w:p>
            <w:pPr>
              <w:pStyle w:val="18"/>
              <w:bidi w:val="0"/>
              <w:jc w:val="both"/>
            </w:pPr>
            <w:r>
              <w:t>(1)确定事故应急救援工作结束</w:t>
            </w:r>
          </w:p>
          <w:p>
            <w:pPr>
              <w:pStyle w:val="18"/>
              <w:bidi w:val="0"/>
              <w:jc w:val="both"/>
            </w:pPr>
            <w:r>
              <w:t>(2)通知本单位相关部门、周边社区及人员事故危险解除</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15</w:t>
            </w:r>
          </w:p>
        </w:tc>
        <w:tc>
          <w:tcPr>
            <w:tcW w:w="838" w:type="pct"/>
            <w:noWrap w:val="0"/>
            <w:vAlign w:val="center"/>
          </w:tcPr>
          <w:p>
            <w:pPr>
              <w:pStyle w:val="18"/>
              <w:bidi w:val="0"/>
              <w:jc w:val="center"/>
              <w:rPr>
                <w:lang w:eastAsia="en-US"/>
              </w:rPr>
            </w:pPr>
            <w:r>
              <w:rPr>
                <w:lang w:eastAsia="en-US"/>
              </w:rPr>
              <w:t>应急培训及演练计划</w:t>
            </w:r>
          </w:p>
        </w:tc>
        <w:tc>
          <w:tcPr>
            <w:tcW w:w="3767" w:type="pct"/>
            <w:noWrap w:val="0"/>
            <w:vAlign w:val="center"/>
          </w:tcPr>
          <w:p>
            <w:pPr>
              <w:pStyle w:val="18"/>
              <w:bidi w:val="0"/>
              <w:jc w:val="both"/>
            </w:pPr>
            <w:r>
              <w:t>依据对从业人员能力评估和周边社区人员素质分析结果，确定培训和演练内容</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396" w:type="pct"/>
            <w:noWrap w:val="0"/>
            <w:vAlign w:val="center"/>
          </w:tcPr>
          <w:p>
            <w:pPr>
              <w:pStyle w:val="18"/>
              <w:bidi w:val="0"/>
              <w:jc w:val="center"/>
              <w:rPr>
                <w:lang w:eastAsia="en-US"/>
              </w:rPr>
            </w:pPr>
            <w:r>
              <w:rPr>
                <w:lang w:eastAsia="en-US"/>
              </w:rPr>
              <w:t>16</w:t>
            </w:r>
          </w:p>
        </w:tc>
        <w:tc>
          <w:tcPr>
            <w:tcW w:w="838" w:type="pct"/>
            <w:noWrap w:val="0"/>
            <w:vAlign w:val="center"/>
          </w:tcPr>
          <w:p>
            <w:pPr>
              <w:pStyle w:val="18"/>
              <w:bidi w:val="0"/>
              <w:jc w:val="center"/>
              <w:rPr>
                <w:lang w:eastAsia="en-US"/>
              </w:rPr>
            </w:pPr>
            <w:r>
              <w:rPr>
                <w:lang w:eastAsia="en-US"/>
              </w:rPr>
              <w:t>附件</w:t>
            </w:r>
          </w:p>
        </w:tc>
        <w:tc>
          <w:tcPr>
            <w:tcW w:w="3767" w:type="pct"/>
            <w:noWrap w:val="0"/>
            <w:vAlign w:val="center"/>
          </w:tcPr>
          <w:p>
            <w:pPr>
              <w:pStyle w:val="18"/>
              <w:bidi w:val="0"/>
              <w:jc w:val="left"/>
            </w:pPr>
            <w:r>
              <w:t>(1)组织机构名单</w:t>
            </w:r>
          </w:p>
          <w:p>
            <w:pPr>
              <w:pStyle w:val="18"/>
              <w:bidi w:val="0"/>
              <w:jc w:val="left"/>
            </w:pPr>
            <w:r>
              <w:t>(2)值班联系、组织应急救援有关人员、危险品生产单位应急咨询服务、外部救援单位、供水和供电单位、周边区域单位和社区、政府有关部门联系电话</w:t>
            </w:r>
          </w:p>
          <w:p>
            <w:pPr>
              <w:pStyle w:val="18"/>
              <w:bidi w:val="0"/>
              <w:jc w:val="left"/>
            </w:pPr>
            <w:r>
              <w:t>(3)单位平面布置图、消防设施配置图、周边区域道路交通示意图和疏散路线、交通管制示意图、周边区域的单位、社区、重要基础设施分布图</w:t>
            </w:r>
          </w:p>
          <w:p>
            <w:pPr>
              <w:pStyle w:val="18"/>
              <w:bidi w:val="0"/>
              <w:jc w:val="left"/>
            </w:pPr>
            <w:r>
              <w:t>(4)标准化格式文本、应急物资储备清单</w:t>
            </w:r>
          </w:p>
        </w:tc>
      </w:tr>
    </w:tbl>
    <w:p>
      <w:pPr>
        <w:rPr>
          <w:rFonts w:hint="eastAsia"/>
          <w:lang w:val="en-US" w:eastAsia="zh-CN"/>
        </w:rPr>
      </w:pPr>
    </w:p>
    <w:p>
      <w:pPr>
        <w:rPr>
          <w:rFonts w:hint="eastAsia"/>
          <w:lang w:val="en-US" w:eastAsia="zh-CN"/>
        </w:rPr>
      </w:pPr>
    </w:p>
    <w:p>
      <w:r>
        <w:br w:type="page"/>
      </w:r>
    </w:p>
    <w:p>
      <w:pPr>
        <w:pStyle w:val="3"/>
        <w:bidi w:val="0"/>
        <w:jc w:val="center"/>
      </w:pPr>
      <w:bookmarkStart w:id="216" w:name="_Toc12979"/>
      <w:bookmarkStart w:id="217" w:name="_Toc120544928"/>
      <w:bookmarkStart w:id="218" w:name="_Toc7242"/>
      <w:r>
        <w:rPr>
          <w:rFonts w:hint="eastAsia"/>
          <w:lang w:val="en-US" w:eastAsia="zh-CN"/>
        </w:rPr>
        <w:t xml:space="preserve">7 </w:t>
      </w:r>
      <w:r>
        <w:t>环境风险评价结论</w:t>
      </w:r>
      <w:bookmarkEnd w:id="216"/>
      <w:bookmarkEnd w:id="217"/>
      <w:bookmarkEnd w:id="218"/>
    </w:p>
    <w:p>
      <w:pPr>
        <w:pStyle w:val="4"/>
        <w:bidi w:val="0"/>
        <w:rPr>
          <w:rFonts w:hint="eastAsia"/>
        </w:rPr>
      </w:pPr>
      <w:bookmarkStart w:id="219" w:name="_Toc10468"/>
      <w:bookmarkStart w:id="220" w:name="_Toc31818"/>
      <w:bookmarkStart w:id="221" w:name="_Toc120544929"/>
      <w:r>
        <w:rPr>
          <w:rFonts w:hint="eastAsia"/>
          <w:lang w:val="en-US" w:eastAsia="zh-CN"/>
        </w:rPr>
        <w:t>7</w:t>
      </w:r>
      <w:r>
        <w:t>.1</w:t>
      </w:r>
      <w:r>
        <w:rPr>
          <w:rFonts w:hint="eastAsia"/>
          <w:lang w:val="en-US" w:eastAsia="zh-CN"/>
        </w:rPr>
        <w:t xml:space="preserve"> </w:t>
      </w:r>
      <w:r>
        <w:t>项目危险因素</w:t>
      </w:r>
      <w:bookmarkEnd w:id="219"/>
      <w:bookmarkEnd w:id="220"/>
      <w:bookmarkEnd w:id="221"/>
    </w:p>
    <w:p>
      <w:pPr>
        <w:pStyle w:val="19"/>
        <w:bidi w:val="0"/>
        <w:rPr>
          <w:rFonts w:hint="eastAsia"/>
          <w:lang w:val="en-US" w:eastAsia="zh-CN"/>
        </w:rPr>
      </w:pPr>
      <w:r>
        <w:rPr>
          <w:rFonts w:hint="eastAsia"/>
          <w:lang w:val="en-US" w:eastAsia="zh-CN"/>
        </w:rPr>
        <w:t>本项目涉及的环境风险物质主要为锰及其化合物、废矿物油。</w:t>
      </w:r>
    </w:p>
    <w:p>
      <w:pPr>
        <w:pStyle w:val="4"/>
        <w:bidi w:val="0"/>
        <w:rPr>
          <w:rFonts w:hint="eastAsia"/>
        </w:rPr>
      </w:pPr>
      <w:bookmarkStart w:id="222" w:name="_Toc120544930"/>
      <w:bookmarkStart w:id="223" w:name="_Toc2051"/>
      <w:bookmarkStart w:id="224" w:name="_Toc7365"/>
      <w:r>
        <w:rPr>
          <w:rFonts w:hint="eastAsia"/>
          <w:lang w:val="en-US" w:eastAsia="zh-CN"/>
        </w:rPr>
        <w:t>7</w:t>
      </w:r>
      <w:r>
        <w:t>.2</w:t>
      </w:r>
      <w:r>
        <w:rPr>
          <w:rFonts w:hint="eastAsia"/>
          <w:lang w:val="en-US" w:eastAsia="zh-CN"/>
        </w:rPr>
        <w:t xml:space="preserve"> </w:t>
      </w:r>
      <w:r>
        <w:t>可能存在的突发环境事件情景</w:t>
      </w:r>
      <w:bookmarkEnd w:id="222"/>
      <w:bookmarkEnd w:id="223"/>
      <w:bookmarkEnd w:id="224"/>
    </w:p>
    <w:p>
      <w:pPr>
        <w:pStyle w:val="19"/>
        <w:bidi w:val="0"/>
        <w:rPr>
          <w:rFonts w:hint="eastAsia"/>
          <w:lang w:val="en-US" w:eastAsia="zh-CN"/>
        </w:rPr>
      </w:pPr>
      <w:r>
        <w:rPr>
          <w:rFonts w:hint="eastAsia"/>
          <w:lang w:val="en-US" w:eastAsia="zh-CN"/>
        </w:rPr>
        <w:t>本项目环境风险主要表现为风险物质突发的泄漏。</w:t>
      </w:r>
    </w:p>
    <w:p>
      <w:pPr>
        <w:pStyle w:val="4"/>
        <w:bidi w:val="0"/>
        <w:rPr>
          <w:rFonts w:hint="eastAsia"/>
        </w:rPr>
      </w:pPr>
      <w:bookmarkStart w:id="225" w:name="_Toc120544931"/>
      <w:bookmarkStart w:id="226" w:name="_Toc30022"/>
      <w:bookmarkStart w:id="227" w:name="_Toc3024"/>
      <w:r>
        <w:rPr>
          <w:rFonts w:hint="eastAsia"/>
          <w:lang w:val="en-US" w:eastAsia="zh-CN"/>
        </w:rPr>
        <w:t>7</w:t>
      </w:r>
      <w:r>
        <w:t>.3</w:t>
      </w:r>
      <w:r>
        <w:rPr>
          <w:rFonts w:hint="eastAsia"/>
          <w:lang w:val="en-US" w:eastAsia="zh-CN"/>
        </w:rPr>
        <w:t xml:space="preserve"> </w:t>
      </w:r>
      <w:r>
        <w:t>环境风险防范措施和应急预案</w:t>
      </w:r>
      <w:bookmarkEnd w:id="225"/>
      <w:bookmarkEnd w:id="226"/>
      <w:bookmarkEnd w:id="227"/>
    </w:p>
    <w:p>
      <w:pPr>
        <w:pStyle w:val="19"/>
        <w:bidi w:val="0"/>
        <w:rPr>
          <w:rFonts w:hint="eastAsia"/>
          <w:lang w:val="en-US" w:eastAsia="zh-CN"/>
        </w:rPr>
      </w:pPr>
      <w:r>
        <w:rPr>
          <w:rFonts w:hint="eastAsia"/>
          <w:lang w:val="en-US" w:eastAsia="zh-CN"/>
        </w:rPr>
        <w:t>建设环境风险防范设施，定期检查风险防范措施，人员严格按照安全操作规程工作。</w:t>
      </w:r>
    </w:p>
    <w:p>
      <w:pPr>
        <w:pStyle w:val="19"/>
        <w:bidi w:val="0"/>
        <w:rPr>
          <w:rFonts w:hint="eastAsia"/>
          <w:lang w:val="en-US" w:eastAsia="zh-CN"/>
        </w:rPr>
      </w:pPr>
      <w:r>
        <w:rPr>
          <w:rFonts w:hint="eastAsia"/>
          <w:lang w:val="en-US" w:eastAsia="zh-CN"/>
        </w:rPr>
        <w:t>企业应编制突发环境事件应急预案并按相关要求备案。根据相关规定，本项目建成运行后，及时对突发环境事件应急预案进行编制。</w:t>
      </w:r>
    </w:p>
    <w:p>
      <w:pPr>
        <w:pStyle w:val="4"/>
        <w:bidi w:val="0"/>
        <w:rPr>
          <w:rFonts w:hint="eastAsia"/>
        </w:rPr>
      </w:pPr>
      <w:bookmarkStart w:id="228" w:name="_Toc22378"/>
      <w:bookmarkStart w:id="229" w:name="_Toc24206"/>
      <w:bookmarkStart w:id="230" w:name="_Toc120544932"/>
      <w:r>
        <w:rPr>
          <w:rFonts w:hint="eastAsia"/>
          <w:lang w:val="en-US" w:eastAsia="zh-CN"/>
        </w:rPr>
        <w:t>7</w:t>
      </w:r>
      <w:r>
        <w:t>.4</w:t>
      </w:r>
      <w:r>
        <w:rPr>
          <w:rFonts w:hint="eastAsia"/>
          <w:lang w:val="en-US" w:eastAsia="zh-CN"/>
        </w:rPr>
        <w:t xml:space="preserve"> </w:t>
      </w:r>
      <w:r>
        <w:t>环境风险评价结论与建议</w:t>
      </w:r>
      <w:bookmarkEnd w:id="228"/>
      <w:bookmarkEnd w:id="229"/>
      <w:bookmarkEnd w:id="230"/>
    </w:p>
    <w:p>
      <w:pPr>
        <w:pStyle w:val="19"/>
        <w:bidi w:val="0"/>
        <w:rPr>
          <w:rFonts w:hint="eastAsia"/>
          <w:lang w:val="en-US" w:eastAsia="zh-CN"/>
        </w:rPr>
      </w:pPr>
      <w:r>
        <w:rPr>
          <w:rFonts w:hint="eastAsia"/>
          <w:lang w:val="en-US" w:eastAsia="zh-CN"/>
        </w:rPr>
        <w:t>总体来说，企业在做好安全防范措施和应急培训和演练的前提下，该厂区的环境风险可以得到控制，本项目的环境风险水平是可以接受的。</w:t>
      </w:r>
    </w:p>
    <w:p>
      <w:pPr>
        <w:pStyle w:val="19"/>
        <w:bidi w:val="0"/>
        <w:rPr>
          <w:rFonts w:hint="default"/>
          <w:lang w:val="en-US" w:eastAsia="zh-CN"/>
        </w:rPr>
      </w:pPr>
    </w:p>
    <w:sectPr>
      <w:pgSz w:w="11906" w:h="16838"/>
      <w:pgMar w:top="1440" w:right="976"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新宋体">
    <w:panose1 w:val="02010609030101010101"/>
    <w:charset w:val="86"/>
    <w:family w:val="auto"/>
    <w:pitch w:val="default"/>
    <w:sig w:usb0="00000203" w:usb1="288F0000" w:usb2="0000000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XlLo0zAgAAYw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hxDCNip++fzv9&#10;+HX6+ZXgDAI1LswQt3GIjO1b26JthvOAw8S7rbxOXzAi8EPe40Ve0UbC06XpZDrN4eLwDRvgZw/X&#10;nQ/xnbCaJKOgHvXrZGWH2xD70CEkZTN2LZXqaqgMaQp69fJV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XlLo0zAgAAYw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single" w:color="auto" w:sz="4" w:space="1"/>
      </w:pBdr>
      <w:jc w:val="center"/>
      <w:rPr>
        <w:sz w:val="11"/>
        <w:szCs w:val="18"/>
        <w:u w:val="none"/>
      </w:rPr>
    </w:pPr>
    <w:r>
      <w:rPr>
        <w:rFonts w:hint="eastAsia" w:ascii="宋体" w:hAnsi="宋体" w:eastAsia="宋体" w:cs="宋体"/>
        <w:sz w:val="21"/>
        <w:szCs w:val="21"/>
        <w:u w:val="none"/>
        <w:lang w:eastAsia="zh-CN"/>
      </w:rPr>
      <w:t>花垣吾道环保科技有限公司30万吨/年锰渣无害化及综合利用项目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C40049"/>
    <w:multiLevelType w:val="singleLevel"/>
    <w:tmpl w:val="80C40049"/>
    <w:lvl w:ilvl="0" w:tentative="0">
      <w:start w:val="1"/>
      <w:numFmt w:val="decimal"/>
      <w:suff w:val="nothing"/>
      <w:lvlText w:val="%1、"/>
      <w:lvlJc w:val="left"/>
    </w:lvl>
  </w:abstractNum>
  <w:abstractNum w:abstractNumId="1">
    <w:nsid w:val="82EA97C9"/>
    <w:multiLevelType w:val="singleLevel"/>
    <w:tmpl w:val="82EA97C9"/>
    <w:lvl w:ilvl="0" w:tentative="0">
      <w:start w:val="1"/>
      <w:numFmt w:val="decimal"/>
      <w:suff w:val="nothing"/>
      <w:lvlText w:val="%1、"/>
      <w:lvlJc w:val="left"/>
    </w:lvl>
  </w:abstractNum>
  <w:abstractNum w:abstractNumId="2">
    <w:nsid w:val="8EB947CD"/>
    <w:multiLevelType w:val="singleLevel"/>
    <w:tmpl w:val="8EB947CD"/>
    <w:lvl w:ilvl="0" w:tentative="0">
      <w:start w:val="7"/>
      <w:numFmt w:val="decimal"/>
      <w:suff w:val="nothing"/>
      <w:lvlText w:val="%1、"/>
      <w:lvlJc w:val="left"/>
    </w:lvl>
  </w:abstractNum>
  <w:abstractNum w:abstractNumId="3">
    <w:nsid w:val="A917AFE2"/>
    <w:multiLevelType w:val="singleLevel"/>
    <w:tmpl w:val="A917AFE2"/>
    <w:lvl w:ilvl="0" w:tentative="0">
      <w:start w:val="1"/>
      <w:numFmt w:val="decimalEnclosedCircleChinese"/>
      <w:suff w:val="nothing"/>
      <w:lvlText w:val="%1　"/>
      <w:lvlJc w:val="left"/>
      <w:pPr>
        <w:ind w:left="0" w:firstLine="400"/>
      </w:pPr>
      <w:rPr>
        <w:rFonts w:hint="eastAsia"/>
      </w:rPr>
    </w:lvl>
  </w:abstractNum>
  <w:abstractNum w:abstractNumId="4">
    <w:nsid w:val="B0948580"/>
    <w:multiLevelType w:val="singleLevel"/>
    <w:tmpl w:val="B0948580"/>
    <w:lvl w:ilvl="0" w:tentative="0">
      <w:start w:val="2"/>
      <w:numFmt w:val="chineseCounting"/>
      <w:suff w:val="nothing"/>
      <w:lvlText w:val="%1、"/>
      <w:lvlJc w:val="left"/>
      <w:rPr>
        <w:rFonts w:hint="eastAsia"/>
      </w:rPr>
    </w:lvl>
  </w:abstractNum>
  <w:abstractNum w:abstractNumId="5">
    <w:nsid w:val="E6C3760F"/>
    <w:multiLevelType w:val="singleLevel"/>
    <w:tmpl w:val="E6C3760F"/>
    <w:lvl w:ilvl="0" w:tentative="0">
      <w:start w:val="1"/>
      <w:numFmt w:val="decimal"/>
      <w:suff w:val="nothing"/>
      <w:lvlText w:val="%1．"/>
      <w:lvlJc w:val="left"/>
      <w:pPr>
        <w:ind w:left="0" w:firstLine="400"/>
      </w:pPr>
      <w:rPr>
        <w:rFonts w:hint="default"/>
      </w:rPr>
    </w:lvl>
  </w:abstractNum>
  <w:abstractNum w:abstractNumId="6">
    <w:nsid w:val="F50DC51D"/>
    <w:multiLevelType w:val="singleLevel"/>
    <w:tmpl w:val="F50DC51D"/>
    <w:lvl w:ilvl="0" w:tentative="0">
      <w:start w:val="1"/>
      <w:numFmt w:val="decimal"/>
      <w:suff w:val="nothing"/>
      <w:lvlText w:val="%1、"/>
      <w:lvlJc w:val="left"/>
    </w:lvl>
  </w:abstractNum>
  <w:abstractNum w:abstractNumId="7">
    <w:nsid w:val="F87055AD"/>
    <w:multiLevelType w:val="singleLevel"/>
    <w:tmpl w:val="F87055AD"/>
    <w:lvl w:ilvl="0" w:tentative="0">
      <w:start w:val="5"/>
      <w:numFmt w:val="chineseCounting"/>
      <w:suff w:val="nothing"/>
      <w:lvlText w:val="%1、"/>
      <w:lvlJc w:val="left"/>
      <w:rPr>
        <w:rFonts w:hint="eastAsia"/>
      </w:rPr>
    </w:lvl>
  </w:abstractNum>
  <w:abstractNum w:abstractNumId="8">
    <w:nsid w:val="010250BD"/>
    <w:multiLevelType w:val="singleLevel"/>
    <w:tmpl w:val="010250BD"/>
    <w:lvl w:ilvl="0" w:tentative="0">
      <w:start w:val="2"/>
      <w:numFmt w:val="decimal"/>
      <w:suff w:val="nothing"/>
      <w:lvlText w:val="%1、"/>
      <w:lvlJc w:val="left"/>
    </w:lvl>
  </w:abstractNum>
  <w:abstractNum w:abstractNumId="9">
    <w:nsid w:val="107C009F"/>
    <w:multiLevelType w:val="singleLevel"/>
    <w:tmpl w:val="107C009F"/>
    <w:lvl w:ilvl="0" w:tentative="0">
      <w:start w:val="1"/>
      <w:numFmt w:val="decimal"/>
      <w:suff w:val="nothing"/>
      <w:lvlText w:val="（%1）"/>
      <w:lvlJc w:val="left"/>
    </w:lvl>
  </w:abstractNum>
  <w:abstractNum w:abstractNumId="10">
    <w:nsid w:val="170C60A8"/>
    <w:multiLevelType w:val="singleLevel"/>
    <w:tmpl w:val="170C60A8"/>
    <w:lvl w:ilvl="0" w:tentative="0">
      <w:start w:val="1"/>
      <w:numFmt w:val="decimal"/>
      <w:suff w:val="nothing"/>
      <w:lvlText w:val="（%1）"/>
      <w:lvlJc w:val="left"/>
    </w:lvl>
  </w:abstractNum>
  <w:abstractNum w:abstractNumId="11">
    <w:nsid w:val="6E839990"/>
    <w:multiLevelType w:val="singleLevel"/>
    <w:tmpl w:val="6E839990"/>
    <w:lvl w:ilvl="0" w:tentative="0">
      <w:start w:val="1"/>
      <w:numFmt w:val="decimal"/>
      <w:suff w:val="nothing"/>
      <w:lvlText w:val="（%1）"/>
      <w:lvlJc w:val="left"/>
    </w:lvl>
  </w:abstractNum>
  <w:abstractNum w:abstractNumId="12">
    <w:nsid w:val="770001C3"/>
    <w:multiLevelType w:val="singleLevel"/>
    <w:tmpl w:val="770001C3"/>
    <w:lvl w:ilvl="0" w:tentative="0">
      <w:start w:val="2"/>
      <w:numFmt w:val="decimal"/>
      <w:suff w:val="nothing"/>
      <w:lvlText w:val="（%1）"/>
      <w:lvlJc w:val="left"/>
    </w:lvl>
  </w:abstractNum>
  <w:num w:numId="1">
    <w:abstractNumId w:val="4"/>
  </w:num>
  <w:num w:numId="2">
    <w:abstractNumId w:val="1"/>
  </w:num>
  <w:num w:numId="3">
    <w:abstractNumId w:val="12"/>
  </w:num>
  <w:num w:numId="4">
    <w:abstractNumId w:val="2"/>
  </w:num>
  <w:num w:numId="5">
    <w:abstractNumId w:val="0"/>
  </w:num>
  <w:num w:numId="6">
    <w:abstractNumId w:val="9"/>
  </w:num>
  <w:num w:numId="7">
    <w:abstractNumId w:val="10"/>
  </w:num>
  <w:num w:numId="8">
    <w:abstractNumId w:val="8"/>
  </w:num>
  <w:num w:numId="9">
    <w:abstractNumId w:val="5"/>
  </w:num>
  <w:num w:numId="10">
    <w:abstractNumId w:val="6"/>
  </w:num>
  <w:num w:numId="11">
    <w:abstractNumId w:val="3"/>
  </w:num>
  <w:num w:numId="12">
    <w:abstractNumId w:val="7"/>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NhOWJkNTkyMmQ4OTVlY2EzZjE3M2M2N2EyODlhMDUifQ=="/>
  </w:docVars>
  <w:rsids>
    <w:rsidRoot w:val="00172A27"/>
    <w:rsid w:val="00BE4FA9"/>
    <w:rsid w:val="010E21F4"/>
    <w:rsid w:val="02734537"/>
    <w:rsid w:val="02BE1A01"/>
    <w:rsid w:val="03616090"/>
    <w:rsid w:val="04801C28"/>
    <w:rsid w:val="055F61EE"/>
    <w:rsid w:val="05950FC3"/>
    <w:rsid w:val="05A82467"/>
    <w:rsid w:val="06157171"/>
    <w:rsid w:val="07C514D7"/>
    <w:rsid w:val="08F20B37"/>
    <w:rsid w:val="095E24A7"/>
    <w:rsid w:val="09C56BDB"/>
    <w:rsid w:val="0AFE60F0"/>
    <w:rsid w:val="0B1A6936"/>
    <w:rsid w:val="0B502D9E"/>
    <w:rsid w:val="0B5C6049"/>
    <w:rsid w:val="0B655FA8"/>
    <w:rsid w:val="0B7C4E28"/>
    <w:rsid w:val="0BCB3335"/>
    <w:rsid w:val="0CA361D0"/>
    <w:rsid w:val="0D207719"/>
    <w:rsid w:val="0D5862D5"/>
    <w:rsid w:val="0D7D7165"/>
    <w:rsid w:val="0D950EE2"/>
    <w:rsid w:val="0DC86084"/>
    <w:rsid w:val="0DD56120"/>
    <w:rsid w:val="0E1C4C10"/>
    <w:rsid w:val="0E201E67"/>
    <w:rsid w:val="0E816AE0"/>
    <w:rsid w:val="0EBB3568"/>
    <w:rsid w:val="0F5955F0"/>
    <w:rsid w:val="0FA0429A"/>
    <w:rsid w:val="0FAD3C42"/>
    <w:rsid w:val="0FBD1E2B"/>
    <w:rsid w:val="1017657C"/>
    <w:rsid w:val="112B0526"/>
    <w:rsid w:val="11BF5E6D"/>
    <w:rsid w:val="124D56BC"/>
    <w:rsid w:val="14110965"/>
    <w:rsid w:val="143F35A1"/>
    <w:rsid w:val="14BC6C55"/>
    <w:rsid w:val="14D15877"/>
    <w:rsid w:val="1530574A"/>
    <w:rsid w:val="15956A8D"/>
    <w:rsid w:val="16EF3781"/>
    <w:rsid w:val="17490B15"/>
    <w:rsid w:val="184701C7"/>
    <w:rsid w:val="1877066F"/>
    <w:rsid w:val="199D4AF7"/>
    <w:rsid w:val="1A831D33"/>
    <w:rsid w:val="1B4072CF"/>
    <w:rsid w:val="1B6E0DEA"/>
    <w:rsid w:val="1DA838E7"/>
    <w:rsid w:val="21875728"/>
    <w:rsid w:val="22820002"/>
    <w:rsid w:val="229A5115"/>
    <w:rsid w:val="22BE4F7D"/>
    <w:rsid w:val="236565A2"/>
    <w:rsid w:val="23B519C9"/>
    <w:rsid w:val="242C4D63"/>
    <w:rsid w:val="2473750A"/>
    <w:rsid w:val="247741B1"/>
    <w:rsid w:val="24D571C5"/>
    <w:rsid w:val="25B61F3B"/>
    <w:rsid w:val="25F72902"/>
    <w:rsid w:val="26427CFA"/>
    <w:rsid w:val="265C559C"/>
    <w:rsid w:val="26AD647B"/>
    <w:rsid w:val="26BF3939"/>
    <w:rsid w:val="27F20FDD"/>
    <w:rsid w:val="28466A54"/>
    <w:rsid w:val="297840D8"/>
    <w:rsid w:val="29EF22C1"/>
    <w:rsid w:val="2A294D5D"/>
    <w:rsid w:val="2A36066F"/>
    <w:rsid w:val="2A622606"/>
    <w:rsid w:val="2AB815E4"/>
    <w:rsid w:val="2AD51BD3"/>
    <w:rsid w:val="2B5753F6"/>
    <w:rsid w:val="2B8C7662"/>
    <w:rsid w:val="2BCB16A3"/>
    <w:rsid w:val="2BF71A90"/>
    <w:rsid w:val="2C090B93"/>
    <w:rsid w:val="2C900C37"/>
    <w:rsid w:val="2D5E55B6"/>
    <w:rsid w:val="2D8127D2"/>
    <w:rsid w:val="2E2D3E23"/>
    <w:rsid w:val="2F0233E4"/>
    <w:rsid w:val="2F0D3049"/>
    <w:rsid w:val="2F581733"/>
    <w:rsid w:val="2F777EC2"/>
    <w:rsid w:val="3070786F"/>
    <w:rsid w:val="3137393D"/>
    <w:rsid w:val="31EC0AD5"/>
    <w:rsid w:val="32317A20"/>
    <w:rsid w:val="32C5673A"/>
    <w:rsid w:val="32E66434"/>
    <w:rsid w:val="32ED71C2"/>
    <w:rsid w:val="335173E8"/>
    <w:rsid w:val="33587634"/>
    <w:rsid w:val="35683452"/>
    <w:rsid w:val="35772783"/>
    <w:rsid w:val="361E1F5B"/>
    <w:rsid w:val="36501014"/>
    <w:rsid w:val="38550583"/>
    <w:rsid w:val="39A55FDD"/>
    <w:rsid w:val="39CF4A42"/>
    <w:rsid w:val="3A13232E"/>
    <w:rsid w:val="3A3A193F"/>
    <w:rsid w:val="3A80103E"/>
    <w:rsid w:val="3AEC24B3"/>
    <w:rsid w:val="3B2B1B3D"/>
    <w:rsid w:val="3C11712A"/>
    <w:rsid w:val="3C4666DE"/>
    <w:rsid w:val="3CBE7827"/>
    <w:rsid w:val="3D670FF6"/>
    <w:rsid w:val="3D7332E2"/>
    <w:rsid w:val="3DF27B9B"/>
    <w:rsid w:val="3E3232EC"/>
    <w:rsid w:val="3E443E5A"/>
    <w:rsid w:val="3E850975"/>
    <w:rsid w:val="3F0B2442"/>
    <w:rsid w:val="3F2C4A94"/>
    <w:rsid w:val="3F365D47"/>
    <w:rsid w:val="3FA57E6B"/>
    <w:rsid w:val="40146043"/>
    <w:rsid w:val="406465FC"/>
    <w:rsid w:val="40877E08"/>
    <w:rsid w:val="41D55255"/>
    <w:rsid w:val="4210404C"/>
    <w:rsid w:val="424C1404"/>
    <w:rsid w:val="427B01F9"/>
    <w:rsid w:val="42CD5E55"/>
    <w:rsid w:val="43841C3E"/>
    <w:rsid w:val="44C678BC"/>
    <w:rsid w:val="44EB66FB"/>
    <w:rsid w:val="452D19A7"/>
    <w:rsid w:val="456863DB"/>
    <w:rsid w:val="46462CAA"/>
    <w:rsid w:val="47ED2C7A"/>
    <w:rsid w:val="48836462"/>
    <w:rsid w:val="48F156DA"/>
    <w:rsid w:val="4A60789B"/>
    <w:rsid w:val="4A9D6622"/>
    <w:rsid w:val="4C89472F"/>
    <w:rsid w:val="4CF32069"/>
    <w:rsid w:val="4D775CEA"/>
    <w:rsid w:val="4D785BA5"/>
    <w:rsid w:val="4E170E3A"/>
    <w:rsid w:val="4E991F31"/>
    <w:rsid w:val="4ECB4886"/>
    <w:rsid w:val="4F42314C"/>
    <w:rsid w:val="4FD73155"/>
    <w:rsid w:val="50210776"/>
    <w:rsid w:val="50AB55FE"/>
    <w:rsid w:val="51E6286D"/>
    <w:rsid w:val="51F65396"/>
    <w:rsid w:val="52374C75"/>
    <w:rsid w:val="52B534F6"/>
    <w:rsid w:val="52C57883"/>
    <w:rsid w:val="539C3002"/>
    <w:rsid w:val="53B86C06"/>
    <w:rsid w:val="54082ABF"/>
    <w:rsid w:val="56050128"/>
    <w:rsid w:val="56A23734"/>
    <w:rsid w:val="56C3681D"/>
    <w:rsid w:val="56F72D49"/>
    <w:rsid w:val="578D1222"/>
    <w:rsid w:val="587E240A"/>
    <w:rsid w:val="58BF0F75"/>
    <w:rsid w:val="598748F5"/>
    <w:rsid w:val="5B435A44"/>
    <w:rsid w:val="5BD4669C"/>
    <w:rsid w:val="5C8F6A67"/>
    <w:rsid w:val="5CD31465"/>
    <w:rsid w:val="5CEF1EAA"/>
    <w:rsid w:val="5D3075D3"/>
    <w:rsid w:val="5D791C59"/>
    <w:rsid w:val="5DB61D65"/>
    <w:rsid w:val="5E031F00"/>
    <w:rsid w:val="5E03246F"/>
    <w:rsid w:val="5E604620"/>
    <w:rsid w:val="5F5341EE"/>
    <w:rsid w:val="5F6D710E"/>
    <w:rsid w:val="5F756C61"/>
    <w:rsid w:val="5F975106"/>
    <w:rsid w:val="600C0AFA"/>
    <w:rsid w:val="606A49EE"/>
    <w:rsid w:val="60AD1150"/>
    <w:rsid w:val="61005DAE"/>
    <w:rsid w:val="61173C85"/>
    <w:rsid w:val="618207D7"/>
    <w:rsid w:val="622F4EDB"/>
    <w:rsid w:val="623F5614"/>
    <w:rsid w:val="62B36D69"/>
    <w:rsid w:val="63081262"/>
    <w:rsid w:val="639C378D"/>
    <w:rsid w:val="64075E9E"/>
    <w:rsid w:val="64880E06"/>
    <w:rsid w:val="64A77381"/>
    <w:rsid w:val="66126CA2"/>
    <w:rsid w:val="661520B9"/>
    <w:rsid w:val="66C7481B"/>
    <w:rsid w:val="66CC2CCF"/>
    <w:rsid w:val="66FF1B3D"/>
    <w:rsid w:val="67F818A0"/>
    <w:rsid w:val="67FF0587"/>
    <w:rsid w:val="688B61C1"/>
    <w:rsid w:val="690F2977"/>
    <w:rsid w:val="69843981"/>
    <w:rsid w:val="6A127BEA"/>
    <w:rsid w:val="6A4E2C15"/>
    <w:rsid w:val="6ACB00F2"/>
    <w:rsid w:val="6B3F18CE"/>
    <w:rsid w:val="6C3306D2"/>
    <w:rsid w:val="6E2E2F00"/>
    <w:rsid w:val="6E857A41"/>
    <w:rsid w:val="6EAE3F64"/>
    <w:rsid w:val="6EC2349A"/>
    <w:rsid w:val="6EC97066"/>
    <w:rsid w:val="6F2E11EF"/>
    <w:rsid w:val="6F843E8E"/>
    <w:rsid w:val="6F9A108B"/>
    <w:rsid w:val="6F9D58E3"/>
    <w:rsid w:val="6FD834FA"/>
    <w:rsid w:val="72121874"/>
    <w:rsid w:val="72161365"/>
    <w:rsid w:val="72354B01"/>
    <w:rsid w:val="72661F4A"/>
    <w:rsid w:val="730C68A0"/>
    <w:rsid w:val="732D6517"/>
    <w:rsid w:val="7403575F"/>
    <w:rsid w:val="746F1C02"/>
    <w:rsid w:val="74DF756D"/>
    <w:rsid w:val="74F83AD9"/>
    <w:rsid w:val="75726F74"/>
    <w:rsid w:val="75E724B9"/>
    <w:rsid w:val="768A1863"/>
    <w:rsid w:val="77160BC4"/>
    <w:rsid w:val="78826D7A"/>
    <w:rsid w:val="78F751E9"/>
    <w:rsid w:val="79B74205"/>
    <w:rsid w:val="79BB46D0"/>
    <w:rsid w:val="79FD4EAF"/>
    <w:rsid w:val="7A384C0A"/>
    <w:rsid w:val="7A5C5B0F"/>
    <w:rsid w:val="7B1E2134"/>
    <w:rsid w:val="7B6E0433"/>
    <w:rsid w:val="7BF02F8A"/>
    <w:rsid w:val="7CA01CC8"/>
    <w:rsid w:val="7CF32D46"/>
    <w:rsid w:val="7D3B4375"/>
    <w:rsid w:val="7E584AB3"/>
    <w:rsid w:val="7E81400A"/>
    <w:rsid w:val="7E970AEC"/>
    <w:rsid w:val="7F5B39AF"/>
    <w:rsid w:val="7FFA61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spacing w:line="360" w:lineRule="auto"/>
      <w:ind w:left="40" w:right="4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rFonts w:ascii="Times New Roman" w:hAnsi="Times New Roman" w:eastAsia="宋体"/>
      <w:b/>
      <w:kern w:val="44"/>
      <w:sz w:val="44"/>
    </w:rPr>
  </w:style>
  <w:style w:type="paragraph" w:styleId="3">
    <w:name w:val="heading 2"/>
    <w:basedOn w:val="1"/>
    <w:next w:val="1"/>
    <w:link w:val="26"/>
    <w:unhideWhenUsed/>
    <w:qFormat/>
    <w:uiPriority w:val="0"/>
    <w:pPr>
      <w:keepNext/>
      <w:keepLines/>
      <w:spacing w:beforeLines="0" w:beforeAutospacing="0" w:afterLines="0" w:afterAutospacing="0" w:line="413" w:lineRule="auto"/>
      <w:outlineLvl w:val="1"/>
    </w:pPr>
    <w:rPr>
      <w:rFonts w:ascii="Arial" w:hAnsi="Arial" w:eastAsia="新宋体"/>
      <w:b/>
      <w:sz w:val="32"/>
    </w:rPr>
  </w:style>
  <w:style w:type="paragraph" w:styleId="4">
    <w:name w:val="heading 3"/>
    <w:basedOn w:val="1"/>
    <w:next w:val="1"/>
    <w:link w:val="23"/>
    <w:unhideWhenUsed/>
    <w:qFormat/>
    <w:uiPriority w:val="0"/>
    <w:pPr>
      <w:keepNext/>
      <w:keepLines/>
      <w:spacing w:before="40" w:beforeLines="0" w:beforeAutospacing="0" w:after="40" w:afterLines="0" w:afterAutospacing="0" w:line="360" w:lineRule="auto"/>
      <w:ind w:left="0" w:right="0"/>
      <w:outlineLvl w:val="2"/>
    </w:pPr>
    <w:rPr>
      <w:rFonts w:ascii="Times New Roman" w:hAnsi="Times New Roman" w:eastAsia="宋体"/>
      <w:b/>
      <w:sz w:val="28"/>
    </w:rPr>
  </w:style>
  <w:style w:type="paragraph" w:styleId="5">
    <w:name w:val="heading 4"/>
    <w:basedOn w:val="1"/>
    <w:next w:val="1"/>
    <w:link w:val="22"/>
    <w:unhideWhenUsed/>
    <w:qFormat/>
    <w:uiPriority w:val="0"/>
    <w:pPr>
      <w:keepNext/>
      <w:keepLines/>
      <w:spacing w:before="50" w:beforeLines="50" w:beforeAutospacing="0" w:after="50" w:afterLines="50" w:afterAutospacing="0" w:line="240" w:lineRule="auto"/>
      <w:outlineLvl w:val="3"/>
    </w:pPr>
    <w:rPr>
      <w:rFonts w:ascii="Times New Roman" w:hAnsi="Times New Roman" w:eastAsia="新宋体"/>
      <w:b/>
    </w:rPr>
  </w:style>
  <w:style w:type="paragraph" w:styleId="6">
    <w:name w:val="heading 5"/>
    <w:basedOn w:val="1"/>
    <w:next w:val="1"/>
    <w:unhideWhenUsed/>
    <w:qFormat/>
    <w:uiPriority w:val="0"/>
    <w:pPr>
      <w:keepNext/>
      <w:keepLines/>
      <w:spacing w:beforeLines="0" w:beforeAutospacing="0" w:afterLines="0" w:afterAutospacing="0" w:line="360" w:lineRule="auto"/>
      <w:outlineLvl w:val="4"/>
    </w:pPr>
    <w:rPr>
      <w:rFonts w:ascii="Times New Roman" w:hAnsi="Times New Roman" w:eastAsia="宋体"/>
      <w:b/>
    </w:rPr>
  </w:style>
  <w:style w:type="character" w:default="1" w:styleId="17">
    <w:name w:val="Default Paragraph Font"/>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4"/>
    <w:basedOn w:val="1"/>
    <w:next w:val="1"/>
    <w:uiPriority w:val="0"/>
    <w:pPr>
      <w:ind w:left="1260" w:leftChars="600"/>
    </w:pPr>
  </w:style>
  <w:style w:type="paragraph" w:styleId="12">
    <w:name w:val="toc 6"/>
    <w:basedOn w:val="1"/>
    <w:next w:val="1"/>
    <w:qFormat/>
    <w:uiPriority w:val="0"/>
    <w:pPr>
      <w:ind w:left="2100" w:leftChars="1000"/>
    </w:pPr>
  </w:style>
  <w:style w:type="paragraph" w:styleId="13">
    <w:name w:val="toc 2"/>
    <w:basedOn w:val="1"/>
    <w:next w:val="1"/>
    <w:qFormat/>
    <w:uiPriority w:val="0"/>
    <w:pPr>
      <w:ind w:left="420" w:leftChars="200"/>
    </w:pPr>
  </w:style>
  <w:style w:type="paragraph" w:styleId="14">
    <w:name w:val="Title"/>
    <w:basedOn w:val="1"/>
    <w:next w:val="1"/>
    <w:qFormat/>
    <w:uiPriority w:val="0"/>
    <w:pPr>
      <w:spacing w:before="240" w:after="60"/>
      <w:jc w:val="center"/>
      <w:outlineLvl w:val="0"/>
    </w:pPr>
    <w:rPr>
      <w:b/>
      <w:bCs/>
      <w:kern w:val="0"/>
      <w:sz w:val="32"/>
      <w:szCs w:val="32"/>
    </w:rPr>
  </w:style>
  <w:style w:type="table" w:styleId="16">
    <w:name w:val="Table Grid"/>
    <w:basedOn w:val="15"/>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8">
    <w:name w:val="表格"/>
    <w:basedOn w:val="1"/>
    <w:link w:val="25"/>
    <w:qFormat/>
    <w:uiPriority w:val="0"/>
    <w:pPr>
      <w:spacing w:line="240" w:lineRule="auto"/>
      <w:jc w:val="left"/>
    </w:pPr>
    <w:rPr>
      <w:rFonts w:ascii="Times New Roman" w:hAnsi="Times New Roman" w:eastAsia="宋体"/>
      <w:sz w:val="22"/>
      <w:szCs w:val="22"/>
    </w:rPr>
  </w:style>
  <w:style w:type="paragraph" w:customStyle="1" w:styleId="19">
    <w:name w:val="首行缩进正文"/>
    <w:basedOn w:val="1"/>
    <w:link w:val="21"/>
    <w:qFormat/>
    <w:uiPriority w:val="0"/>
    <w:pPr>
      <w:ind w:firstLine="480" w:firstLineChars="200"/>
    </w:pPr>
  </w:style>
  <w:style w:type="paragraph" w:customStyle="1" w:styleId="20">
    <w:name w:val="表格正文"/>
    <w:next w:val="1"/>
    <w:semiHidden/>
    <w:qFormat/>
    <w:uiPriority w:val="0"/>
    <w:pPr>
      <w:spacing w:line="240" w:lineRule="auto"/>
      <w:jc w:val="center"/>
    </w:pPr>
    <w:rPr>
      <w:rFonts w:ascii="Times New Roman" w:hAnsi="Times New Roman" w:eastAsia="宋体" w:cs="Times New Roman"/>
      <w:sz w:val="21"/>
    </w:rPr>
  </w:style>
  <w:style w:type="character" w:customStyle="1" w:styleId="21">
    <w:name w:val="首行缩进正文 Char"/>
    <w:link w:val="19"/>
    <w:qFormat/>
    <w:uiPriority w:val="0"/>
  </w:style>
  <w:style w:type="character" w:customStyle="1" w:styleId="22">
    <w:name w:val="标题 4 Char"/>
    <w:link w:val="5"/>
    <w:qFormat/>
    <w:uiPriority w:val="0"/>
    <w:rPr>
      <w:rFonts w:ascii="Times New Roman" w:hAnsi="Times New Roman" w:eastAsia="新宋体"/>
      <w:b/>
      <w:sz w:val="24"/>
    </w:rPr>
  </w:style>
  <w:style w:type="character" w:customStyle="1" w:styleId="23">
    <w:name w:val="标题 3 Char"/>
    <w:link w:val="4"/>
    <w:qFormat/>
    <w:uiPriority w:val="0"/>
    <w:rPr>
      <w:rFonts w:ascii="Times New Roman" w:hAnsi="Times New Roman" w:eastAsia="宋体"/>
      <w:b/>
      <w:sz w:val="28"/>
    </w:rPr>
  </w:style>
  <w:style w:type="character" w:customStyle="1" w:styleId="24">
    <w:name w:val="标题 2 Char"/>
    <w:link w:val="3"/>
    <w:qFormat/>
    <w:uiPriority w:val="0"/>
    <w:rPr>
      <w:rFonts w:ascii="Arial" w:hAnsi="Arial" w:eastAsia="新宋体"/>
      <w:b/>
      <w:sz w:val="32"/>
    </w:rPr>
  </w:style>
  <w:style w:type="character" w:customStyle="1" w:styleId="25">
    <w:name w:val="表格 Char"/>
    <w:link w:val="18"/>
    <w:qFormat/>
    <w:uiPriority w:val="0"/>
    <w:rPr>
      <w:rFonts w:ascii="Times New Roman" w:hAnsi="Times New Roman" w:eastAsia="宋体"/>
      <w:sz w:val="22"/>
      <w:szCs w:val="22"/>
    </w:rPr>
  </w:style>
  <w:style w:type="character" w:customStyle="1" w:styleId="26">
    <w:name w:val="标题 2 字符"/>
    <w:link w:val="3"/>
    <w:qFormat/>
    <w:uiPriority w:val="0"/>
    <w:rPr>
      <w:rFonts w:ascii="Times New Roman" w:hAnsi="Times New Roman" w:eastAsia="宋体" w:cs="Times New Roman"/>
      <w:b/>
      <w:bCs/>
      <w:sz w:val="24"/>
      <w:szCs w:val="3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5" Type="http://schemas.openxmlformats.org/officeDocument/2006/relationships/fontTable" Target="fontTable.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1.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endnotes" Target="endnotes.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136</Pages>
  <Words>47620</Words>
  <Characters>55473</Characters>
  <Lines>0</Lines>
  <Paragraphs>0</Paragraphs>
  <TotalTime>1</TotalTime>
  <ScaleCrop>false</ScaleCrop>
  <LinksUpToDate>false</LinksUpToDate>
  <CharactersWithSpaces>56200</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2023-11-06T06:57:00Z</dcterms:created>
  <dc:creator>Dddy</dc:creator>
  <cp:lastModifiedBy>Dddy</cp:lastModifiedBy>
  <dcterms:modified xsi:type="dcterms:W3CDTF">2023-12-20T06:16:44Z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810E27672EDC4BFBB073426CBAE1EFFC_11</vt:lpwstr>
  </property>
</Properties>
</file>