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ascii="仿宋_GB2312" w:eastAsia="仿宋_GB2312"/>
          <w:sz w:val="36"/>
          <w:szCs w:val="36"/>
        </w:rPr>
      </w:pPr>
      <w:bookmarkStart w:id="0" w:name="_Toc68012754"/>
      <w:r>
        <w:rPr>
          <w:rFonts w:hint="eastAsia"/>
          <w:color w:val="000000"/>
          <w:kern w:val="0"/>
          <w:sz w:val="56"/>
          <w:szCs w:val="56"/>
        </w:rPr>
        <w:drawing>
          <wp:anchor distT="0" distB="0" distL="114300" distR="114300" simplePos="0" relativeHeight="251661312" behindDoc="0" locked="0" layoutInCell="1" allowOverlap="1">
            <wp:simplePos x="0" y="0"/>
            <wp:positionH relativeFrom="column">
              <wp:posOffset>4440555</wp:posOffset>
            </wp:positionH>
            <wp:positionV relativeFrom="paragraph">
              <wp:posOffset>22860</wp:posOffset>
            </wp:positionV>
            <wp:extent cx="1524000" cy="952500"/>
            <wp:effectExtent l="0" t="0" r="0" b="0"/>
            <wp:wrapNone/>
            <wp:docPr id="2" name="图片 11" descr="a3cc85222590f6bf5baee15b54ab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a3cc85222590f6bf5baee15b54ab830"/>
                    <pic:cNvPicPr>
                      <a:picLocks noChangeAspect="1"/>
                    </pic:cNvPicPr>
                  </pic:nvPicPr>
                  <pic:blipFill>
                    <a:blip r:embed="rId16"/>
                    <a:stretch>
                      <a:fillRect/>
                    </a:stretch>
                  </pic:blipFill>
                  <pic:spPr>
                    <a:xfrm>
                      <a:off x="0" y="0"/>
                      <a:ext cx="1524000" cy="952500"/>
                    </a:xfrm>
                    <a:prstGeom prst="rect">
                      <a:avLst/>
                    </a:prstGeom>
                    <a:noFill/>
                    <a:ln>
                      <a:noFill/>
                    </a:ln>
                  </pic:spPr>
                </pic:pic>
              </a:graphicData>
            </a:graphic>
          </wp:anchor>
        </w:drawing>
      </w:r>
    </w:p>
    <w:p>
      <w:pPr>
        <w:adjustRightInd w:val="0"/>
        <w:snapToGrid w:val="0"/>
        <w:spacing w:line="288" w:lineRule="auto"/>
        <w:jc w:val="center"/>
        <w:rPr>
          <w:rFonts w:ascii="仿宋_GB2312" w:eastAsia="仿宋_GB2312"/>
          <w:sz w:val="36"/>
          <w:szCs w:val="36"/>
        </w:rPr>
      </w:pPr>
    </w:p>
    <w:p>
      <w:pPr>
        <w:pStyle w:val="3"/>
        <w:ind w:firstLine="643"/>
      </w:pPr>
    </w:p>
    <w:p>
      <w:pPr>
        <w:adjustRightInd w:val="0"/>
        <w:snapToGrid w:val="0"/>
        <w:spacing w:line="288" w:lineRule="auto"/>
        <w:ind w:firstLine="1120"/>
        <w:jc w:val="center"/>
        <w:rPr>
          <w:rFonts w:ascii="仿宋_GB2312" w:eastAsia="仿宋_GB2312"/>
          <w:sz w:val="36"/>
          <w:szCs w:val="36"/>
        </w:rPr>
      </w:pPr>
    </w:p>
    <w:bookmarkEnd w:id="0"/>
    <w:p>
      <w:pPr>
        <w:adjustRightInd w:val="0"/>
        <w:snapToGrid w:val="0"/>
        <w:jc w:val="center"/>
        <w:rPr>
          <w:rFonts w:ascii="宋体" w:hAnsi="宋体" w:cs="宋体"/>
          <w:b/>
          <w:sz w:val="72"/>
          <w:szCs w:val="72"/>
        </w:rPr>
      </w:pPr>
      <w:r>
        <w:rPr>
          <w:rFonts w:hint="eastAsia" w:ascii="宋体" w:hAnsi="宋体" w:cs="宋体"/>
          <w:b/>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ind w:firstLine="880"/>
        <w:jc w:val="center"/>
        <w:rPr>
          <w:rFonts w:ascii="宋体" w:hAnsi="宋体"/>
          <w:sz w:val="44"/>
          <w:szCs w:val="44"/>
        </w:rPr>
      </w:pPr>
    </w:p>
    <w:p>
      <w:pPr>
        <w:pStyle w:val="3"/>
        <w:ind w:firstLine="643"/>
      </w:pPr>
    </w:p>
    <w:p>
      <w:pPr>
        <w:ind w:firstLine="880"/>
        <w:jc w:val="center"/>
        <w:rPr>
          <w:rFonts w:ascii="宋体" w:hAnsi="宋体"/>
          <w:sz w:val="44"/>
          <w:szCs w:val="44"/>
        </w:rPr>
      </w:pPr>
    </w:p>
    <w:p>
      <w:pPr>
        <w:ind w:firstLine="880"/>
        <w:jc w:val="center"/>
        <w:rPr>
          <w:rFonts w:ascii="宋体" w:hAnsi="宋体"/>
          <w:sz w:val="44"/>
          <w:szCs w:val="44"/>
        </w:rPr>
      </w:pPr>
    </w:p>
    <w:p>
      <w:pPr>
        <w:pStyle w:val="19"/>
        <w:ind w:firstLine="480"/>
      </w:pPr>
    </w:p>
    <w:p>
      <w:pPr>
        <w:ind w:firstLine="880"/>
        <w:jc w:val="center"/>
        <w:rPr>
          <w:rFonts w:ascii="宋体" w:hAnsi="宋体"/>
          <w:sz w:val="44"/>
          <w:szCs w:val="44"/>
        </w:rPr>
      </w:pPr>
    </w:p>
    <w:tbl>
      <w:tblPr>
        <w:tblStyle w:val="24"/>
        <w:tblW w:w="5000" w:type="pct"/>
        <w:jc w:val="center"/>
        <w:tblLayout w:type="autofit"/>
        <w:tblCellMar>
          <w:top w:w="0" w:type="dxa"/>
          <w:left w:w="45" w:type="dxa"/>
          <w:bottom w:w="0" w:type="dxa"/>
          <w:right w:w="45" w:type="dxa"/>
        </w:tblCellMar>
      </w:tblPr>
      <w:tblGrid>
        <w:gridCol w:w="1875"/>
        <w:gridCol w:w="7961"/>
      </w:tblGrid>
      <w:tr>
        <w:tblPrEx>
          <w:tblCellMar>
            <w:top w:w="0" w:type="dxa"/>
            <w:left w:w="45" w:type="dxa"/>
            <w:bottom w:w="0" w:type="dxa"/>
            <w:right w:w="45" w:type="dxa"/>
          </w:tblCellMar>
        </w:tblPrEx>
        <w:trPr>
          <w:trHeight w:val="1134" w:hRule="atLeast"/>
          <w:jc w:val="center"/>
        </w:trPr>
        <w:tc>
          <w:tcPr>
            <w:tcW w:w="1703" w:type="dxa"/>
            <w:noWrap w:val="0"/>
            <w:vAlign w:val="center"/>
          </w:tcPr>
          <w:p>
            <w:pPr>
              <w:pStyle w:val="69"/>
              <w:rPr>
                <w:color w:val="auto"/>
                <w:sz w:val="32"/>
                <w:szCs w:val="32"/>
              </w:rPr>
            </w:pPr>
            <w:r>
              <w:rPr>
                <w:rFonts w:hint="eastAsia" w:ascii="宋体" w:cs="宋体"/>
                <w:bCs/>
                <w:color w:val="auto"/>
                <w:sz w:val="32"/>
                <w:szCs w:val="32"/>
              </w:rPr>
              <w:t>项</w:t>
            </w:r>
            <w:r>
              <w:rPr>
                <w:bCs/>
                <w:color w:val="auto"/>
                <w:sz w:val="32"/>
                <w:szCs w:val="32"/>
              </w:rPr>
              <w:t>目名称：</w:t>
            </w:r>
          </w:p>
        </w:tc>
        <w:tc>
          <w:tcPr>
            <w:tcW w:w="7231" w:type="dxa"/>
            <w:noWrap w:val="0"/>
            <w:vAlign w:val="center"/>
          </w:tcPr>
          <w:p>
            <w:pPr>
              <w:pStyle w:val="69"/>
              <w:rPr>
                <w:color w:val="auto"/>
                <w:sz w:val="30"/>
                <w:szCs w:val="30"/>
              </w:rPr>
            </w:pPr>
            <w:r>
              <w:rPr>
                <w:rFonts w:hint="eastAsia"/>
                <w:color w:val="auto"/>
                <w:sz w:val="30"/>
                <w:szCs w:val="30"/>
              </w:rPr>
              <w:t>紫霞大道工程建设、朝料村土地平整剩余砂石资源利用项目</w:t>
            </w:r>
          </w:p>
        </w:tc>
      </w:tr>
      <w:tr>
        <w:tblPrEx>
          <w:tblCellMar>
            <w:top w:w="0" w:type="dxa"/>
            <w:left w:w="45" w:type="dxa"/>
            <w:bottom w:w="0" w:type="dxa"/>
            <w:right w:w="45" w:type="dxa"/>
          </w:tblCellMar>
        </w:tblPrEx>
        <w:trPr>
          <w:trHeight w:val="1134" w:hRule="atLeast"/>
          <w:jc w:val="center"/>
        </w:trPr>
        <w:tc>
          <w:tcPr>
            <w:tcW w:w="1703" w:type="dxa"/>
            <w:noWrap w:val="0"/>
            <w:vAlign w:val="center"/>
          </w:tcPr>
          <w:p>
            <w:pPr>
              <w:pStyle w:val="69"/>
              <w:rPr>
                <w:color w:val="auto"/>
                <w:sz w:val="32"/>
                <w:szCs w:val="32"/>
              </w:rPr>
            </w:pPr>
            <w:r>
              <w:rPr>
                <w:bCs/>
                <w:color w:val="auto"/>
                <w:sz w:val="32"/>
                <w:szCs w:val="32"/>
              </w:rPr>
              <w:t>建设单位：</w:t>
            </w:r>
          </w:p>
        </w:tc>
        <w:tc>
          <w:tcPr>
            <w:tcW w:w="7231" w:type="dxa"/>
            <w:noWrap w:val="0"/>
            <w:vAlign w:val="center"/>
          </w:tcPr>
          <w:p>
            <w:pPr>
              <w:pStyle w:val="69"/>
              <w:rPr>
                <w:rFonts w:hint="eastAsia" w:hAnsi="Times New Roman"/>
                <w:bCs/>
                <w:color w:val="auto"/>
                <w:sz w:val="30"/>
                <w:szCs w:val="30"/>
              </w:rPr>
            </w:pPr>
            <w:r>
              <w:rPr>
                <w:rFonts w:hint="eastAsia" w:hAnsi="Times New Roman"/>
                <w:bCs/>
                <w:color w:val="auto"/>
                <w:sz w:val="30"/>
                <w:szCs w:val="30"/>
              </w:rPr>
              <w:t>花垣县太平砂石场</w:t>
            </w:r>
          </w:p>
        </w:tc>
      </w:tr>
      <w:tr>
        <w:tblPrEx>
          <w:tblCellMar>
            <w:top w:w="0" w:type="dxa"/>
            <w:left w:w="45" w:type="dxa"/>
            <w:bottom w:w="0" w:type="dxa"/>
            <w:right w:w="45" w:type="dxa"/>
          </w:tblCellMar>
        </w:tblPrEx>
        <w:trPr>
          <w:trHeight w:val="1134" w:hRule="atLeast"/>
          <w:jc w:val="center"/>
        </w:trPr>
        <w:tc>
          <w:tcPr>
            <w:tcW w:w="1703" w:type="dxa"/>
            <w:noWrap w:val="0"/>
            <w:vAlign w:val="center"/>
          </w:tcPr>
          <w:p>
            <w:pPr>
              <w:pStyle w:val="69"/>
              <w:rPr>
                <w:color w:val="auto"/>
                <w:sz w:val="32"/>
                <w:szCs w:val="32"/>
              </w:rPr>
            </w:pPr>
            <w:r>
              <w:rPr>
                <w:bCs/>
                <w:color w:val="auto"/>
                <w:sz w:val="32"/>
                <w:szCs w:val="32"/>
              </w:rPr>
              <w:t>编制日期：</w:t>
            </w:r>
          </w:p>
        </w:tc>
        <w:tc>
          <w:tcPr>
            <w:tcW w:w="7231" w:type="dxa"/>
            <w:noWrap w:val="0"/>
            <w:vAlign w:val="center"/>
          </w:tcPr>
          <w:p>
            <w:pPr>
              <w:pStyle w:val="69"/>
              <w:rPr>
                <w:rFonts w:hAnsi="Times New Roman"/>
                <w:bCs/>
                <w:color w:val="auto"/>
                <w:sz w:val="30"/>
                <w:szCs w:val="30"/>
              </w:rPr>
            </w:pPr>
            <w:r>
              <w:rPr>
                <w:rFonts w:hint="eastAsia" w:hAnsi="Times New Roman"/>
                <w:bCs/>
                <w:color w:val="auto"/>
                <w:sz w:val="30"/>
                <w:szCs w:val="30"/>
              </w:rPr>
              <w:t>2024年</w:t>
            </w:r>
            <w:r>
              <w:rPr>
                <w:rFonts w:hint="eastAsia" w:hAnsi="Times New Roman"/>
                <w:bCs/>
                <w:color w:val="auto"/>
                <w:sz w:val="30"/>
                <w:szCs w:val="30"/>
                <w:lang w:val="en-US" w:eastAsia="zh-CN"/>
              </w:rPr>
              <w:t>4</w:t>
            </w:r>
            <w:r>
              <w:rPr>
                <w:rFonts w:hint="eastAsia" w:hAnsi="Times New Roman"/>
                <w:bCs/>
                <w:color w:val="auto"/>
                <w:sz w:val="30"/>
                <w:szCs w:val="30"/>
              </w:rPr>
              <w:t>月</w:t>
            </w:r>
          </w:p>
        </w:tc>
      </w:tr>
    </w:tbl>
    <w:p>
      <w:pPr>
        <w:adjustRightInd w:val="0"/>
        <w:snapToGrid w:val="0"/>
        <w:spacing w:line="288" w:lineRule="auto"/>
        <w:jc w:val="center"/>
        <w:rPr>
          <w:rFonts w:ascii="仿宋_GB2312" w:eastAsia="仿宋_GB2312"/>
          <w:sz w:val="36"/>
          <w:szCs w:val="36"/>
        </w:rPr>
      </w:pPr>
    </w:p>
    <w:p>
      <w:pPr>
        <w:adjustRightInd w:val="0"/>
        <w:snapToGrid w:val="0"/>
        <w:spacing w:line="288" w:lineRule="auto"/>
        <w:jc w:val="center"/>
        <w:rPr>
          <w:rFonts w:ascii="宋体" w:hAnsi="宋体" w:cs="宋体"/>
          <w:sz w:val="36"/>
          <w:szCs w:val="36"/>
        </w:rPr>
      </w:pPr>
    </w:p>
    <w:p>
      <w:pPr>
        <w:adjustRightInd w:val="0"/>
        <w:snapToGrid w:val="0"/>
        <w:spacing w:line="288" w:lineRule="auto"/>
        <w:jc w:val="center"/>
        <w:rPr>
          <w:rFonts w:ascii="宋体" w:hAnsi="宋体" w:cs="宋体"/>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1077" w:gutter="0"/>
          <w:pgNumType w:start="1"/>
          <w:cols w:space="720" w:num="1"/>
          <w:titlePg/>
          <w:docGrid w:linePitch="312" w:charSpace="0"/>
        </w:sectPr>
      </w:pPr>
      <w:r>
        <w:rPr>
          <w:rFonts w:hint="eastAsia" w:ascii="宋体" w:hAnsi="宋体" w:cs="宋体"/>
          <w:sz w:val="36"/>
          <w:szCs w:val="36"/>
        </w:rPr>
        <w:t>中华人民共和国生态环境部制</w:t>
      </w:r>
    </w:p>
    <w:p>
      <w:pPr>
        <w:pStyle w:val="71"/>
        <w:spacing w:line="480" w:lineRule="auto"/>
        <w:rPr>
          <w:rFonts w:hint="eastAsia" w:eastAsia="黑体"/>
          <w:b/>
          <w:bCs/>
          <w:color w:val="auto"/>
          <w:lang w:eastAsia="zh-CN"/>
        </w:rPr>
        <w:sectPr>
          <w:pgSz w:w="11906" w:h="16838"/>
          <w:pgMar w:top="1440" w:right="1083" w:bottom="1440" w:left="1083" w:header="851" w:footer="1077" w:gutter="0"/>
          <w:pgNumType w:start="1"/>
          <w:cols w:space="720" w:num="1"/>
          <w:titlePg/>
          <w:docGrid w:linePitch="312" w:charSpace="0"/>
        </w:sectPr>
      </w:pPr>
      <w:r>
        <w:rPr>
          <w:rFonts w:hint="eastAsia" w:eastAsia="黑体"/>
          <w:b/>
          <w:bCs/>
          <w:color w:val="auto"/>
          <w:lang w:eastAsia="zh-CN"/>
        </w:rPr>
        <w:drawing>
          <wp:anchor distT="0" distB="0" distL="114300" distR="114300" simplePos="0" relativeHeight="251659264" behindDoc="1" locked="0" layoutInCell="1" allowOverlap="1">
            <wp:simplePos x="0" y="0"/>
            <wp:positionH relativeFrom="column">
              <wp:posOffset>-665480</wp:posOffset>
            </wp:positionH>
            <wp:positionV relativeFrom="paragraph">
              <wp:posOffset>-866775</wp:posOffset>
            </wp:positionV>
            <wp:extent cx="7480935" cy="10585450"/>
            <wp:effectExtent l="0" t="0" r="5715" b="6350"/>
            <wp:wrapNone/>
            <wp:docPr id="1" name="图片 251" descr="紫霞大道工程建设、朝料村土地平整剩余砂石资源利用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1" descr="紫霞大道工程建设、朝料村土地平整剩余砂石资源利用项目_00"/>
                    <pic:cNvPicPr>
                      <a:picLocks noChangeAspect="1"/>
                    </pic:cNvPicPr>
                  </pic:nvPicPr>
                  <pic:blipFill>
                    <a:blip r:embed="rId17"/>
                    <a:stretch>
                      <a:fillRect/>
                    </a:stretch>
                  </pic:blipFill>
                  <pic:spPr>
                    <a:xfrm>
                      <a:off x="0" y="0"/>
                      <a:ext cx="7480935" cy="10585450"/>
                    </a:xfrm>
                    <a:prstGeom prst="rect">
                      <a:avLst/>
                    </a:prstGeom>
                    <a:noFill/>
                    <a:ln>
                      <a:noFill/>
                    </a:ln>
                  </pic:spPr>
                </pic:pic>
              </a:graphicData>
            </a:graphic>
          </wp:anchor>
        </w:drawing>
      </w:r>
    </w:p>
    <w:p>
      <w:pPr>
        <w:pStyle w:val="8"/>
        <w:spacing w:line="240" w:lineRule="auto"/>
        <w:jc w:val="center"/>
        <w:rPr>
          <w:rFonts w:hint="eastAsia"/>
          <w:b/>
          <w:bCs/>
          <w:sz w:val="28"/>
          <w:szCs w:val="28"/>
          <w:lang w:eastAsia="zh-CN"/>
        </w:rPr>
      </w:pPr>
      <w:r>
        <w:rPr>
          <w:rFonts w:hint="eastAsia"/>
          <w:b/>
          <w:bCs/>
          <w:sz w:val="28"/>
          <w:szCs w:val="28"/>
          <w:lang w:eastAsia="zh-CN"/>
        </w:rPr>
        <w:t>《紫霞大道工程建设、朝料村土地平整剩余砂石资源利用项目</w:t>
      </w:r>
      <w:r>
        <w:rPr>
          <w:rFonts w:hint="eastAsia"/>
          <w:b/>
          <w:bCs/>
          <w:sz w:val="28"/>
          <w:szCs w:val="28"/>
        </w:rPr>
        <w:t>环境影响报告</w:t>
      </w:r>
      <w:r>
        <w:rPr>
          <w:rFonts w:hint="eastAsia"/>
          <w:b/>
          <w:bCs/>
          <w:sz w:val="28"/>
          <w:szCs w:val="28"/>
          <w:lang w:eastAsia="zh-CN"/>
        </w:rPr>
        <w:t>表》专家意见修改清单一览表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0580"/>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bidi w:val="0"/>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序号</w:t>
            </w:r>
          </w:p>
        </w:tc>
        <w:tc>
          <w:tcPr>
            <w:tcW w:w="11767" w:type="dxa"/>
            <w:noWrap w:val="0"/>
            <w:vAlign w:val="center"/>
          </w:tcPr>
          <w:p>
            <w:pPr>
              <w:pStyle w:val="69"/>
              <w:bidi w:val="0"/>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专家意见</w:t>
            </w:r>
          </w:p>
        </w:tc>
        <w:tc>
          <w:tcPr>
            <w:tcW w:w="3114" w:type="dxa"/>
            <w:noWrap w:val="0"/>
            <w:vAlign w:val="center"/>
          </w:tcPr>
          <w:p>
            <w:pPr>
              <w:pStyle w:val="69"/>
              <w:bidi w:val="0"/>
              <w:spacing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11767"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完善专项评价设置情况说明，核实项目所属国民经济行业类别、开工建设情况、总投资及环保投资。</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已完善P1，已核实P1。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1767"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核实项目选址位置及用地，说明“紫霞湖景区段工程”用地与本项目关系，明确花垣县交通运输局、竞得人、建设单位花垣县太平砂石场之间相互关系，并补充相关依据</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已核实P14。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11767" w:type="dxa"/>
            <w:noWrap w:val="0"/>
            <w:vAlign w:val="center"/>
          </w:tcPr>
          <w:p>
            <w:pPr>
              <w:pStyle w:val="13"/>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完善项目选址合理性、相关规划政策的符合性分析，结合花垣县自然资源局《关于对紫霞道路及朝料村土地平整项目剩余石料处置的请示》具体内容，进一步说明项目与《花垣县国土空间总体规划（2021-2035年）》及“三区三线”、花垣县砂石加工相关政策、《公路法》等符合性。</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已完善P12，已进一步说明P5、P12、P11。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w:t>
            </w:r>
          </w:p>
        </w:tc>
        <w:tc>
          <w:tcPr>
            <w:tcW w:w="11767" w:type="dxa"/>
            <w:noWrap w:val="0"/>
            <w:vAlign w:val="center"/>
          </w:tcPr>
          <w:p>
            <w:pPr>
              <w:pStyle w:val="23"/>
              <w:keepNext w:val="0"/>
              <w:keepLines w:val="0"/>
              <w:pageBreakBefore w:val="0"/>
              <w:widowControl/>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kern w:val="2"/>
                <w:sz w:val="21"/>
                <w:szCs w:val="21"/>
                <w:lang w:val="en-US" w:eastAsia="zh-CN" w:bidi="ar-SA"/>
              </w:rPr>
              <w:t>完善</w:t>
            </w:r>
            <w:r>
              <w:rPr>
                <w:rFonts w:hint="default" w:ascii="Times New Roman" w:hAnsi="Times New Roman" w:eastAsia="宋体" w:cs="Times New Roman"/>
                <w:b w:val="0"/>
                <w:bCs w:val="0"/>
                <w:color w:val="auto"/>
                <w:sz w:val="21"/>
                <w:szCs w:val="21"/>
                <w:lang w:val="en-US" w:eastAsia="zh-CN"/>
              </w:rPr>
              <w:t>项目由</w:t>
            </w:r>
            <w:r>
              <w:rPr>
                <w:rFonts w:hint="default" w:ascii="Times New Roman" w:hAnsi="Times New Roman" w:eastAsia="宋体" w:cs="Times New Roman"/>
                <w:b w:val="0"/>
                <w:bCs w:val="0"/>
                <w:color w:val="auto"/>
                <w:kern w:val="2"/>
                <w:sz w:val="21"/>
                <w:szCs w:val="21"/>
                <w:lang w:val="en-US" w:eastAsia="zh-CN" w:bidi="ar-SA"/>
              </w:rPr>
              <w:t>来，</w:t>
            </w:r>
            <w:r>
              <w:rPr>
                <w:rFonts w:hint="default" w:ascii="Times New Roman" w:hAnsi="Times New Roman" w:eastAsia="宋体" w:cs="Times New Roman"/>
                <w:b w:val="0"/>
                <w:bCs w:val="0"/>
                <w:color w:val="auto"/>
                <w:spacing w:val="4"/>
                <w:sz w:val="21"/>
                <w:szCs w:val="21"/>
                <w:lang w:val="en-US" w:eastAsia="zh-CN"/>
              </w:rPr>
              <w:t>明确项目</w:t>
            </w:r>
            <w:r>
              <w:rPr>
                <w:rFonts w:hint="default" w:ascii="Times New Roman" w:hAnsi="Times New Roman" w:eastAsia="宋体" w:cs="Times New Roman"/>
                <w:b w:val="0"/>
                <w:bCs w:val="0"/>
                <w:color w:val="auto"/>
                <w:spacing w:val="4"/>
                <w:sz w:val="21"/>
                <w:szCs w:val="21"/>
                <w:lang w:eastAsia="zh-CN"/>
              </w:rPr>
              <w:t>为临时工程，</w:t>
            </w:r>
            <w:r>
              <w:rPr>
                <w:rFonts w:hint="default" w:ascii="Times New Roman" w:hAnsi="Times New Roman" w:eastAsia="宋体" w:cs="Times New Roman"/>
                <w:b w:val="0"/>
                <w:bCs w:val="0"/>
                <w:color w:val="auto"/>
                <w:spacing w:val="4"/>
                <w:sz w:val="21"/>
                <w:szCs w:val="21"/>
                <w:lang w:val="en-US" w:eastAsia="zh-CN"/>
              </w:rPr>
              <w:t>不接受外来石料加工</w:t>
            </w:r>
            <w:r>
              <w:rPr>
                <w:rFonts w:hint="default" w:ascii="Times New Roman" w:hAnsi="Times New Roman" w:eastAsia="宋体" w:cs="Times New Roman"/>
                <w:b w:val="0"/>
                <w:bCs w:val="0"/>
                <w:color w:val="auto"/>
                <w:spacing w:val="4"/>
                <w:sz w:val="21"/>
                <w:szCs w:val="21"/>
                <w:lang w:eastAsia="zh-CN"/>
              </w:rPr>
              <w:t>，</w:t>
            </w:r>
            <w:r>
              <w:rPr>
                <w:rFonts w:hint="default" w:ascii="Times New Roman" w:hAnsi="Times New Roman" w:eastAsia="宋体" w:cs="Times New Roman"/>
                <w:b w:val="0"/>
                <w:bCs w:val="0"/>
                <w:color w:val="auto"/>
                <w:spacing w:val="4"/>
                <w:sz w:val="21"/>
                <w:szCs w:val="21"/>
                <w:lang w:val="en-US" w:eastAsia="zh-CN"/>
              </w:rPr>
              <w:t>1年后</w:t>
            </w:r>
            <w:r>
              <w:rPr>
                <w:rFonts w:hint="default" w:ascii="Times New Roman" w:hAnsi="Times New Roman" w:eastAsia="宋体" w:cs="Times New Roman"/>
                <w:b w:val="0"/>
                <w:bCs w:val="0"/>
                <w:color w:val="auto"/>
                <w:spacing w:val="4"/>
                <w:sz w:val="21"/>
                <w:szCs w:val="21"/>
                <w:lang w:eastAsia="zh-CN"/>
              </w:rPr>
              <w:t>将进行拆除</w:t>
            </w:r>
            <w:r>
              <w:rPr>
                <w:rFonts w:hint="default"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sz w:val="21"/>
                <w:szCs w:val="21"/>
                <w:lang w:val="en-US" w:eastAsia="zh-CN"/>
              </w:rPr>
              <w:t>细化项目建设内容，</w:t>
            </w:r>
            <w:r>
              <w:rPr>
                <w:rFonts w:hint="default" w:ascii="Times New Roman" w:hAnsi="Times New Roman" w:eastAsia="宋体" w:cs="Times New Roman"/>
                <w:b w:val="0"/>
                <w:bCs w:val="0"/>
                <w:color w:val="auto"/>
                <w:kern w:val="2"/>
                <w:sz w:val="21"/>
                <w:szCs w:val="21"/>
                <w:lang w:val="en-US" w:eastAsia="zh-CN" w:bidi="ar-SA"/>
              </w:rPr>
              <w:t>核实原料堆场和成品库建筑物封闭方式，</w:t>
            </w:r>
            <w:r>
              <w:rPr>
                <w:rFonts w:hint="default" w:ascii="Times New Roman" w:hAnsi="Times New Roman" w:eastAsia="宋体" w:cs="Times New Roman"/>
                <w:b w:val="0"/>
                <w:bCs w:val="0"/>
                <w:color w:val="auto"/>
                <w:sz w:val="21"/>
                <w:szCs w:val="21"/>
                <w:lang w:val="en-US" w:eastAsia="zh-CN"/>
              </w:rPr>
              <w:t>明确厂区内柴油储存情况，细化原料堆场周边截排水沟设置内容，核实初期雨水量并说明初期雨水收集及处理设施。</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已完善P14，已细化P16~P17，已核实P20，已明确P17，已细化P19~P20、P46。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11767" w:type="dxa"/>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补充现状监测资料中引用数据的合理性，核实项目地与兄弟河下寨河饮用水水源保护区的位置关系、川心城监测断面与兄弟河进入花垣河汇入口位置关系，说明周边居民饮水来源，完善地下水、土壤保护目标。</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eastAsia="zh-CN"/>
              </w:rPr>
              <w:t>已补充</w:t>
            </w:r>
            <w:r>
              <w:rPr>
                <w:rFonts w:hint="eastAsia" w:cs="Times New Roman"/>
                <w:b w:val="0"/>
                <w:bCs w:val="0"/>
                <w:sz w:val="21"/>
                <w:szCs w:val="21"/>
                <w:lang w:val="en-US" w:eastAsia="zh-CN"/>
              </w:rPr>
              <w:t>P26，已核实P27，已说明P28，已完善P30。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sz w:val="21"/>
                <w:szCs w:val="21"/>
                <w:lang w:val="en-US" w:eastAsia="zh-CN"/>
              </w:rPr>
              <w:t>6</w:t>
            </w:r>
          </w:p>
        </w:tc>
        <w:tc>
          <w:tcPr>
            <w:tcW w:w="11767" w:type="dxa"/>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强化工程分析，核实有组织、无组织排放废气源强和处理设施收集效率及处理效率取值的合理性，明确集气罩安装位置以及原料堆场、装料、输送过程的降尘措施，核实卸料降尘措施可行性。</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已强化工程分析P36~P54,已核实P36,已明确P36，已核实P36。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7</w:t>
            </w:r>
          </w:p>
        </w:tc>
        <w:tc>
          <w:tcPr>
            <w:tcW w:w="11767" w:type="dxa"/>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完善雨污分流（截洪沟）措施，明确雨水收集池规模、位置及风险措施要求，优化生活污水处理措施，细化利用方式，完善其农用可行性和可操作性分析。</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已完善P46，P57，已优化P45~P46。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p>
        </w:tc>
        <w:tc>
          <w:tcPr>
            <w:tcW w:w="11767"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完善噪声排放预测结果及评价结论；补充废机油产生情况，明确属性及最大暂存量，完善暂存措施要求；核实地下水和土壤影响分析及预防措施，完善分区防渗要求。</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eastAsia="zh-CN"/>
              </w:rPr>
              <w:t>已完善</w:t>
            </w:r>
            <w:r>
              <w:rPr>
                <w:rFonts w:hint="eastAsia" w:cs="Times New Roman"/>
                <w:b w:val="0"/>
                <w:bCs w:val="0"/>
                <w:sz w:val="21"/>
                <w:szCs w:val="21"/>
                <w:lang w:val="en-US" w:eastAsia="zh-CN"/>
              </w:rPr>
              <w:t>P49,已补充P50,已完善P53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90"/>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9</w:t>
            </w:r>
          </w:p>
        </w:tc>
        <w:tc>
          <w:tcPr>
            <w:tcW w:w="117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强化风险分析内容，补充风险物质理化性质及危险性，核实生产系统危险性识别，补充废水处理设施故障、废水事故外排等，完善建设项目环境风险简单分析内容表。</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已强化P54~P59，已补充P54，已核实并补充P54~P55，已完善P59。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90"/>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w:t>
            </w:r>
          </w:p>
        </w:tc>
        <w:tc>
          <w:tcPr>
            <w:tcW w:w="11767" w:type="dxa"/>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细化退让后场地修复要求及责任主体，</w:t>
            </w:r>
            <w:r>
              <w:rPr>
                <w:rFonts w:hint="default" w:ascii="Times New Roman" w:hAnsi="Times New Roman" w:eastAsia="宋体" w:cs="Times New Roman"/>
                <w:b w:val="0"/>
                <w:bCs w:val="0"/>
                <w:color w:val="auto"/>
                <w:sz w:val="21"/>
                <w:szCs w:val="21"/>
                <w:lang w:val="en-US" w:eastAsia="zh-CN"/>
              </w:rPr>
              <w:t>完善监测计划，核实建设项目污染物排放量汇总表。</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已细化P53，已完善P43、P49,已核实P65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dxa"/>
            <w:noWrap w:val="0"/>
            <w:vAlign w:val="center"/>
          </w:tcPr>
          <w:p>
            <w:pPr>
              <w:pStyle w:val="90"/>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w:t>
            </w:r>
          </w:p>
        </w:tc>
        <w:tc>
          <w:tcPr>
            <w:tcW w:w="1176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完善附图附件。</w:t>
            </w:r>
          </w:p>
        </w:tc>
        <w:tc>
          <w:tcPr>
            <w:tcW w:w="3114" w:type="dxa"/>
            <w:noWrap w:val="0"/>
            <w:vAlign w:val="center"/>
          </w:tcPr>
          <w:p>
            <w:pPr>
              <w:pStyle w:val="69"/>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已完善</w:t>
            </w:r>
          </w:p>
        </w:tc>
      </w:tr>
    </w:tbl>
    <w:p>
      <w:pPr>
        <w:pStyle w:val="15"/>
        <w:rPr>
          <w:rFonts w:hint="eastAsia"/>
          <w:lang w:eastAsia="zh-CN"/>
        </w:rPr>
        <w:sectPr>
          <w:pgSz w:w="16838" w:h="11906" w:orient="landscape"/>
          <w:pgMar w:top="1080" w:right="1440" w:bottom="1080" w:left="1440"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15"/>
        <w:rPr>
          <w:rFonts w:hint="eastAsia"/>
          <w:lang w:eastAsia="zh-CN"/>
        </w:rPr>
        <w:sectPr>
          <w:pgSz w:w="16838" w:h="11906" w:orient="landscape"/>
          <w:pgMar w:top="1080" w:right="1440" w:bottom="1080" w:left="144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宋体" w:hAnsi="宋体" w:eastAsia="宋体" w:cs="宋体"/>
          <w:sz w:val="24"/>
          <w:szCs w:val="24"/>
        </w:rPr>
        <w:drawing>
          <wp:inline distT="0" distB="0" distL="114300" distR="114300">
            <wp:extent cx="6202045" cy="8846820"/>
            <wp:effectExtent l="0" t="0" r="11430" b="8255"/>
            <wp:docPr id="2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56"/>
                    <pic:cNvPicPr>
                      <a:picLocks noChangeAspect="1"/>
                    </pic:cNvPicPr>
                  </pic:nvPicPr>
                  <pic:blipFill>
                    <a:blip r:embed="rId18"/>
                    <a:stretch>
                      <a:fillRect/>
                    </a:stretch>
                  </pic:blipFill>
                  <pic:spPr>
                    <a:xfrm rot="16200000">
                      <a:off x="0" y="0"/>
                      <a:ext cx="6202045" cy="8846820"/>
                    </a:xfrm>
                    <a:prstGeom prst="rect">
                      <a:avLst/>
                    </a:prstGeom>
                    <a:noFill/>
                    <a:ln w="9525">
                      <a:noFill/>
                    </a:ln>
                  </pic:spPr>
                </pic:pic>
              </a:graphicData>
            </a:graphic>
          </wp:inline>
        </w:drawing>
      </w:r>
    </w:p>
    <w:p>
      <w:pPr>
        <w:pStyle w:val="71"/>
        <w:spacing w:line="480" w:lineRule="auto"/>
        <w:rPr>
          <w:b/>
          <w:bCs/>
          <w:color w:val="auto"/>
        </w:rPr>
      </w:pPr>
      <w:r>
        <w:rPr>
          <w:b/>
          <w:bCs/>
          <w:color w:val="auto"/>
        </w:rPr>
        <w:t>目录</w:t>
      </w:r>
    </w:p>
    <w:p>
      <w:pPr>
        <w:pStyle w:val="17"/>
        <w:tabs>
          <w:tab w:val="right" w:leader="dot" w:pos="8844"/>
        </w:tabs>
        <w:spacing w:line="480" w:lineRule="auto"/>
        <w:rPr>
          <w:szCs w:val="28"/>
        </w:rPr>
      </w:pPr>
      <w:r>
        <w:rPr>
          <w:szCs w:val="28"/>
        </w:rPr>
        <w:fldChar w:fldCharType="begin"/>
      </w:r>
      <w:r>
        <w:rPr>
          <w:szCs w:val="28"/>
        </w:rPr>
        <w:instrText xml:space="preserve">TOC \o "1-1" \h \u </w:instrText>
      </w:r>
      <w:r>
        <w:rPr>
          <w:szCs w:val="28"/>
        </w:rPr>
        <w:fldChar w:fldCharType="separate"/>
      </w:r>
      <w:r>
        <w:rPr>
          <w:szCs w:val="28"/>
        </w:rPr>
        <w:fldChar w:fldCharType="begin"/>
      </w:r>
      <w:r>
        <w:rPr>
          <w:szCs w:val="28"/>
        </w:rPr>
        <w:instrText xml:space="preserve"> HYPERLINK \l _Toc8671 </w:instrText>
      </w:r>
      <w:r>
        <w:rPr>
          <w:szCs w:val="28"/>
        </w:rPr>
        <w:fldChar w:fldCharType="separate"/>
      </w:r>
      <w:r>
        <w:rPr>
          <w:snapToGrid w:val="0"/>
          <w:szCs w:val="28"/>
        </w:rPr>
        <w:t>一、建设项目基本情况</w:t>
      </w:r>
      <w:r>
        <w:rPr>
          <w:szCs w:val="28"/>
        </w:rPr>
        <w:tab/>
      </w:r>
      <w:r>
        <w:rPr>
          <w:szCs w:val="28"/>
        </w:rPr>
        <w:fldChar w:fldCharType="begin"/>
      </w:r>
      <w:r>
        <w:rPr>
          <w:szCs w:val="28"/>
        </w:rPr>
        <w:instrText xml:space="preserve"> PAGEREF _Toc8671 \h </w:instrText>
      </w:r>
      <w:r>
        <w:rPr>
          <w:szCs w:val="28"/>
        </w:rPr>
        <w:fldChar w:fldCharType="separate"/>
      </w:r>
      <w:r>
        <w:rPr>
          <w:szCs w:val="28"/>
        </w:rPr>
        <w:t>- 1 -</w:t>
      </w:r>
      <w:r>
        <w:rPr>
          <w:szCs w:val="28"/>
        </w:rPr>
        <w:fldChar w:fldCharType="end"/>
      </w:r>
      <w:r>
        <w:rPr>
          <w:szCs w:val="28"/>
        </w:rPr>
        <w:fldChar w:fldCharType="end"/>
      </w:r>
    </w:p>
    <w:p>
      <w:pPr>
        <w:pStyle w:val="17"/>
        <w:tabs>
          <w:tab w:val="right" w:leader="dot" w:pos="8844"/>
        </w:tabs>
        <w:spacing w:line="480" w:lineRule="auto"/>
        <w:rPr>
          <w:szCs w:val="28"/>
        </w:rPr>
      </w:pPr>
      <w:r>
        <w:rPr>
          <w:szCs w:val="28"/>
        </w:rPr>
        <w:fldChar w:fldCharType="begin"/>
      </w:r>
      <w:r>
        <w:rPr>
          <w:szCs w:val="28"/>
        </w:rPr>
        <w:instrText xml:space="preserve"> HYPERLINK \l _Toc26287 </w:instrText>
      </w:r>
      <w:r>
        <w:rPr>
          <w:szCs w:val="28"/>
        </w:rPr>
        <w:fldChar w:fldCharType="separate"/>
      </w:r>
      <w:r>
        <w:rPr>
          <w:szCs w:val="28"/>
        </w:rPr>
        <w:t>二、建设项目工程分析</w:t>
      </w:r>
      <w:r>
        <w:rPr>
          <w:szCs w:val="28"/>
        </w:rPr>
        <w:tab/>
      </w:r>
      <w:r>
        <w:rPr>
          <w:szCs w:val="28"/>
        </w:rPr>
        <w:fldChar w:fldCharType="begin"/>
      </w:r>
      <w:r>
        <w:rPr>
          <w:szCs w:val="28"/>
        </w:rPr>
        <w:instrText xml:space="preserve"> PAGEREF _Toc26287 \h </w:instrText>
      </w:r>
      <w:r>
        <w:rPr>
          <w:szCs w:val="28"/>
        </w:rPr>
        <w:fldChar w:fldCharType="separate"/>
      </w:r>
      <w:r>
        <w:rPr>
          <w:szCs w:val="28"/>
        </w:rPr>
        <w:t>- 15 -</w:t>
      </w:r>
      <w:r>
        <w:rPr>
          <w:szCs w:val="28"/>
        </w:rPr>
        <w:fldChar w:fldCharType="end"/>
      </w:r>
      <w:r>
        <w:rPr>
          <w:szCs w:val="28"/>
        </w:rPr>
        <w:fldChar w:fldCharType="end"/>
      </w:r>
    </w:p>
    <w:p>
      <w:pPr>
        <w:pStyle w:val="17"/>
        <w:tabs>
          <w:tab w:val="right" w:leader="dot" w:pos="8844"/>
        </w:tabs>
        <w:spacing w:line="480" w:lineRule="auto"/>
        <w:rPr>
          <w:szCs w:val="28"/>
        </w:rPr>
      </w:pPr>
      <w:r>
        <w:rPr>
          <w:szCs w:val="28"/>
        </w:rPr>
        <w:fldChar w:fldCharType="begin"/>
      </w:r>
      <w:r>
        <w:rPr>
          <w:szCs w:val="28"/>
        </w:rPr>
        <w:instrText xml:space="preserve"> HYPERLINK \l _Toc18451 </w:instrText>
      </w:r>
      <w:r>
        <w:rPr>
          <w:szCs w:val="28"/>
        </w:rPr>
        <w:fldChar w:fldCharType="separate"/>
      </w:r>
      <w:r>
        <w:rPr>
          <w:szCs w:val="28"/>
        </w:rPr>
        <w:t>三、区域环境质量现状、环境保护目标及评价标准</w:t>
      </w:r>
      <w:r>
        <w:rPr>
          <w:szCs w:val="28"/>
        </w:rPr>
        <w:tab/>
      </w:r>
      <w:r>
        <w:rPr>
          <w:szCs w:val="28"/>
        </w:rPr>
        <w:fldChar w:fldCharType="begin"/>
      </w:r>
      <w:r>
        <w:rPr>
          <w:szCs w:val="28"/>
        </w:rPr>
        <w:instrText xml:space="preserve"> PAGEREF _Toc18451 \h </w:instrText>
      </w:r>
      <w:r>
        <w:rPr>
          <w:szCs w:val="28"/>
        </w:rPr>
        <w:fldChar w:fldCharType="separate"/>
      </w:r>
      <w:r>
        <w:rPr>
          <w:szCs w:val="28"/>
        </w:rPr>
        <w:t>- 29 -</w:t>
      </w:r>
      <w:r>
        <w:rPr>
          <w:szCs w:val="28"/>
        </w:rPr>
        <w:fldChar w:fldCharType="end"/>
      </w:r>
      <w:r>
        <w:rPr>
          <w:szCs w:val="28"/>
        </w:rPr>
        <w:fldChar w:fldCharType="end"/>
      </w:r>
    </w:p>
    <w:p>
      <w:pPr>
        <w:pStyle w:val="17"/>
        <w:tabs>
          <w:tab w:val="right" w:leader="dot" w:pos="8844"/>
        </w:tabs>
        <w:spacing w:line="480" w:lineRule="auto"/>
        <w:rPr>
          <w:szCs w:val="28"/>
        </w:rPr>
      </w:pPr>
      <w:r>
        <w:rPr>
          <w:szCs w:val="28"/>
        </w:rPr>
        <w:fldChar w:fldCharType="begin"/>
      </w:r>
      <w:r>
        <w:rPr>
          <w:szCs w:val="28"/>
        </w:rPr>
        <w:instrText xml:space="preserve"> HYPERLINK \l _Toc30365 </w:instrText>
      </w:r>
      <w:r>
        <w:rPr>
          <w:szCs w:val="28"/>
        </w:rPr>
        <w:fldChar w:fldCharType="separate"/>
      </w:r>
      <w:r>
        <w:rPr>
          <w:szCs w:val="28"/>
        </w:rPr>
        <w:t>四、主要环境影响和保护措施</w:t>
      </w:r>
      <w:r>
        <w:rPr>
          <w:szCs w:val="28"/>
        </w:rPr>
        <w:tab/>
      </w:r>
      <w:r>
        <w:rPr>
          <w:szCs w:val="28"/>
        </w:rPr>
        <w:fldChar w:fldCharType="begin"/>
      </w:r>
      <w:r>
        <w:rPr>
          <w:szCs w:val="28"/>
        </w:rPr>
        <w:instrText xml:space="preserve"> PAGEREF _Toc30365 \h </w:instrText>
      </w:r>
      <w:r>
        <w:rPr>
          <w:szCs w:val="28"/>
        </w:rPr>
        <w:fldChar w:fldCharType="separate"/>
      </w:r>
      <w:r>
        <w:rPr>
          <w:szCs w:val="28"/>
        </w:rPr>
        <w:t>- 36 -</w:t>
      </w:r>
      <w:r>
        <w:rPr>
          <w:szCs w:val="28"/>
        </w:rPr>
        <w:fldChar w:fldCharType="end"/>
      </w:r>
      <w:r>
        <w:rPr>
          <w:szCs w:val="28"/>
        </w:rPr>
        <w:fldChar w:fldCharType="end"/>
      </w:r>
    </w:p>
    <w:p>
      <w:pPr>
        <w:pStyle w:val="17"/>
        <w:tabs>
          <w:tab w:val="right" w:leader="dot" w:pos="8844"/>
        </w:tabs>
        <w:spacing w:line="480" w:lineRule="auto"/>
        <w:rPr>
          <w:szCs w:val="28"/>
        </w:rPr>
      </w:pPr>
      <w:r>
        <w:rPr>
          <w:szCs w:val="28"/>
        </w:rPr>
        <w:fldChar w:fldCharType="begin"/>
      </w:r>
      <w:r>
        <w:rPr>
          <w:szCs w:val="28"/>
        </w:rPr>
        <w:instrText xml:space="preserve"> HYPERLINK \l _Toc3146 </w:instrText>
      </w:r>
      <w:r>
        <w:rPr>
          <w:szCs w:val="28"/>
        </w:rPr>
        <w:fldChar w:fldCharType="separate"/>
      </w:r>
      <w:r>
        <w:rPr>
          <w:bCs/>
          <w:kern w:val="44"/>
          <w:szCs w:val="28"/>
        </w:rPr>
        <w:t>五、环境保护措施监督检查清单</w:t>
      </w:r>
      <w:r>
        <w:rPr>
          <w:szCs w:val="28"/>
        </w:rPr>
        <w:tab/>
      </w:r>
      <w:r>
        <w:rPr>
          <w:szCs w:val="28"/>
        </w:rPr>
        <w:fldChar w:fldCharType="begin"/>
      </w:r>
      <w:r>
        <w:rPr>
          <w:szCs w:val="28"/>
        </w:rPr>
        <w:instrText xml:space="preserve"> PAGEREF _Toc3146 \h </w:instrText>
      </w:r>
      <w:r>
        <w:rPr>
          <w:szCs w:val="28"/>
        </w:rPr>
        <w:fldChar w:fldCharType="separate"/>
      </w:r>
      <w:r>
        <w:rPr>
          <w:szCs w:val="28"/>
        </w:rPr>
        <w:t>- 65 -</w:t>
      </w:r>
      <w:r>
        <w:rPr>
          <w:szCs w:val="28"/>
        </w:rPr>
        <w:fldChar w:fldCharType="end"/>
      </w:r>
      <w:r>
        <w:rPr>
          <w:szCs w:val="28"/>
        </w:rPr>
        <w:fldChar w:fldCharType="end"/>
      </w:r>
    </w:p>
    <w:p>
      <w:pPr>
        <w:pStyle w:val="17"/>
        <w:tabs>
          <w:tab w:val="right" w:leader="dot" w:pos="8844"/>
        </w:tabs>
        <w:spacing w:line="480" w:lineRule="auto"/>
        <w:rPr>
          <w:szCs w:val="28"/>
        </w:rPr>
      </w:pPr>
      <w:r>
        <w:rPr>
          <w:szCs w:val="28"/>
        </w:rPr>
        <w:fldChar w:fldCharType="begin"/>
      </w:r>
      <w:r>
        <w:rPr>
          <w:szCs w:val="28"/>
        </w:rPr>
        <w:instrText xml:space="preserve"> HYPERLINK \l _Toc23320 </w:instrText>
      </w:r>
      <w:r>
        <w:rPr>
          <w:szCs w:val="28"/>
        </w:rPr>
        <w:fldChar w:fldCharType="separate"/>
      </w:r>
      <w:r>
        <w:rPr>
          <w:bCs/>
          <w:kern w:val="44"/>
          <w:szCs w:val="28"/>
        </w:rPr>
        <w:t>六、结论</w:t>
      </w:r>
      <w:r>
        <w:rPr>
          <w:szCs w:val="28"/>
        </w:rPr>
        <w:tab/>
      </w:r>
      <w:r>
        <w:rPr>
          <w:szCs w:val="28"/>
        </w:rPr>
        <w:fldChar w:fldCharType="begin"/>
      </w:r>
      <w:r>
        <w:rPr>
          <w:szCs w:val="28"/>
        </w:rPr>
        <w:instrText xml:space="preserve"> PAGEREF _Toc23320 \h </w:instrText>
      </w:r>
      <w:r>
        <w:rPr>
          <w:szCs w:val="28"/>
        </w:rPr>
        <w:fldChar w:fldCharType="separate"/>
      </w:r>
      <w:r>
        <w:rPr>
          <w:szCs w:val="28"/>
        </w:rPr>
        <w:t>- 68 -</w:t>
      </w:r>
      <w:r>
        <w:rPr>
          <w:szCs w:val="28"/>
        </w:rPr>
        <w:fldChar w:fldCharType="end"/>
      </w:r>
      <w:r>
        <w:rPr>
          <w:szCs w:val="28"/>
        </w:rPr>
        <w:fldChar w:fldCharType="end"/>
      </w:r>
    </w:p>
    <w:p>
      <w:pPr>
        <w:pStyle w:val="71"/>
        <w:spacing w:line="480" w:lineRule="auto"/>
        <w:rPr>
          <w:color w:val="auto"/>
        </w:rPr>
      </w:pPr>
      <w:r>
        <w:rPr>
          <w:rFonts w:eastAsia="宋体"/>
          <w:color w:val="auto"/>
          <w:sz w:val="28"/>
          <w:szCs w:val="28"/>
        </w:rPr>
        <w:fldChar w:fldCharType="end"/>
      </w:r>
    </w:p>
    <w:p>
      <w:pPr>
        <w:spacing w:line="480" w:lineRule="exact"/>
        <w:ind w:firstLine="482"/>
        <w:rPr>
          <w:b/>
          <w:bCs/>
          <w:lang w:val="zh-CN"/>
        </w:rPr>
        <w:sectPr>
          <w:pgSz w:w="11906" w:h="16838"/>
          <w:pgMar w:top="1440" w:right="1083" w:bottom="1440" w:left="1083" w:header="851" w:footer="1077" w:gutter="0"/>
          <w:pgNumType w:start="1"/>
          <w:cols w:space="720" w:num="1"/>
          <w:titlePg/>
          <w:docGrid w:linePitch="312" w:charSpace="0"/>
        </w:sectPr>
      </w:pPr>
    </w:p>
    <w:p>
      <w:pPr>
        <w:ind w:firstLine="482"/>
        <w:rPr>
          <w:b/>
          <w:sz w:val="24"/>
        </w:rPr>
      </w:pPr>
      <w:r>
        <w:rPr>
          <w:b/>
          <w:sz w:val="24"/>
        </w:rPr>
        <w:t>附表：</w:t>
      </w:r>
    </w:p>
    <w:p>
      <w:pPr>
        <w:pStyle w:val="8"/>
        <w:ind w:firstLine="480"/>
        <w:rPr>
          <w:sz w:val="24"/>
          <w:szCs w:val="24"/>
        </w:rPr>
      </w:pPr>
      <w:r>
        <w:rPr>
          <w:sz w:val="24"/>
          <w:szCs w:val="24"/>
        </w:rPr>
        <w:t>附表：建设项目污染物排放量汇总表</w:t>
      </w:r>
    </w:p>
    <w:p>
      <w:pPr>
        <w:ind w:firstLine="480"/>
        <w:rPr>
          <w:sz w:val="24"/>
        </w:rPr>
      </w:pPr>
    </w:p>
    <w:p>
      <w:pPr>
        <w:spacing w:line="360" w:lineRule="auto"/>
        <w:ind w:firstLine="482"/>
        <w:rPr>
          <w:b/>
          <w:sz w:val="24"/>
        </w:rPr>
      </w:pPr>
      <w:bookmarkStart w:id="1" w:name="_Toc111721091"/>
      <w:r>
        <w:rPr>
          <w:b/>
          <w:sz w:val="24"/>
        </w:rPr>
        <w:t>附件</w:t>
      </w:r>
      <w:bookmarkEnd w:id="1"/>
      <w:r>
        <w:rPr>
          <w:b/>
          <w:sz w:val="24"/>
        </w:rPr>
        <w:t>：</w:t>
      </w:r>
    </w:p>
    <w:p>
      <w:pPr>
        <w:spacing w:line="360" w:lineRule="auto"/>
        <w:ind w:firstLine="480"/>
        <w:rPr>
          <w:sz w:val="24"/>
        </w:rPr>
      </w:pPr>
      <w:r>
        <w:rPr>
          <w:sz w:val="24"/>
        </w:rPr>
        <w:t>附件1：环评委托书</w:t>
      </w:r>
    </w:p>
    <w:p>
      <w:pPr>
        <w:spacing w:line="360" w:lineRule="auto"/>
        <w:ind w:firstLine="480"/>
        <w:rPr>
          <w:rFonts w:hint="eastAsia"/>
          <w:sz w:val="24"/>
        </w:rPr>
      </w:pPr>
      <w:r>
        <w:rPr>
          <w:sz w:val="24"/>
        </w:rPr>
        <w:t>附件2：</w:t>
      </w:r>
      <w:r>
        <w:rPr>
          <w:rFonts w:hint="eastAsia"/>
          <w:sz w:val="24"/>
        </w:rPr>
        <w:t>营业执照</w:t>
      </w:r>
    </w:p>
    <w:p>
      <w:pPr>
        <w:spacing w:line="360" w:lineRule="auto"/>
        <w:ind w:firstLine="480"/>
        <w:rPr>
          <w:rFonts w:hint="eastAsia"/>
          <w:sz w:val="24"/>
        </w:rPr>
      </w:pPr>
      <w:r>
        <w:rPr>
          <w:sz w:val="24"/>
        </w:rPr>
        <w:t>附件3：</w:t>
      </w:r>
      <w:r>
        <w:rPr>
          <w:rFonts w:hint="eastAsia"/>
          <w:sz w:val="24"/>
        </w:rPr>
        <w:t>花垣县人民政府批复</w:t>
      </w:r>
    </w:p>
    <w:p>
      <w:pPr>
        <w:pStyle w:val="8"/>
        <w:spacing w:after="0" w:line="360" w:lineRule="auto"/>
        <w:ind w:firstLine="480"/>
        <w:rPr>
          <w:rFonts w:hint="eastAsia"/>
          <w:sz w:val="24"/>
          <w:szCs w:val="24"/>
        </w:rPr>
      </w:pPr>
      <w:r>
        <w:rPr>
          <w:sz w:val="24"/>
          <w:szCs w:val="24"/>
        </w:rPr>
        <w:t>附件4：</w:t>
      </w:r>
      <w:r>
        <w:rPr>
          <w:rFonts w:hint="eastAsia"/>
          <w:sz w:val="24"/>
          <w:szCs w:val="24"/>
        </w:rPr>
        <w:t>花垣县砂石资源处方案审批表</w:t>
      </w:r>
    </w:p>
    <w:p>
      <w:pPr>
        <w:pStyle w:val="8"/>
        <w:spacing w:after="0" w:line="360" w:lineRule="auto"/>
        <w:ind w:firstLine="480"/>
        <w:rPr>
          <w:rFonts w:hint="default" w:eastAsia="宋体"/>
          <w:sz w:val="24"/>
          <w:szCs w:val="24"/>
          <w:u w:val="single"/>
          <w:lang w:val="en-US" w:eastAsia="zh-CN"/>
        </w:rPr>
      </w:pPr>
      <w:r>
        <w:rPr>
          <w:rFonts w:hint="eastAsia"/>
          <w:sz w:val="24"/>
          <w:szCs w:val="24"/>
          <w:u w:val="single"/>
          <w:lang w:eastAsia="zh-CN"/>
        </w:rPr>
        <w:t>附件</w:t>
      </w:r>
      <w:r>
        <w:rPr>
          <w:rFonts w:hint="eastAsia"/>
          <w:sz w:val="24"/>
          <w:szCs w:val="24"/>
          <w:u w:val="single"/>
          <w:lang w:val="en-US" w:eastAsia="zh-CN"/>
        </w:rPr>
        <w:t>5：授权委托书</w:t>
      </w:r>
    </w:p>
    <w:p>
      <w:pPr>
        <w:spacing w:line="360" w:lineRule="auto"/>
        <w:ind w:firstLine="480"/>
        <w:rPr>
          <w:rFonts w:hint="eastAsia"/>
          <w:sz w:val="24"/>
        </w:rPr>
      </w:pPr>
      <w:r>
        <w:rPr>
          <w:sz w:val="24"/>
        </w:rPr>
        <w:t>附件</w:t>
      </w:r>
      <w:r>
        <w:rPr>
          <w:rFonts w:hint="eastAsia"/>
          <w:sz w:val="24"/>
          <w:lang w:val="en-US" w:eastAsia="zh-CN"/>
        </w:rPr>
        <w:t>6</w:t>
      </w:r>
      <w:r>
        <w:rPr>
          <w:sz w:val="24"/>
        </w:rPr>
        <w:t>：</w:t>
      </w:r>
      <w:r>
        <w:rPr>
          <w:rFonts w:hint="eastAsia"/>
          <w:sz w:val="24"/>
        </w:rPr>
        <w:t>项目成交公告</w:t>
      </w:r>
    </w:p>
    <w:p>
      <w:pPr>
        <w:pStyle w:val="8"/>
        <w:spacing w:after="0" w:line="360" w:lineRule="auto"/>
        <w:ind w:firstLine="480"/>
        <w:rPr>
          <w:rFonts w:hint="eastAsia"/>
          <w:sz w:val="24"/>
          <w:szCs w:val="24"/>
        </w:rPr>
      </w:pPr>
      <w:r>
        <w:rPr>
          <w:sz w:val="24"/>
          <w:szCs w:val="24"/>
        </w:rPr>
        <w:t>附件</w:t>
      </w:r>
      <w:r>
        <w:rPr>
          <w:rFonts w:hint="eastAsia"/>
          <w:sz w:val="24"/>
          <w:szCs w:val="24"/>
          <w:lang w:val="en-US" w:eastAsia="zh-CN"/>
        </w:rPr>
        <w:t>7</w:t>
      </w:r>
      <w:r>
        <w:rPr>
          <w:sz w:val="24"/>
          <w:szCs w:val="24"/>
        </w:rPr>
        <w:t>：</w:t>
      </w:r>
      <w:r>
        <w:rPr>
          <w:rFonts w:hint="eastAsia"/>
          <w:sz w:val="24"/>
          <w:szCs w:val="24"/>
        </w:rPr>
        <w:t>建设用地规划许可证</w:t>
      </w:r>
    </w:p>
    <w:p>
      <w:pPr>
        <w:spacing w:line="360" w:lineRule="auto"/>
        <w:ind w:firstLine="480"/>
        <w:rPr>
          <w:rFonts w:hint="eastAsia"/>
          <w:sz w:val="24"/>
        </w:rPr>
      </w:pPr>
      <w:r>
        <w:rPr>
          <w:sz w:val="24"/>
        </w:rPr>
        <w:t>附件</w:t>
      </w:r>
      <w:r>
        <w:rPr>
          <w:rFonts w:hint="eastAsia"/>
          <w:sz w:val="24"/>
          <w:lang w:val="en-US" w:eastAsia="zh-CN"/>
        </w:rPr>
        <w:t>8</w:t>
      </w:r>
      <w:r>
        <w:rPr>
          <w:sz w:val="24"/>
        </w:rPr>
        <w:t>：</w:t>
      </w:r>
      <w:r>
        <w:rPr>
          <w:rFonts w:hint="eastAsia"/>
          <w:sz w:val="24"/>
        </w:rPr>
        <w:t>湖南省林业局准予许可决定书</w:t>
      </w:r>
    </w:p>
    <w:p>
      <w:pPr>
        <w:pStyle w:val="8"/>
        <w:spacing w:after="0" w:line="360" w:lineRule="auto"/>
        <w:ind w:firstLine="480"/>
        <w:rPr>
          <w:rFonts w:hint="eastAsia"/>
          <w:sz w:val="24"/>
          <w:szCs w:val="24"/>
        </w:rPr>
      </w:pPr>
      <w:r>
        <w:rPr>
          <w:rFonts w:hint="eastAsia"/>
          <w:sz w:val="24"/>
          <w:szCs w:val="24"/>
        </w:rPr>
        <w:t>附件</w:t>
      </w:r>
      <w:r>
        <w:rPr>
          <w:rFonts w:hint="eastAsia"/>
          <w:sz w:val="24"/>
          <w:szCs w:val="24"/>
          <w:lang w:val="en-US" w:eastAsia="zh-CN"/>
        </w:rPr>
        <w:t>9</w:t>
      </w:r>
      <w:r>
        <w:rPr>
          <w:rFonts w:hint="eastAsia"/>
          <w:sz w:val="24"/>
          <w:szCs w:val="24"/>
        </w:rPr>
        <w:t>：产权交易合同</w:t>
      </w:r>
    </w:p>
    <w:p>
      <w:pPr>
        <w:pStyle w:val="8"/>
        <w:spacing w:after="0" w:line="360" w:lineRule="auto"/>
        <w:ind w:firstLine="480"/>
        <w:rPr>
          <w:rFonts w:hint="eastAsia"/>
          <w:sz w:val="24"/>
          <w:szCs w:val="24"/>
        </w:rPr>
      </w:pPr>
      <w:r>
        <w:rPr>
          <w:rFonts w:hint="eastAsia"/>
          <w:sz w:val="24"/>
          <w:szCs w:val="24"/>
        </w:rPr>
        <w:t>附件</w:t>
      </w:r>
      <w:r>
        <w:rPr>
          <w:rFonts w:hint="eastAsia"/>
          <w:sz w:val="24"/>
          <w:szCs w:val="24"/>
          <w:lang w:val="en-US" w:eastAsia="zh-CN"/>
        </w:rPr>
        <w:t>10</w:t>
      </w:r>
      <w:r>
        <w:rPr>
          <w:rFonts w:hint="eastAsia"/>
          <w:sz w:val="24"/>
          <w:szCs w:val="24"/>
        </w:rPr>
        <w:t>：不动产权证书</w:t>
      </w:r>
    </w:p>
    <w:p>
      <w:pPr>
        <w:pStyle w:val="8"/>
        <w:spacing w:after="0" w:line="360" w:lineRule="auto"/>
        <w:ind w:firstLine="480"/>
        <w:rPr>
          <w:rFonts w:hint="eastAsia"/>
          <w:sz w:val="24"/>
          <w:szCs w:val="24"/>
        </w:rPr>
      </w:pPr>
      <w:r>
        <w:rPr>
          <w:rFonts w:hint="eastAsia"/>
          <w:sz w:val="24"/>
          <w:szCs w:val="24"/>
        </w:rPr>
        <w:t>附件1</w:t>
      </w:r>
      <w:r>
        <w:rPr>
          <w:rFonts w:hint="eastAsia"/>
          <w:sz w:val="24"/>
          <w:szCs w:val="24"/>
          <w:lang w:val="en-US" w:eastAsia="zh-CN"/>
        </w:rPr>
        <w:t>1</w:t>
      </w:r>
      <w:r>
        <w:rPr>
          <w:rFonts w:hint="eastAsia"/>
          <w:sz w:val="24"/>
          <w:szCs w:val="24"/>
        </w:rPr>
        <w:t>：引用监测报告</w:t>
      </w:r>
    </w:p>
    <w:p>
      <w:pPr>
        <w:pStyle w:val="8"/>
        <w:spacing w:after="0" w:line="360" w:lineRule="auto"/>
        <w:ind w:firstLine="480"/>
        <w:rPr>
          <w:rFonts w:hint="eastAsia"/>
          <w:sz w:val="24"/>
          <w:szCs w:val="24"/>
          <w:lang w:val="en-US" w:eastAsia="zh-CN"/>
        </w:rPr>
      </w:pPr>
      <w:r>
        <w:rPr>
          <w:rFonts w:hint="eastAsia"/>
          <w:sz w:val="24"/>
          <w:szCs w:val="24"/>
          <w:lang w:eastAsia="zh-CN"/>
        </w:rPr>
        <w:t>附件</w:t>
      </w:r>
      <w:r>
        <w:rPr>
          <w:rFonts w:hint="eastAsia"/>
          <w:sz w:val="24"/>
          <w:szCs w:val="24"/>
          <w:lang w:val="en-US" w:eastAsia="zh-CN"/>
        </w:rPr>
        <w:t>12：专家评审意见</w:t>
      </w:r>
    </w:p>
    <w:p>
      <w:pPr>
        <w:pStyle w:val="8"/>
        <w:spacing w:after="0" w:line="360" w:lineRule="auto"/>
        <w:ind w:firstLine="480"/>
        <w:rPr>
          <w:rFonts w:hint="default" w:eastAsia="宋体"/>
          <w:sz w:val="24"/>
          <w:szCs w:val="24"/>
          <w:lang w:val="en-US" w:eastAsia="zh-CN"/>
        </w:rPr>
      </w:pPr>
      <w:r>
        <w:rPr>
          <w:rFonts w:hint="eastAsia"/>
          <w:sz w:val="24"/>
          <w:szCs w:val="24"/>
          <w:lang w:val="en-US" w:eastAsia="zh-CN"/>
        </w:rPr>
        <w:t>附件13：专家签到表</w:t>
      </w:r>
    </w:p>
    <w:p>
      <w:pPr>
        <w:ind w:firstLine="480"/>
        <w:rPr>
          <w:sz w:val="24"/>
        </w:rPr>
      </w:pPr>
      <w:bookmarkStart w:id="2" w:name="_Toc111721104"/>
    </w:p>
    <w:p>
      <w:pPr>
        <w:pStyle w:val="42"/>
        <w:ind w:firstLine="480"/>
      </w:pPr>
    </w:p>
    <w:p>
      <w:pPr>
        <w:spacing w:line="360" w:lineRule="auto"/>
        <w:ind w:firstLine="482"/>
        <w:rPr>
          <w:b/>
          <w:sz w:val="24"/>
        </w:rPr>
      </w:pPr>
      <w:r>
        <w:rPr>
          <w:b/>
          <w:sz w:val="24"/>
        </w:rPr>
        <w:t>附图</w:t>
      </w:r>
      <w:bookmarkEnd w:id="2"/>
      <w:r>
        <w:rPr>
          <w:b/>
          <w:sz w:val="24"/>
        </w:rPr>
        <w:t>：</w:t>
      </w:r>
    </w:p>
    <w:p>
      <w:pPr>
        <w:spacing w:line="360" w:lineRule="auto"/>
        <w:ind w:firstLine="480"/>
        <w:rPr>
          <w:sz w:val="24"/>
        </w:rPr>
      </w:pPr>
      <w:bookmarkStart w:id="3" w:name="_Hlk109224515"/>
      <w:r>
        <w:rPr>
          <w:sz w:val="24"/>
        </w:rPr>
        <w:t>附图1：项目地理位置图</w:t>
      </w:r>
    </w:p>
    <w:p>
      <w:pPr>
        <w:spacing w:line="360" w:lineRule="auto"/>
        <w:ind w:firstLine="480"/>
        <w:rPr>
          <w:sz w:val="24"/>
        </w:rPr>
      </w:pPr>
      <w:r>
        <w:rPr>
          <w:sz w:val="24"/>
        </w:rPr>
        <w:t>附图2：区域地表水系图</w:t>
      </w:r>
    </w:p>
    <w:p>
      <w:pPr>
        <w:spacing w:line="360" w:lineRule="auto"/>
        <w:ind w:firstLine="480"/>
        <w:rPr>
          <w:sz w:val="24"/>
        </w:rPr>
      </w:pPr>
      <w:r>
        <w:rPr>
          <w:sz w:val="24"/>
        </w:rPr>
        <w:t>附图3：环境保护目标分布示意图</w:t>
      </w:r>
    </w:p>
    <w:p>
      <w:pPr>
        <w:spacing w:line="360" w:lineRule="auto"/>
        <w:ind w:firstLine="480"/>
        <w:rPr>
          <w:sz w:val="24"/>
        </w:rPr>
      </w:pPr>
      <w:r>
        <w:rPr>
          <w:sz w:val="24"/>
        </w:rPr>
        <w:t>附图4：厂区总平面布置及主要环保设施布置示意图</w:t>
      </w:r>
    </w:p>
    <w:p>
      <w:pPr>
        <w:pStyle w:val="8"/>
        <w:spacing w:after="0" w:line="360" w:lineRule="auto"/>
        <w:ind w:firstLine="480"/>
        <w:rPr>
          <w:sz w:val="24"/>
          <w:szCs w:val="24"/>
        </w:rPr>
      </w:pPr>
      <w:r>
        <w:rPr>
          <w:sz w:val="24"/>
          <w:szCs w:val="24"/>
        </w:rPr>
        <w:t>附图5</w:t>
      </w:r>
      <w:bookmarkEnd w:id="3"/>
      <w:r>
        <w:rPr>
          <w:sz w:val="24"/>
          <w:szCs w:val="24"/>
        </w:rPr>
        <w:t>：项目与环境敏感点位置关系图</w:t>
      </w:r>
    </w:p>
    <w:p>
      <w:pPr>
        <w:pStyle w:val="23"/>
        <w:ind w:left="0" w:leftChars="0" w:firstLine="500"/>
        <w:rPr>
          <w:rFonts w:hint="default" w:ascii="Times New Roman" w:hAnsi="Times New Roman" w:eastAsia="宋体"/>
          <w:sz w:val="24"/>
          <w:szCs w:val="24"/>
        </w:rPr>
      </w:pPr>
      <w:r>
        <w:rPr>
          <w:rFonts w:hint="default" w:ascii="Times New Roman" w:hAnsi="Times New Roman" w:eastAsia="宋体"/>
          <w:sz w:val="24"/>
          <w:szCs w:val="24"/>
        </w:rPr>
        <w:t>附图</w:t>
      </w:r>
      <w:r>
        <w:rPr>
          <w:rFonts w:ascii="Times New Roman" w:hAnsi="Times New Roman" w:eastAsia="宋体"/>
          <w:sz w:val="24"/>
          <w:szCs w:val="24"/>
        </w:rPr>
        <w:t>6</w:t>
      </w:r>
      <w:r>
        <w:rPr>
          <w:rFonts w:hint="default" w:ascii="Times New Roman" w:hAnsi="Times New Roman" w:eastAsia="宋体"/>
          <w:sz w:val="24"/>
          <w:szCs w:val="24"/>
        </w:rPr>
        <w:t>：</w:t>
      </w:r>
      <w:r>
        <w:rPr>
          <w:rFonts w:ascii="Times New Roman" w:hAnsi="Times New Roman" w:eastAsia="宋体"/>
          <w:sz w:val="24"/>
          <w:szCs w:val="24"/>
        </w:rPr>
        <w:t>花垣国土空间</w:t>
      </w:r>
      <w:r>
        <w:rPr>
          <w:rFonts w:hint="default" w:ascii="Times New Roman" w:hAnsi="Times New Roman" w:eastAsia="宋体"/>
          <w:sz w:val="24"/>
          <w:szCs w:val="24"/>
        </w:rPr>
        <w:t>规划图</w:t>
      </w:r>
    </w:p>
    <w:p>
      <w:pPr>
        <w:spacing w:line="360" w:lineRule="auto"/>
        <w:ind w:firstLine="480"/>
        <w:rPr>
          <w:sz w:val="24"/>
        </w:rPr>
      </w:pPr>
      <w:r>
        <w:rPr>
          <w:sz w:val="24"/>
        </w:rPr>
        <w:t>附图</w:t>
      </w:r>
      <w:r>
        <w:rPr>
          <w:rFonts w:hint="eastAsia"/>
          <w:sz w:val="24"/>
        </w:rPr>
        <w:t>7</w:t>
      </w:r>
      <w:r>
        <w:rPr>
          <w:sz w:val="24"/>
        </w:rPr>
        <w:t>：项目四至及现场照片</w:t>
      </w:r>
    </w:p>
    <w:p>
      <w:pPr>
        <w:spacing w:line="360" w:lineRule="auto"/>
        <w:ind w:firstLine="480"/>
        <w:sectPr>
          <w:headerReference r:id="rId9" w:type="default"/>
          <w:footerReference r:id="rId10" w:type="default"/>
          <w:pgSz w:w="11906" w:h="16838"/>
          <w:pgMar w:top="1440" w:right="1083" w:bottom="1440" w:left="1083" w:header="851" w:footer="1077" w:gutter="0"/>
          <w:pgNumType w:start="1"/>
          <w:cols w:space="720" w:num="1"/>
          <w:docGrid w:linePitch="312" w:charSpace="0"/>
        </w:sectPr>
      </w:pPr>
    </w:p>
    <w:p>
      <w:pPr>
        <w:pStyle w:val="20"/>
        <w:jc w:val="center"/>
        <w:outlineLvl w:val="0"/>
        <w:rPr>
          <w:rFonts w:hint="eastAsia" w:ascii="黑体" w:hAnsi="黑体" w:eastAsia="黑体"/>
          <w:snapToGrid w:val="0"/>
          <w:sz w:val="30"/>
          <w:szCs w:val="30"/>
        </w:rPr>
      </w:pPr>
      <w:bookmarkStart w:id="4" w:name="_Toc8671"/>
      <w:r>
        <w:rPr>
          <w:rFonts w:hint="eastAsia" w:ascii="黑体" w:hAnsi="黑体" w:eastAsia="黑体"/>
          <w:snapToGrid w:val="0"/>
          <w:sz w:val="30"/>
          <w:szCs w:val="30"/>
        </w:rPr>
        <w:t>一、建设项目基本情况</w:t>
      </w:r>
      <w:bookmarkEnd w:id="4"/>
    </w:p>
    <w:tbl>
      <w:tblPr>
        <w:tblStyle w:val="24"/>
        <w:tblW w:w="95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1"/>
        <w:gridCol w:w="381"/>
        <w:gridCol w:w="2633"/>
        <w:gridCol w:w="1554"/>
        <w:gridCol w:w="3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建设项目名称</w:t>
            </w:r>
          </w:p>
        </w:tc>
        <w:tc>
          <w:tcPr>
            <w:tcW w:w="8081" w:type="dxa"/>
            <w:gridSpan w:val="3"/>
            <w:noWrap w:val="0"/>
            <w:vAlign w:val="center"/>
          </w:tcPr>
          <w:p>
            <w:pPr>
              <w:adjustRightInd w:val="0"/>
              <w:snapToGrid w:val="0"/>
              <w:jc w:val="center"/>
              <w:rPr>
                <w:rFonts w:ascii="宋体" w:hAnsi="宋体" w:cs="宋体"/>
                <w:sz w:val="24"/>
              </w:rPr>
            </w:pPr>
            <w:r>
              <w:rPr>
                <w:rFonts w:hint="eastAsia"/>
                <w:sz w:val="24"/>
              </w:rPr>
              <w:t>紫霞大道工程建设、朝料村土地平整剩余砂石资源利用项目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项目代码</w:t>
            </w:r>
          </w:p>
        </w:tc>
        <w:tc>
          <w:tcPr>
            <w:tcW w:w="8081" w:type="dxa"/>
            <w:gridSpan w:val="3"/>
            <w:noWrap w:val="0"/>
            <w:vAlign w:val="center"/>
          </w:tcPr>
          <w:p>
            <w:pPr>
              <w:adjustRightInd w:val="0"/>
              <w:snapToGrid w:val="0"/>
              <w:jc w:val="center"/>
              <w:rPr>
                <w:rFonts w:ascii="宋体" w:hAnsi="宋体" w:cs="宋体"/>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建设单位联系人</w:t>
            </w:r>
          </w:p>
        </w:tc>
        <w:tc>
          <w:tcPr>
            <w:tcW w:w="2633" w:type="dxa"/>
            <w:noWrap w:val="0"/>
            <w:vAlign w:val="center"/>
          </w:tcPr>
          <w:p>
            <w:pPr>
              <w:adjustRightInd w:val="0"/>
              <w:snapToGrid w:val="0"/>
              <w:jc w:val="center"/>
              <w:rPr>
                <w:rFonts w:ascii="宋体" w:hAnsi="宋体" w:cs="宋体"/>
                <w:sz w:val="24"/>
              </w:rPr>
            </w:pPr>
            <w:r>
              <w:rPr>
                <w:rFonts w:hint="eastAsia" w:ascii="宋体" w:hAnsi="宋体" w:cs="宋体"/>
                <w:sz w:val="24"/>
              </w:rPr>
              <w:t>罗迎春</w:t>
            </w:r>
          </w:p>
        </w:tc>
        <w:tc>
          <w:tcPr>
            <w:tcW w:w="1554" w:type="dxa"/>
            <w:noWrap w:val="0"/>
            <w:vAlign w:val="center"/>
          </w:tcPr>
          <w:p>
            <w:pPr>
              <w:adjustRightInd w:val="0"/>
              <w:snapToGrid w:val="0"/>
              <w:jc w:val="center"/>
              <w:rPr>
                <w:rFonts w:ascii="宋体" w:hAnsi="宋体" w:cs="宋体"/>
                <w:sz w:val="24"/>
              </w:rPr>
            </w:pPr>
            <w:r>
              <w:rPr>
                <w:rFonts w:hint="eastAsia" w:ascii="宋体" w:hAnsi="宋体" w:cs="宋体"/>
                <w:b/>
                <w:bCs/>
                <w:sz w:val="24"/>
              </w:rPr>
              <w:t>联系方式</w:t>
            </w:r>
          </w:p>
        </w:tc>
        <w:tc>
          <w:tcPr>
            <w:tcW w:w="3894" w:type="dxa"/>
            <w:noWrap w:val="0"/>
            <w:vAlign w:val="center"/>
          </w:tcPr>
          <w:p>
            <w:pPr>
              <w:adjustRightInd w:val="0"/>
              <w:snapToGrid w:val="0"/>
              <w:jc w:val="center"/>
              <w:rPr>
                <w:rFonts w:hint="default" w:ascii="宋体" w:hAnsi="宋体" w:eastAsia="宋体" w:cs="宋体"/>
                <w:sz w:val="24"/>
                <w:lang w:val="en-US" w:eastAsia="zh-CN"/>
              </w:rPr>
            </w:pPr>
            <w:r>
              <w:rPr>
                <w:rFonts w:hint="eastAsia"/>
                <w:sz w:val="24"/>
                <w:lang w:val="en-US" w:eastAsia="zh-CN"/>
              </w:rPr>
              <w:t>xxxxxxxxxxx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建设地点</w:t>
            </w:r>
          </w:p>
        </w:tc>
        <w:tc>
          <w:tcPr>
            <w:tcW w:w="8081" w:type="dxa"/>
            <w:gridSpan w:val="3"/>
            <w:noWrap w:val="0"/>
            <w:vAlign w:val="center"/>
          </w:tcPr>
          <w:p>
            <w:pPr>
              <w:adjustRightInd w:val="0"/>
              <w:snapToGrid w:val="0"/>
              <w:jc w:val="center"/>
              <w:rPr>
                <w:rFonts w:hint="eastAsia" w:ascii="宋体" w:hAnsi="宋体" w:cs="宋体"/>
                <w:sz w:val="24"/>
              </w:rPr>
            </w:pPr>
            <w:r>
              <w:rPr>
                <w:rFonts w:hint="eastAsia" w:ascii="宋体" w:hAnsi="宋体" w:cs="宋体"/>
                <w:sz w:val="24"/>
              </w:rPr>
              <w:t>湖南省湘西州花垣县花垣镇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地理坐标</w:t>
            </w:r>
          </w:p>
        </w:tc>
        <w:tc>
          <w:tcPr>
            <w:tcW w:w="8081" w:type="dxa"/>
            <w:gridSpan w:val="3"/>
            <w:noWrap w:val="0"/>
            <w:vAlign w:val="center"/>
          </w:tcPr>
          <w:p>
            <w:pPr>
              <w:jc w:val="center"/>
              <w:rPr>
                <w:sz w:val="24"/>
              </w:rPr>
            </w:pPr>
            <w:r>
              <w:rPr>
                <w:rFonts w:hint="eastAsia"/>
                <w:sz w:val="24"/>
              </w:rPr>
              <w:t>东经</w:t>
            </w:r>
            <w:r>
              <w:rPr>
                <w:sz w:val="24"/>
              </w:rPr>
              <w:t>E109°27′</w:t>
            </w:r>
            <w:r>
              <w:rPr>
                <w:rFonts w:hint="eastAsia"/>
                <w:sz w:val="24"/>
              </w:rPr>
              <w:t>47.588</w:t>
            </w:r>
            <w:r>
              <w:rPr>
                <w:sz w:val="24"/>
              </w:rPr>
              <w:t>″，</w:t>
            </w:r>
            <w:r>
              <w:rPr>
                <w:rFonts w:hint="eastAsia"/>
                <w:sz w:val="24"/>
              </w:rPr>
              <w:t>北纬</w:t>
            </w:r>
            <w:r>
              <w:rPr>
                <w:sz w:val="24"/>
              </w:rPr>
              <w:t>N28°3</w:t>
            </w:r>
            <w:r>
              <w:rPr>
                <w:rFonts w:hint="eastAsia"/>
                <w:sz w:val="24"/>
              </w:rPr>
              <w:t>2</w:t>
            </w:r>
            <w:r>
              <w:rPr>
                <w:sz w:val="24"/>
              </w:rPr>
              <w:t>′</w:t>
            </w:r>
            <w:r>
              <w:rPr>
                <w:rFonts w:hint="eastAsia"/>
                <w:sz w:val="24"/>
              </w:rPr>
              <w:t>16.249</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国民经济</w:t>
            </w:r>
          </w:p>
          <w:p>
            <w:pPr>
              <w:adjustRightInd w:val="0"/>
              <w:snapToGrid w:val="0"/>
              <w:jc w:val="center"/>
              <w:rPr>
                <w:b/>
                <w:bCs/>
                <w:sz w:val="24"/>
              </w:rPr>
            </w:pPr>
            <w:r>
              <w:rPr>
                <w:b/>
                <w:bCs/>
                <w:sz w:val="24"/>
              </w:rPr>
              <w:t>行业类别</w:t>
            </w:r>
          </w:p>
        </w:tc>
        <w:tc>
          <w:tcPr>
            <w:tcW w:w="2633" w:type="dxa"/>
            <w:noWrap w:val="0"/>
            <w:vAlign w:val="center"/>
          </w:tcPr>
          <w:p>
            <w:pPr>
              <w:pStyle w:val="10"/>
              <w:adjustRightInd w:val="0"/>
              <w:snapToGrid w:val="0"/>
              <w:spacing w:after="0"/>
              <w:ind w:left="0" w:leftChars="0"/>
              <w:jc w:val="center"/>
            </w:pPr>
            <w:r>
              <w:rPr>
                <w:u w:val="single"/>
              </w:rPr>
              <w:t>C303</w:t>
            </w:r>
            <w:r>
              <w:rPr>
                <w:rFonts w:hint="eastAsia"/>
                <w:u w:val="single"/>
                <w:lang w:val="en-US" w:eastAsia="zh-CN"/>
              </w:rPr>
              <w:t>9其他建筑材料制造</w:t>
            </w:r>
            <w:r>
              <w:rPr>
                <w:u w:val="single"/>
              </w:rPr>
              <w:t>；</w:t>
            </w:r>
          </w:p>
        </w:tc>
        <w:tc>
          <w:tcPr>
            <w:tcW w:w="1554" w:type="dxa"/>
            <w:noWrap w:val="0"/>
            <w:vAlign w:val="center"/>
          </w:tcPr>
          <w:p>
            <w:pPr>
              <w:adjustRightInd w:val="0"/>
              <w:snapToGrid w:val="0"/>
              <w:jc w:val="center"/>
              <w:rPr>
                <w:b/>
                <w:bCs/>
                <w:sz w:val="24"/>
              </w:rPr>
            </w:pPr>
            <w:bookmarkStart w:id="5" w:name="_Hlk49843745"/>
            <w:r>
              <w:rPr>
                <w:b/>
                <w:bCs/>
                <w:sz w:val="24"/>
              </w:rPr>
              <w:t>建设项目</w:t>
            </w:r>
          </w:p>
          <w:p>
            <w:pPr>
              <w:adjustRightInd w:val="0"/>
              <w:snapToGrid w:val="0"/>
              <w:jc w:val="center"/>
              <w:rPr>
                <w:b/>
                <w:bCs/>
                <w:sz w:val="24"/>
              </w:rPr>
            </w:pPr>
            <w:r>
              <w:rPr>
                <w:b/>
                <w:bCs/>
                <w:sz w:val="24"/>
              </w:rPr>
              <w:t>行业类别</w:t>
            </w:r>
            <w:bookmarkEnd w:id="5"/>
          </w:p>
        </w:tc>
        <w:tc>
          <w:tcPr>
            <w:tcW w:w="3894" w:type="dxa"/>
            <w:noWrap w:val="0"/>
            <w:vAlign w:val="center"/>
          </w:tcPr>
          <w:p>
            <w:pPr>
              <w:adjustRightInd w:val="0"/>
              <w:snapToGrid w:val="0"/>
              <w:jc w:val="center"/>
              <w:rPr>
                <w:sz w:val="24"/>
              </w:rPr>
            </w:pPr>
            <w:r>
              <w:rPr>
                <w:sz w:val="24"/>
              </w:rPr>
              <w:t>二十七、非金属矿物制品业、</w:t>
            </w:r>
          </w:p>
          <w:p>
            <w:pPr>
              <w:adjustRightInd w:val="0"/>
              <w:snapToGrid w:val="0"/>
              <w:jc w:val="center"/>
              <w:rPr>
                <w:sz w:val="24"/>
              </w:rPr>
            </w:pPr>
            <w:r>
              <w:rPr>
                <w:sz w:val="24"/>
              </w:rPr>
              <w:t>56、砖瓦、石材等建筑材料制造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建设性质</w:t>
            </w:r>
          </w:p>
        </w:tc>
        <w:tc>
          <w:tcPr>
            <w:tcW w:w="2633" w:type="dxa"/>
            <w:noWrap w:val="0"/>
            <w:vAlign w:val="center"/>
          </w:tcPr>
          <w:p>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新建（迁建）</w:t>
            </w:r>
          </w:p>
          <w:p>
            <w:pPr>
              <w:jc w:val="left"/>
              <w:rPr>
                <w:rFonts w:hint="eastAsia" w:ascii="宋体" w:hAnsi="宋体" w:cs="宋体"/>
                <w:sz w:val="24"/>
              </w:rPr>
            </w:pPr>
            <w:r>
              <w:rPr>
                <w:rFonts w:hint="eastAsia" w:ascii="宋体" w:hAnsi="宋体" w:cs="宋体"/>
                <w:sz w:val="24"/>
              </w:rPr>
              <w:t>□改建</w:t>
            </w:r>
          </w:p>
          <w:p>
            <w:pPr>
              <w:jc w:val="left"/>
              <w:rPr>
                <w:rFonts w:hint="eastAsia" w:ascii="宋体" w:hAnsi="宋体" w:cs="宋体"/>
                <w:sz w:val="24"/>
              </w:rPr>
            </w:pPr>
            <w:r>
              <w:rPr>
                <w:rFonts w:hint="eastAsia" w:ascii="宋体" w:hAnsi="宋体" w:cs="宋体"/>
                <w:sz w:val="24"/>
              </w:rPr>
              <w:t>□扩建</w:t>
            </w:r>
          </w:p>
          <w:p>
            <w:pPr>
              <w:jc w:val="left"/>
              <w:rPr>
                <w:rFonts w:ascii="宋体" w:hAnsi="宋体" w:cs="宋体"/>
                <w:sz w:val="24"/>
              </w:rPr>
            </w:pPr>
            <w:r>
              <w:rPr>
                <w:rFonts w:hint="eastAsia" w:ascii="宋体" w:hAnsi="宋体" w:cs="宋体"/>
                <w:sz w:val="24"/>
              </w:rPr>
              <w:t>□技术改造</w:t>
            </w:r>
          </w:p>
        </w:tc>
        <w:tc>
          <w:tcPr>
            <w:tcW w:w="1554" w:type="dxa"/>
            <w:noWrap w:val="0"/>
            <w:vAlign w:val="center"/>
          </w:tcPr>
          <w:p>
            <w:pPr>
              <w:adjustRightInd w:val="0"/>
              <w:snapToGrid w:val="0"/>
              <w:jc w:val="center"/>
              <w:rPr>
                <w:rFonts w:hint="eastAsia" w:ascii="宋体" w:hAnsi="宋体" w:cs="宋体"/>
                <w:b/>
                <w:bCs/>
                <w:sz w:val="24"/>
              </w:rPr>
            </w:pPr>
            <w:r>
              <w:rPr>
                <w:rFonts w:hint="eastAsia" w:ascii="宋体" w:hAnsi="宋体" w:cs="宋体"/>
                <w:b/>
                <w:bCs/>
                <w:sz w:val="24"/>
              </w:rPr>
              <w:t>建设项目</w:t>
            </w:r>
          </w:p>
          <w:p>
            <w:pPr>
              <w:adjustRightInd w:val="0"/>
              <w:snapToGrid w:val="0"/>
              <w:jc w:val="center"/>
              <w:rPr>
                <w:rFonts w:ascii="宋体" w:hAnsi="宋体" w:cs="宋体"/>
                <w:b/>
                <w:bCs/>
                <w:sz w:val="24"/>
              </w:rPr>
            </w:pPr>
            <w:r>
              <w:rPr>
                <w:rFonts w:hint="eastAsia" w:ascii="宋体" w:hAnsi="宋体" w:cs="宋体"/>
                <w:b/>
                <w:bCs/>
                <w:sz w:val="24"/>
              </w:rPr>
              <w:t>申报情形</w:t>
            </w:r>
          </w:p>
        </w:tc>
        <w:tc>
          <w:tcPr>
            <w:tcW w:w="3894" w:type="dxa"/>
            <w:noWrap w:val="0"/>
            <w:vAlign w:val="center"/>
          </w:tcPr>
          <w:p>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首次申报项目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项目审批（核准/备案）部门（选填）</w:t>
            </w:r>
          </w:p>
        </w:tc>
        <w:tc>
          <w:tcPr>
            <w:tcW w:w="2633" w:type="dxa"/>
            <w:noWrap w:val="0"/>
            <w:vAlign w:val="center"/>
          </w:tcPr>
          <w:p>
            <w:pPr>
              <w:adjustRightInd w:val="0"/>
              <w:snapToGrid w:val="0"/>
              <w:jc w:val="center"/>
              <w:rPr>
                <w:rFonts w:hint="eastAsia" w:ascii="宋体" w:hAnsi="宋体" w:cs="宋体"/>
                <w:sz w:val="24"/>
              </w:rPr>
            </w:pPr>
            <w:r>
              <w:rPr>
                <w:rFonts w:hint="eastAsia" w:ascii="宋体" w:hAnsi="宋体" w:cs="宋体"/>
                <w:sz w:val="24"/>
              </w:rPr>
              <w:t>/</w:t>
            </w:r>
          </w:p>
        </w:tc>
        <w:tc>
          <w:tcPr>
            <w:tcW w:w="1554" w:type="dxa"/>
            <w:noWrap w:val="0"/>
            <w:vAlign w:val="center"/>
          </w:tcPr>
          <w:p>
            <w:pPr>
              <w:adjustRightInd w:val="0"/>
              <w:snapToGrid w:val="0"/>
              <w:jc w:val="center"/>
              <w:rPr>
                <w:rFonts w:hint="eastAsia" w:ascii="宋体" w:hAnsi="宋体" w:cs="宋体"/>
                <w:b/>
                <w:bCs/>
                <w:sz w:val="24"/>
              </w:rPr>
            </w:pPr>
            <w:r>
              <w:rPr>
                <w:rFonts w:hint="eastAsia" w:ascii="宋体" w:hAnsi="宋体" w:cs="宋体"/>
                <w:b/>
                <w:bCs/>
                <w:sz w:val="24"/>
              </w:rPr>
              <w:t>项目审批（核准</w:t>
            </w:r>
            <w:r>
              <w:rPr>
                <w:rFonts w:ascii="宋体" w:hAnsi="宋体" w:cs="宋体"/>
                <w:b/>
                <w:bCs/>
                <w:sz w:val="24"/>
              </w:rPr>
              <w:t>/</w:t>
            </w:r>
            <w:r>
              <w:rPr>
                <w:rFonts w:hint="eastAsia" w:ascii="宋体" w:hAnsi="宋体" w:cs="宋体"/>
                <w:b/>
                <w:bCs/>
                <w:sz w:val="24"/>
              </w:rPr>
              <w:t>备案）文号（选填）</w:t>
            </w:r>
          </w:p>
        </w:tc>
        <w:tc>
          <w:tcPr>
            <w:tcW w:w="3894" w:type="dxa"/>
            <w:noWrap w:val="0"/>
            <w:vAlign w:val="center"/>
          </w:tcPr>
          <w:p>
            <w:pPr>
              <w:adjustRightInd w:val="0"/>
              <w:snapToGrid w:val="0"/>
              <w:jc w:val="center"/>
              <w:rPr>
                <w:rFonts w:hint="eastAsia"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u w:val="single"/>
              </w:rPr>
            </w:pPr>
            <w:r>
              <w:rPr>
                <w:b/>
                <w:bCs/>
                <w:sz w:val="24"/>
                <w:u w:val="single"/>
              </w:rPr>
              <w:t>总投资（万元）</w:t>
            </w:r>
          </w:p>
        </w:tc>
        <w:tc>
          <w:tcPr>
            <w:tcW w:w="2633" w:type="dxa"/>
            <w:noWrap w:val="0"/>
            <w:vAlign w:val="center"/>
          </w:tcPr>
          <w:p>
            <w:pPr>
              <w:adjustRightInd w:val="0"/>
              <w:snapToGrid w:val="0"/>
              <w:jc w:val="center"/>
              <w:rPr>
                <w:rFonts w:hint="default" w:eastAsia="宋体"/>
                <w:sz w:val="24"/>
                <w:highlight w:val="yellow"/>
                <w:u w:val="single"/>
                <w:lang w:val="en-US" w:eastAsia="zh-CN"/>
              </w:rPr>
            </w:pPr>
            <w:r>
              <w:rPr>
                <w:rFonts w:hint="eastAsia"/>
                <w:sz w:val="24"/>
                <w:u w:val="single"/>
                <w:lang w:val="en-US" w:eastAsia="zh-CN"/>
              </w:rPr>
              <w:t>230</w:t>
            </w:r>
          </w:p>
        </w:tc>
        <w:tc>
          <w:tcPr>
            <w:tcW w:w="1554" w:type="dxa"/>
            <w:noWrap w:val="0"/>
            <w:tcMar>
              <w:top w:w="16" w:type="dxa"/>
              <w:left w:w="16" w:type="dxa"/>
              <w:right w:w="16" w:type="dxa"/>
            </w:tcMar>
            <w:vAlign w:val="center"/>
          </w:tcPr>
          <w:p>
            <w:pPr>
              <w:adjustRightInd w:val="0"/>
              <w:snapToGrid w:val="0"/>
              <w:jc w:val="center"/>
              <w:rPr>
                <w:b/>
                <w:bCs/>
                <w:sz w:val="24"/>
                <w:u w:val="single"/>
              </w:rPr>
            </w:pPr>
            <w:r>
              <w:rPr>
                <w:b/>
                <w:bCs/>
                <w:sz w:val="24"/>
                <w:u w:val="single"/>
              </w:rPr>
              <w:t>环保投资（万元）</w:t>
            </w:r>
          </w:p>
        </w:tc>
        <w:tc>
          <w:tcPr>
            <w:tcW w:w="3894" w:type="dxa"/>
            <w:noWrap w:val="0"/>
            <w:vAlign w:val="center"/>
          </w:tcPr>
          <w:p>
            <w:pPr>
              <w:adjustRightInd w:val="0"/>
              <w:snapToGrid w:val="0"/>
              <w:jc w:val="center"/>
              <w:rPr>
                <w:rFonts w:hint="default" w:eastAsia="宋体"/>
                <w:sz w:val="24"/>
                <w:u w:val="single"/>
                <w:lang w:val="en-US" w:eastAsia="zh-CN"/>
              </w:rPr>
            </w:pPr>
            <w:r>
              <w:rPr>
                <w:rFonts w:hint="eastAsia"/>
                <w:sz w:val="24"/>
                <w:highlight w:val="none"/>
                <w:u w:val="single"/>
                <w:shd w:val="clear" w:color="auto" w:fill="auto"/>
                <w:lang w:val="en-US" w:eastAsia="zh-CN"/>
              </w:rPr>
              <w:t>42.20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环保投资占比（%）</w:t>
            </w:r>
          </w:p>
        </w:tc>
        <w:tc>
          <w:tcPr>
            <w:tcW w:w="2633" w:type="dxa"/>
            <w:noWrap w:val="0"/>
            <w:vAlign w:val="center"/>
          </w:tcPr>
          <w:p>
            <w:pPr>
              <w:adjustRightInd w:val="0"/>
              <w:snapToGrid w:val="0"/>
              <w:jc w:val="center"/>
              <w:rPr>
                <w:rFonts w:hint="default" w:eastAsia="宋体"/>
                <w:sz w:val="24"/>
                <w:highlight w:val="yellow"/>
                <w:lang w:val="en-US" w:eastAsia="zh-CN"/>
              </w:rPr>
            </w:pPr>
            <w:r>
              <w:rPr>
                <w:rFonts w:hint="eastAsia"/>
                <w:sz w:val="24"/>
                <w:highlight w:val="none"/>
                <w:lang w:val="en-US" w:eastAsia="zh-CN"/>
              </w:rPr>
              <w:t>18.35</w:t>
            </w:r>
          </w:p>
        </w:tc>
        <w:tc>
          <w:tcPr>
            <w:tcW w:w="1554" w:type="dxa"/>
            <w:noWrap w:val="0"/>
            <w:tcMar>
              <w:top w:w="16" w:type="dxa"/>
              <w:left w:w="16" w:type="dxa"/>
              <w:right w:w="16" w:type="dxa"/>
            </w:tcMar>
            <w:vAlign w:val="center"/>
          </w:tcPr>
          <w:p>
            <w:pPr>
              <w:adjustRightInd w:val="0"/>
              <w:snapToGrid w:val="0"/>
              <w:jc w:val="center"/>
              <w:rPr>
                <w:rFonts w:hint="eastAsia"/>
                <w:b/>
                <w:bCs/>
                <w:sz w:val="24"/>
              </w:rPr>
            </w:pPr>
            <w:r>
              <w:rPr>
                <w:b/>
                <w:bCs/>
                <w:sz w:val="24"/>
              </w:rPr>
              <w:t>施工工期</w:t>
            </w:r>
            <w:r>
              <w:rPr>
                <w:rFonts w:hint="eastAsia"/>
                <w:b/>
                <w:bCs/>
                <w:sz w:val="24"/>
              </w:rPr>
              <w:t>（月）</w:t>
            </w:r>
          </w:p>
        </w:tc>
        <w:tc>
          <w:tcPr>
            <w:tcW w:w="3894" w:type="dxa"/>
            <w:noWrap w:val="0"/>
            <w:vAlign w:val="center"/>
          </w:tcPr>
          <w:p>
            <w:pPr>
              <w:adjustRightInd w:val="0"/>
              <w:snapToGrid w:val="0"/>
              <w:jc w:val="center"/>
              <w:rPr>
                <w:rFonts w:hint="eastAsia" w:eastAsia="宋体"/>
                <w:sz w:val="24"/>
                <w:lang w:eastAsia="zh-CN"/>
              </w:rPr>
            </w:pPr>
            <w:r>
              <w:rPr>
                <w:rFonts w:hint="eastAsia"/>
                <w:sz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2" w:type="dxa"/>
            <w:gridSpan w:val="2"/>
            <w:noWrap w:val="0"/>
            <w:tcMar>
              <w:top w:w="16" w:type="dxa"/>
              <w:left w:w="16" w:type="dxa"/>
              <w:right w:w="16" w:type="dxa"/>
            </w:tcMar>
            <w:vAlign w:val="center"/>
          </w:tcPr>
          <w:p>
            <w:pPr>
              <w:adjustRightInd w:val="0"/>
              <w:snapToGrid w:val="0"/>
              <w:jc w:val="center"/>
              <w:rPr>
                <w:b/>
                <w:bCs/>
                <w:sz w:val="24"/>
              </w:rPr>
            </w:pPr>
            <w:r>
              <w:rPr>
                <w:b/>
                <w:bCs/>
                <w:sz w:val="24"/>
              </w:rPr>
              <w:t>是否开工建设</w:t>
            </w:r>
          </w:p>
        </w:tc>
        <w:tc>
          <w:tcPr>
            <w:tcW w:w="2633" w:type="dxa"/>
            <w:noWrap w:val="0"/>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sym w:font="Wingdings 2" w:char="00A3"/>
            </w:r>
            <w:r>
              <w:rPr>
                <w:sz w:val="24"/>
              </w:rPr>
              <w:t>是：</w:t>
            </w:r>
            <w:r>
              <w:rPr>
                <w:sz w:val="24"/>
                <w:u w:val="single"/>
              </w:rPr>
              <w:t xml:space="preserve">             </w:t>
            </w:r>
          </w:p>
        </w:tc>
        <w:tc>
          <w:tcPr>
            <w:tcW w:w="1554" w:type="dxa"/>
            <w:noWrap w:val="0"/>
            <w:tcMar>
              <w:top w:w="16" w:type="dxa"/>
              <w:left w:w="16" w:type="dxa"/>
              <w:right w:w="16" w:type="dxa"/>
            </w:tcMar>
            <w:vAlign w:val="center"/>
          </w:tcPr>
          <w:p>
            <w:pPr>
              <w:adjustRightInd w:val="0"/>
              <w:snapToGrid w:val="0"/>
              <w:jc w:val="center"/>
              <w:rPr>
                <w:b/>
                <w:bCs/>
                <w:spacing w:val="-6"/>
                <w:sz w:val="24"/>
              </w:rPr>
            </w:pPr>
            <w:r>
              <w:rPr>
                <w:b/>
                <w:bCs/>
                <w:spacing w:val="-6"/>
                <w:sz w:val="24"/>
              </w:rPr>
              <w:t>用地（用海）</w:t>
            </w:r>
          </w:p>
          <w:p>
            <w:pPr>
              <w:adjustRightInd w:val="0"/>
              <w:snapToGrid w:val="0"/>
              <w:jc w:val="center"/>
              <w:rPr>
                <w:b/>
                <w:bCs/>
                <w:sz w:val="24"/>
              </w:rPr>
            </w:pPr>
            <w:r>
              <w:rPr>
                <w:b/>
                <w:bCs/>
                <w:spacing w:val="-6"/>
                <w:sz w:val="24"/>
              </w:rPr>
              <w:t>面积（m</w:t>
            </w:r>
            <w:r>
              <w:rPr>
                <w:b/>
                <w:bCs/>
                <w:spacing w:val="-6"/>
                <w:sz w:val="24"/>
                <w:vertAlign w:val="superscript"/>
              </w:rPr>
              <w:t>2</w:t>
            </w:r>
            <w:r>
              <w:rPr>
                <w:b/>
                <w:bCs/>
                <w:spacing w:val="-6"/>
                <w:sz w:val="24"/>
              </w:rPr>
              <w:t>）</w:t>
            </w:r>
          </w:p>
        </w:tc>
        <w:tc>
          <w:tcPr>
            <w:tcW w:w="3894" w:type="dxa"/>
            <w:noWrap w:val="0"/>
            <w:vAlign w:val="center"/>
          </w:tcPr>
          <w:p>
            <w:pPr>
              <w:adjustRightInd w:val="0"/>
              <w:snapToGrid w:val="0"/>
              <w:jc w:val="center"/>
              <w:rPr>
                <w:sz w:val="24"/>
              </w:rPr>
            </w:pPr>
            <w:r>
              <w:rPr>
                <w:rFonts w:hint="eastAsia"/>
                <w:sz w:val="24"/>
              </w:rPr>
              <w:t>23000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1091" w:type="dxa"/>
            <w:noWrap w:val="0"/>
            <w:vAlign w:val="center"/>
          </w:tcPr>
          <w:p>
            <w:pPr>
              <w:adjustRightInd w:val="0"/>
              <w:snapToGrid w:val="0"/>
              <w:jc w:val="center"/>
              <w:rPr>
                <w:b/>
                <w:bCs/>
                <w:kern w:val="0"/>
                <w:sz w:val="24"/>
              </w:rPr>
            </w:pPr>
            <w:r>
              <w:rPr>
                <w:b/>
                <w:bCs/>
                <w:kern w:val="0"/>
                <w:sz w:val="24"/>
              </w:rPr>
              <w:t>专项评价设置情况</w:t>
            </w:r>
          </w:p>
        </w:tc>
        <w:tc>
          <w:tcPr>
            <w:tcW w:w="846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sz w:val="24"/>
                <w:u w:val="single"/>
                <w:lang w:eastAsia="zh-CN"/>
              </w:rPr>
            </w:pPr>
            <w:r>
              <w:rPr>
                <w:rFonts w:hint="eastAsia" w:ascii="Times New Roman" w:hAnsi="Times New Roman" w:eastAsia="宋体" w:cs="Times New Roman"/>
                <w:sz w:val="24"/>
                <w:u w:val="single"/>
                <w:lang w:eastAsia="zh-CN"/>
              </w:rPr>
              <w:t>对照《建设项目环境影响报告表编制技术指南(污染影响类）（试行）》中专项评价</w:t>
            </w:r>
            <w:r>
              <w:rPr>
                <w:rFonts w:hint="default" w:ascii="Times New Roman" w:hAnsi="Times New Roman" w:eastAsia="宋体" w:cs="Times New Roman"/>
                <w:sz w:val="24"/>
                <w:u w:val="single"/>
                <w:lang w:eastAsia="zh-CN"/>
              </w:rPr>
              <w:t>设置原则表</w:t>
            </w:r>
            <w:r>
              <w:rPr>
                <w:rFonts w:hint="eastAsia" w:ascii="Times New Roman" w:hAnsi="Times New Roman" w:eastAsia="宋体" w:cs="Times New Roman"/>
                <w:sz w:val="24"/>
                <w:u w:val="single"/>
                <w:lang w:eastAsia="zh-CN"/>
              </w:rPr>
              <w:t>。</w:t>
            </w:r>
          </w:p>
          <w:p>
            <w:pPr>
              <w:pStyle w:val="88"/>
              <w:bidi w:val="0"/>
              <w:rPr>
                <w:rFonts w:hint="eastAsia"/>
                <w:u w:val="single"/>
                <w:lang w:eastAsia="zh-CN"/>
              </w:rPr>
            </w:pPr>
            <w:r>
              <w:rPr>
                <w:rFonts w:hint="eastAsia"/>
                <w:u w:val="single"/>
                <w:lang w:eastAsia="zh-CN"/>
              </w:rPr>
              <w:t>专项评价设置原则表</w:t>
            </w:r>
          </w:p>
          <w:tbl>
            <w:tblPr>
              <w:tblStyle w:val="2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5"/>
              <w:gridCol w:w="5054"/>
              <w:gridCol w:w="22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jc w:val="center"/>
              </w:trPr>
              <w:tc>
                <w:tcPr>
                  <w:tcW w:w="955" w:type="dxa"/>
                  <w:tcBorders>
                    <w:bottom w:val="single" w:color="000000" w:sz="4" w:space="0"/>
                    <w:right w:val="single" w:color="000000" w:sz="4" w:space="0"/>
                  </w:tcBorders>
                  <w:noWrap w:val="0"/>
                  <w:vAlign w:val="center"/>
                </w:tcPr>
                <w:p>
                  <w:pPr>
                    <w:pStyle w:val="89"/>
                    <w:bidi w:val="0"/>
                    <w:rPr>
                      <w:rFonts w:hint="default"/>
                      <w:b/>
                      <w:bCs/>
                      <w:u w:val="single"/>
                    </w:rPr>
                  </w:pPr>
                  <w:r>
                    <w:rPr>
                      <w:rFonts w:hint="default"/>
                      <w:b/>
                      <w:bCs/>
                      <w:u w:val="single"/>
                    </w:rPr>
                    <w:t>专项评价的类别</w:t>
                  </w:r>
                </w:p>
              </w:tc>
              <w:tc>
                <w:tcPr>
                  <w:tcW w:w="5054" w:type="dxa"/>
                  <w:tcBorders>
                    <w:left w:val="single" w:color="000000" w:sz="4" w:space="0"/>
                    <w:bottom w:val="single" w:color="000000" w:sz="4" w:space="0"/>
                    <w:right w:val="single" w:color="auto" w:sz="4" w:space="0"/>
                  </w:tcBorders>
                  <w:noWrap w:val="0"/>
                  <w:vAlign w:val="center"/>
                </w:tcPr>
                <w:p>
                  <w:pPr>
                    <w:pStyle w:val="89"/>
                    <w:bidi w:val="0"/>
                    <w:rPr>
                      <w:rFonts w:hint="default"/>
                      <w:b/>
                      <w:bCs/>
                      <w:u w:val="single"/>
                    </w:rPr>
                  </w:pPr>
                  <w:r>
                    <w:rPr>
                      <w:rFonts w:hint="default"/>
                      <w:b/>
                      <w:bCs/>
                      <w:u w:val="single"/>
                    </w:rPr>
                    <w:t>设置原则</w:t>
                  </w:r>
                </w:p>
              </w:tc>
              <w:tc>
                <w:tcPr>
                  <w:tcW w:w="2217" w:type="dxa"/>
                  <w:tcBorders>
                    <w:left w:val="single" w:color="auto" w:sz="4" w:space="0"/>
                    <w:bottom w:val="single" w:color="000000" w:sz="4" w:space="0"/>
                  </w:tcBorders>
                  <w:noWrap w:val="0"/>
                  <w:vAlign w:val="center"/>
                </w:tcPr>
                <w:p>
                  <w:pPr>
                    <w:pStyle w:val="89"/>
                    <w:bidi w:val="0"/>
                    <w:rPr>
                      <w:rFonts w:hint="eastAsia" w:eastAsia="宋体"/>
                      <w:b/>
                      <w:bCs/>
                      <w:u w:val="single"/>
                      <w:lang w:eastAsia="zh-CN"/>
                    </w:rPr>
                  </w:pPr>
                  <w:r>
                    <w:rPr>
                      <w:rFonts w:hint="eastAsia"/>
                      <w:b/>
                      <w:bCs/>
                      <w:u w:val="single"/>
                      <w:lang w:eastAsia="zh-CN"/>
                    </w:rPr>
                    <w:t>本项目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8" w:hRule="atLeast"/>
                <w:jc w:val="center"/>
              </w:trPr>
              <w:tc>
                <w:tcPr>
                  <w:tcW w:w="955" w:type="dxa"/>
                  <w:tcBorders>
                    <w:top w:val="single" w:color="000000" w:sz="4" w:space="0"/>
                    <w:bottom w:val="single" w:color="000000" w:sz="4" w:space="0"/>
                    <w:right w:val="single" w:color="000000" w:sz="4" w:space="0"/>
                  </w:tcBorders>
                  <w:noWrap w:val="0"/>
                  <w:vAlign w:val="center"/>
                </w:tcPr>
                <w:p>
                  <w:pPr>
                    <w:pStyle w:val="89"/>
                    <w:bidi w:val="0"/>
                    <w:rPr>
                      <w:rFonts w:hint="default"/>
                      <w:u w:val="single"/>
                    </w:rPr>
                  </w:pPr>
                  <w:r>
                    <w:rPr>
                      <w:rFonts w:hint="default"/>
                      <w:u w:val="single"/>
                    </w:rPr>
                    <w:t>大气</w:t>
                  </w:r>
                </w:p>
              </w:tc>
              <w:tc>
                <w:tcPr>
                  <w:tcW w:w="5054" w:type="dxa"/>
                  <w:tcBorders>
                    <w:top w:val="single" w:color="000000" w:sz="4" w:space="0"/>
                    <w:left w:val="single" w:color="000000" w:sz="4" w:space="0"/>
                    <w:bottom w:val="single" w:color="000000" w:sz="4" w:space="0"/>
                    <w:right w:val="single" w:color="auto" w:sz="4" w:space="0"/>
                  </w:tcBorders>
                  <w:noWrap w:val="0"/>
                  <w:vAlign w:val="center"/>
                </w:tcPr>
                <w:p>
                  <w:pPr>
                    <w:pStyle w:val="89"/>
                    <w:bidi w:val="0"/>
                    <w:rPr>
                      <w:rFonts w:hint="default"/>
                      <w:u w:val="single"/>
                    </w:rPr>
                  </w:pPr>
                  <w:r>
                    <w:rPr>
                      <w:rFonts w:hint="default"/>
                      <w:u w:val="single"/>
                    </w:rPr>
                    <w:t>排放废气含有毒有害污染物</w:t>
                  </w:r>
                  <w:r>
                    <w:rPr>
                      <w:rFonts w:hint="default"/>
                      <w:u w:val="single"/>
                      <w:vertAlign w:val="superscript"/>
                    </w:rPr>
                    <w:t>1</w:t>
                  </w:r>
                  <w:r>
                    <w:rPr>
                      <w:rFonts w:hint="default"/>
                      <w:u w:val="single"/>
                    </w:rPr>
                    <w:t>、二噁英、苯并[a]芘、氰化物、氯气且厂界外500 米范围内有环境空气保护目标</w:t>
                  </w:r>
                  <w:r>
                    <w:rPr>
                      <w:rFonts w:hint="default"/>
                      <w:u w:val="single"/>
                      <w:vertAlign w:val="superscript"/>
                    </w:rPr>
                    <w:t>2</w:t>
                  </w:r>
                  <w:r>
                    <w:rPr>
                      <w:rFonts w:hint="default"/>
                      <w:u w:val="single"/>
                    </w:rPr>
                    <w:t>的建设项目</w:t>
                  </w:r>
                </w:p>
              </w:tc>
              <w:tc>
                <w:tcPr>
                  <w:tcW w:w="2217" w:type="dxa"/>
                  <w:tcBorders>
                    <w:top w:val="single" w:color="000000" w:sz="4" w:space="0"/>
                    <w:left w:val="single" w:color="auto" w:sz="4" w:space="0"/>
                    <w:bottom w:val="single" w:color="000000" w:sz="4" w:space="0"/>
                  </w:tcBorders>
                  <w:noWrap w:val="0"/>
                  <w:vAlign w:val="center"/>
                </w:tcPr>
                <w:p>
                  <w:pPr>
                    <w:pStyle w:val="89"/>
                    <w:bidi w:val="0"/>
                    <w:rPr>
                      <w:rFonts w:hint="eastAsia" w:eastAsia="宋体"/>
                      <w:u w:val="single"/>
                      <w:lang w:eastAsia="zh-CN"/>
                    </w:rPr>
                  </w:pPr>
                  <w:r>
                    <w:rPr>
                      <w:rFonts w:hint="eastAsia"/>
                      <w:u w:val="single"/>
                      <w:lang w:eastAsia="zh-CN"/>
                    </w:rPr>
                    <w:t>排放废气主要为颗粒物，不含有有害物质。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9" w:hRule="atLeast"/>
                <w:jc w:val="center"/>
              </w:trPr>
              <w:tc>
                <w:tcPr>
                  <w:tcW w:w="955" w:type="dxa"/>
                  <w:tcBorders>
                    <w:top w:val="single" w:color="000000" w:sz="4" w:space="0"/>
                    <w:bottom w:val="single" w:color="000000" w:sz="4" w:space="0"/>
                    <w:right w:val="single" w:color="000000" w:sz="4" w:space="0"/>
                  </w:tcBorders>
                  <w:noWrap w:val="0"/>
                  <w:vAlign w:val="center"/>
                </w:tcPr>
                <w:p>
                  <w:pPr>
                    <w:pStyle w:val="89"/>
                    <w:bidi w:val="0"/>
                    <w:rPr>
                      <w:rFonts w:hint="default"/>
                      <w:u w:val="single"/>
                    </w:rPr>
                  </w:pPr>
                  <w:r>
                    <w:rPr>
                      <w:rFonts w:hint="default"/>
                      <w:u w:val="single"/>
                    </w:rPr>
                    <w:t>地表水</w:t>
                  </w:r>
                </w:p>
              </w:tc>
              <w:tc>
                <w:tcPr>
                  <w:tcW w:w="5054" w:type="dxa"/>
                  <w:tcBorders>
                    <w:top w:val="single" w:color="000000" w:sz="4" w:space="0"/>
                    <w:left w:val="single" w:color="000000" w:sz="4" w:space="0"/>
                    <w:bottom w:val="single" w:color="000000" w:sz="4" w:space="0"/>
                    <w:right w:val="single" w:color="auto" w:sz="4" w:space="0"/>
                  </w:tcBorders>
                  <w:noWrap w:val="0"/>
                  <w:vAlign w:val="center"/>
                </w:tcPr>
                <w:p>
                  <w:pPr>
                    <w:pStyle w:val="89"/>
                    <w:bidi w:val="0"/>
                    <w:rPr>
                      <w:rFonts w:hint="default"/>
                      <w:u w:val="single"/>
                    </w:rPr>
                  </w:pPr>
                  <w:r>
                    <w:rPr>
                      <w:rFonts w:hint="default"/>
                      <w:u w:val="single"/>
                    </w:rPr>
                    <w:t>新增工业废水直排建设项目（槽罐车外送污水处理厂的除外）；新增废水直排的污水集中处理厂</w:t>
                  </w:r>
                </w:p>
              </w:tc>
              <w:tc>
                <w:tcPr>
                  <w:tcW w:w="2217" w:type="dxa"/>
                  <w:tcBorders>
                    <w:top w:val="single" w:color="000000" w:sz="4" w:space="0"/>
                    <w:left w:val="single" w:color="auto" w:sz="4" w:space="0"/>
                    <w:bottom w:val="single" w:color="000000" w:sz="4" w:space="0"/>
                  </w:tcBorders>
                  <w:noWrap w:val="0"/>
                  <w:vAlign w:val="center"/>
                </w:tcPr>
                <w:p>
                  <w:pPr>
                    <w:pStyle w:val="89"/>
                    <w:bidi w:val="0"/>
                    <w:rPr>
                      <w:rFonts w:hint="eastAsia" w:eastAsia="宋体"/>
                      <w:u w:val="single"/>
                      <w:lang w:eastAsia="zh-CN"/>
                    </w:rPr>
                  </w:pPr>
                  <w:r>
                    <w:rPr>
                      <w:rFonts w:hint="eastAsia"/>
                      <w:u w:val="single"/>
                      <w:lang w:eastAsia="zh-CN"/>
                    </w:rPr>
                    <w:t>项目生活废水经化粪池处理后农肥，生产废水回用，不外排。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jc w:val="center"/>
              </w:trPr>
              <w:tc>
                <w:tcPr>
                  <w:tcW w:w="955" w:type="dxa"/>
                  <w:tcBorders>
                    <w:top w:val="single" w:color="000000" w:sz="4" w:space="0"/>
                    <w:bottom w:val="single" w:color="000000" w:sz="4" w:space="0"/>
                    <w:right w:val="single" w:color="000000" w:sz="4" w:space="0"/>
                  </w:tcBorders>
                  <w:noWrap w:val="0"/>
                  <w:vAlign w:val="center"/>
                </w:tcPr>
                <w:p>
                  <w:pPr>
                    <w:pStyle w:val="89"/>
                    <w:bidi w:val="0"/>
                    <w:rPr>
                      <w:rFonts w:hint="default"/>
                      <w:u w:val="single"/>
                    </w:rPr>
                  </w:pPr>
                  <w:r>
                    <w:rPr>
                      <w:rFonts w:hint="default"/>
                      <w:u w:val="single"/>
                    </w:rPr>
                    <w:t>环境风险</w:t>
                  </w:r>
                </w:p>
              </w:tc>
              <w:tc>
                <w:tcPr>
                  <w:tcW w:w="5054" w:type="dxa"/>
                  <w:tcBorders>
                    <w:top w:val="single" w:color="000000" w:sz="4" w:space="0"/>
                    <w:left w:val="single" w:color="000000" w:sz="4" w:space="0"/>
                    <w:bottom w:val="single" w:color="000000" w:sz="4" w:space="0"/>
                    <w:right w:val="single" w:color="auto" w:sz="4" w:space="0"/>
                  </w:tcBorders>
                  <w:noWrap w:val="0"/>
                  <w:vAlign w:val="center"/>
                </w:tcPr>
                <w:p>
                  <w:pPr>
                    <w:pStyle w:val="89"/>
                    <w:bidi w:val="0"/>
                    <w:rPr>
                      <w:rFonts w:hint="default"/>
                      <w:u w:val="single"/>
                    </w:rPr>
                  </w:pPr>
                  <w:r>
                    <w:rPr>
                      <w:rFonts w:hint="default"/>
                      <w:u w:val="single"/>
                    </w:rPr>
                    <w:t>有毒有害和易燃易爆危险物质存储量超过临界量</w:t>
                  </w:r>
                  <w:r>
                    <w:rPr>
                      <w:rFonts w:hint="default"/>
                      <w:u w:val="single"/>
                      <w:vertAlign w:val="superscript"/>
                    </w:rPr>
                    <w:t>3</w:t>
                  </w:r>
                  <w:r>
                    <w:rPr>
                      <w:rFonts w:hint="default"/>
                      <w:u w:val="single"/>
                    </w:rPr>
                    <w:t>的建设项目</w:t>
                  </w:r>
                </w:p>
              </w:tc>
              <w:tc>
                <w:tcPr>
                  <w:tcW w:w="2217" w:type="dxa"/>
                  <w:tcBorders>
                    <w:top w:val="single" w:color="000000" w:sz="4" w:space="0"/>
                    <w:left w:val="single" w:color="auto" w:sz="4" w:space="0"/>
                    <w:bottom w:val="single" w:color="000000" w:sz="4" w:space="0"/>
                  </w:tcBorders>
                  <w:noWrap w:val="0"/>
                  <w:vAlign w:val="center"/>
                </w:tcPr>
                <w:p>
                  <w:pPr>
                    <w:pStyle w:val="89"/>
                    <w:bidi w:val="0"/>
                    <w:rPr>
                      <w:rFonts w:hint="eastAsia" w:eastAsia="宋体"/>
                      <w:u w:val="single"/>
                      <w:lang w:eastAsia="zh-CN"/>
                    </w:rPr>
                  </w:pPr>
                  <w:r>
                    <w:rPr>
                      <w:rFonts w:hint="eastAsia"/>
                      <w:u w:val="single"/>
                      <w:lang w:eastAsia="zh-CN"/>
                    </w:rPr>
                    <w:t>项目主要环境风险物质为废机油，危险物质数量与临界量比值（Q）为0.0002（Q＜1），未超过</w:t>
                  </w:r>
                  <w:r>
                    <w:rPr>
                      <w:rFonts w:hint="default"/>
                      <w:u w:val="single"/>
                    </w:rPr>
                    <w:t>临界量</w:t>
                  </w:r>
                  <w:r>
                    <w:rPr>
                      <w:rFonts w:hint="eastAsia"/>
                      <w:u w:val="singl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8" w:hRule="atLeast"/>
                <w:jc w:val="center"/>
              </w:trPr>
              <w:tc>
                <w:tcPr>
                  <w:tcW w:w="955" w:type="dxa"/>
                  <w:tcBorders>
                    <w:top w:val="single" w:color="000000" w:sz="4" w:space="0"/>
                    <w:bottom w:val="single" w:color="000000" w:sz="4" w:space="0"/>
                    <w:right w:val="single" w:color="000000" w:sz="4" w:space="0"/>
                  </w:tcBorders>
                  <w:noWrap w:val="0"/>
                  <w:vAlign w:val="center"/>
                </w:tcPr>
                <w:p>
                  <w:pPr>
                    <w:pStyle w:val="89"/>
                    <w:bidi w:val="0"/>
                    <w:rPr>
                      <w:rFonts w:hint="default"/>
                      <w:u w:val="single"/>
                    </w:rPr>
                  </w:pPr>
                  <w:r>
                    <w:rPr>
                      <w:rFonts w:hint="default"/>
                      <w:u w:val="single"/>
                    </w:rPr>
                    <w:t>生态</w:t>
                  </w:r>
                </w:p>
              </w:tc>
              <w:tc>
                <w:tcPr>
                  <w:tcW w:w="5054" w:type="dxa"/>
                  <w:tcBorders>
                    <w:top w:val="single" w:color="000000" w:sz="4" w:space="0"/>
                    <w:left w:val="single" w:color="000000" w:sz="4" w:space="0"/>
                    <w:bottom w:val="single" w:color="000000" w:sz="4" w:space="0"/>
                    <w:right w:val="single" w:color="auto" w:sz="4" w:space="0"/>
                  </w:tcBorders>
                  <w:noWrap w:val="0"/>
                  <w:vAlign w:val="center"/>
                </w:tcPr>
                <w:p>
                  <w:pPr>
                    <w:pStyle w:val="89"/>
                    <w:bidi w:val="0"/>
                    <w:rPr>
                      <w:rFonts w:hint="default"/>
                      <w:u w:val="single"/>
                    </w:rPr>
                  </w:pPr>
                  <w:r>
                    <w:rPr>
                      <w:rFonts w:hint="default"/>
                      <w:u w:val="single"/>
                    </w:rPr>
                    <w:t>取水口下游500米范围内有重要水生生物的自然产卵场、索饵场、越冬场和洄游通道的新增河道取水的污染类建设项目</w:t>
                  </w:r>
                </w:p>
              </w:tc>
              <w:tc>
                <w:tcPr>
                  <w:tcW w:w="2217" w:type="dxa"/>
                  <w:tcBorders>
                    <w:top w:val="single" w:color="000000" w:sz="4" w:space="0"/>
                    <w:left w:val="single" w:color="auto" w:sz="4" w:space="0"/>
                    <w:bottom w:val="single" w:color="000000" w:sz="4" w:space="0"/>
                  </w:tcBorders>
                  <w:noWrap w:val="0"/>
                  <w:vAlign w:val="center"/>
                </w:tcPr>
                <w:p>
                  <w:pPr>
                    <w:pStyle w:val="89"/>
                    <w:bidi w:val="0"/>
                    <w:rPr>
                      <w:rFonts w:hint="default" w:eastAsia="宋体"/>
                      <w:u w:val="single"/>
                      <w:lang w:val="en-US" w:eastAsia="zh-CN"/>
                    </w:rPr>
                  </w:pPr>
                  <w:r>
                    <w:rPr>
                      <w:rFonts w:hint="eastAsia"/>
                      <w:u w:val="single"/>
                      <w:lang w:eastAsia="zh-CN"/>
                    </w:rPr>
                    <w:t>项目周边</w:t>
                  </w:r>
                  <w:r>
                    <w:rPr>
                      <w:rFonts w:hint="eastAsia"/>
                      <w:u w:val="single"/>
                      <w:lang w:val="en-US" w:eastAsia="zh-CN"/>
                    </w:rPr>
                    <w:t>500m范围内无取水口。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jc w:val="center"/>
              </w:trPr>
              <w:tc>
                <w:tcPr>
                  <w:tcW w:w="955" w:type="dxa"/>
                  <w:tcBorders>
                    <w:top w:val="single" w:color="000000" w:sz="4" w:space="0"/>
                    <w:right w:val="single" w:color="000000" w:sz="4" w:space="0"/>
                  </w:tcBorders>
                  <w:noWrap w:val="0"/>
                  <w:vAlign w:val="center"/>
                </w:tcPr>
                <w:p>
                  <w:pPr>
                    <w:pStyle w:val="89"/>
                    <w:bidi w:val="0"/>
                    <w:rPr>
                      <w:rFonts w:hint="default"/>
                      <w:u w:val="single"/>
                    </w:rPr>
                  </w:pPr>
                  <w:r>
                    <w:rPr>
                      <w:rFonts w:hint="default"/>
                      <w:u w:val="single"/>
                    </w:rPr>
                    <w:t>海洋</w:t>
                  </w:r>
                </w:p>
              </w:tc>
              <w:tc>
                <w:tcPr>
                  <w:tcW w:w="5054" w:type="dxa"/>
                  <w:tcBorders>
                    <w:top w:val="single" w:color="000000" w:sz="4" w:space="0"/>
                    <w:left w:val="single" w:color="000000" w:sz="4" w:space="0"/>
                    <w:right w:val="single" w:color="auto" w:sz="4" w:space="0"/>
                  </w:tcBorders>
                  <w:noWrap w:val="0"/>
                  <w:vAlign w:val="center"/>
                </w:tcPr>
                <w:p>
                  <w:pPr>
                    <w:pStyle w:val="89"/>
                    <w:bidi w:val="0"/>
                    <w:rPr>
                      <w:rFonts w:hint="default"/>
                      <w:u w:val="single"/>
                    </w:rPr>
                  </w:pPr>
                  <w:r>
                    <w:rPr>
                      <w:rFonts w:hint="default"/>
                      <w:u w:val="single"/>
                    </w:rPr>
                    <w:t>直接向海排放污染物的海洋工程建设项目</w:t>
                  </w:r>
                </w:p>
              </w:tc>
              <w:tc>
                <w:tcPr>
                  <w:tcW w:w="2217" w:type="dxa"/>
                  <w:tcBorders>
                    <w:top w:val="single" w:color="000000" w:sz="4" w:space="0"/>
                    <w:left w:val="single" w:color="auto" w:sz="4" w:space="0"/>
                  </w:tcBorders>
                  <w:noWrap w:val="0"/>
                  <w:vAlign w:val="center"/>
                </w:tcPr>
                <w:p>
                  <w:pPr>
                    <w:pStyle w:val="89"/>
                    <w:bidi w:val="0"/>
                    <w:rPr>
                      <w:rFonts w:hint="eastAsia" w:eastAsia="宋体"/>
                      <w:u w:val="single"/>
                      <w:lang w:eastAsia="zh-CN"/>
                    </w:rPr>
                  </w:pPr>
                  <w:r>
                    <w:rPr>
                      <w:rFonts w:hint="eastAsia"/>
                      <w:u w:val="single"/>
                      <w:lang w:eastAsia="zh-CN"/>
                    </w:rPr>
                    <w:t>项目不属于海洋工程项目，且废水不外排。</w:t>
                  </w:r>
                </w:p>
              </w:tc>
            </w:tr>
          </w:tbl>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eastAsia="宋体"/>
                <w:kern w:val="0"/>
                <w:sz w:val="24"/>
                <w:lang w:eastAsia="zh-CN"/>
              </w:rPr>
            </w:pPr>
            <w:r>
              <w:rPr>
                <w:rFonts w:hint="eastAsia" w:ascii="Times New Roman" w:hAnsi="Times New Roman" w:eastAsia="宋体" w:cs="Times New Roman"/>
                <w:sz w:val="24"/>
                <w:u w:val="single"/>
                <w:lang w:eastAsia="zh-CN"/>
              </w:rPr>
              <w:t>经上表分析，本项目不设置专项评价设置。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91" w:type="dxa"/>
            <w:noWrap w:val="0"/>
            <w:vAlign w:val="center"/>
          </w:tcPr>
          <w:p>
            <w:pPr>
              <w:autoSpaceDE w:val="0"/>
              <w:autoSpaceDN w:val="0"/>
              <w:adjustRightInd w:val="0"/>
              <w:snapToGrid w:val="0"/>
              <w:jc w:val="center"/>
              <w:rPr>
                <w:b/>
                <w:bCs/>
                <w:kern w:val="0"/>
                <w:sz w:val="24"/>
              </w:rPr>
            </w:pPr>
            <w:r>
              <w:rPr>
                <w:b/>
                <w:bCs/>
                <w:sz w:val="24"/>
              </w:rPr>
              <w:t>规划情况</w:t>
            </w:r>
          </w:p>
        </w:tc>
        <w:tc>
          <w:tcPr>
            <w:tcW w:w="8462" w:type="dxa"/>
            <w:gridSpan w:val="4"/>
            <w:noWrap w:val="0"/>
            <w:vAlign w:val="center"/>
          </w:tcPr>
          <w:p>
            <w:pPr>
              <w:autoSpaceDE w:val="0"/>
              <w:autoSpaceDN w:val="0"/>
              <w:adjustRightInd w:val="0"/>
              <w:snapToGrid w:val="0"/>
              <w:jc w:val="center"/>
              <w:rPr>
                <w:rFonts w:hint="eastAsia" w:ascii="宋体" w:hAnsi="宋体" w:cs="宋体"/>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91" w:type="dxa"/>
            <w:noWrap w:val="0"/>
            <w:vAlign w:val="center"/>
          </w:tcPr>
          <w:p>
            <w:pPr>
              <w:adjustRightInd w:val="0"/>
              <w:snapToGrid w:val="0"/>
              <w:jc w:val="center"/>
              <w:rPr>
                <w:b/>
                <w:bCs/>
                <w:sz w:val="24"/>
              </w:rPr>
            </w:pPr>
            <w:r>
              <w:rPr>
                <w:b/>
                <w:bCs/>
                <w:sz w:val="24"/>
              </w:rPr>
              <w:t>规划环境影响</w:t>
            </w:r>
          </w:p>
          <w:p>
            <w:pPr>
              <w:adjustRightInd w:val="0"/>
              <w:snapToGrid w:val="0"/>
              <w:jc w:val="center"/>
              <w:rPr>
                <w:b/>
                <w:bCs/>
                <w:kern w:val="0"/>
                <w:sz w:val="24"/>
              </w:rPr>
            </w:pPr>
            <w:r>
              <w:rPr>
                <w:b/>
                <w:bCs/>
                <w:sz w:val="24"/>
              </w:rPr>
              <w:t>评价情况</w:t>
            </w:r>
          </w:p>
        </w:tc>
        <w:tc>
          <w:tcPr>
            <w:tcW w:w="8462" w:type="dxa"/>
            <w:gridSpan w:val="4"/>
            <w:noWrap w:val="0"/>
            <w:vAlign w:val="center"/>
          </w:tcPr>
          <w:p>
            <w:pPr>
              <w:autoSpaceDE w:val="0"/>
              <w:autoSpaceDN w:val="0"/>
              <w:adjustRightInd w:val="0"/>
              <w:snapToGrid w:val="0"/>
              <w:jc w:val="center"/>
              <w:rPr>
                <w:rFonts w:hint="eastAsia" w:ascii="宋体" w:hAnsi="宋体" w:cs="宋体"/>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91" w:type="dxa"/>
            <w:noWrap w:val="0"/>
            <w:vAlign w:val="center"/>
          </w:tcPr>
          <w:p>
            <w:pPr>
              <w:adjustRightInd w:val="0"/>
              <w:snapToGrid w:val="0"/>
              <w:jc w:val="center"/>
              <w:rPr>
                <w:b/>
                <w:bCs/>
                <w:sz w:val="24"/>
              </w:rPr>
            </w:pPr>
            <w:r>
              <w:rPr>
                <w:b/>
                <w:bCs/>
                <w:sz w:val="24"/>
              </w:rPr>
              <w:t>规划及规划环境影响评价符合性分析</w:t>
            </w:r>
          </w:p>
        </w:tc>
        <w:tc>
          <w:tcPr>
            <w:tcW w:w="8462" w:type="dxa"/>
            <w:gridSpan w:val="4"/>
            <w:noWrap w:val="0"/>
            <w:vAlign w:val="center"/>
          </w:tcPr>
          <w:p>
            <w:pPr>
              <w:adjustRightInd w:val="0"/>
              <w:snapToGrid w:val="0"/>
              <w:jc w:val="center"/>
              <w:rPr>
                <w:rFonts w:hint="eastAsia" w:ascii="宋体" w:hAnsi="宋体" w:cs="宋体"/>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1" w:type="dxa"/>
            <w:noWrap w:val="0"/>
            <w:vAlign w:val="center"/>
          </w:tcPr>
          <w:p>
            <w:pPr>
              <w:autoSpaceDE w:val="0"/>
              <w:autoSpaceDN w:val="0"/>
              <w:adjustRightInd w:val="0"/>
              <w:snapToGrid w:val="0"/>
              <w:jc w:val="center"/>
              <w:rPr>
                <w:rFonts w:hint="eastAsia" w:ascii="宋体" w:hAnsi="宋体" w:cs="宋体"/>
                <w:kern w:val="0"/>
                <w:sz w:val="24"/>
              </w:rPr>
            </w:pPr>
            <w:r>
              <w:rPr>
                <w:rFonts w:hint="eastAsia"/>
                <w:b/>
                <w:bCs/>
                <w:sz w:val="28"/>
                <w:szCs w:val="22"/>
              </w:rPr>
              <w:t>其他符合性分析</w:t>
            </w:r>
          </w:p>
        </w:tc>
        <w:tc>
          <w:tcPr>
            <w:tcW w:w="8462" w:type="dxa"/>
            <w:gridSpan w:val="4"/>
            <w:noWrap w:val="0"/>
            <w:vAlign w:val="center"/>
          </w:tcPr>
          <w:p>
            <w:pPr>
              <w:pStyle w:val="3"/>
              <w:wordWrap w:val="0"/>
              <w:spacing w:line="240" w:lineRule="auto"/>
              <w:ind w:firstLine="0" w:firstLineChars="0"/>
              <w:rPr>
                <w:rFonts w:ascii="Times New Roman" w:hAnsi="Times New Roman" w:eastAsia="宋体"/>
                <w:bCs w:val="0"/>
                <w:szCs w:val="24"/>
              </w:rPr>
            </w:pPr>
            <w:r>
              <w:rPr>
                <w:rFonts w:hint="eastAsia" w:ascii="Times New Roman" w:hAnsi="Times New Roman" w:eastAsia="宋体"/>
                <w:bCs w:val="0"/>
                <w:szCs w:val="24"/>
              </w:rPr>
              <w:t>1.</w:t>
            </w:r>
            <w:r>
              <w:rPr>
                <w:rFonts w:ascii="Times New Roman" w:hAnsi="Times New Roman" w:eastAsia="宋体"/>
                <w:bCs w:val="0"/>
                <w:szCs w:val="24"/>
              </w:rPr>
              <w:t>1产业政策符合性</w:t>
            </w:r>
          </w:p>
          <w:p>
            <w:pPr>
              <w:pStyle w:val="4"/>
              <w:keepLines/>
              <w:wordWrap w:val="0"/>
              <w:autoSpaceDE/>
              <w:autoSpaceDN/>
              <w:adjustRightInd/>
              <w:spacing w:before="192" w:beforeLines="80" w:after="192" w:afterLines="80"/>
              <w:rPr>
                <w:rFonts w:hint="eastAsia" w:ascii="Times New Roman" w:hAnsi="Times New Roman"/>
                <w:bCs w:val="0"/>
                <w:sz w:val="28"/>
                <w:szCs w:val="32"/>
              </w:rPr>
            </w:pPr>
            <w:r>
              <w:rPr>
                <w:rFonts w:hint="eastAsia" w:ascii="Times New Roman" w:hAnsi="Times New Roman"/>
                <w:bCs w:val="0"/>
                <w:sz w:val="28"/>
                <w:szCs w:val="32"/>
              </w:rPr>
              <w:t>1.1.1与《产业结构调整指导目录（2024年本）》符合性分析</w:t>
            </w:r>
          </w:p>
          <w:p>
            <w:pPr>
              <w:wordWrap w:val="0"/>
              <w:spacing w:before="200" w:line="360" w:lineRule="auto"/>
              <w:ind w:firstLine="480" w:firstLineChars="200"/>
              <w:rPr>
                <w:sz w:val="24"/>
              </w:rPr>
            </w:pPr>
            <w:r>
              <w:rPr>
                <w:sz w:val="24"/>
              </w:rPr>
              <w:t>本项目为</w:t>
            </w:r>
            <w:r>
              <w:rPr>
                <w:rFonts w:hint="eastAsia"/>
                <w:sz w:val="24"/>
              </w:rPr>
              <w:t>非</w:t>
            </w:r>
            <w:r>
              <w:rPr>
                <w:sz w:val="24"/>
              </w:rPr>
              <w:t>金属</w:t>
            </w:r>
            <w:r>
              <w:rPr>
                <w:rFonts w:hint="eastAsia"/>
                <w:sz w:val="24"/>
              </w:rPr>
              <w:t>矿物</w:t>
            </w:r>
            <w:r>
              <w:rPr>
                <w:sz w:val="24"/>
              </w:rPr>
              <w:t>制品业，</w:t>
            </w:r>
            <w:r>
              <w:rPr>
                <w:rFonts w:hint="eastAsia"/>
                <w:sz w:val="24"/>
              </w:rPr>
              <w:t>主要产品建筑用石</w:t>
            </w:r>
            <w:r>
              <w:rPr>
                <w:sz w:val="24"/>
              </w:rPr>
              <w:t>，</w:t>
            </w:r>
            <w:r>
              <w:rPr>
                <w:rFonts w:hint="eastAsia"/>
                <w:sz w:val="24"/>
              </w:rPr>
              <w:t>不属于《产业结构调整指导目录（2024年本）》中规定的“鼓励类”“限制类”和“淘汰类”，属于国家允许的生产建设，</w:t>
            </w:r>
            <w:r>
              <w:rPr>
                <w:sz w:val="24"/>
              </w:rPr>
              <w:t>符合国家产业政策。</w:t>
            </w:r>
          </w:p>
          <w:p>
            <w:pPr>
              <w:pStyle w:val="4"/>
              <w:keepLines/>
              <w:wordWrap w:val="0"/>
              <w:autoSpaceDE/>
              <w:autoSpaceDN/>
              <w:adjustRightInd/>
              <w:spacing w:before="192" w:beforeLines="80" w:after="192" w:afterLines="80"/>
              <w:rPr>
                <w:rFonts w:ascii="Times New Roman" w:hAnsi="Times New Roman"/>
                <w:bCs w:val="0"/>
                <w:sz w:val="28"/>
                <w:szCs w:val="32"/>
              </w:rPr>
            </w:pPr>
            <w:r>
              <w:rPr>
                <w:rFonts w:hint="eastAsia" w:ascii="Times New Roman" w:hAnsi="Times New Roman"/>
                <w:bCs w:val="0"/>
                <w:sz w:val="28"/>
                <w:szCs w:val="32"/>
              </w:rPr>
              <w:t>1.2</w:t>
            </w:r>
            <w:r>
              <w:rPr>
                <w:rFonts w:ascii="Times New Roman" w:hAnsi="Times New Roman"/>
                <w:bCs w:val="0"/>
                <w:sz w:val="28"/>
                <w:szCs w:val="32"/>
              </w:rPr>
              <w:t>与“三线一单”的符合性</w:t>
            </w:r>
          </w:p>
          <w:p>
            <w:pPr>
              <w:wordWrap w:val="0"/>
              <w:spacing w:before="260" w:after="260"/>
              <w:ind w:firstLine="482" w:firstLineChars="200"/>
              <w:rPr>
                <w:rFonts w:hint="eastAsia"/>
                <w:b/>
                <w:bCs/>
                <w:sz w:val="24"/>
                <w:lang w:bidi="zh-CN"/>
              </w:rPr>
            </w:pPr>
            <w:r>
              <w:rPr>
                <w:rFonts w:hint="eastAsia"/>
                <w:b/>
                <w:bCs/>
                <w:sz w:val="24"/>
                <w:lang w:bidi="zh-CN"/>
              </w:rPr>
              <w:t>（1）与生态保护红线</w:t>
            </w:r>
          </w:p>
          <w:p>
            <w:pPr>
              <w:autoSpaceDE w:val="0"/>
              <w:autoSpaceDN w:val="0"/>
              <w:adjustRightInd w:val="0"/>
              <w:snapToGrid w:val="0"/>
              <w:spacing w:line="360" w:lineRule="auto"/>
              <w:ind w:firstLine="480" w:firstLineChars="200"/>
              <w:jc w:val="left"/>
              <w:rPr>
                <w:rFonts w:hint="eastAsia"/>
                <w:sz w:val="24"/>
              </w:rPr>
            </w:pPr>
            <w:r>
              <w:rPr>
                <w:rFonts w:hint="eastAsia"/>
                <w:sz w:val="24"/>
              </w:rPr>
              <w:t>本项目位于花垣县花垣镇，根据</w:t>
            </w:r>
            <w:r>
              <w:rPr>
                <w:sz w:val="24"/>
              </w:rPr>
              <w:t>《湖南省人民政府关于印发&lt;湖南省生态保护红线&gt;的通知》（湘政发〔2018〕20号）和</w:t>
            </w:r>
            <w:r>
              <w:rPr>
                <w:rFonts w:hint="eastAsia"/>
                <w:sz w:val="24"/>
              </w:rPr>
              <w:t>花垣县</w:t>
            </w:r>
            <w:r>
              <w:rPr>
                <w:sz w:val="24"/>
              </w:rPr>
              <w:t>生态保护红线划定情况，本项目不在生态保护红线范围内</w:t>
            </w:r>
            <w:r>
              <w:rPr>
                <w:rFonts w:hint="eastAsia"/>
                <w:sz w:val="24"/>
              </w:rPr>
              <w:t>，不会触碰生态保护红线。</w:t>
            </w:r>
          </w:p>
          <w:p>
            <w:pPr>
              <w:wordWrap w:val="0"/>
              <w:spacing w:before="260" w:after="260"/>
              <w:ind w:firstLine="482" w:firstLineChars="200"/>
              <w:rPr>
                <w:rFonts w:hint="eastAsia"/>
                <w:b/>
                <w:bCs/>
                <w:sz w:val="24"/>
                <w:lang w:bidi="zh-CN"/>
              </w:rPr>
            </w:pPr>
            <w:r>
              <w:rPr>
                <w:rFonts w:hint="eastAsia"/>
                <w:b/>
                <w:bCs/>
                <w:sz w:val="24"/>
                <w:lang w:bidi="zh-CN"/>
              </w:rPr>
              <w:t>（2）环境质量底线</w:t>
            </w:r>
          </w:p>
          <w:p>
            <w:pPr>
              <w:autoSpaceDE w:val="0"/>
              <w:autoSpaceDN w:val="0"/>
              <w:adjustRightInd w:val="0"/>
              <w:spacing w:line="360" w:lineRule="auto"/>
              <w:ind w:firstLine="480" w:firstLineChars="200"/>
              <w:rPr>
                <w:sz w:val="24"/>
              </w:rPr>
            </w:pPr>
            <w:r>
              <w:rPr>
                <w:rFonts w:hint="eastAsia" w:ascii="宋体" w:hAnsi="宋体" w:cs="宋体"/>
                <w:color w:val="000000"/>
                <w:kern w:val="0"/>
                <w:sz w:val="24"/>
                <w:szCs w:val="22"/>
              </w:rPr>
              <w:t>根据现状调查可知，</w:t>
            </w:r>
            <w:r>
              <w:rPr>
                <w:rFonts w:hint="eastAsia" w:ascii="宋体" w:hAnsi="宋体" w:cs="宋体"/>
                <w:color w:val="000000"/>
                <w:kern w:val="0"/>
                <w:sz w:val="24"/>
                <w:szCs w:val="22"/>
                <w:highlight w:val="none"/>
              </w:rPr>
              <w:t>项目周边大气</w:t>
            </w:r>
            <w:r>
              <w:rPr>
                <w:rFonts w:hint="eastAsia" w:ascii="宋体" w:hAnsi="宋体" w:cs="宋体"/>
                <w:color w:val="000000"/>
                <w:kern w:val="0"/>
                <w:sz w:val="24"/>
                <w:szCs w:val="22"/>
                <w:highlight w:val="none"/>
                <w:lang w:eastAsia="zh-CN"/>
              </w:rPr>
              <w:t>达到</w:t>
            </w:r>
            <w:r>
              <w:rPr>
                <w:rFonts w:hint="eastAsia"/>
                <w:sz w:val="24"/>
                <w:highlight w:val="none"/>
              </w:rPr>
              <w:t>《环境空气质量标准》（GB3095-2012）及修改单中二级标准限值</w:t>
            </w:r>
            <w:r>
              <w:rPr>
                <w:rFonts w:hint="eastAsia" w:ascii="宋体" w:hAnsi="宋体" w:cs="宋体"/>
                <w:color w:val="000000"/>
                <w:kern w:val="0"/>
                <w:sz w:val="24"/>
                <w:szCs w:val="22"/>
                <w:highlight w:val="none"/>
                <w:lang w:eastAsia="zh-CN"/>
              </w:rPr>
              <w:t>，</w:t>
            </w:r>
            <w:r>
              <w:rPr>
                <w:rFonts w:hint="eastAsia" w:ascii="宋体" w:hAnsi="宋体" w:cs="宋体"/>
                <w:color w:val="000000"/>
                <w:kern w:val="0"/>
                <w:sz w:val="24"/>
                <w:szCs w:val="22"/>
                <w:highlight w:val="none"/>
              </w:rPr>
              <w:t>地表水</w:t>
            </w:r>
            <w:r>
              <w:rPr>
                <w:rFonts w:hint="eastAsia" w:ascii="宋体" w:hAnsi="宋体" w:cs="宋体"/>
                <w:color w:val="000000"/>
                <w:kern w:val="0"/>
                <w:sz w:val="24"/>
                <w:szCs w:val="22"/>
                <w:highlight w:val="none"/>
                <w:lang w:eastAsia="zh-CN"/>
              </w:rPr>
              <w:t>达到</w:t>
            </w:r>
            <w:r>
              <w:rPr>
                <w:sz w:val="24"/>
                <w:highlight w:val="none"/>
              </w:rPr>
              <w:t>《地表水环境质量标准》（GB3838-2002）</w:t>
            </w:r>
            <w:r>
              <w:rPr>
                <w:rFonts w:hint="eastAsia" w:ascii="仿宋" w:hAnsi="仿宋" w:eastAsia="仿宋" w:cs="仿宋"/>
                <w:sz w:val="24"/>
                <w:highlight w:val="none"/>
              </w:rPr>
              <w:t>Ⅱ</w:t>
            </w:r>
            <w:r>
              <w:rPr>
                <w:sz w:val="24"/>
                <w:highlight w:val="none"/>
              </w:rPr>
              <w:t>类标准</w:t>
            </w:r>
            <w:r>
              <w:rPr>
                <w:rFonts w:hint="eastAsia" w:ascii="宋体" w:hAnsi="宋体" w:cs="宋体"/>
                <w:color w:val="000000"/>
                <w:kern w:val="0"/>
                <w:sz w:val="24"/>
                <w:szCs w:val="22"/>
                <w:highlight w:val="none"/>
              </w:rPr>
              <w:t>，</w:t>
            </w:r>
            <w:r>
              <w:rPr>
                <w:rFonts w:hint="eastAsia" w:ascii="宋体" w:hAnsi="宋体" w:cs="宋体"/>
                <w:color w:val="000000"/>
                <w:kern w:val="0"/>
                <w:sz w:val="24"/>
                <w:szCs w:val="22"/>
              </w:rPr>
              <w:t>符合相应功能区要求。</w:t>
            </w:r>
          </w:p>
          <w:p>
            <w:pPr>
              <w:autoSpaceDE w:val="0"/>
              <w:autoSpaceDN w:val="0"/>
              <w:adjustRightInd w:val="0"/>
              <w:spacing w:line="360" w:lineRule="auto"/>
              <w:ind w:firstLine="480" w:firstLineChars="200"/>
              <w:rPr>
                <w:sz w:val="24"/>
              </w:rPr>
            </w:pPr>
            <w:r>
              <w:rPr>
                <w:sz w:val="24"/>
              </w:rPr>
              <w:t>营运期，项目对产生的废气、废水、噪声均采取相应的治理措施后达标排放或综合利用，固废做到无害化处置，采取相关防治措施后，项目排放的污染物不会突破区域环境质量底线要求。</w:t>
            </w:r>
          </w:p>
          <w:p>
            <w:pPr>
              <w:wordWrap w:val="0"/>
              <w:spacing w:before="260" w:after="260"/>
              <w:ind w:firstLine="482" w:firstLineChars="200"/>
              <w:rPr>
                <w:rFonts w:hint="eastAsia"/>
                <w:b/>
                <w:bCs/>
                <w:sz w:val="24"/>
                <w:lang w:bidi="zh-CN"/>
              </w:rPr>
            </w:pPr>
            <w:r>
              <w:rPr>
                <w:rFonts w:hint="eastAsia"/>
                <w:b/>
                <w:bCs/>
                <w:sz w:val="24"/>
                <w:lang w:bidi="zh-CN"/>
              </w:rPr>
              <w:t>（3）资源利用上线</w:t>
            </w:r>
          </w:p>
          <w:p>
            <w:pPr>
              <w:wordWrap w:val="0"/>
              <w:spacing w:line="360" w:lineRule="auto"/>
              <w:ind w:firstLine="480" w:firstLineChars="200"/>
              <w:rPr>
                <w:sz w:val="24"/>
              </w:rPr>
            </w:pPr>
            <w:r>
              <w:rPr>
                <w:sz w:val="24"/>
              </w:rPr>
              <w:t>项目占地面积</w:t>
            </w:r>
            <w:r>
              <w:rPr>
                <w:rFonts w:hint="eastAsia"/>
                <w:sz w:val="24"/>
              </w:rPr>
              <w:t>23000</w:t>
            </w:r>
            <w:r>
              <w:rPr>
                <w:sz w:val="24"/>
              </w:rPr>
              <w:t>㎡</w:t>
            </w:r>
            <w:r>
              <w:rPr>
                <w:rFonts w:hint="eastAsia"/>
                <w:sz w:val="24"/>
              </w:rPr>
              <w:t>；员工生活用水量小；市政电网供电，用量不大。不会突破资源利用上线</w:t>
            </w:r>
            <w:r>
              <w:rPr>
                <w:sz w:val="24"/>
              </w:rPr>
              <w:t>。</w:t>
            </w:r>
          </w:p>
          <w:p>
            <w:pPr>
              <w:wordWrap w:val="0"/>
              <w:spacing w:before="260" w:after="260"/>
              <w:ind w:firstLine="482" w:firstLineChars="200"/>
              <w:rPr>
                <w:rFonts w:hint="eastAsia"/>
                <w:b/>
                <w:bCs/>
                <w:sz w:val="24"/>
                <w:lang w:bidi="zh-CN"/>
              </w:rPr>
            </w:pPr>
            <w:r>
              <w:rPr>
                <w:rFonts w:hint="eastAsia"/>
                <w:b/>
                <w:bCs/>
                <w:sz w:val="24"/>
                <w:lang w:bidi="zh-CN"/>
              </w:rPr>
              <w:t>（4）生态环境准入清单</w:t>
            </w:r>
          </w:p>
          <w:p>
            <w:pPr>
              <w:wordWrap w:val="0"/>
              <w:spacing w:line="360" w:lineRule="auto"/>
              <w:ind w:firstLine="480" w:firstLineChars="200"/>
              <w:rPr>
                <w:sz w:val="24"/>
                <w:lang w:val="zh-CN"/>
              </w:rPr>
            </w:pPr>
            <w:r>
              <w:rPr>
                <w:rFonts w:hint="eastAsia"/>
                <w:sz w:val="24"/>
                <w:lang w:val="zh-CN"/>
              </w:rPr>
              <w:t>项目位于花垣县花垣镇。根据《湘西自治州人民政府关于实施“三线一单”生态环境分区管控的意见》（州政发〔2020〕23号），属于重点管控单元</w:t>
            </w:r>
            <w:r>
              <w:rPr>
                <w:rFonts w:hint="eastAsia"/>
                <w:sz w:val="24"/>
              </w:rPr>
              <w:t>1</w:t>
            </w:r>
            <w:r>
              <w:rPr>
                <w:rFonts w:hint="eastAsia"/>
                <w:sz w:val="24"/>
                <w:lang w:val="zh-CN"/>
              </w:rPr>
              <w:t>（ZH43312</w:t>
            </w:r>
            <w:r>
              <w:rPr>
                <w:rFonts w:hint="eastAsia"/>
                <w:sz w:val="24"/>
              </w:rPr>
              <w:t>420001</w:t>
            </w:r>
            <w:r>
              <w:rPr>
                <w:rFonts w:hint="eastAsia"/>
                <w:sz w:val="24"/>
                <w:lang w:val="zh-CN"/>
              </w:rPr>
              <w:t>），项目与湘西州“三线一单”花垣镇生态环境准入清单符合性分析见下表。</w:t>
            </w:r>
          </w:p>
          <w:p>
            <w:pPr>
              <w:wordWrap w:val="0"/>
              <w:overflowPunct w:val="0"/>
              <w:autoSpaceDE w:val="0"/>
              <w:autoSpaceDN w:val="0"/>
              <w:adjustRightInd w:val="0"/>
              <w:snapToGrid w:val="0"/>
              <w:spacing w:before="144" w:beforeLines="60" w:after="144" w:afterLines="60"/>
              <w:jc w:val="center"/>
              <w:textAlignment w:val="baseline"/>
              <w:rPr>
                <w:b/>
                <w:bCs/>
                <w:color w:val="0000FF"/>
                <w:sz w:val="24"/>
                <w:lang w:bidi="zh-CN"/>
              </w:rPr>
            </w:pPr>
            <w:r>
              <w:rPr>
                <w:rFonts w:hint="eastAsia" w:cs="宋体"/>
                <w:b/>
                <w:szCs w:val="21"/>
                <w:lang w:val="zh-CN"/>
              </w:rPr>
              <w:t>表</w:t>
            </w:r>
            <w:r>
              <w:rPr>
                <w:rFonts w:hint="eastAsia" w:cs="宋体"/>
                <w:b/>
                <w:szCs w:val="21"/>
              </w:rPr>
              <w:t>1.2-1：与湘西州花垣镇生态环境准入清单符合性分析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
              <w:gridCol w:w="3798"/>
              <w:gridCol w:w="2641"/>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80" w:type="dxa"/>
                  <w:noWrap w:val="0"/>
                  <w:vAlign w:val="center"/>
                </w:tcPr>
                <w:p>
                  <w:pPr>
                    <w:pStyle w:val="74"/>
                    <w:adjustRightInd w:val="0"/>
                    <w:rPr>
                      <w:color w:val="auto"/>
                    </w:rPr>
                  </w:pPr>
                  <w:r>
                    <w:rPr>
                      <w:color w:val="auto"/>
                    </w:rPr>
                    <w:t>管控维度</w:t>
                  </w:r>
                </w:p>
              </w:tc>
              <w:tc>
                <w:tcPr>
                  <w:tcW w:w="3733" w:type="dxa"/>
                  <w:noWrap w:val="0"/>
                  <w:vAlign w:val="center"/>
                </w:tcPr>
                <w:p>
                  <w:pPr>
                    <w:pStyle w:val="74"/>
                    <w:adjustRightInd w:val="0"/>
                    <w:rPr>
                      <w:color w:val="auto"/>
                    </w:rPr>
                  </w:pPr>
                  <w:r>
                    <w:rPr>
                      <w:rFonts w:hint="eastAsia"/>
                      <w:color w:val="auto"/>
                    </w:rPr>
                    <w:t>管控要求</w:t>
                  </w:r>
                </w:p>
              </w:tc>
              <w:tc>
                <w:tcPr>
                  <w:tcW w:w="2596" w:type="dxa"/>
                  <w:noWrap w:val="0"/>
                  <w:vAlign w:val="center"/>
                </w:tcPr>
                <w:p>
                  <w:pPr>
                    <w:pStyle w:val="74"/>
                    <w:adjustRightInd w:val="0"/>
                    <w:rPr>
                      <w:color w:val="auto"/>
                    </w:rPr>
                  </w:pPr>
                  <w:r>
                    <w:rPr>
                      <w:rFonts w:hint="eastAsia"/>
                      <w:color w:val="auto"/>
                    </w:rPr>
                    <w:t>本项目</w:t>
                  </w:r>
                </w:p>
              </w:tc>
              <w:tc>
                <w:tcPr>
                  <w:tcW w:w="884" w:type="dxa"/>
                  <w:noWrap w:val="0"/>
                  <w:vAlign w:val="center"/>
                </w:tcPr>
                <w:p>
                  <w:pPr>
                    <w:pStyle w:val="74"/>
                    <w:adjustRightInd w:val="0"/>
                    <w:rPr>
                      <w:color w:val="auto"/>
                    </w:rPr>
                  </w:pPr>
                  <w:r>
                    <w:rPr>
                      <w:rFonts w:hint="eastAsia"/>
                      <w:color w:val="auto"/>
                    </w:rPr>
                    <w:t>符合性判断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80" w:type="dxa"/>
                  <w:noWrap w:val="0"/>
                  <w:vAlign w:val="center"/>
                </w:tcPr>
                <w:p>
                  <w:pPr>
                    <w:pStyle w:val="74"/>
                    <w:adjustRightInd w:val="0"/>
                    <w:rPr>
                      <w:color w:val="auto"/>
                    </w:rPr>
                  </w:pPr>
                  <w:r>
                    <w:rPr>
                      <w:rFonts w:hint="eastAsia"/>
                      <w:color w:val="auto"/>
                    </w:rPr>
                    <w:t>空间布局约束</w:t>
                  </w:r>
                </w:p>
              </w:tc>
              <w:tc>
                <w:tcPr>
                  <w:tcW w:w="3733" w:type="dxa"/>
                  <w:noWrap w:val="0"/>
                  <w:vAlign w:val="center"/>
                </w:tcPr>
                <w:p>
                  <w:pPr>
                    <w:widowControl/>
                    <w:rPr>
                      <w:szCs w:val="21"/>
                      <w:lang w:val="zh-CN" w:bidi="zh-CN"/>
                    </w:rPr>
                  </w:pPr>
                  <w:r>
                    <w:rPr>
                      <w:szCs w:val="21"/>
                      <w:lang w:val="zh-CN" w:bidi="zh-CN"/>
                    </w:rPr>
                    <w:t>（1.1）产业准入应符合《花垣县产业准入负面清单》，畜禽养殖产业布局应符合《花垣县畜禽养殖</w:t>
                  </w:r>
                  <w:r>
                    <w:rPr>
                      <w:rFonts w:hint="eastAsia"/>
                      <w:szCs w:val="21"/>
                      <w:lang w:val="zh-CN" w:bidi="zh-CN"/>
                    </w:rPr>
                    <w:t>“</w:t>
                  </w:r>
                  <w:r>
                    <w:rPr>
                      <w:szCs w:val="21"/>
                      <w:lang w:val="zh-CN" w:bidi="zh-CN"/>
                    </w:rPr>
                    <w:t>三区</w:t>
                  </w:r>
                  <w:r>
                    <w:rPr>
                      <w:rFonts w:hint="eastAsia"/>
                      <w:szCs w:val="21"/>
                      <w:lang w:val="zh-CN" w:bidi="zh-CN"/>
                    </w:rPr>
                    <w:t>”</w:t>
                  </w:r>
                  <w:r>
                    <w:rPr>
                      <w:szCs w:val="21"/>
                      <w:lang w:val="zh-CN" w:bidi="zh-CN"/>
                    </w:rPr>
                    <w:t>划分方案》，水产养殖产业布局应符合《花垣县养殖水域滩涂规划（2018-2030 年）》。</w:t>
                  </w:r>
                </w:p>
                <w:p>
                  <w:pPr>
                    <w:widowControl/>
                    <w:rPr>
                      <w:szCs w:val="21"/>
                      <w:lang w:bidi="zh-CN"/>
                    </w:rPr>
                  </w:pPr>
                  <w:r>
                    <w:rPr>
                      <w:szCs w:val="21"/>
                      <w:lang w:val="zh-CN" w:bidi="zh-CN"/>
                    </w:rPr>
                    <w:t>（1.2）</w:t>
                  </w:r>
                  <w:r>
                    <w:rPr>
                      <w:rFonts w:hint="eastAsia"/>
                      <w:szCs w:val="21"/>
                      <w:lang w:val="zh-CN" w:bidi="zh-CN"/>
                    </w:rPr>
                    <w:t>禁止规模小于10万吨/年建筑石料和小于3万立方米/年饰面用石料矿山开采。</w:t>
                  </w:r>
                </w:p>
                <w:p>
                  <w:pPr>
                    <w:widowControl/>
                    <w:rPr>
                      <w:rFonts w:hint="eastAsia"/>
                      <w:szCs w:val="21"/>
                      <w:lang w:val="zh-CN" w:bidi="zh-CN"/>
                    </w:rPr>
                  </w:pPr>
                  <w:r>
                    <w:rPr>
                      <w:szCs w:val="21"/>
                      <w:lang w:val="zh-CN" w:bidi="zh-CN"/>
                    </w:rPr>
                    <w:t>（1.3）协调好矿区与古苗河国家湿地公园、下寨河饮用水水源保护区、边城—古苗河风景名胜区</w:t>
                  </w:r>
                  <w:r>
                    <w:rPr>
                      <w:rFonts w:hint="eastAsia"/>
                      <w:szCs w:val="21"/>
                      <w:lang w:val="zh-CN" w:bidi="zh-CN"/>
                    </w:rPr>
                    <w:t>的关系，避免占用自然保护地。</w:t>
                  </w:r>
                </w:p>
                <w:p>
                  <w:pPr>
                    <w:widowControl/>
                    <w:rPr>
                      <w:rFonts w:hint="eastAsia"/>
                      <w:szCs w:val="21"/>
                      <w:lang w:val="zh-CN" w:bidi="zh-CN"/>
                    </w:rPr>
                  </w:pPr>
                  <w:r>
                    <w:rPr>
                      <w:rFonts w:ascii="仿宋" w:hAnsi="仿宋" w:eastAsia="仿宋" w:cs="仿宋"/>
                      <w:szCs w:val="21"/>
                    </w:rPr>
                    <w:t>（</w:t>
                  </w:r>
                  <w:r>
                    <w:rPr>
                      <w:szCs w:val="21"/>
                      <w:lang w:val="zh-CN" w:bidi="zh-CN"/>
                    </w:rPr>
                    <w:t>1.4）农业科技园：不得引进排放</w:t>
                  </w:r>
                  <w:r>
                    <w:rPr>
                      <w:rFonts w:hint="eastAsia"/>
                      <w:szCs w:val="21"/>
                      <w:lang w:val="zh-CN" w:bidi="zh-CN"/>
                    </w:rPr>
                    <w:t>“</w:t>
                  </w:r>
                  <w:r>
                    <w:rPr>
                      <w:szCs w:val="21"/>
                      <w:lang w:val="zh-CN" w:bidi="zh-CN"/>
                    </w:rPr>
                    <w:t>三致物</w:t>
                  </w:r>
                  <w:r>
                    <w:rPr>
                      <w:rFonts w:hint="eastAsia"/>
                      <w:szCs w:val="21"/>
                      <w:lang w:val="zh-CN" w:bidi="zh-CN"/>
                    </w:rPr>
                    <w:t>”</w:t>
                  </w:r>
                  <w:r>
                    <w:rPr>
                      <w:szCs w:val="21"/>
                      <w:lang w:val="zh-CN" w:bidi="zh-CN"/>
                    </w:rPr>
                    <w:t>、恶臭气体及有放射性污染的项目，禁止建设涉重金属污染物排放的项目。</w:t>
                  </w:r>
                </w:p>
              </w:tc>
              <w:tc>
                <w:tcPr>
                  <w:tcW w:w="2596" w:type="dxa"/>
                  <w:noWrap w:val="0"/>
                  <w:vAlign w:val="center"/>
                </w:tcPr>
                <w:p>
                  <w:pPr>
                    <w:pStyle w:val="55"/>
                    <w:jc w:val="both"/>
                    <w:rPr>
                      <w:lang w:bidi="ar"/>
                    </w:rPr>
                  </w:pPr>
                  <w:r>
                    <w:rPr>
                      <w:lang w:bidi="ar"/>
                    </w:rPr>
                    <w:t>（1.1）</w:t>
                  </w:r>
                  <w:r>
                    <w:t>项目属于</w:t>
                  </w:r>
                  <w:r>
                    <w:rPr>
                      <w:rFonts w:hint="eastAsia"/>
                    </w:rPr>
                    <w:t>非金属矿物制品业</w:t>
                  </w:r>
                  <w:r>
                    <w:t>，与《</w:t>
                  </w:r>
                  <w:r>
                    <w:rPr>
                      <w:rFonts w:hint="eastAsia"/>
                    </w:rPr>
                    <w:t>花垣县</w:t>
                  </w:r>
                  <w:r>
                    <w:t>产业准入负面清单》进行比对，不属于禁止类</w:t>
                  </w:r>
                  <w:r>
                    <w:rPr>
                      <w:rFonts w:hint="eastAsia"/>
                    </w:rPr>
                    <w:t>、</w:t>
                  </w:r>
                  <w:r>
                    <w:t>限制类</w:t>
                  </w:r>
                  <w:r>
                    <w:rPr>
                      <w:rFonts w:hint="eastAsia"/>
                    </w:rPr>
                    <w:t>和鼓励类，视为允许类</w:t>
                  </w:r>
                  <w:r>
                    <w:t>；不涉及</w:t>
                  </w:r>
                  <w:r>
                    <w:rPr>
                      <w:lang w:bidi="ar"/>
                    </w:rPr>
                    <w:t>畜禽养殖产业</w:t>
                  </w:r>
                  <w:r>
                    <w:t>及</w:t>
                  </w:r>
                  <w:r>
                    <w:rPr>
                      <w:lang w:bidi="ar"/>
                    </w:rPr>
                    <w:t>水产养殖产业。</w:t>
                  </w:r>
                </w:p>
                <w:p>
                  <w:pPr>
                    <w:pStyle w:val="55"/>
                    <w:jc w:val="both"/>
                    <w:rPr>
                      <w:rFonts w:hint="eastAsia"/>
                      <w:lang w:bidi="ar"/>
                    </w:rPr>
                  </w:pPr>
                  <w:r>
                    <w:rPr>
                      <w:rFonts w:hint="eastAsia"/>
                      <w:lang w:bidi="ar"/>
                    </w:rPr>
                    <w:t>（1.2）项目为利用紫霞大道工程建设及朝料村土地平整的砂石进行综合利用，不属于矿山开采项目。</w:t>
                  </w:r>
                </w:p>
                <w:p>
                  <w:pPr>
                    <w:pStyle w:val="55"/>
                    <w:jc w:val="both"/>
                    <w:rPr>
                      <w:rFonts w:hint="eastAsia"/>
                      <w:lang w:val="zh-CN" w:bidi="zh-CN"/>
                    </w:rPr>
                  </w:pPr>
                  <w:r>
                    <w:rPr>
                      <w:lang w:bidi="ar"/>
                    </w:rPr>
                    <w:t>（1.3）</w:t>
                  </w:r>
                  <w:r>
                    <w:rPr>
                      <w:rFonts w:hint="eastAsia"/>
                      <w:lang w:bidi="ar"/>
                    </w:rPr>
                    <w:t>项目不涉及</w:t>
                  </w:r>
                  <w:r>
                    <w:rPr>
                      <w:lang w:val="zh-CN" w:bidi="zh-CN"/>
                    </w:rPr>
                    <w:t>古苗河国家湿地公园、下寨河饮用水水源保护区、边城—古苗河风景名胜区</w:t>
                  </w:r>
                  <w:r>
                    <w:rPr>
                      <w:rFonts w:hint="eastAsia"/>
                      <w:lang w:val="zh-CN" w:bidi="zh-CN"/>
                    </w:rPr>
                    <w:t>。</w:t>
                  </w:r>
                </w:p>
                <w:p>
                  <w:pPr>
                    <w:pStyle w:val="55"/>
                    <w:jc w:val="both"/>
                    <w:rPr>
                      <w:rFonts w:hint="eastAsia"/>
                      <w:lang w:val="zh-CN" w:bidi="zh-CN"/>
                    </w:rPr>
                  </w:pPr>
                  <w:r>
                    <w:rPr>
                      <w:rFonts w:hint="eastAsia"/>
                      <w:lang w:val="zh-CN" w:bidi="zh-CN"/>
                    </w:rPr>
                    <w:t>（</w:t>
                  </w:r>
                  <w:r>
                    <w:rPr>
                      <w:rFonts w:hint="eastAsia"/>
                      <w:lang w:bidi="zh-CN"/>
                    </w:rPr>
                    <w:t>1.4</w:t>
                  </w:r>
                  <w:r>
                    <w:rPr>
                      <w:rFonts w:hint="eastAsia"/>
                      <w:lang w:val="zh-CN" w:bidi="zh-CN"/>
                    </w:rPr>
                    <w:t>）项目不在农业科技园建设。</w:t>
                  </w:r>
                </w:p>
              </w:tc>
              <w:tc>
                <w:tcPr>
                  <w:tcW w:w="884" w:type="dxa"/>
                  <w:noWrap w:val="0"/>
                  <w:vAlign w:val="center"/>
                </w:tcPr>
                <w:p>
                  <w:pPr>
                    <w:pStyle w:val="74"/>
                    <w:widowControl w:val="0"/>
                    <w:rPr>
                      <w:color w:val="auto"/>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80" w:type="dxa"/>
                  <w:noWrap w:val="0"/>
                  <w:vAlign w:val="center"/>
                </w:tcPr>
                <w:p>
                  <w:pPr>
                    <w:pStyle w:val="74"/>
                    <w:adjustRightInd w:val="0"/>
                    <w:rPr>
                      <w:color w:val="auto"/>
                    </w:rPr>
                  </w:pPr>
                  <w:r>
                    <w:rPr>
                      <w:color w:val="auto"/>
                    </w:rPr>
                    <w:t>污染物排放管控</w:t>
                  </w:r>
                </w:p>
              </w:tc>
              <w:tc>
                <w:tcPr>
                  <w:tcW w:w="3733" w:type="dxa"/>
                  <w:noWrap w:val="0"/>
                  <w:vAlign w:val="center"/>
                </w:tcPr>
                <w:p>
                  <w:pPr>
                    <w:widowControl/>
                    <w:rPr>
                      <w:rFonts w:hint="eastAsia"/>
                      <w:szCs w:val="21"/>
                      <w:lang w:val="zh-CN" w:bidi="zh-CN"/>
                    </w:rPr>
                  </w:pPr>
                  <w:r>
                    <w:rPr>
                      <w:rFonts w:hint="eastAsia"/>
                      <w:szCs w:val="21"/>
                      <w:lang w:val="zh-CN" w:bidi="zh-CN"/>
                    </w:rPr>
                    <w:t>（2.1）现有矿产资源开采、加工及其他产生污染的企业限期开展提标升级改造，涉重金属排放企业污染物执行特别排放限值。新建涉重金属污染物排放项目应实施重金属污染物1.5倍量替代。</w:t>
                  </w:r>
                </w:p>
                <w:p>
                  <w:pPr>
                    <w:widowControl/>
                    <w:rPr>
                      <w:rFonts w:hint="eastAsia"/>
                      <w:szCs w:val="21"/>
                      <w:lang w:val="zh-CN" w:bidi="zh-CN"/>
                    </w:rPr>
                  </w:pPr>
                  <w:r>
                    <w:rPr>
                      <w:rFonts w:hint="eastAsia"/>
                      <w:szCs w:val="21"/>
                      <w:lang w:val="zh-CN" w:bidi="zh-CN"/>
                    </w:rPr>
                    <w:t>（2.2）加强相关水系污染治理，确保佳民取水口饮用水监测断面尽快达标。</w:t>
                  </w:r>
                </w:p>
                <w:p>
                  <w:pPr>
                    <w:widowControl/>
                    <w:rPr>
                      <w:rFonts w:hint="eastAsia"/>
                      <w:szCs w:val="21"/>
                      <w:lang w:val="zh-CN" w:bidi="zh-CN"/>
                    </w:rPr>
                  </w:pPr>
                  <w:r>
                    <w:rPr>
                      <w:rFonts w:hint="eastAsia"/>
                      <w:szCs w:val="21"/>
                      <w:lang w:val="zh-CN" w:bidi="zh-CN"/>
                    </w:rPr>
                    <w:t>（2.3）现有适养区内的养殖场（小区）应限期开展提标升级改造，限期关闭拆除未进行标准化改造或改造后不达标的养殖场。</w:t>
                  </w:r>
                </w:p>
                <w:p>
                  <w:pPr>
                    <w:widowControl/>
                    <w:rPr>
                      <w:rFonts w:hint="eastAsia"/>
                      <w:szCs w:val="21"/>
                      <w:lang w:val="zh-CN" w:bidi="zh-CN"/>
                    </w:rPr>
                  </w:pPr>
                  <w:r>
                    <w:rPr>
                      <w:rFonts w:hint="eastAsia"/>
                      <w:szCs w:val="21"/>
                      <w:lang w:val="zh-CN" w:bidi="zh-CN"/>
                    </w:rPr>
                    <w:t>（2.4）按规划推进农村生活污水收集处理设施建设，实现污水达标排放。完善生活垃圾收集转运设施，禁止露天焚烧垃圾。</w:t>
                  </w:r>
                </w:p>
                <w:p>
                  <w:pPr>
                    <w:widowControl/>
                    <w:rPr>
                      <w:rFonts w:hint="eastAsia"/>
                      <w:szCs w:val="21"/>
                      <w:lang w:val="zh-CN" w:bidi="zh-CN"/>
                    </w:rPr>
                  </w:pPr>
                  <w:r>
                    <w:rPr>
                      <w:rFonts w:hint="eastAsia"/>
                      <w:szCs w:val="21"/>
                      <w:lang w:val="zh-CN" w:bidi="zh-CN"/>
                    </w:rPr>
                    <w:t>（2.5）花垣县铅锌矿区矿山地质环境及损毁土地重点治理区（包括花垣县李梅矿区、芭茅寨矿区）：规范采矿活动，完善“三废”排放设施，提高矿业废渣的处理率，加强重金属污染治理，治理地面变形，开展矿区复土复绿工作。</w:t>
                  </w:r>
                </w:p>
                <w:p>
                  <w:pPr>
                    <w:widowControl/>
                    <w:rPr>
                      <w:rFonts w:hint="eastAsia"/>
                      <w:szCs w:val="21"/>
                      <w:lang w:val="zh-CN" w:bidi="zh-CN"/>
                    </w:rPr>
                  </w:pPr>
                  <w:r>
                    <w:rPr>
                      <w:rFonts w:hint="eastAsia"/>
                      <w:szCs w:val="21"/>
                      <w:lang w:val="zh-CN" w:bidi="zh-CN"/>
                    </w:rPr>
                    <w:t>（2.6）农业科技园：</w:t>
                  </w:r>
                </w:p>
                <w:p>
                  <w:pPr>
                    <w:widowControl/>
                    <w:rPr>
                      <w:rFonts w:hint="eastAsia"/>
                      <w:szCs w:val="21"/>
                      <w:lang w:val="zh-CN" w:bidi="zh-CN"/>
                    </w:rPr>
                  </w:pPr>
                  <w:r>
                    <w:rPr>
                      <w:rFonts w:hint="eastAsia"/>
                      <w:szCs w:val="21"/>
                      <w:lang w:val="zh-CN" w:bidi="zh-CN"/>
                    </w:rPr>
                    <w:t>（2.6.1）园区排水实行“雨污分流”。雨水经雨水管网统一引至兄弟河饮用水源保护区下游排放。建设污水收集站，污水经管道送至花垣县城市生活污水处理厂处理；待园区污水量达4000吨/天左右时，需自建污水处理厂。</w:t>
                  </w:r>
                </w:p>
                <w:p>
                  <w:pPr>
                    <w:widowControl/>
                    <w:rPr>
                      <w:rFonts w:hint="eastAsia"/>
                      <w:szCs w:val="21"/>
                      <w:lang w:val="zh-CN" w:bidi="zh-CN"/>
                    </w:rPr>
                  </w:pPr>
                  <w:r>
                    <w:rPr>
                      <w:rFonts w:hint="eastAsia"/>
                      <w:szCs w:val="21"/>
                      <w:lang w:val="zh-CN" w:bidi="zh-CN"/>
                    </w:rPr>
                    <w:t>（2.6.2）做好园区配套污水管网与花垣县城市生活污水处理厂配套接管工程建设，在排水管网与城市污水处理厂接管完成前，园区不得引进水型污染项目，新上涉水主要污染物排放项目不得投入生产；已建项目须自建污水处理设施，确保外排废水满足相应标准要求。</w:t>
                  </w:r>
                </w:p>
                <w:p>
                  <w:pPr>
                    <w:widowControl/>
                    <w:rPr>
                      <w:rFonts w:hint="eastAsia"/>
                      <w:szCs w:val="21"/>
                      <w:lang w:val="zh-CN" w:bidi="zh-CN"/>
                    </w:rPr>
                  </w:pPr>
                  <w:r>
                    <w:rPr>
                      <w:rFonts w:hint="eastAsia"/>
                      <w:szCs w:val="21"/>
                      <w:lang w:val="zh-CN" w:bidi="zh-CN"/>
                    </w:rPr>
                    <w:t>（2.6.3）对锅炉等所有燃煤设备必须配套烟气脱硫除尘设施，对各企业有工业废气产出的生产节点，应配置废气收集与处理净化装置，做到达标排放。</w:t>
                  </w:r>
                </w:p>
                <w:p>
                  <w:pPr>
                    <w:widowControl/>
                  </w:pPr>
                  <w:r>
                    <w:rPr>
                      <w:rFonts w:hint="eastAsia"/>
                      <w:szCs w:val="21"/>
                      <w:lang w:val="zh-CN" w:bidi="zh-CN"/>
                    </w:rPr>
                    <w:t>（2.6.4）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固废位按国家有关规定综合利用或妥善处置，严防二次污染。</w:t>
                  </w:r>
                </w:p>
              </w:tc>
              <w:tc>
                <w:tcPr>
                  <w:tcW w:w="2596" w:type="dxa"/>
                  <w:noWrap w:val="0"/>
                  <w:vAlign w:val="center"/>
                </w:tcPr>
                <w:p>
                  <w:pPr>
                    <w:pStyle w:val="55"/>
                    <w:jc w:val="both"/>
                    <w:rPr>
                      <w:rFonts w:hint="eastAsia"/>
                    </w:rPr>
                  </w:pPr>
                  <w:r>
                    <w:rPr>
                      <w:rFonts w:hint="eastAsia"/>
                    </w:rPr>
                    <w:t>（2.1）项目</w:t>
                  </w:r>
                  <w:r>
                    <w:rPr>
                      <w:rFonts w:hint="eastAsia"/>
                      <w:lang w:bidi="ar"/>
                    </w:rPr>
                    <w:t>为利用紫霞大道工程建设及朝料村土地平整的砂石进行综合利用，</w:t>
                  </w:r>
                  <w:r>
                    <w:rPr>
                      <w:rFonts w:hint="eastAsia"/>
                    </w:rPr>
                    <w:t>不属于矿产资源开采项目。</w:t>
                  </w:r>
                </w:p>
                <w:p>
                  <w:pPr>
                    <w:pStyle w:val="55"/>
                    <w:jc w:val="both"/>
                    <w:rPr>
                      <w:rFonts w:hint="eastAsia"/>
                    </w:rPr>
                  </w:pPr>
                  <w:r>
                    <w:rPr>
                      <w:rFonts w:hint="eastAsia"/>
                    </w:rPr>
                    <w:t>（2.2）项目营运期不产生废水。</w:t>
                  </w:r>
                </w:p>
                <w:p>
                  <w:pPr>
                    <w:pStyle w:val="55"/>
                    <w:jc w:val="both"/>
                    <w:rPr>
                      <w:rFonts w:hint="eastAsia"/>
                    </w:rPr>
                  </w:pPr>
                  <w:r>
                    <w:rPr>
                      <w:rFonts w:hint="eastAsia"/>
                    </w:rPr>
                    <w:t>（2.3）项目不属于养殖场建设项目。</w:t>
                  </w:r>
                </w:p>
                <w:p>
                  <w:pPr>
                    <w:pStyle w:val="55"/>
                    <w:jc w:val="both"/>
                    <w:rPr>
                      <w:rFonts w:hint="eastAsia"/>
                    </w:rPr>
                  </w:pPr>
                  <w:r>
                    <w:rPr>
                      <w:rFonts w:hint="eastAsia"/>
                    </w:rPr>
                    <w:t>（2.4）项目生活废水经化粪池处理后定期清掏用作农肥，生活垃圾经垃圾桶收集后委托环卫部门定期清运。</w:t>
                  </w:r>
                </w:p>
                <w:p>
                  <w:pPr>
                    <w:pStyle w:val="55"/>
                    <w:jc w:val="both"/>
                    <w:rPr>
                      <w:rFonts w:hint="eastAsia"/>
                      <w:lang w:val="zh-CN" w:bidi="zh-CN"/>
                    </w:rPr>
                  </w:pPr>
                  <w:r>
                    <w:rPr>
                      <w:rFonts w:hint="eastAsia"/>
                    </w:rPr>
                    <w:t>（2.5）项目不属于</w:t>
                  </w:r>
                  <w:r>
                    <w:rPr>
                      <w:rFonts w:hint="eastAsia"/>
                      <w:lang w:val="zh-CN" w:bidi="zh-CN"/>
                    </w:rPr>
                    <w:t>花垣县铅锌矿区矿山地质环境及损毁土地重点治理区，由于建设项目占用临时占地，营运期结束后开展覆土绿化工程。</w:t>
                  </w:r>
                </w:p>
                <w:p>
                  <w:pPr>
                    <w:pStyle w:val="55"/>
                    <w:jc w:val="both"/>
                    <w:rPr>
                      <w:lang w:bidi="zh-CN"/>
                    </w:rPr>
                  </w:pPr>
                  <w:r>
                    <w:rPr>
                      <w:rFonts w:hint="eastAsia"/>
                      <w:lang w:val="zh-CN" w:bidi="zh-CN"/>
                    </w:rPr>
                    <w:t>（</w:t>
                  </w:r>
                  <w:r>
                    <w:rPr>
                      <w:rFonts w:hint="eastAsia"/>
                      <w:lang w:bidi="zh-CN"/>
                    </w:rPr>
                    <w:t>2.6</w:t>
                  </w:r>
                  <w:r>
                    <w:rPr>
                      <w:rFonts w:hint="eastAsia"/>
                      <w:lang w:val="zh-CN" w:bidi="zh-CN"/>
                    </w:rPr>
                    <w:t>）项目不在农业科技园建设。</w:t>
                  </w:r>
                </w:p>
              </w:tc>
              <w:tc>
                <w:tcPr>
                  <w:tcW w:w="884" w:type="dxa"/>
                  <w:noWrap w:val="0"/>
                  <w:vAlign w:val="center"/>
                </w:tcPr>
                <w:p>
                  <w:pPr>
                    <w:pStyle w:val="74"/>
                    <w:widowControl w:val="0"/>
                    <w:rPr>
                      <w:color w:val="auto"/>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80" w:type="dxa"/>
                  <w:noWrap w:val="0"/>
                  <w:vAlign w:val="center"/>
                </w:tcPr>
                <w:p>
                  <w:pPr>
                    <w:pStyle w:val="74"/>
                    <w:adjustRightInd w:val="0"/>
                    <w:rPr>
                      <w:color w:val="auto"/>
                    </w:rPr>
                  </w:pPr>
                  <w:r>
                    <w:rPr>
                      <w:color w:val="auto"/>
                    </w:rPr>
                    <w:t>环境风险防控</w:t>
                  </w:r>
                </w:p>
              </w:tc>
              <w:tc>
                <w:tcPr>
                  <w:tcW w:w="3733" w:type="dxa"/>
                  <w:noWrap w:val="0"/>
                  <w:vAlign w:val="center"/>
                </w:tcPr>
                <w:p>
                  <w:pPr>
                    <w:widowControl/>
                    <w:rPr>
                      <w:rFonts w:hint="eastAsia"/>
                      <w:szCs w:val="21"/>
                      <w:lang w:val="zh-CN" w:bidi="zh-CN"/>
                    </w:rPr>
                  </w:pPr>
                  <w:r>
                    <w:rPr>
                      <w:rFonts w:hint="eastAsia"/>
                      <w:szCs w:val="21"/>
                      <w:lang w:val="zh-CN" w:bidi="zh-CN"/>
                    </w:rPr>
                    <w:t>（3.1）加强涉矿村饮用水日常检测，掌握辖区内饮用水安全状况；对矿区周边村尽量采用集中式供水，解决当地群众饮用水安全风险问题。</w:t>
                  </w:r>
                </w:p>
                <w:p>
                  <w:pPr>
                    <w:widowControl/>
                  </w:pPr>
                  <w:r>
                    <w:rPr>
                      <w:rFonts w:hint="eastAsia"/>
                      <w:szCs w:val="21"/>
                      <w:lang w:val="zh-CN" w:bidi="zh-CN"/>
                    </w:rPr>
                    <w:t>（3.2）可能发生突发环境事件的工矿企业应按相关要求编制并实施突发环境事件应急预案，认真落实各项环境风险事故防范措施。</w:t>
                  </w:r>
                </w:p>
              </w:tc>
              <w:tc>
                <w:tcPr>
                  <w:tcW w:w="2596" w:type="dxa"/>
                  <w:noWrap w:val="0"/>
                  <w:vAlign w:val="center"/>
                </w:tcPr>
                <w:p>
                  <w:pPr>
                    <w:widowControl/>
                  </w:pPr>
                  <w:r>
                    <w:rPr>
                      <w:rFonts w:hint="eastAsia"/>
                      <w:szCs w:val="21"/>
                      <w:lang w:bidi="ar"/>
                    </w:rPr>
                    <w:t>企业</w:t>
                  </w:r>
                  <w:r>
                    <w:rPr>
                      <w:szCs w:val="21"/>
                      <w:lang w:bidi="ar"/>
                    </w:rPr>
                    <w:t>拟编制</w:t>
                  </w:r>
                  <w:r>
                    <w:rPr>
                      <w:rFonts w:hint="eastAsia"/>
                      <w:szCs w:val="21"/>
                      <w:lang w:bidi="ar"/>
                    </w:rPr>
                    <w:t>突发</w:t>
                  </w:r>
                  <w:r>
                    <w:rPr>
                      <w:szCs w:val="21"/>
                      <w:lang w:bidi="ar"/>
                    </w:rPr>
                    <w:t>环境事件应急预案并备案，同时将配备相应的应急救援物资、定期演练。</w:t>
                  </w:r>
                </w:p>
              </w:tc>
              <w:tc>
                <w:tcPr>
                  <w:tcW w:w="884" w:type="dxa"/>
                  <w:noWrap w:val="0"/>
                  <w:vAlign w:val="center"/>
                </w:tcPr>
                <w:p>
                  <w:pPr>
                    <w:pStyle w:val="74"/>
                    <w:widowControl w:val="0"/>
                    <w:rPr>
                      <w:color w:val="auto"/>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80" w:type="dxa"/>
                  <w:noWrap w:val="0"/>
                  <w:vAlign w:val="center"/>
                </w:tcPr>
                <w:p>
                  <w:pPr>
                    <w:pStyle w:val="74"/>
                    <w:adjustRightInd w:val="0"/>
                    <w:rPr>
                      <w:color w:val="auto"/>
                    </w:rPr>
                  </w:pPr>
                  <w:r>
                    <w:rPr>
                      <w:color w:val="auto"/>
                    </w:rPr>
                    <w:t>资</w:t>
                  </w:r>
                  <w:r>
                    <w:rPr>
                      <w:rFonts w:hint="eastAsia"/>
                      <w:color w:val="auto"/>
                      <w:lang w:eastAsia="zh-CN"/>
                    </w:rPr>
                    <w:t>源</w:t>
                  </w:r>
                  <w:r>
                    <w:rPr>
                      <w:color w:val="auto"/>
                    </w:rPr>
                    <w:cr/>
                  </w:r>
                  <w:r>
                    <w:rPr>
                      <w:color w:val="auto"/>
                    </w:rPr>
                    <w:t>开发效率要求</w:t>
                  </w:r>
                </w:p>
              </w:tc>
              <w:tc>
                <w:tcPr>
                  <w:tcW w:w="3733" w:type="dxa"/>
                  <w:noWrap w:val="0"/>
                  <w:vAlign w:val="center"/>
                </w:tcPr>
                <w:p>
                  <w:pPr>
                    <w:widowControl/>
                    <w:rPr>
                      <w:rFonts w:hint="eastAsia"/>
                      <w:szCs w:val="21"/>
                      <w:lang w:val="zh-CN" w:bidi="zh-CN"/>
                    </w:rPr>
                  </w:pPr>
                  <w:r>
                    <w:rPr>
                      <w:rFonts w:hint="eastAsia"/>
                      <w:szCs w:val="21"/>
                      <w:lang w:val="zh-CN" w:bidi="zh-CN"/>
                    </w:rPr>
                    <w:t>（4.1）农业科技园：禁止新建10蒸吨以下的燃煤锅炉，10蒸吨以下锅炉应采用电能、燃气等清洁能源；管委会应做好园区内低硫煤的统一调配和供应，确保燃煤含硫量不得高于1.5%；加快清洁能源推广，大力发展燃气工程。</w:t>
                  </w:r>
                </w:p>
                <w:p>
                  <w:pPr>
                    <w:widowControl/>
                  </w:pPr>
                  <w:r>
                    <w:rPr>
                      <w:rFonts w:hint="eastAsia"/>
                      <w:szCs w:val="21"/>
                      <w:lang w:val="zh-CN" w:bidi="zh-CN"/>
                    </w:rPr>
                    <w:t>（4.2）高污染燃料禁燃区按《花垣县高污染燃料禁燃区划定方案》进行管控。</w:t>
                  </w:r>
                </w:p>
              </w:tc>
              <w:tc>
                <w:tcPr>
                  <w:tcW w:w="2596" w:type="dxa"/>
                  <w:noWrap w:val="0"/>
                  <w:vAlign w:val="center"/>
                </w:tcPr>
                <w:p>
                  <w:pPr>
                    <w:pStyle w:val="55"/>
                    <w:jc w:val="both"/>
                  </w:pPr>
                  <w:r>
                    <w:rPr>
                      <w:rFonts w:hint="eastAsia"/>
                    </w:rPr>
                    <w:t>项目使用电能，不属于在高污染禁燃区内。</w:t>
                  </w:r>
                </w:p>
              </w:tc>
              <w:tc>
                <w:tcPr>
                  <w:tcW w:w="884" w:type="dxa"/>
                  <w:noWrap w:val="0"/>
                  <w:vAlign w:val="center"/>
                </w:tcPr>
                <w:p>
                  <w:pPr>
                    <w:pStyle w:val="74"/>
                    <w:widowControl w:val="0"/>
                    <w:rPr>
                      <w:color w:val="auto"/>
                    </w:rPr>
                  </w:pPr>
                  <w:r>
                    <w:rPr>
                      <w:color w:val="auto"/>
                      <w:szCs w:val="21"/>
                    </w:rPr>
                    <w:t>符合</w:t>
                  </w:r>
                </w:p>
              </w:tc>
            </w:tr>
          </w:tbl>
          <w:p>
            <w:pPr>
              <w:wordWrap w:val="0"/>
              <w:spacing w:before="144" w:beforeLines="60" w:line="360" w:lineRule="auto"/>
              <w:ind w:firstLine="480" w:firstLineChars="200"/>
              <w:rPr>
                <w:sz w:val="24"/>
                <w:lang w:val="zh-CN"/>
              </w:rPr>
            </w:pPr>
            <w:r>
              <w:rPr>
                <w:rFonts w:hint="eastAsia"/>
                <w:sz w:val="24"/>
                <w:lang w:val="zh-CN"/>
              </w:rPr>
              <w:t>综上所述，本项目符合《湘西自治州人民政府关于实施“三线一单”生态环境分区管控的意见》相关要求。</w:t>
            </w:r>
          </w:p>
          <w:p>
            <w:pPr>
              <w:keepNext/>
              <w:keepLines/>
              <w:wordWrap w:val="0"/>
              <w:spacing w:before="260" w:after="260"/>
              <w:outlineLvl w:val="1"/>
              <w:rPr>
                <w:b/>
                <w:sz w:val="32"/>
              </w:rPr>
            </w:pPr>
            <w:r>
              <w:rPr>
                <w:rFonts w:hint="eastAsia"/>
                <w:b/>
                <w:sz w:val="32"/>
              </w:rPr>
              <w:t>1.3规划符合性分析</w:t>
            </w:r>
          </w:p>
          <w:p>
            <w:pPr>
              <w:keepNext/>
              <w:keepLines/>
              <w:wordWrap w:val="0"/>
              <w:spacing w:before="192" w:beforeLines="80" w:after="192" w:afterLines="80"/>
              <w:outlineLvl w:val="2"/>
              <w:rPr>
                <w:b/>
                <w:bCs/>
                <w:sz w:val="28"/>
                <w:szCs w:val="32"/>
                <w:u w:val="single"/>
              </w:rPr>
            </w:pPr>
            <w:r>
              <w:rPr>
                <w:rFonts w:hint="eastAsia"/>
                <w:b/>
                <w:bCs/>
                <w:sz w:val="28"/>
                <w:szCs w:val="32"/>
                <w:u w:val="single"/>
              </w:rPr>
              <w:t>1.3.1与《花垣县国土空间总体规划（2021-2035年）》及“三区三线”符合性分析</w:t>
            </w:r>
          </w:p>
          <w:p>
            <w:pPr>
              <w:wordWrap w:val="0"/>
              <w:spacing w:line="360" w:lineRule="auto"/>
              <w:ind w:firstLine="480" w:firstLineChars="200"/>
              <w:rPr>
                <w:rFonts w:hint="eastAsia"/>
                <w:sz w:val="24"/>
                <w:u w:val="single"/>
              </w:rPr>
            </w:pPr>
            <w:r>
              <w:rPr>
                <w:rFonts w:hint="eastAsia"/>
                <w:sz w:val="24"/>
                <w:u w:val="single"/>
              </w:rPr>
              <w:t>项目选址位于湖南省湘西州花垣县花垣镇，</w:t>
            </w:r>
            <w:r>
              <w:rPr>
                <w:rFonts w:hint="eastAsia"/>
                <w:sz w:val="24"/>
                <w:u w:val="single"/>
                <w:lang w:eastAsia="zh-CN"/>
              </w:rPr>
              <w:t>用地为紫霞湖大道弃渣场，紫霞湖大道由花垣县交通运输局管理。根据《花垣县紫霞湖大道项目环境影响报告书》（已取得批复花环评</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2017</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30号</w:t>
            </w:r>
            <w:r>
              <w:rPr>
                <w:rFonts w:hint="eastAsia"/>
                <w:sz w:val="24"/>
                <w:u w:val="single"/>
                <w:lang w:eastAsia="zh-CN"/>
              </w:rPr>
              <w:t>），弃渣场占地</w:t>
            </w:r>
            <w:r>
              <w:rPr>
                <w:rFonts w:hint="eastAsia"/>
                <w:sz w:val="24"/>
                <w:u w:val="single"/>
                <w:lang w:val="en-US" w:eastAsia="zh-CN"/>
              </w:rPr>
              <w:t>23000㎡，</w:t>
            </w:r>
            <w:r>
              <w:rPr>
                <w:rFonts w:hint="eastAsia"/>
                <w:sz w:val="24"/>
                <w:u w:val="single"/>
              </w:rPr>
              <w:t>不在生态红线范围内，不占用基本农田。</w:t>
            </w:r>
            <w:r>
              <w:rPr>
                <w:rFonts w:hint="eastAsia"/>
                <w:sz w:val="24"/>
                <w:u w:val="single"/>
                <w:lang w:eastAsia="zh-CN"/>
              </w:rPr>
              <w:t>根据自然资源局下发的建设用地规划许可证（附件</w:t>
            </w:r>
            <w:r>
              <w:rPr>
                <w:rFonts w:hint="eastAsia"/>
                <w:sz w:val="24"/>
                <w:u w:val="single"/>
                <w:lang w:val="en-US" w:eastAsia="zh-CN"/>
              </w:rPr>
              <w:t>6</w:t>
            </w:r>
            <w:r>
              <w:rPr>
                <w:rFonts w:hint="eastAsia"/>
                <w:sz w:val="24"/>
                <w:u w:val="single"/>
                <w:lang w:eastAsia="zh-CN"/>
              </w:rPr>
              <w:t>）和不动产权证（附件</w:t>
            </w:r>
            <w:r>
              <w:rPr>
                <w:rFonts w:hint="eastAsia"/>
                <w:sz w:val="24"/>
                <w:u w:val="single"/>
                <w:lang w:val="en-US" w:eastAsia="zh-CN"/>
              </w:rPr>
              <w:t>9</w:t>
            </w:r>
            <w:r>
              <w:rPr>
                <w:rFonts w:hint="eastAsia"/>
                <w:sz w:val="24"/>
                <w:u w:val="single"/>
                <w:lang w:eastAsia="zh-CN"/>
              </w:rPr>
              <w:t>），项目占地在紫霞湖大道用地范围内，规划为公路用地。</w:t>
            </w:r>
            <w:r>
              <w:rPr>
                <w:rFonts w:hint="eastAsia"/>
                <w:sz w:val="24"/>
                <w:u w:val="single"/>
              </w:rPr>
              <w:t>根据《花垣县国土空间总体规划（2021~2035年）》，项目位于花垣县花垣镇，规划中该用地为林地</w:t>
            </w:r>
            <w:r>
              <w:rPr>
                <w:rFonts w:hint="eastAsia"/>
                <w:sz w:val="24"/>
                <w:u w:val="single"/>
                <w:lang w:eastAsia="zh-CN"/>
              </w:rPr>
              <w:t>和旱地（附</w:t>
            </w:r>
            <w:r>
              <w:rPr>
                <w:rFonts w:hint="eastAsia"/>
                <w:sz w:val="24"/>
                <w:u w:val="single"/>
                <w:lang w:val="en-US" w:eastAsia="zh-CN"/>
              </w:rPr>
              <w:t>s</w:t>
            </w:r>
            <w:r>
              <w:rPr>
                <w:rFonts w:hint="eastAsia"/>
                <w:sz w:val="24"/>
                <w:u w:val="single"/>
                <w:lang w:eastAsia="zh-CN"/>
              </w:rPr>
              <w:t>图</w:t>
            </w:r>
            <w:r>
              <w:rPr>
                <w:rFonts w:hint="eastAsia"/>
                <w:sz w:val="24"/>
                <w:u w:val="single"/>
                <w:lang w:val="en-US" w:eastAsia="zh-CN"/>
              </w:rPr>
              <w:t>6</w:t>
            </w:r>
            <w:r>
              <w:rPr>
                <w:rFonts w:hint="eastAsia"/>
                <w:sz w:val="24"/>
                <w:u w:val="single"/>
                <w:lang w:eastAsia="zh-CN"/>
              </w:rPr>
              <w:t>）</w:t>
            </w:r>
            <w:r>
              <w:rPr>
                <w:rFonts w:hint="eastAsia"/>
                <w:sz w:val="24"/>
                <w:u w:val="single"/>
              </w:rPr>
              <w:t>。2023年11月已取得湖南省林业局准予许可行政决定书（花林地许临（2023）001号），占用集体用地0.273公顷，占用林地期满后，必须恢复被占用林地的林业生产条件，并归还林地。</w:t>
            </w:r>
          </w:p>
          <w:p>
            <w:pPr>
              <w:wordWrap w:val="0"/>
              <w:spacing w:line="360" w:lineRule="auto"/>
              <w:ind w:firstLine="480" w:firstLineChars="200"/>
              <w:rPr>
                <w:sz w:val="24"/>
                <w:u w:val="single"/>
              </w:rPr>
            </w:pPr>
            <w:r>
              <w:rPr>
                <w:rFonts w:hint="eastAsia"/>
                <w:sz w:val="24"/>
                <w:u w:val="single"/>
              </w:rPr>
              <w:t>项目不占用永久基本农田及生态红线保护区，项目用地性质符合国土空间规划和“三区三线”要求。</w:t>
            </w:r>
          </w:p>
          <w:p>
            <w:pPr>
              <w:keepNext/>
              <w:keepLines/>
              <w:wordWrap w:val="0"/>
              <w:spacing w:before="192" w:beforeLines="80" w:after="192" w:afterLines="80"/>
              <w:outlineLvl w:val="2"/>
              <w:rPr>
                <w:b/>
                <w:bCs/>
                <w:sz w:val="28"/>
                <w:szCs w:val="32"/>
              </w:rPr>
            </w:pPr>
            <w:r>
              <w:rPr>
                <w:rFonts w:hint="eastAsia"/>
                <w:b/>
                <w:bCs/>
                <w:sz w:val="28"/>
                <w:szCs w:val="32"/>
              </w:rPr>
              <w:t>1.3.2与《湖南省“十四五”生态环境保护规划》符合性分析</w:t>
            </w:r>
          </w:p>
          <w:p>
            <w:pPr>
              <w:wordWrap w:val="0"/>
              <w:autoSpaceDE w:val="0"/>
              <w:autoSpaceDN w:val="0"/>
              <w:spacing w:line="360" w:lineRule="auto"/>
              <w:ind w:firstLine="480" w:firstLineChars="200"/>
              <w:rPr>
                <w:color w:val="000000"/>
                <w:kern w:val="0"/>
                <w:sz w:val="24"/>
                <w:szCs w:val="22"/>
              </w:rPr>
            </w:pPr>
            <w:r>
              <w:rPr>
                <w:color w:val="000000"/>
                <w:kern w:val="0"/>
                <w:sz w:val="24"/>
                <w:szCs w:val="22"/>
              </w:rPr>
              <w:t>2021年9月湖南省人民政府发布了《湖南省“十四五”生态环境保护规划》（湘政办发〔2021〕61号），项目与其符合性分析见下表。由下表可知，项目符合《湖南省“十四五”生态环境保护规划》。</w:t>
            </w:r>
          </w:p>
          <w:p>
            <w:pPr>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表1.3-1：与《湖南省“十四五”生态环境保护规划》符合性分析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4189"/>
              <w:gridCol w:w="2694"/>
              <w:gridCol w:w="13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jc w:val="center"/>
              </w:trPr>
              <w:tc>
                <w:tcPr>
                  <w:tcW w:w="2543" w:type="pct"/>
                  <w:noWrap w:val="0"/>
                  <w:vAlign w:val="center"/>
                </w:tcPr>
                <w:p>
                  <w:pPr>
                    <w:wordWrap w:val="0"/>
                    <w:adjustRightInd w:val="0"/>
                    <w:snapToGrid w:val="0"/>
                    <w:jc w:val="center"/>
                    <w:textAlignment w:val="baseline"/>
                    <w:rPr>
                      <w:b/>
                      <w:bCs/>
                      <w:kern w:val="0"/>
                      <w:szCs w:val="21"/>
                    </w:rPr>
                  </w:pPr>
                  <w:r>
                    <w:rPr>
                      <w:rFonts w:hint="eastAsia"/>
                      <w:b/>
                      <w:bCs/>
                      <w:kern w:val="0"/>
                      <w:szCs w:val="21"/>
                    </w:rPr>
                    <w:t>（湘政办发〔2021〕61号）文件要求</w:t>
                  </w:r>
                </w:p>
              </w:tc>
              <w:tc>
                <w:tcPr>
                  <w:tcW w:w="1636" w:type="pct"/>
                  <w:noWrap w:val="0"/>
                  <w:vAlign w:val="center"/>
                </w:tcPr>
                <w:p>
                  <w:pPr>
                    <w:wordWrap w:val="0"/>
                    <w:adjustRightInd w:val="0"/>
                    <w:snapToGrid w:val="0"/>
                    <w:jc w:val="center"/>
                    <w:textAlignment w:val="baseline"/>
                    <w:rPr>
                      <w:b/>
                      <w:bCs/>
                      <w:kern w:val="0"/>
                      <w:szCs w:val="21"/>
                    </w:rPr>
                  </w:pPr>
                  <w:r>
                    <w:rPr>
                      <w:rFonts w:hint="eastAsia"/>
                      <w:b/>
                      <w:bCs/>
                      <w:kern w:val="0"/>
                      <w:szCs w:val="21"/>
                    </w:rPr>
                    <w:t>本项目</w:t>
                  </w:r>
                </w:p>
              </w:tc>
              <w:tc>
                <w:tcPr>
                  <w:tcW w:w="820" w:type="pct"/>
                  <w:noWrap w:val="0"/>
                  <w:vAlign w:val="center"/>
                </w:tcPr>
                <w:p>
                  <w:pPr>
                    <w:wordWrap w:val="0"/>
                    <w:adjustRightInd w:val="0"/>
                    <w:snapToGrid w:val="0"/>
                    <w:jc w:val="center"/>
                    <w:textAlignment w:val="baseline"/>
                    <w:rPr>
                      <w:b/>
                      <w:bCs/>
                      <w:kern w:val="0"/>
                      <w:szCs w:val="21"/>
                    </w:rPr>
                  </w:pPr>
                  <w:r>
                    <w:rPr>
                      <w:rFonts w:hint="eastAsia"/>
                      <w:b/>
                      <w:bCs/>
                      <w:kern w:val="0"/>
                      <w:szCs w:val="21"/>
                    </w:rPr>
                    <w:t>符合性判断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2543" w:type="pct"/>
                  <w:noWrap w:val="0"/>
                  <w:vAlign w:val="center"/>
                </w:tcPr>
                <w:p>
                  <w:pPr>
                    <w:widowControl/>
                    <w:wordWrap w:val="0"/>
                    <w:rPr>
                      <w:sz w:val="24"/>
                    </w:rPr>
                  </w:pPr>
                  <w:r>
                    <w:rPr>
                      <w:szCs w:val="21"/>
                    </w:rPr>
                    <w:t>强化生活垃圾分类管理。实施生活垃圾分类制度，建设分类投放、分类收集、分类运输、分类处置的生活垃圾管理系统。</w:t>
                  </w:r>
                </w:p>
              </w:tc>
              <w:tc>
                <w:tcPr>
                  <w:tcW w:w="1636" w:type="pct"/>
                  <w:noWrap w:val="0"/>
                  <w:vAlign w:val="center"/>
                </w:tcPr>
                <w:p>
                  <w:pPr>
                    <w:wordWrap w:val="0"/>
                    <w:adjustRightInd w:val="0"/>
                    <w:textAlignment w:val="baseline"/>
                    <w:rPr>
                      <w:szCs w:val="20"/>
                    </w:rPr>
                  </w:pPr>
                  <w:r>
                    <w:rPr>
                      <w:szCs w:val="21"/>
                    </w:rPr>
                    <w:t>生活垃圾经垃圾桶分类收集后，交由当地环卫</w:t>
                  </w:r>
                  <w:r>
                    <w:rPr>
                      <w:rFonts w:hint="eastAsia"/>
                      <w:szCs w:val="21"/>
                    </w:rPr>
                    <w:t>部门</w:t>
                  </w:r>
                  <w:r>
                    <w:rPr>
                      <w:szCs w:val="21"/>
                    </w:rPr>
                    <w:t>处理</w:t>
                  </w:r>
                </w:p>
              </w:tc>
              <w:tc>
                <w:tcPr>
                  <w:tcW w:w="820" w:type="pct"/>
                  <w:noWrap w:val="0"/>
                  <w:vAlign w:val="center"/>
                </w:tcPr>
                <w:p>
                  <w:pPr>
                    <w:pStyle w:val="74"/>
                    <w:widowContro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2543" w:type="pct"/>
                  <w:noWrap w:val="0"/>
                  <w:vAlign w:val="center"/>
                </w:tcPr>
                <w:p>
                  <w:pPr>
                    <w:widowControl/>
                    <w:wordWrap w:val="0"/>
                    <w:rPr>
                      <w:sz w:val="24"/>
                    </w:rPr>
                  </w:pPr>
                  <w:r>
                    <w:rPr>
                      <w:szCs w:val="21"/>
                    </w:rPr>
                    <w:t>严格夜间施工审批并向社会公示，鼓励采用低噪声施工设备和工艺，强化夜间施工管理。推进工业企业噪声纳入排污许可管理，严厉查处工业企业噪声排放超标扰民行为。</w:t>
                  </w:r>
                </w:p>
              </w:tc>
              <w:tc>
                <w:tcPr>
                  <w:tcW w:w="1636" w:type="pct"/>
                  <w:noWrap w:val="0"/>
                  <w:vAlign w:val="center"/>
                </w:tcPr>
                <w:p>
                  <w:pPr>
                    <w:wordWrap w:val="0"/>
                    <w:rPr>
                      <w:szCs w:val="20"/>
                    </w:rPr>
                  </w:pPr>
                  <w:r>
                    <w:rPr>
                      <w:szCs w:val="21"/>
                    </w:rPr>
                    <w:t>夜间不施工，采用低噪声设备，营运期设备布置于厂房内，场区修建围墙，且经噪声预测分析，项目噪声达标排放</w:t>
                  </w:r>
                </w:p>
              </w:tc>
              <w:tc>
                <w:tcPr>
                  <w:tcW w:w="820" w:type="pct"/>
                  <w:noWrap w:val="0"/>
                  <w:vAlign w:val="center"/>
                </w:tcPr>
                <w:p>
                  <w:pPr>
                    <w:pStyle w:val="74"/>
                    <w:widowContro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2543" w:type="pct"/>
                  <w:noWrap w:val="0"/>
                  <w:vAlign w:val="center"/>
                </w:tcPr>
                <w:p>
                  <w:pPr>
                    <w:widowControl/>
                    <w:wordWrap w:val="0"/>
                    <w:rPr>
                      <w:szCs w:val="21"/>
                    </w:rPr>
                  </w:pPr>
                  <w:r>
                    <w:rPr>
                      <w:szCs w:val="21"/>
                    </w:rPr>
                    <w:t>严格落实湖南省“三线一单”生态环境总体管控要求，将生态保护红线、环境质量底线、资源利用上线和生态环境准入清单作为硬约束落实到环境管控单元。</w:t>
                  </w:r>
                </w:p>
                <w:p>
                  <w:pPr>
                    <w:widowControl/>
                    <w:wordWrap w:val="0"/>
                    <w:rPr>
                      <w:sz w:val="24"/>
                    </w:rPr>
                  </w:pPr>
                  <w:r>
                    <w:rPr>
                      <w:szCs w:val="21"/>
                    </w:rPr>
                    <w:t>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1636" w:type="pct"/>
                  <w:noWrap w:val="0"/>
                  <w:vAlign w:val="center"/>
                </w:tcPr>
                <w:p>
                  <w:pPr>
                    <w:widowControl/>
                    <w:wordWrap w:val="0"/>
                    <w:rPr>
                      <w:sz w:val="24"/>
                    </w:rPr>
                  </w:pPr>
                  <w:r>
                    <w:rPr>
                      <w:szCs w:val="21"/>
                    </w:rPr>
                    <w:t>项目不属于《湖南省“十四五”生态环境保护规划》中重点工程，根据前文</w:t>
                  </w:r>
                  <w:r>
                    <w:rPr>
                      <w:rFonts w:hint="eastAsia"/>
                      <w:szCs w:val="21"/>
                    </w:rPr>
                    <w:t>1.2</w:t>
                  </w:r>
                  <w:r>
                    <w:rPr>
                      <w:szCs w:val="21"/>
                    </w:rPr>
                    <w:t>分析，项目建设符合“三线一单”要求；建设单位在运营前进行排污许可手续办理</w:t>
                  </w:r>
                </w:p>
              </w:tc>
              <w:tc>
                <w:tcPr>
                  <w:tcW w:w="820" w:type="pct"/>
                  <w:noWrap w:val="0"/>
                  <w:vAlign w:val="center"/>
                </w:tcPr>
                <w:p>
                  <w:pPr>
                    <w:pStyle w:val="74"/>
                    <w:widowContro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2543" w:type="pct"/>
                  <w:noWrap w:val="0"/>
                  <w:vAlign w:val="center"/>
                </w:tcPr>
                <w:p>
                  <w:pPr>
                    <w:wordWrap w:val="0"/>
                    <w:rPr>
                      <w:sz w:val="24"/>
                    </w:rPr>
                  </w:pPr>
                  <w:r>
                    <w:rPr>
                      <w:szCs w:val="21"/>
                    </w:rPr>
                    <w:t>县级以上城市建成区内房屋建筑和市政基础设施工程施工工地严格落实扬尘防控“六个100%”，全面推行绿色施工，将绿色施工纳入企业资质评价、信用评价。推进低尘机械化湿式清扫作业，加大城市出入口、城乡结合部等重要路段冲洗保洁力度，渣土车实施硬覆盖与全密闭运输，强化道路绿化用地扬尘治理。</w:t>
                  </w:r>
                </w:p>
              </w:tc>
              <w:tc>
                <w:tcPr>
                  <w:tcW w:w="1636" w:type="pct"/>
                  <w:noWrap w:val="0"/>
                  <w:vAlign w:val="center"/>
                </w:tcPr>
                <w:p>
                  <w:pPr>
                    <w:tabs>
                      <w:tab w:val="left" w:pos="1021"/>
                    </w:tabs>
                    <w:wordWrap w:val="0"/>
                  </w:pPr>
                  <w:r>
                    <w:rPr>
                      <w:szCs w:val="21"/>
                    </w:rPr>
                    <w:t>本项目施工过程中严格按照施工工地周围100%围挡；物料堆放100%覆盖；出入</w:t>
                  </w:r>
                  <w:r>
                    <w:rPr>
                      <w:rFonts w:hint="eastAsia"/>
                      <w:szCs w:val="21"/>
                      <w:lang w:eastAsia="zh-CN"/>
                    </w:rPr>
                    <w:t>车辆</w:t>
                  </w:r>
                  <w:r>
                    <w:rPr>
                      <w:szCs w:val="21"/>
                    </w:rPr>
                    <w:t>100%清洗；施工现场地面100%地面硬化；洒水清扫保洁100%；渣土运输</w:t>
                  </w:r>
                  <w:r>
                    <w:rPr>
                      <w:rFonts w:hint="eastAsia"/>
                      <w:szCs w:val="21"/>
                      <w:lang w:eastAsia="zh-CN"/>
                    </w:rPr>
                    <w:t>车辆</w:t>
                  </w:r>
                  <w:r>
                    <w:rPr>
                      <w:szCs w:val="21"/>
                    </w:rPr>
                    <w:t>100%密闭运输</w:t>
                  </w:r>
                </w:p>
              </w:tc>
              <w:tc>
                <w:tcPr>
                  <w:tcW w:w="820" w:type="pct"/>
                  <w:noWrap w:val="0"/>
                  <w:vAlign w:val="center"/>
                </w:tcPr>
                <w:p>
                  <w:pPr>
                    <w:pStyle w:val="74"/>
                    <w:widowContro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2543" w:type="pct"/>
                  <w:noWrap w:val="0"/>
                  <w:vAlign w:val="center"/>
                </w:tcPr>
                <w:p>
                  <w:pPr>
                    <w:tabs>
                      <w:tab w:val="left" w:pos="1021"/>
                    </w:tabs>
                    <w:wordWrap w:val="0"/>
                  </w:pPr>
                  <w:r>
                    <w:rPr>
                      <w:szCs w:val="21"/>
                    </w:rPr>
                    <w:t>推动污染物与土壤环境、地下水环境之间的协同控制，持续开展固体废物和危险废物贮存场所周边土壤与地下水环境状况调查评估。</w:t>
                  </w:r>
                </w:p>
              </w:tc>
              <w:tc>
                <w:tcPr>
                  <w:tcW w:w="1636" w:type="pct"/>
                  <w:noWrap w:val="0"/>
                  <w:vAlign w:val="center"/>
                </w:tcPr>
                <w:p>
                  <w:pPr>
                    <w:wordWrap w:val="0"/>
                    <w:rPr>
                      <w:sz w:val="24"/>
                    </w:rPr>
                  </w:pPr>
                  <w:r>
                    <w:rPr>
                      <w:szCs w:val="21"/>
                    </w:rPr>
                    <w:t>本项目不属于重金属行业，</w:t>
                  </w:r>
                  <w:r>
                    <w:rPr>
                      <w:rFonts w:hint="eastAsia"/>
                      <w:szCs w:val="21"/>
                    </w:rPr>
                    <w:t>建设单位</w:t>
                  </w:r>
                  <w:r>
                    <w:rPr>
                      <w:szCs w:val="21"/>
                    </w:rPr>
                    <w:t>从源头控制项目建设和运营对土壤和地下环境造成</w:t>
                  </w:r>
                  <w:r>
                    <w:rPr>
                      <w:rFonts w:hint="eastAsia"/>
                      <w:szCs w:val="21"/>
                    </w:rPr>
                    <w:t>的</w:t>
                  </w:r>
                  <w:r>
                    <w:rPr>
                      <w:szCs w:val="21"/>
                    </w:rPr>
                    <w:t>污染</w:t>
                  </w:r>
                </w:p>
              </w:tc>
              <w:tc>
                <w:tcPr>
                  <w:tcW w:w="820" w:type="pct"/>
                  <w:noWrap w:val="0"/>
                  <w:vAlign w:val="center"/>
                </w:tcPr>
                <w:p>
                  <w:pPr>
                    <w:pStyle w:val="74"/>
                    <w:widowControl w:val="0"/>
                    <w:rPr>
                      <w:color w:val="auto"/>
                      <w:szCs w:val="21"/>
                    </w:rPr>
                  </w:pPr>
                  <w:r>
                    <w:rPr>
                      <w:rFonts w:hint="eastAsia"/>
                      <w:color w:val="auto"/>
                      <w:szCs w:val="21"/>
                    </w:rPr>
                    <w:t>符合</w:t>
                  </w:r>
                </w:p>
              </w:tc>
            </w:tr>
          </w:tbl>
          <w:p>
            <w:pPr>
              <w:wordWrap w:val="0"/>
              <w:spacing w:before="144" w:beforeLines="60" w:line="360" w:lineRule="auto"/>
              <w:ind w:firstLine="480" w:firstLineChars="200"/>
              <w:rPr>
                <w:rFonts w:hint="eastAsia"/>
                <w:sz w:val="24"/>
                <w:lang w:val="zh-CN"/>
              </w:rPr>
            </w:pPr>
            <w:r>
              <w:rPr>
                <w:rFonts w:hint="eastAsia"/>
                <w:sz w:val="24"/>
                <w:lang w:val="zh-CN"/>
              </w:rPr>
              <w:t>综上分析，项目建设与《湖南省“十四五”生态环境保护规划》〔2021〕61号相符。</w:t>
            </w:r>
          </w:p>
          <w:p>
            <w:pPr>
              <w:keepNext/>
              <w:keepLines/>
              <w:wordWrap w:val="0"/>
              <w:spacing w:before="260" w:after="260"/>
              <w:outlineLvl w:val="2"/>
              <w:rPr>
                <w:b/>
                <w:bCs/>
                <w:sz w:val="28"/>
                <w:szCs w:val="32"/>
              </w:rPr>
            </w:pPr>
            <w:r>
              <w:rPr>
                <w:rFonts w:hint="eastAsia"/>
                <w:b/>
                <w:bCs/>
                <w:sz w:val="28"/>
                <w:szCs w:val="32"/>
              </w:rPr>
              <w:t>1.3.2与《湘西自治州“十四五”生态环境保护规划》符合性分析</w:t>
            </w:r>
          </w:p>
          <w:p>
            <w:pPr>
              <w:widowControl/>
              <w:wordWrap w:val="0"/>
              <w:spacing w:line="360" w:lineRule="auto"/>
              <w:ind w:firstLine="480" w:firstLineChars="200"/>
              <w:rPr>
                <w:sz w:val="24"/>
              </w:rPr>
            </w:pPr>
            <w:r>
              <w:rPr>
                <w:sz w:val="24"/>
              </w:rPr>
              <w:t>根据湘西自治州人民政府办公室关于印发《湘西自治州“十四五”生态环境保护规划》（州政办发〔2021〕53号）的通知（部分摘要），项目符合性见下表。</w:t>
            </w:r>
          </w:p>
          <w:p>
            <w:pPr>
              <w:wordWrap w:val="0"/>
              <w:overflowPunct w:val="0"/>
              <w:autoSpaceDE w:val="0"/>
              <w:autoSpaceDN w:val="0"/>
              <w:adjustRightInd w:val="0"/>
              <w:snapToGrid w:val="0"/>
              <w:spacing w:before="144" w:beforeLines="60" w:after="144" w:afterLines="60"/>
              <w:jc w:val="center"/>
              <w:textAlignment w:val="baseline"/>
              <w:rPr>
                <w:b/>
                <w:szCs w:val="21"/>
              </w:rPr>
            </w:pPr>
            <w:r>
              <w:rPr>
                <w:b/>
                <w:szCs w:val="21"/>
              </w:rPr>
              <w:t>表1.</w:t>
            </w:r>
            <w:r>
              <w:rPr>
                <w:rFonts w:hint="eastAsia"/>
                <w:b/>
                <w:szCs w:val="21"/>
              </w:rPr>
              <w:t>3-2</w:t>
            </w:r>
            <w:r>
              <w:rPr>
                <w:b/>
                <w:szCs w:val="21"/>
              </w:rPr>
              <w:t xml:space="preserve"> 项目与《湘西自治州“十四五”生态环境保护规划》符合性分析表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18"/>
              <w:gridCol w:w="430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ordWrap w:val="0"/>
                    <w:overflowPunct w:val="0"/>
                    <w:autoSpaceDE w:val="0"/>
                    <w:autoSpaceDN w:val="0"/>
                    <w:adjustRightInd w:val="0"/>
                    <w:snapToGrid w:val="0"/>
                    <w:spacing w:before="144" w:beforeLines="60" w:after="144" w:afterLines="60"/>
                    <w:jc w:val="center"/>
                    <w:textAlignment w:val="baseline"/>
                    <w:rPr>
                      <w:b/>
                      <w:szCs w:val="21"/>
                    </w:rPr>
                  </w:pPr>
                  <w:r>
                    <w:rPr>
                      <w:b/>
                      <w:szCs w:val="21"/>
                    </w:rPr>
                    <w:t>规划要求</w:t>
                  </w:r>
                </w:p>
              </w:tc>
              <w:tc>
                <w:tcPr>
                  <w:tcW w:w="4217" w:type="dxa"/>
                  <w:noWrap w:val="0"/>
                  <w:vAlign w:val="center"/>
                </w:tcPr>
                <w:p>
                  <w:pPr>
                    <w:wordWrap w:val="0"/>
                    <w:overflowPunct w:val="0"/>
                    <w:autoSpaceDE w:val="0"/>
                    <w:autoSpaceDN w:val="0"/>
                    <w:adjustRightInd w:val="0"/>
                    <w:snapToGrid w:val="0"/>
                    <w:spacing w:before="144" w:beforeLines="60" w:after="144" w:afterLines="60"/>
                    <w:jc w:val="center"/>
                    <w:textAlignment w:val="baseline"/>
                    <w:rPr>
                      <w:b/>
                      <w:szCs w:val="21"/>
                    </w:rPr>
                  </w:pPr>
                  <w:r>
                    <w:rPr>
                      <w:b/>
                      <w:szCs w:val="21"/>
                    </w:rPr>
                    <w:t>本项目</w:t>
                  </w:r>
                </w:p>
              </w:tc>
              <w:tc>
                <w:tcPr>
                  <w:tcW w:w="900" w:type="dxa"/>
                  <w:noWrap w:val="0"/>
                  <w:vAlign w:val="center"/>
                </w:tcPr>
                <w:p>
                  <w:pPr>
                    <w:wordWrap w:val="0"/>
                    <w:overflowPunct w:val="0"/>
                    <w:autoSpaceDE w:val="0"/>
                    <w:autoSpaceDN w:val="0"/>
                    <w:adjustRightInd w:val="0"/>
                    <w:snapToGrid w:val="0"/>
                    <w:spacing w:before="144" w:beforeLines="60" w:after="144" w:afterLines="60"/>
                    <w:jc w:val="center"/>
                    <w:textAlignment w:val="baseline"/>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ordWrap w:val="0"/>
                    <w:rPr>
                      <w:szCs w:val="21"/>
                    </w:rPr>
                  </w:pPr>
                  <w:r>
                    <w:rPr>
                      <w:szCs w:val="21"/>
                    </w:rPr>
                    <w:t>严守生态保护红线、严格执行主体功能区规划和“三线一单”管控措施。</w:t>
                  </w:r>
                </w:p>
              </w:tc>
              <w:tc>
                <w:tcPr>
                  <w:tcW w:w="4217" w:type="dxa"/>
                  <w:noWrap w:val="0"/>
                  <w:vAlign w:val="center"/>
                </w:tcPr>
                <w:p>
                  <w:pPr>
                    <w:wordWrap w:val="0"/>
                    <w:rPr>
                      <w:szCs w:val="21"/>
                    </w:rPr>
                  </w:pPr>
                  <w:r>
                    <w:rPr>
                      <w:szCs w:val="21"/>
                    </w:rPr>
                    <w:t>拟建项目用地范围不在生态保护红线范围内（项目与生态红线关系图见附图</w:t>
                  </w:r>
                  <w:r>
                    <w:rPr>
                      <w:rFonts w:hint="eastAsia"/>
                      <w:szCs w:val="21"/>
                    </w:rPr>
                    <w:t>9</w:t>
                  </w:r>
                  <w:r>
                    <w:rPr>
                      <w:szCs w:val="21"/>
                    </w:rPr>
                    <w:t>），属于</w:t>
                  </w:r>
                  <w:r>
                    <w:rPr>
                      <w:rFonts w:hint="eastAsia"/>
                      <w:szCs w:val="21"/>
                    </w:rPr>
                    <w:t>花垣县重点保护单元1</w:t>
                  </w:r>
                  <w:r>
                    <w:rPr>
                      <w:szCs w:val="21"/>
                    </w:rPr>
                    <w:t>，根据</w:t>
                  </w:r>
                  <w:r>
                    <w:rPr>
                      <w:rFonts w:hint="eastAsia"/>
                      <w:szCs w:val="21"/>
                    </w:rPr>
                    <w:t>1.2</w:t>
                  </w:r>
                  <w:r>
                    <w:rPr>
                      <w:szCs w:val="21"/>
                    </w:rPr>
                    <w:t>章节分析，项目符合湖南省人民政府关于实施“三线一单”生态环境分区管控的意见中有关要求。</w:t>
                  </w:r>
                </w:p>
              </w:tc>
              <w:tc>
                <w:tcPr>
                  <w:tcW w:w="900" w:type="dxa"/>
                  <w:noWrap w:val="0"/>
                  <w:vAlign w:val="center"/>
                </w:tcPr>
                <w:p>
                  <w:pPr>
                    <w:pStyle w:val="74"/>
                    <w:widowContro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ordWrap w:val="0"/>
                    <w:rPr>
                      <w:szCs w:val="21"/>
                    </w:rPr>
                  </w:pPr>
                  <w:r>
                    <w:rPr>
                      <w:szCs w:val="21"/>
                    </w:rPr>
                    <w:t>切实保护好良好的自然生态，加大对自然保护区、风景名胜区、森林公园、地质公园、湿地公园等重要生态功能区的保护力度。切实保护珍稀濒危野生动植物、古树名木和自然生态环境。</w:t>
                  </w:r>
                </w:p>
              </w:tc>
              <w:tc>
                <w:tcPr>
                  <w:tcW w:w="4217" w:type="dxa"/>
                  <w:noWrap w:val="0"/>
                  <w:vAlign w:val="center"/>
                </w:tcPr>
                <w:p>
                  <w:pPr>
                    <w:wordWrap w:val="0"/>
                    <w:rPr>
                      <w:szCs w:val="21"/>
                    </w:rPr>
                  </w:pPr>
                  <w:r>
                    <w:rPr>
                      <w:rFonts w:hint="eastAsia"/>
                      <w:szCs w:val="21"/>
                    </w:rPr>
                    <w:t>建设范围内</w:t>
                  </w:r>
                  <w:r>
                    <w:rPr>
                      <w:szCs w:val="21"/>
                    </w:rPr>
                    <w:t>无文物保护单位、自然保护区</w:t>
                  </w:r>
                  <w:r>
                    <w:rPr>
                      <w:rFonts w:hint="eastAsia"/>
                      <w:szCs w:val="21"/>
                    </w:rPr>
                    <w:t>、风景名胜区、森林公园、地质公园、湿地公园等。</w:t>
                  </w:r>
                </w:p>
              </w:tc>
              <w:tc>
                <w:tcPr>
                  <w:tcW w:w="900" w:type="dxa"/>
                  <w:noWrap w:val="0"/>
                  <w:vAlign w:val="center"/>
                </w:tcPr>
                <w:p>
                  <w:pPr>
                    <w:pStyle w:val="74"/>
                    <w:widowContro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idowControl/>
                    <w:wordWrap w:val="0"/>
                    <w:rPr>
                      <w:szCs w:val="21"/>
                    </w:rPr>
                  </w:pPr>
                  <w:r>
                    <w:rPr>
                      <w:szCs w:val="21"/>
                    </w:rPr>
                    <w:t>强化扬尘污染治理精细化管控，制定湘西州扬尘污染管理办法，严格落实建筑工地施工“六个100%”。</w:t>
                  </w:r>
                </w:p>
              </w:tc>
              <w:tc>
                <w:tcPr>
                  <w:tcW w:w="4217" w:type="dxa"/>
                  <w:noWrap w:val="0"/>
                  <w:vAlign w:val="center"/>
                </w:tcPr>
                <w:p>
                  <w:pPr>
                    <w:wordWrap w:val="0"/>
                    <w:adjustRightInd w:val="0"/>
                    <w:textAlignment w:val="baseline"/>
                    <w:rPr>
                      <w:szCs w:val="21"/>
                    </w:rPr>
                  </w:pPr>
                  <w:r>
                    <w:rPr>
                      <w:szCs w:val="21"/>
                    </w:rPr>
                    <w:t>本项目施工过程中严格按照施工工地周围100%围挡；物料堆放100%覆盖；出入</w:t>
                  </w:r>
                  <w:r>
                    <w:rPr>
                      <w:rFonts w:hint="eastAsia"/>
                      <w:szCs w:val="21"/>
                      <w:lang w:eastAsia="zh-CN"/>
                    </w:rPr>
                    <w:t>车辆</w:t>
                  </w:r>
                  <w:r>
                    <w:rPr>
                      <w:szCs w:val="21"/>
                    </w:rPr>
                    <w:t>100%清洗；施工现场地面100%地面硬化；洒水清扫保洁100%；渣土运输</w:t>
                  </w:r>
                  <w:r>
                    <w:rPr>
                      <w:rFonts w:hint="eastAsia"/>
                      <w:szCs w:val="21"/>
                      <w:lang w:eastAsia="zh-CN"/>
                    </w:rPr>
                    <w:t>车辆</w:t>
                  </w:r>
                  <w:r>
                    <w:rPr>
                      <w:szCs w:val="21"/>
                    </w:rPr>
                    <w:t>100%密闭运输。与规划相符。</w:t>
                  </w:r>
                </w:p>
              </w:tc>
              <w:tc>
                <w:tcPr>
                  <w:tcW w:w="900" w:type="dxa"/>
                  <w:noWrap w:val="0"/>
                  <w:vAlign w:val="center"/>
                </w:tcPr>
                <w:p>
                  <w:pPr>
                    <w:pStyle w:val="74"/>
                    <w:widowContro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ordWrap w:val="0"/>
                    <w:rPr>
                      <w:szCs w:val="21"/>
                      <w:lang w:bidi="ar"/>
                    </w:rPr>
                  </w:pPr>
                  <w:r>
                    <w:rPr>
                      <w:szCs w:val="21"/>
                    </w:rPr>
                    <w:t>全面推行生活垃圾分</w:t>
                  </w:r>
                  <w:r>
                    <w:rPr>
                      <w:rFonts w:hint="eastAsia"/>
                      <w:szCs w:val="21"/>
                    </w:rPr>
                    <w:t>类</w:t>
                  </w:r>
                  <w:r>
                    <w:rPr>
                      <w:szCs w:val="21"/>
                    </w:rPr>
                    <w:t>。</w:t>
                  </w:r>
                </w:p>
              </w:tc>
              <w:tc>
                <w:tcPr>
                  <w:tcW w:w="4217" w:type="dxa"/>
                  <w:noWrap w:val="0"/>
                  <w:vAlign w:val="center"/>
                </w:tcPr>
                <w:p>
                  <w:pPr>
                    <w:wordWrap w:val="0"/>
                    <w:rPr>
                      <w:szCs w:val="21"/>
                      <w:lang w:bidi="ar"/>
                    </w:rPr>
                  </w:pPr>
                  <w:r>
                    <w:rPr>
                      <w:szCs w:val="21"/>
                    </w:rPr>
                    <w:t>生活垃圾经垃圾桶分类收集后，交由当地环卫处理，与规划内容相符。</w:t>
                  </w:r>
                </w:p>
              </w:tc>
              <w:tc>
                <w:tcPr>
                  <w:tcW w:w="900" w:type="dxa"/>
                  <w:noWrap w:val="0"/>
                  <w:vAlign w:val="center"/>
                </w:tcPr>
                <w:p>
                  <w:pPr>
                    <w:pStyle w:val="74"/>
                    <w:widowContro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960" w:type="dxa"/>
                  <w:noWrap w:val="0"/>
                  <w:vAlign w:val="center"/>
                </w:tcPr>
                <w:p>
                  <w:pPr>
                    <w:wordWrap w:val="0"/>
                    <w:rPr>
                      <w:szCs w:val="21"/>
                    </w:rPr>
                  </w:pPr>
                  <w:r>
                    <w:rPr>
                      <w:szCs w:val="21"/>
                    </w:rPr>
                    <w:t>加强危废风险防控，落实生产者责任延伸制，依托销售网点回收其产品使用过程产生的危险废物。</w:t>
                  </w:r>
                </w:p>
              </w:tc>
              <w:tc>
                <w:tcPr>
                  <w:tcW w:w="4217" w:type="dxa"/>
                  <w:noWrap w:val="0"/>
                  <w:vAlign w:val="center"/>
                </w:tcPr>
                <w:p>
                  <w:pPr>
                    <w:wordWrap w:val="0"/>
                    <w:rPr>
                      <w:szCs w:val="21"/>
                    </w:rPr>
                  </w:pPr>
                  <w:r>
                    <w:rPr>
                      <w:rFonts w:hint="eastAsia"/>
                      <w:szCs w:val="21"/>
                    </w:rPr>
                    <w:t>项目运营过程中产生的危废暂存于危废暂存间，交由有资质的单位进行处理。</w:t>
                  </w:r>
                </w:p>
              </w:tc>
              <w:tc>
                <w:tcPr>
                  <w:tcW w:w="900" w:type="dxa"/>
                  <w:noWrap w:val="0"/>
                  <w:vAlign w:val="center"/>
                </w:tcPr>
                <w:p>
                  <w:pPr>
                    <w:pStyle w:val="74"/>
                    <w:widowControl w:val="0"/>
                    <w:rPr>
                      <w:color w:val="auto"/>
                      <w:szCs w:val="21"/>
                    </w:rPr>
                  </w:pPr>
                  <w:r>
                    <w:rPr>
                      <w:color w:val="auto"/>
                      <w:szCs w:val="21"/>
                    </w:rPr>
                    <w:t>符合</w:t>
                  </w:r>
                </w:p>
              </w:tc>
            </w:tr>
          </w:tbl>
          <w:p>
            <w:pPr>
              <w:wordWrap w:val="0"/>
              <w:spacing w:before="144" w:beforeLines="60" w:line="360" w:lineRule="auto"/>
              <w:ind w:firstLine="480" w:firstLineChars="200"/>
              <w:rPr>
                <w:rFonts w:hint="eastAsia"/>
                <w:sz w:val="24"/>
                <w:lang w:val="zh-CN"/>
              </w:rPr>
            </w:pPr>
            <w:r>
              <w:rPr>
                <w:rFonts w:hint="eastAsia"/>
                <w:sz w:val="24"/>
                <w:lang w:val="zh-CN"/>
              </w:rPr>
              <w:t>综上分析，项目建设符合《湘西自治州“十四五”生态环境保护规划》（州政办发〔2021〕53号）要求。</w:t>
            </w:r>
          </w:p>
          <w:p>
            <w:pPr>
              <w:keepNext/>
              <w:keepLines/>
              <w:wordWrap w:val="0"/>
              <w:spacing w:before="260" w:after="260"/>
              <w:outlineLvl w:val="2"/>
              <w:rPr>
                <w:rFonts w:hint="eastAsia"/>
                <w:b/>
                <w:bCs/>
                <w:sz w:val="28"/>
                <w:szCs w:val="32"/>
              </w:rPr>
            </w:pPr>
            <w:r>
              <w:rPr>
                <w:rFonts w:hint="eastAsia"/>
                <w:b/>
                <w:bCs/>
                <w:sz w:val="28"/>
                <w:szCs w:val="32"/>
              </w:rPr>
              <w:t>1.3.3与《湖南省砂石骨料行业规范条件》的符合性分析</w:t>
            </w:r>
          </w:p>
          <w:p>
            <w:pPr>
              <w:wordWrap w:val="0"/>
              <w:spacing w:line="360" w:lineRule="auto"/>
              <w:ind w:firstLine="480" w:firstLineChars="200"/>
              <w:rPr>
                <w:rFonts w:hint="eastAsia"/>
                <w:sz w:val="24"/>
              </w:rPr>
            </w:pPr>
            <w:r>
              <w:rPr>
                <w:rFonts w:hint="eastAsia"/>
                <w:sz w:val="24"/>
              </w:rPr>
              <w:t>根据《湖南省砂石骨料行业规范条件（2017年本）》制定的规范条件与本项目建设内容对照见下表：</w:t>
            </w:r>
          </w:p>
          <w:p>
            <w:pPr>
              <w:wordWrap w:val="0"/>
              <w:overflowPunct w:val="0"/>
              <w:autoSpaceDE w:val="0"/>
              <w:autoSpaceDN w:val="0"/>
              <w:adjustRightInd w:val="0"/>
              <w:snapToGrid w:val="0"/>
              <w:spacing w:before="144" w:beforeLines="60" w:after="144" w:afterLines="60"/>
              <w:jc w:val="center"/>
              <w:textAlignment w:val="baseline"/>
              <w:rPr>
                <w:rFonts w:hint="eastAsia"/>
                <w:b/>
                <w:szCs w:val="21"/>
              </w:rPr>
            </w:pPr>
            <w:r>
              <w:rPr>
                <w:rFonts w:hint="eastAsia"/>
                <w:b/>
                <w:szCs w:val="21"/>
              </w:rPr>
              <w:t>表1.3-3：项目与《湖南省砂石骨料行业规范条件（2017年本）》内容对照表</w:t>
            </w:r>
          </w:p>
          <w:tbl>
            <w:tblPr>
              <w:tblStyle w:val="24"/>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14"/>
              <w:gridCol w:w="2559"/>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23" w:type="dxa"/>
                  <w:noWrap w:val="0"/>
                  <w:vAlign w:val="center"/>
                </w:tcPr>
                <w:p>
                  <w:pPr>
                    <w:pStyle w:val="55"/>
                    <w:rPr>
                      <w:rFonts w:hint="eastAsia"/>
                      <w:b/>
                      <w:bCs/>
                    </w:rPr>
                  </w:pPr>
                  <w:r>
                    <w:rPr>
                      <w:rFonts w:hint="eastAsia"/>
                      <w:b/>
                      <w:bCs/>
                    </w:rPr>
                    <w:t>对照内容</w:t>
                  </w:r>
                </w:p>
              </w:tc>
              <w:tc>
                <w:tcPr>
                  <w:tcW w:w="3714" w:type="dxa"/>
                  <w:noWrap w:val="0"/>
                  <w:vAlign w:val="center"/>
                </w:tcPr>
                <w:p>
                  <w:pPr>
                    <w:pStyle w:val="55"/>
                    <w:rPr>
                      <w:rFonts w:hint="eastAsia"/>
                      <w:b/>
                      <w:bCs/>
                    </w:rPr>
                  </w:pPr>
                  <w:r>
                    <w:rPr>
                      <w:rFonts w:hint="eastAsia"/>
                      <w:b/>
                      <w:bCs/>
                    </w:rPr>
                    <w:t>《湖南省砂石骨料行业规范条件</w:t>
                  </w:r>
                </w:p>
                <w:p>
                  <w:pPr>
                    <w:pStyle w:val="55"/>
                    <w:rPr>
                      <w:rFonts w:hint="eastAsia"/>
                      <w:b/>
                      <w:bCs/>
                    </w:rPr>
                  </w:pPr>
                  <w:r>
                    <w:rPr>
                      <w:rFonts w:hint="eastAsia"/>
                      <w:b/>
                      <w:bCs/>
                    </w:rPr>
                    <w:t>（2017年本）》</w:t>
                  </w:r>
                </w:p>
              </w:tc>
              <w:tc>
                <w:tcPr>
                  <w:tcW w:w="2559" w:type="dxa"/>
                  <w:tcBorders>
                    <w:right w:val="single" w:color="000000" w:sz="4" w:space="0"/>
                  </w:tcBorders>
                  <w:noWrap w:val="0"/>
                  <w:vAlign w:val="center"/>
                </w:tcPr>
                <w:p>
                  <w:pPr>
                    <w:pStyle w:val="55"/>
                    <w:rPr>
                      <w:rFonts w:hint="eastAsia"/>
                      <w:b/>
                      <w:bCs/>
                    </w:rPr>
                  </w:pPr>
                  <w:r>
                    <w:rPr>
                      <w:rFonts w:hint="eastAsia"/>
                      <w:b/>
                      <w:bCs/>
                    </w:rPr>
                    <w:t>项目建设内容</w:t>
                  </w:r>
                </w:p>
              </w:tc>
              <w:tc>
                <w:tcPr>
                  <w:tcW w:w="1003" w:type="dxa"/>
                  <w:tcBorders>
                    <w:left w:val="single" w:color="000000" w:sz="4" w:space="0"/>
                  </w:tcBorders>
                  <w:noWrap w:val="0"/>
                  <w:vAlign w:val="center"/>
                </w:tcPr>
                <w:p>
                  <w:pPr>
                    <w:pStyle w:val="55"/>
                    <w:rPr>
                      <w:rFonts w:hint="eastAsia"/>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723" w:type="dxa"/>
                  <w:noWrap w:val="0"/>
                  <w:vAlign w:val="center"/>
                </w:tcPr>
                <w:p>
                  <w:pPr>
                    <w:wordWrap w:val="0"/>
                    <w:rPr>
                      <w:rFonts w:hint="eastAsia"/>
                      <w:szCs w:val="21"/>
                    </w:rPr>
                  </w:pPr>
                  <w:r>
                    <w:rPr>
                      <w:rFonts w:hint="eastAsia"/>
                      <w:szCs w:val="21"/>
                    </w:rPr>
                    <w:t>生产规模</w:t>
                  </w:r>
                </w:p>
              </w:tc>
              <w:tc>
                <w:tcPr>
                  <w:tcW w:w="3714" w:type="dxa"/>
                  <w:noWrap w:val="0"/>
                  <w:vAlign w:val="center"/>
                </w:tcPr>
                <w:p>
                  <w:pPr>
                    <w:wordWrap w:val="0"/>
                    <w:rPr>
                      <w:rFonts w:hint="eastAsia"/>
                      <w:szCs w:val="21"/>
                    </w:rPr>
                  </w:pPr>
                  <w:r>
                    <w:rPr>
                      <w:rFonts w:hint="eastAsia"/>
                      <w:szCs w:val="21"/>
                    </w:rPr>
                    <w:t>新建、改扩建机制砂石骨料项目生产规模不低于60万t年；对综合利用尾矿、废石、工业和建筑等废弃物生产砂石骨料，其生产规模可适当放宽。新建项目其矿山资源储量服务年限应不低于10年。</w:t>
                  </w:r>
                </w:p>
              </w:tc>
              <w:tc>
                <w:tcPr>
                  <w:tcW w:w="2559" w:type="dxa"/>
                  <w:tcBorders>
                    <w:right w:val="single" w:color="000000" w:sz="4" w:space="0"/>
                  </w:tcBorders>
                  <w:noWrap w:val="0"/>
                  <w:vAlign w:val="center"/>
                </w:tcPr>
                <w:p>
                  <w:pPr>
                    <w:wordWrap w:val="0"/>
                    <w:rPr>
                      <w:rFonts w:hint="eastAsia"/>
                      <w:szCs w:val="21"/>
                    </w:rPr>
                  </w:pPr>
                  <w:r>
                    <w:rPr>
                      <w:rFonts w:hint="eastAsia"/>
                      <w:szCs w:val="21"/>
                    </w:rPr>
                    <w:t>本项目属新建项目，原料来源于紫霞大道工程建设隧道开挖废石，生产规模为年产120894.2m³（约31.43万t）机制砂，属于对废石进行综合利用，根据要求生产规模可适当放宽。</w:t>
                  </w:r>
                </w:p>
              </w:tc>
              <w:tc>
                <w:tcPr>
                  <w:tcW w:w="1003" w:type="dxa"/>
                  <w:tcBorders>
                    <w:left w:val="single" w:color="000000" w:sz="4" w:space="0"/>
                  </w:tcBorders>
                  <w:noWrap w:val="0"/>
                  <w:vAlign w:val="center"/>
                </w:tcPr>
                <w:p>
                  <w:pPr>
                    <w:pStyle w:val="55"/>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23" w:type="dxa"/>
                  <w:noWrap w:val="0"/>
                  <w:vAlign w:val="center"/>
                </w:tcPr>
                <w:p>
                  <w:pPr>
                    <w:wordWrap w:val="0"/>
                    <w:rPr>
                      <w:rFonts w:hint="eastAsia"/>
                      <w:szCs w:val="21"/>
                    </w:rPr>
                  </w:pPr>
                  <w:r>
                    <w:rPr>
                      <w:rFonts w:hint="eastAsia"/>
                      <w:szCs w:val="21"/>
                    </w:rPr>
                    <w:t>生产工艺</w:t>
                  </w:r>
                </w:p>
              </w:tc>
              <w:tc>
                <w:tcPr>
                  <w:tcW w:w="3714" w:type="dxa"/>
                  <w:noWrap w:val="0"/>
                  <w:vAlign w:val="center"/>
                </w:tcPr>
                <w:p>
                  <w:pPr>
                    <w:wordWrap w:val="0"/>
                    <w:rPr>
                      <w:rFonts w:hint="eastAsia"/>
                      <w:szCs w:val="21"/>
                    </w:rPr>
                  </w:pPr>
                  <w:r>
                    <w:rPr>
                      <w:rFonts w:hint="eastAsia"/>
                      <w:szCs w:val="21"/>
                    </w:rPr>
                    <w:t>优先采用干法生产工艺，其次半干法砂石工艺，当不能满足要求时，可采用湿法砂石生产工艺。砂石骨料生产线及产品技术指标应符合GB51186《机制砂石骨料工厂设计规范》等相关标准要求。新建项目不得使用限制和淘汏技术设备，已建项目不得使用淘汏设备；生产工艺及设备配置应能灵活调整砂石成品级配和石粉含量，并能有效控制砂石成品针片状会量。采用先进高效破碎、制砂、筛分和散料连续输送设备，推广应用自动化、智能化制造技术；矿山开采符合 GB672《爆破安全规程》、GB18152《选可安全规程》等有关标准、规范要求，并执行矿产资源开发利用方案，露天开采应实行自上而下分水平台阶式开采。</w:t>
                  </w:r>
                </w:p>
              </w:tc>
              <w:tc>
                <w:tcPr>
                  <w:tcW w:w="2559" w:type="dxa"/>
                  <w:tcBorders>
                    <w:right w:val="single" w:color="000000" w:sz="4" w:space="0"/>
                  </w:tcBorders>
                  <w:noWrap w:val="0"/>
                  <w:vAlign w:val="center"/>
                </w:tcPr>
                <w:p>
                  <w:pPr>
                    <w:wordWrap w:val="0"/>
                    <w:rPr>
                      <w:rFonts w:hint="eastAsia"/>
                      <w:szCs w:val="21"/>
                    </w:rPr>
                  </w:pPr>
                  <w:r>
                    <w:rPr>
                      <w:rFonts w:hint="eastAsia"/>
                      <w:szCs w:val="21"/>
                    </w:rPr>
                    <w:t>本项目采用干法生产工艺，所有设备均符合相关政策要求，本项目不涉及采砂、采矿</w:t>
                  </w:r>
                </w:p>
              </w:tc>
              <w:tc>
                <w:tcPr>
                  <w:tcW w:w="1003" w:type="dxa"/>
                  <w:tcBorders>
                    <w:left w:val="single" w:color="000000" w:sz="4" w:space="0"/>
                  </w:tcBorders>
                  <w:noWrap w:val="0"/>
                  <w:vAlign w:val="center"/>
                </w:tcPr>
                <w:p>
                  <w:pPr>
                    <w:pStyle w:val="55"/>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noWrap w:val="0"/>
                  <w:vAlign w:val="center"/>
                </w:tcPr>
                <w:p>
                  <w:pPr>
                    <w:wordWrap w:val="0"/>
                    <w:rPr>
                      <w:rFonts w:hint="eastAsia"/>
                      <w:szCs w:val="21"/>
                    </w:rPr>
                  </w:pPr>
                  <w:r>
                    <w:rPr>
                      <w:rFonts w:hint="eastAsia"/>
                      <w:szCs w:val="21"/>
                    </w:rPr>
                    <w:t>节能降耗</w:t>
                  </w:r>
                </w:p>
              </w:tc>
              <w:tc>
                <w:tcPr>
                  <w:tcW w:w="3714" w:type="dxa"/>
                  <w:noWrap w:val="0"/>
                  <w:vAlign w:val="center"/>
                </w:tcPr>
                <w:p>
                  <w:pPr>
                    <w:wordWrap w:val="0"/>
                    <w:rPr>
                      <w:rFonts w:hint="eastAsia"/>
                      <w:szCs w:val="21"/>
                    </w:rPr>
                  </w:pPr>
                  <w:r>
                    <w:rPr>
                      <w:rFonts w:hint="eastAsia"/>
                      <w:szCs w:val="21"/>
                    </w:rPr>
                    <w:t>机制砂石骨料工厂的节能设计应根据建设项目的能源使用、设备技术水平和经济性等因素，制定节能措施。生产设备的配置应与砂石骨料工厂的生产规模相适应，满足砂石骨料生产工艺要求，优选大型设备，减少设备台数，降低总装机功率。物料输送应采用带式输送机。</w:t>
                  </w:r>
                </w:p>
              </w:tc>
              <w:tc>
                <w:tcPr>
                  <w:tcW w:w="2559" w:type="dxa"/>
                  <w:tcBorders>
                    <w:right w:val="single" w:color="000000" w:sz="4" w:space="0"/>
                  </w:tcBorders>
                  <w:noWrap w:val="0"/>
                  <w:vAlign w:val="center"/>
                </w:tcPr>
                <w:p>
                  <w:pPr>
                    <w:wordWrap w:val="0"/>
                    <w:rPr>
                      <w:rFonts w:hint="eastAsia"/>
                      <w:szCs w:val="21"/>
                    </w:rPr>
                  </w:pPr>
                  <w:r>
                    <w:rPr>
                      <w:rFonts w:hint="eastAsia"/>
                      <w:szCs w:val="21"/>
                    </w:rPr>
                    <w:t>本项目所用设备均为大型设备，能够满足本项目生产规模，物料输送均采用带式输送机进行物料输送。</w:t>
                  </w:r>
                </w:p>
              </w:tc>
              <w:tc>
                <w:tcPr>
                  <w:tcW w:w="1003" w:type="dxa"/>
                  <w:tcBorders>
                    <w:left w:val="single" w:color="000000" w:sz="4" w:space="0"/>
                  </w:tcBorders>
                  <w:noWrap w:val="0"/>
                  <w:vAlign w:val="center"/>
                </w:tcPr>
                <w:p>
                  <w:pPr>
                    <w:pStyle w:val="55"/>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noWrap w:val="0"/>
                  <w:vAlign w:val="center"/>
                </w:tcPr>
                <w:p>
                  <w:pPr>
                    <w:wordWrap w:val="0"/>
                    <w:rPr>
                      <w:rFonts w:hint="eastAsia"/>
                      <w:szCs w:val="21"/>
                    </w:rPr>
                  </w:pPr>
                  <w:r>
                    <w:rPr>
                      <w:rFonts w:hint="eastAsia"/>
                      <w:szCs w:val="21"/>
                    </w:rPr>
                    <w:t>环境保护</w:t>
                  </w:r>
                </w:p>
              </w:tc>
              <w:tc>
                <w:tcPr>
                  <w:tcW w:w="3714" w:type="dxa"/>
                  <w:noWrap w:val="0"/>
                  <w:vAlign w:val="center"/>
                </w:tcPr>
                <w:p>
                  <w:pPr>
                    <w:wordWrap w:val="0"/>
                    <w:rPr>
                      <w:rFonts w:hint="eastAsia"/>
                      <w:szCs w:val="21"/>
                    </w:rPr>
                  </w:pPr>
                  <w:r>
                    <w:rPr>
                      <w:rFonts w:hint="eastAsia"/>
                      <w:szCs w:val="21"/>
                    </w:rPr>
                    <w:t>砂石骨料企业应制订相关环境保护管理体系文件和环境突发事件应急预案等。</w:t>
                  </w:r>
                </w:p>
                <w:p>
                  <w:pPr>
                    <w:wordWrap w:val="0"/>
                    <w:rPr>
                      <w:rFonts w:hint="eastAsia"/>
                      <w:szCs w:val="21"/>
                    </w:rPr>
                  </w:pPr>
                  <w:r>
                    <w:rPr>
                      <w:rFonts w:hint="eastAsia"/>
                      <w:szCs w:val="21"/>
                    </w:rPr>
                    <w:t>机制砂石骨料生产线须配套收尘装置，采用喷雾、洒水、全封闭皮带运输等措施。破碎加工区、中间料库、成品库等区域实现厂房全封闭，污染物排放符合GB16297《大气污染物综合排放标准》要求。矿山开采鼓励选用湿式凿岩工艺，若采用干法凿岩工艺，须加设除尘装置，作业场所应采用喷雾、洒水等措施。</w:t>
                  </w:r>
                </w:p>
                <w:p>
                  <w:pPr>
                    <w:wordWrap w:val="0"/>
                    <w:rPr>
                      <w:rFonts w:hint="eastAsia"/>
                      <w:szCs w:val="21"/>
                    </w:rPr>
                  </w:pPr>
                  <w:r>
                    <w:rPr>
                      <w:rFonts w:hint="eastAsia"/>
                      <w:szCs w:val="21"/>
                    </w:rPr>
                    <w:t>机制砂石骨料生产线须配置消声、减振、隔振等设施，工厂噪声应符合GB12348《工业企业厂界环境噪声排放标准》要求。厂区污水排放符合GB8978《污水综合排放标准》二级及以上要求，湿法生产线必须设置水处理循环系统。</w:t>
                  </w:r>
                </w:p>
                <w:p>
                  <w:pPr>
                    <w:wordWrap w:val="0"/>
                    <w:rPr>
                      <w:rFonts w:hint="eastAsia"/>
                      <w:szCs w:val="21"/>
                    </w:rPr>
                  </w:pPr>
                  <w:r>
                    <w:rPr>
                      <w:rFonts w:hint="eastAsia"/>
                      <w:szCs w:val="21"/>
                    </w:rPr>
                    <w:t>公用工程、环境保护设计应符合GB51186《机制砂石骨料工厂设计规范》等有关标准规定，配套建设的环境保护设施应与主体工程同时设计、同时施工、同时投入使用。</w:t>
                  </w:r>
                </w:p>
              </w:tc>
              <w:tc>
                <w:tcPr>
                  <w:tcW w:w="2559" w:type="dxa"/>
                  <w:tcBorders>
                    <w:right w:val="single" w:color="000000" w:sz="4" w:space="0"/>
                  </w:tcBorders>
                  <w:noWrap w:val="0"/>
                  <w:vAlign w:val="center"/>
                </w:tcPr>
                <w:p>
                  <w:pPr>
                    <w:wordWrap w:val="0"/>
                    <w:rPr>
                      <w:rFonts w:hint="eastAsia"/>
                      <w:szCs w:val="21"/>
                    </w:rPr>
                  </w:pPr>
                  <w:r>
                    <w:rPr>
                      <w:rFonts w:hint="eastAsia"/>
                      <w:szCs w:val="21"/>
                    </w:rPr>
                    <w:t>本项目环评通过后制订相关环境保护管理体系文件和环境突发事件应急预案；</w:t>
                  </w:r>
                </w:p>
                <w:p>
                  <w:pPr>
                    <w:wordWrap w:val="0"/>
                    <w:rPr>
                      <w:rFonts w:hint="eastAsia"/>
                      <w:szCs w:val="21"/>
                    </w:rPr>
                  </w:pPr>
                  <w:r>
                    <w:rPr>
                      <w:rFonts w:hint="eastAsia"/>
                      <w:szCs w:val="21"/>
                    </w:rPr>
                    <w:t>项目生产区</w:t>
                  </w:r>
                  <w:r>
                    <w:rPr>
                      <w:rFonts w:hint="eastAsia"/>
                      <w:szCs w:val="21"/>
                      <w:lang w:eastAsia="zh-CN"/>
                    </w:rPr>
                    <w:t>安装布袋除尘器，</w:t>
                  </w:r>
                  <w:r>
                    <w:rPr>
                      <w:rFonts w:hint="eastAsia"/>
                      <w:szCs w:val="21"/>
                    </w:rPr>
                    <w:t>产品库房密闭，</w:t>
                  </w:r>
                  <w:r>
                    <w:rPr>
                      <w:rFonts w:hint="eastAsia"/>
                      <w:szCs w:val="21"/>
                      <w:lang w:eastAsia="zh-CN"/>
                    </w:rPr>
                    <w:t>全封闭皮带运输，</w:t>
                  </w:r>
                  <w:r>
                    <w:rPr>
                      <w:rFonts w:hint="eastAsia"/>
                      <w:szCs w:val="21"/>
                    </w:rPr>
                    <w:t>各生产设施均配备喷水系统，结合本环评提出的措施后使污染物排放符合GB16297《大气污染物综合排放标准》要求；本项目不涉及矿山开采；本项目生产线设备采取消声、减振、隔振等措施，经预测，工厂噪声厂界贡献值均符合GB12348《工业企业厂界环境噪声排放标准》2类和4类要求；洗车废水经沉淀池沉淀后回用；环评于第四章节提出污染防治措施，企业承诺按照本环评提出的措施建设，同时施工同时投入使用。</w:t>
                  </w:r>
                </w:p>
              </w:tc>
              <w:tc>
                <w:tcPr>
                  <w:tcW w:w="1003" w:type="dxa"/>
                  <w:tcBorders>
                    <w:left w:val="single" w:color="000000" w:sz="4" w:space="0"/>
                  </w:tcBorders>
                  <w:noWrap w:val="0"/>
                  <w:vAlign w:val="center"/>
                </w:tcPr>
                <w:p>
                  <w:pPr>
                    <w:pStyle w:val="55"/>
                    <w:rPr>
                      <w:rFonts w:hint="eastAsia"/>
                    </w:rPr>
                  </w:pPr>
                  <w:r>
                    <w:rPr>
                      <w:rFonts w:hint="eastAsia"/>
                    </w:rPr>
                    <w:t>符合</w:t>
                  </w:r>
                </w:p>
              </w:tc>
            </w:tr>
          </w:tbl>
          <w:p>
            <w:pPr>
              <w:wordWrap w:val="0"/>
              <w:spacing w:before="144" w:beforeLines="60" w:line="360" w:lineRule="auto"/>
              <w:ind w:firstLine="480" w:firstLineChars="200"/>
              <w:rPr>
                <w:rFonts w:hint="eastAsia"/>
                <w:sz w:val="24"/>
              </w:rPr>
            </w:pPr>
            <w:r>
              <w:rPr>
                <w:rFonts w:hint="eastAsia"/>
                <w:sz w:val="24"/>
              </w:rPr>
              <w:t>本项目建设内容符合《湖南省砂石骨料行业规范条件（2017年本）》中规定的行业规范条件。</w:t>
            </w:r>
          </w:p>
          <w:p>
            <w:pPr>
              <w:keepNext/>
              <w:keepLines/>
              <w:wordWrap w:val="0"/>
              <w:spacing w:before="260" w:after="260"/>
              <w:outlineLvl w:val="2"/>
              <w:rPr>
                <w:rFonts w:hint="eastAsia"/>
                <w:b/>
                <w:bCs/>
                <w:sz w:val="28"/>
                <w:szCs w:val="32"/>
              </w:rPr>
            </w:pPr>
            <w:r>
              <w:rPr>
                <w:rFonts w:hint="eastAsia"/>
                <w:b/>
                <w:bCs/>
                <w:sz w:val="28"/>
                <w:szCs w:val="32"/>
              </w:rPr>
              <w:t>1.3.4与《十部门关于推荐机制砂石行业高质量发展的若干意见》（工信部联原〔2019〕239号）相符性分析</w:t>
            </w:r>
          </w:p>
          <w:p>
            <w:pPr>
              <w:widowControl/>
              <w:wordWrap w:val="0"/>
              <w:spacing w:line="360" w:lineRule="auto"/>
              <w:ind w:firstLine="480" w:firstLineChars="200"/>
              <w:rPr>
                <w:rFonts w:hint="eastAsia"/>
                <w:sz w:val="24"/>
              </w:rPr>
            </w:pPr>
            <w:r>
              <w:rPr>
                <w:rFonts w:hint="eastAsia"/>
                <w:sz w:val="24"/>
              </w:rPr>
              <w:t>根据《十部门关于推荐机制砂石行业高质量发展的若干意见》（工信部联原〔2019〕239号）相关规范要求，与本项目建设内容对照见下表：</w:t>
            </w:r>
          </w:p>
          <w:p>
            <w:pPr>
              <w:wordWrap w:val="0"/>
              <w:overflowPunct w:val="0"/>
              <w:autoSpaceDE w:val="0"/>
              <w:autoSpaceDN w:val="0"/>
              <w:adjustRightInd w:val="0"/>
              <w:snapToGrid w:val="0"/>
              <w:spacing w:before="144" w:beforeLines="60" w:after="144" w:afterLines="60"/>
              <w:jc w:val="center"/>
              <w:textAlignment w:val="baseline"/>
              <w:rPr>
                <w:rFonts w:hint="eastAsia"/>
                <w:b/>
                <w:szCs w:val="21"/>
              </w:rPr>
            </w:pPr>
            <w:r>
              <w:rPr>
                <w:rFonts w:hint="eastAsia"/>
                <w:b/>
                <w:szCs w:val="21"/>
              </w:rPr>
              <w:t>表1.3-4：项目与《十部门关于推荐机制砂石行业高质量发展的若干意见》内容对照表</w:t>
            </w:r>
          </w:p>
          <w:tbl>
            <w:tblPr>
              <w:tblStyle w:val="24"/>
              <w:tblW w:w="7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4665"/>
              <w:gridCol w:w="1590"/>
              <w:gridCol w:w="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694" w:type="dxa"/>
                  <w:noWrap w:val="0"/>
                  <w:vAlign w:val="center"/>
                </w:tcPr>
                <w:p>
                  <w:pPr>
                    <w:pStyle w:val="55"/>
                    <w:rPr>
                      <w:rFonts w:hint="eastAsia"/>
                      <w:b/>
                      <w:bCs/>
                    </w:rPr>
                  </w:pPr>
                  <w:r>
                    <w:rPr>
                      <w:rFonts w:hint="eastAsia"/>
                      <w:b/>
                      <w:bCs/>
                    </w:rPr>
                    <w:t>对照内容</w:t>
                  </w:r>
                </w:p>
              </w:tc>
              <w:tc>
                <w:tcPr>
                  <w:tcW w:w="4665" w:type="dxa"/>
                  <w:noWrap w:val="0"/>
                  <w:vAlign w:val="center"/>
                </w:tcPr>
                <w:p>
                  <w:pPr>
                    <w:pStyle w:val="55"/>
                    <w:rPr>
                      <w:rFonts w:hint="eastAsia"/>
                      <w:b/>
                      <w:bCs/>
                    </w:rPr>
                  </w:pPr>
                  <w:r>
                    <w:rPr>
                      <w:rFonts w:hint="eastAsia"/>
                      <w:b/>
                      <w:bCs/>
                    </w:rPr>
                    <w:t>《十部门关于推荐机制砂石行业高质量发展的若干意见》</w:t>
                  </w:r>
                </w:p>
              </w:tc>
              <w:tc>
                <w:tcPr>
                  <w:tcW w:w="1590" w:type="dxa"/>
                  <w:noWrap w:val="0"/>
                  <w:vAlign w:val="center"/>
                </w:tcPr>
                <w:p>
                  <w:pPr>
                    <w:pStyle w:val="55"/>
                    <w:rPr>
                      <w:rFonts w:hint="eastAsia"/>
                      <w:b/>
                      <w:bCs/>
                    </w:rPr>
                  </w:pPr>
                  <w:r>
                    <w:rPr>
                      <w:rFonts w:hint="eastAsia"/>
                      <w:b/>
                      <w:bCs/>
                    </w:rPr>
                    <w:t>项目建设内容</w:t>
                  </w:r>
                </w:p>
              </w:tc>
              <w:tc>
                <w:tcPr>
                  <w:tcW w:w="869" w:type="dxa"/>
                  <w:noWrap w:val="0"/>
                  <w:vAlign w:val="center"/>
                </w:tcPr>
                <w:p>
                  <w:pPr>
                    <w:pStyle w:val="55"/>
                    <w:rPr>
                      <w:rFonts w:hint="eastAsia"/>
                    </w:rPr>
                  </w:pPr>
                  <w:r>
                    <w:rPr>
                      <w:rFonts w:hint="eastAsia"/>
                      <w:b/>
                      <w:bCs/>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1" w:hRule="atLeast"/>
                <w:jc w:val="center"/>
              </w:trPr>
              <w:tc>
                <w:tcPr>
                  <w:tcW w:w="694" w:type="dxa"/>
                  <w:noWrap w:val="0"/>
                  <w:vAlign w:val="center"/>
                </w:tcPr>
                <w:p>
                  <w:pPr>
                    <w:pStyle w:val="55"/>
                    <w:rPr>
                      <w:rFonts w:hint="eastAsia"/>
                    </w:rPr>
                  </w:pPr>
                  <w:r>
                    <w:rPr>
                      <w:rFonts w:hint="eastAsia"/>
                    </w:rPr>
                    <w:t>拓展砂石来源</w:t>
                  </w:r>
                </w:p>
              </w:tc>
              <w:tc>
                <w:tcPr>
                  <w:tcW w:w="4665" w:type="dxa"/>
                  <w:noWrap w:val="0"/>
                  <w:vAlign w:val="center"/>
                </w:tcPr>
                <w:p>
                  <w:pPr>
                    <w:pStyle w:val="55"/>
                    <w:jc w:val="both"/>
                    <w:rPr>
                      <w:rFonts w:hint="eastAsia"/>
                    </w:rPr>
                  </w:pPr>
                  <w:r>
                    <w:rPr>
                      <w:rFonts w:hint="eastAsia"/>
                    </w:rPr>
                    <w:t>规范砂石资源管理，鼓励利用废石以及铁、钼、钒钛等矿山的尾矿生产机制砂石，节约天然资源，提高产业固体废物综合利用水平。根据建筑垃圾吸水率高等特点，鼓励生产满足海绵城市建设需要的砂石等产品。支持就地取材，利用开山、道路、隧洞、场地平整等建设工程产生的砂石料生产机制砂石，减少长距离运输外来砂石，满足建设需要。发展“互联网+砂石骨料”，构建机制砂石电子商务平台，完善支撑服务体系，培育适合砂石产业的O2O、C2B等电商模式，实现砂石电子商务交易中的信息交流、市场交易、物流配送、支付结算、售后服务等功能。</w:t>
                  </w:r>
                </w:p>
              </w:tc>
              <w:tc>
                <w:tcPr>
                  <w:tcW w:w="1590" w:type="dxa"/>
                  <w:noWrap w:val="0"/>
                  <w:vAlign w:val="center"/>
                </w:tcPr>
                <w:p>
                  <w:pPr>
                    <w:pStyle w:val="55"/>
                    <w:jc w:val="both"/>
                    <w:rPr>
                      <w:rFonts w:hint="eastAsia"/>
                    </w:rPr>
                  </w:pPr>
                  <w:r>
                    <w:rPr>
                      <w:rFonts w:hint="eastAsia"/>
                    </w:rPr>
                    <w:t>本项目利用开山、道路、隧洞、场地平整等建设工程产生的砂石料生产机制砂及碎石，符合要求。</w:t>
                  </w:r>
                </w:p>
              </w:tc>
              <w:tc>
                <w:tcPr>
                  <w:tcW w:w="869" w:type="dxa"/>
                  <w:noWrap w:val="0"/>
                  <w:vAlign w:val="center"/>
                </w:tcPr>
                <w:p>
                  <w:pPr>
                    <w:pStyle w:val="55"/>
                    <w:jc w:val="both"/>
                    <w:rPr>
                      <w:rFonts w:hint="eastAsia"/>
                    </w:rPr>
                  </w:pPr>
                  <w:r>
                    <w:rPr>
                      <w:rFonts w:hint="eastAsi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jc w:val="center"/>
              </w:trPr>
              <w:tc>
                <w:tcPr>
                  <w:tcW w:w="694" w:type="dxa"/>
                  <w:noWrap w:val="0"/>
                  <w:vAlign w:val="center"/>
                </w:tcPr>
                <w:p>
                  <w:pPr>
                    <w:pStyle w:val="55"/>
                    <w:rPr>
                      <w:rFonts w:hint="eastAsia"/>
                    </w:rPr>
                  </w:pPr>
                  <w:r>
                    <w:rPr>
                      <w:rFonts w:hint="eastAsia"/>
                    </w:rPr>
                    <w:t>发展绿色制造</w:t>
                  </w:r>
                </w:p>
              </w:tc>
              <w:tc>
                <w:tcPr>
                  <w:tcW w:w="4665" w:type="dxa"/>
                  <w:noWrap w:val="0"/>
                  <w:vAlign w:val="center"/>
                </w:tcPr>
                <w:p>
                  <w:pPr>
                    <w:pStyle w:val="55"/>
                    <w:jc w:val="both"/>
                    <w:rPr>
                      <w:rFonts w:hint="eastAsia"/>
                    </w:rPr>
                  </w:pPr>
                  <w:r>
                    <w:rPr>
                      <w:rFonts w:hint="eastAsia"/>
                    </w:rPr>
                    <w:t>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1590" w:type="dxa"/>
                  <w:noWrap w:val="0"/>
                  <w:vAlign w:val="center"/>
                </w:tcPr>
                <w:p>
                  <w:pPr>
                    <w:pStyle w:val="55"/>
                    <w:jc w:val="both"/>
                    <w:rPr>
                      <w:rFonts w:hint="eastAsia"/>
                    </w:rPr>
                  </w:pPr>
                  <w:r>
                    <w:rPr>
                      <w:rFonts w:hint="eastAsia"/>
                    </w:rPr>
                    <w:t>本项目建设按照GB51186《机制砂石骨料工厂设计规范》相关要求设置，对生产设备采取降噪措施，无生产废水产生。</w:t>
                  </w:r>
                </w:p>
              </w:tc>
              <w:tc>
                <w:tcPr>
                  <w:tcW w:w="869" w:type="dxa"/>
                  <w:noWrap w:val="0"/>
                  <w:vAlign w:val="center"/>
                </w:tcPr>
                <w:p>
                  <w:pPr>
                    <w:pStyle w:val="55"/>
                    <w:jc w:val="both"/>
                    <w:rPr>
                      <w:rFonts w:hint="eastAsia"/>
                    </w:rPr>
                  </w:pPr>
                  <w:r>
                    <w:rPr>
                      <w:rFonts w:hint="eastAsi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1" w:hRule="atLeast"/>
                <w:jc w:val="center"/>
              </w:trPr>
              <w:tc>
                <w:tcPr>
                  <w:tcW w:w="694" w:type="dxa"/>
                  <w:noWrap w:val="0"/>
                  <w:vAlign w:val="center"/>
                </w:tcPr>
                <w:p>
                  <w:pPr>
                    <w:pStyle w:val="55"/>
                    <w:rPr>
                      <w:rFonts w:hint="eastAsia"/>
                    </w:rPr>
                  </w:pPr>
                  <w:r>
                    <w:rPr>
                      <w:rFonts w:hint="eastAsia"/>
                    </w:rPr>
                    <w:t>提升安全水平</w:t>
                  </w:r>
                </w:p>
              </w:tc>
              <w:tc>
                <w:tcPr>
                  <w:tcW w:w="4665" w:type="dxa"/>
                  <w:noWrap w:val="0"/>
                  <w:vAlign w:val="center"/>
                </w:tcPr>
                <w:p>
                  <w:pPr>
                    <w:pStyle w:val="55"/>
                    <w:jc w:val="both"/>
                    <w:rPr>
                      <w:rFonts w:hint="eastAsia"/>
                    </w:rPr>
                  </w:pPr>
                  <w:r>
                    <w:rPr>
                      <w:rFonts w:hint="eastAsia"/>
                    </w:rPr>
                    <w:t>落实企业安全生产主体责任，建立健全全员安全生产责任制和安全管理规章制度，推进企业安全生产标准化建设。严格执行安全生产和职业卫生“三同时”制度，采用先进工艺和本质安全型自动化装备，完善矿山开采、石料搬运和破碎、物料筛分和转运等工序的安全风险控制及职业病防护措施，从源头提升本质安全水平。依法参加工伤保险和安全生产责任保险，履行企业社会责任。</w:t>
                  </w:r>
                </w:p>
              </w:tc>
              <w:tc>
                <w:tcPr>
                  <w:tcW w:w="1590" w:type="dxa"/>
                  <w:noWrap w:val="0"/>
                  <w:vAlign w:val="center"/>
                </w:tcPr>
                <w:p>
                  <w:pPr>
                    <w:pStyle w:val="55"/>
                    <w:jc w:val="both"/>
                    <w:rPr>
                      <w:rFonts w:hint="eastAsia" w:eastAsia="宋体"/>
                      <w:lang w:eastAsia="zh-CN"/>
                    </w:rPr>
                  </w:pPr>
                  <w:r>
                    <w:rPr>
                      <w:rFonts w:hint="eastAsia"/>
                    </w:rPr>
                    <w:t>本项目将建立健全全员安全生产责任制和安全管理规章制度，推进企业安全生产标准化建设</w:t>
                  </w:r>
                  <w:r>
                    <w:rPr>
                      <w:rFonts w:hint="eastAsia"/>
                      <w:lang w:eastAsia="zh-CN"/>
                    </w:rPr>
                    <w:t>。</w:t>
                  </w:r>
                </w:p>
              </w:tc>
              <w:tc>
                <w:tcPr>
                  <w:tcW w:w="869" w:type="dxa"/>
                  <w:noWrap w:val="0"/>
                  <w:vAlign w:val="center"/>
                </w:tcPr>
                <w:p>
                  <w:pPr>
                    <w:pStyle w:val="55"/>
                    <w:jc w:val="both"/>
                    <w:rPr>
                      <w:rFonts w:hint="eastAsia"/>
                    </w:rPr>
                  </w:pPr>
                  <w:r>
                    <w:rPr>
                      <w:rFonts w:hint="eastAsia"/>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1" w:hRule="atLeast"/>
                <w:jc w:val="center"/>
              </w:trPr>
              <w:tc>
                <w:tcPr>
                  <w:tcW w:w="694" w:type="dxa"/>
                  <w:noWrap w:val="0"/>
                  <w:vAlign w:val="center"/>
                </w:tcPr>
                <w:p>
                  <w:pPr>
                    <w:pStyle w:val="55"/>
                    <w:rPr>
                      <w:rFonts w:hint="eastAsia"/>
                    </w:rPr>
                  </w:pPr>
                  <w:r>
                    <w:rPr>
                      <w:rFonts w:hint="eastAsia"/>
                    </w:rPr>
                    <w:t>依法加强管理</w:t>
                  </w:r>
                </w:p>
              </w:tc>
              <w:tc>
                <w:tcPr>
                  <w:tcW w:w="4665" w:type="dxa"/>
                  <w:noWrap w:val="0"/>
                  <w:vAlign w:val="center"/>
                </w:tcPr>
                <w:p>
                  <w:pPr>
                    <w:pStyle w:val="55"/>
                    <w:jc w:val="both"/>
                    <w:rPr>
                      <w:rFonts w:hint="eastAsia"/>
                    </w:rPr>
                  </w:pPr>
                  <w:r>
                    <w:rPr>
                      <w:rFonts w:hint="eastAsia"/>
                    </w:rPr>
                    <w:t>加强沟通配合，建立部门协调机制，在规划布局、工艺装备、产品质量、污染防治、节能降耗、节水减排、水土保持、综合利用、安全生产和履行企业社会责任等方面形成工作合力，推动机制砂石行业加快结构调整和转型升级。强化要素保障，支持大型骨干项目建设。运用综合标准依法淘汰排放、能耗、水耗、质量、安全等不达标的落后产能。</w:t>
                  </w:r>
                </w:p>
              </w:tc>
              <w:tc>
                <w:tcPr>
                  <w:tcW w:w="1590" w:type="dxa"/>
                  <w:noWrap w:val="0"/>
                  <w:vAlign w:val="center"/>
                </w:tcPr>
                <w:p>
                  <w:pPr>
                    <w:pStyle w:val="55"/>
                    <w:jc w:val="both"/>
                    <w:rPr>
                      <w:rFonts w:hint="eastAsia"/>
                    </w:rPr>
                  </w:pPr>
                  <w:r>
                    <w:rPr>
                      <w:rFonts w:hint="eastAsia"/>
                    </w:rPr>
                    <w:t>根据《部分工业行业淘汰落后生产工艺装备和产品指导目录（2010年本）》可知，本项目所选设备不属于工业行业淘汰落后生产工艺装备，同时生产工艺采用国内通用工艺。</w:t>
                  </w:r>
                </w:p>
              </w:tc>
              <w:tc>
                <w:tcPr>
                  <w:tcW w:w="869" w:type="dxa"/>
                  <w:noWrap w:val="0"/>
                  <w:vAlign w:val="center"/>
                </w:tcPr>
                <w:p>
                  <w:pPr>
                    <w:pStyle w:val="55"/>
                    <w:jc w:val="both"/>
                    <w:rPr>
                      <w:rFonts w:hint="eastAsia"/>
                    </w:rPr>
                  </w:pPr>
                  <w:r>
                    <w:rPr>
                      <w:rFonts w:hint="eastAsia"/>
                    </w:rPr>
                    <w:t>符合</w:t>
                  </w:r>
                </w:p>
              </w:tc>
            </w:tr>
          </w:tbl>
          <w:p>
            <w:pPr>
              <w:wordWrap w:val="0"/>
              <w:spacing w:before="144" w:beforeLines="60" w:line="360" w:lineRule="auto"/>
              <w:ind w:firstLine="480" w:firstLineChars="200"/>
              <w:rPr>
                <w:rFonts w:hint="eastAsia"/>
                <w:sz w:val="24"/>
                <w:lang w:val="zh-CN"/>
              </w:rPr>
            </w:pPr>
            <w:r>
              <w:rPr>
                <w:rFonts w:hint="eastAsia"/>
                <w:sz w:val="24"/>
              </w:rPr>
              <w:t>本项目建设内容符合《十部门关于推荐机制砂石行业高质量发展的若干意见》（工信部联原〔2019〕239号）相关规范要求。</w:t>
            </w:r>
          </w:p>
          <w:p>
            <w:pPr>
              <w:keepNext/>
              <w:keepLines/>
              <w:wordWrap w:val="0"/>
              <w:spacing w:before="260" w:after="260"/>
              <w:outlineLvl w:val="2"/>
              <w:rPr>
                <w:rFonts w:hint="eastAsia"/>
                <w:b/>
                <w:bCs/>
                <w:sz w:val="28"/>
                <w:szCs w:val="32"/>
                <w:lang w:val="zh-CN"/>
              </w:rPr>
            </w:pPr>
            <w:r>
              <w:rPr>
                <w:rFonts w:hint="eastAsia"/>
                <w:b/>
                <w:bCs/>
                <w:sz w:val="28"/>
                <w:szCs w:val="32"/>
              </w:rPr>
              <w:t>1.3.5</w:t>
            </w:r>
            <w:r>
              <w:rPr>
                <w:rFonts w:hint="eastAsia"/>
                <w:b/>
                <w:bCs/>
                <w:sz w:val="28"/>
                <w:szCs w:val="32"/>
                <w:lang w:val="zh-CN"/>
              </w:rPr>
              <w:t>与</w:t>
            </w:r>
            <w:r>
              <w:rPr>
                <w:rFonts w:hint="eastAsia"/>
                <w:b/>
                <w:bCs/>
                <w:sz w:val="28"/>
                <w:szCs w:val="32"/>
              </w:rPr>
              <w:t>《湘西自治州露天矿山开采加工专项整治行动方案》</w:t>
            </w:r>
            <w:r>
              <w:rPr>
                <w:rFonts w:hint="eastAsia"/>
                <w:b/>
                <w:bCs/>
                <w:sz w:val="28"/>
                <w:szCs w:val="32"/>
                <w:lang w:val="zh-CN"/>
              </w:rPr>
              <w:t>符合性分析</w:t>
            </w:r>
          </w:p>
          <w:p>
            <w:pPr>
              <w:widowControl/>
              <w:wordWrap w:val="0"/>
              <w:spacing w:line="360" w:lineRule="auto"/>
              <w:ind w:firstLine="480" w:firstLineChars="200"/>
              <w:rPr>
                <w:rFonts w:hint="eastAsia"/>
                <w:sz w:val="24"/>
              </w:rPr>
            </w:pPr>
            <w:r>
              <w:rPr>
                <w:rFonts w:hint="eastAsia"/>
                <w:sz w:val="24"/>
              </w:rPr>
              <w:t>项目与《湘西自治州露天矿山开采加工专项整治行动方案》、《露天矿山开采加工环保整治工作指导意见》对照分析结果见下表。</w:t>
            </w:r>
          </w:p>
          <w:p>
            <w:pPr>
              <w:pStyle w:val="72"/>
              <w:spacing w:before="144" w:after="144"/>
            </w:pPr>
            <w:r>
              <w:t>表</w:t>
            </w:r>
            <w:r>
              <w:rPr>
                <w:rFonts w:hint="eastAsia"/>
              </w:rPr>
              <w:t>1.3-5：</w:t>
            </w:r>
            <w:r>
              <w:t>项目</w:t>
            </w:r>
            <w:r>
              <w:rPr>
                <w:rFonts w:hint="eastAsia"/>
              </w:rPr>
              <w:t>与相关行动方案、指导意见对照一览表</w:t>
            </w:r>
          </w:p>
          <w:tbl>
            <w:tblPr>
              <w:tblStyle w:val="24"/>
              <w:tblW w:w="79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536"/>
              <w:gridCol w:w="2862"/>
              <w:gridCol w:w="7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4" w:type="dxa"/>
                  <w:noWrap w:val="0"/>
                  <w:vAlign w:val="center"/>
                </w:tcPr>
                <w:p>
                  <w:pPr>
                    <w:pStyle w:val="55"/>
                  </w:pPr>
                  <w:r>
                    <w:rPr>
                      <w:rFonts w:hint="eastAsia"/>
                    </w:rPr>
                    <w:t>项目</w:t>
                  </w:r>
                </w:p>
              </w:tc>
              <w:tc>
                <w:tcPr>
                  <w:tcW w:w="3536" w:type="dxa"/>
                  <w:noWrap w:val="0"/>
                  <w:vAlign w:val="center"/>
                </w:tcPr>
                <w:p>
                  <w:pPr>
                    <w:pStyle w:val="55"/>
                  </w:pPr>
                  <w:r>
                    <w:rPr>
                      <w:rFonts w:hint="eastAsia"/>
                    </w:rPr>
                    <w:t>行动方案、指导意见要求</w:t>
                  </w:r>
                </w:p>
              </w:tc>
              <w:tc>
                <w:tcPr>
                  <w:tcW w:w="2862" w:type="dxa"/>
                  <w:noWrap w:val="0"/>
                  <w:vAlign w:val="center"/>
                </w:tcPr>
                <w:p>
                  <w:pPr>
                    <w:pStyle w:val="55"/>
                  </w:pPr>
                  <w:r>
                    <w:rPr>
                      <w:rFonts w:hint="eastAsia"/>
                    </w:rPr>
                    <w:t>本环评要求</w:t>
                  </w:r>
                </w:p>
              </w:tc>
              <w:tc>
                <w:tcPr>
                  <w:tcW w:w="775" w:type="dxa"/>
                  <w:noWrap w:val="0"/>
                  <w:vAlign w:val="center"/>
                </w:tcPr>
                <w:p>
                  <w:pPr>
                    <w:pStyle w:val="55"/>
                  </w:pPr>
                  <w:r>
                    <w:rPr>
                      <w:rFonts w:hint="eastAsia"/>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noWrap w:val="0"/>
                  <w:vAlign w:val="center"/>
                </w:tcPr>
                <w:p>
                  <w:pPr>
                    <w:pStyle w:val="55"/>
                  </w:pPr>
                  <w:r>
                    <w:rPr>
                      <w:rFonts w:hint="eastAsia"/>
                    </w:rPr>
                    <w:t>大气污染防治</w:t>
                  </w:r>
                </w:p>
              </w:tc>
              <w:tc>
                <w:tcPr>
                  <w:tcW w:w="3536" w:type="dxa"/>
                  <w:noWrap w:val="0"/>
                  <w:vAlign w:val="center"/>
                </w:tcPr>
                <w:p>
                  <w:pPr>
                    <w:pStyle w:val="55"/>
                    <w:jc w:val="both"/>
                  </w:pPr>
                  <w:r>
                    <w:rPr>
                      <w:rFonts w:hint="eastAsia"/>
                    </w:rPr>
                    <w:t>露天矿山作业中所用设备应配备粉尘收集或降尘设施；打砂场（含砂石出料口、产品库房）、石材加工企业实行厂区封闭管理；堆场采取“三防”（防扬散、防流失、防渗漏）措施，破碎筛分等过程应配备粉尘收集或降尘设施，打砂场厂区内砂石输送采取密闭履带输送，确保排放达标；运输道路应硬化并采取洒水降尘措施；石料及产品运输车辆出入口设置车辆冲洗系统，落实车辆运输密闭装载管理措施，防止运输过程中出现</w:t>
                  </w:r>
                  <w:r>
                    <w:rPr>
                      <w:rFonts w:hint="eastAsia"/>
                      <w:lang w:eastAsia="zh-CN"/>
                    </w:rPr>
                    <w:t>泄漏</w:t>
                  </w:r>
                  <w:r>
                    <w:rPr>
                      <w:rFonts w:hint="eastAsia"/>
                    </w:rPr>
                    <w:t>、散落及飞扬。</w:t>
                  </w:r>
                </w:p>
              </w:tc>
              <w:tc>
                <w:tcPr>
                  <w:tcW w:w="2862" w:type="dxa"/>
                  <w:noWrap w:val="0"/>
                  <w:vAlign w:val="center"/>
                </w:tcPr>
                <w:p>
                  <w:pPr>
                    <w:pStyle w:val="55"/>
                    <w:jc w:val="both"/>
                  </w:pPr>
                  <w:r>
                    <w:rPr>
                      <w:rFonts w:hint="eastAsia"/>
                    </w:rPr>
                    <w:t>本项目不涉及采砂、采矿；根据项目实际建设情况，生产区已实行封闭管理，各生产设备均配备喷水系统用于降尘，原料堆场、一般固废堆存场及生产区应设置截排水沟与初期雨水池连接；运输道路采取硬化及洒水措施，并在车辆出入口设置U型洗车池；对车辆运输人员进行培训，严格按照车辆密闭装载进行运输。</w:t>
                  </w:r>
                </w:p>
              </w:tc>
              <w:tc>
                <w:tcPr>
                  <w:tcW w:w="775" w:type="dxa"/>
                  <w:noWrap w:val="0"/>
                  <w:vAlign w:val="center"/>
                </w:tcPr>
                <w:p>
                  <w:pPr>
                    <w:pStyle w:val="55"/>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824" w:type="dxa"/>
                  <w:noWrap w:val="0"/>
                  <w:vAlign w:val="center"/>
                </w:tcPr>
                <w:p>
                  <w:pPr>
                    <w:pStyle w:val="55"/>
                  </w:pPr>
                  <w:r>
                    <w:rPr>
                      <w:rFonts w:hint="eastAsia"/>
                    </w:rPr>
                    <w:t>水污染防治</w:t>
                  </w:r>
                </w:p>
              </w:tc>
              <w:tc>
                <w:tcPr>
                  <w:tcW w:w="3536" w:type="dxa"/>
                  <w:noWrap w:val="0"/>
                  <w:vAlign w:val="center"/>
                </w:tcPr>
                <w:p>
                  <w:pPr>
                    <w:pStyle w:val="55"/>
                    <w:jc w:val="both"/>
                    <w:rPr>
                      <w:rFonts w:hint="eastAsia" w:eastAsia="宋体"/>
                      <w:lang w:eastAsia="zh-CN"/>
                    </w:rPr>
                  </w:pPr>
                  <w:r>
                    <w:rPr>
                      <w:rFonts w:hint="eastAsia"/>
                    </w:rPr>
                    <w:t>废水实现零排水污染防治放，不得设置废水排放口；在项目周边设置导洪沟，项目场区（厂区）内设置截排水沟﹔场区（厂区）初期雨水进入沉淀池经沉淀后回用于生产</w:t>
                  </w:r>
                  <w:r>
                    <w:rPr>
                      <w:rFonts w:hint="eastAsia"/>
                      <w:lang w:eastAsia="zh-CN"/>
                    </w:rPr>
                    <w:t>。</w:t>
                  </w:r>
                </w:p>
              </w:tc>
              <w:tc>
                <w:tcPr>
                  <w:tcW w:w="2862" w:type="dxa"/>
                  <w:noWrap w:val="0"/>
                  <w:vAlign w:val="center"/>
                </w:tcPr>
                <w:p>
                  <w:pPr>
                    <w:pStyle w:val="55"/>
                    <w:jc w:val="both"/>
                    <w:rPr>
                      <w:rFonts w:hint="eastAsia" w:eastAsia="宋体"/>
                      <w:lang w:eastAsia="zh-CN"/>
                    </w:rPr>
                  </w:pPr>
                  <w:r>
                    <w:rPr>
                      <w:rFonts w:hint="eastAsia"/>
                    </w:rPr>
                    <w:t>项目生产废水回用，无废水排放口；厂区周边设置</w:t>
                  </w:r>
                  <w:r>
                    <w:rPr>
                      <w:rFonts w:hint="eastAsia"/>
                      <w:lang w:eastAsia="zh-CN"/>
                    </w:rPr>
                    <w:t>截</w:t>
                  </w:r>
                  <w:r>
                    <w:rPr>
                      <w:rFonts w:hint="eastAsia"/>
                    </w:rPr>
                    <w:t>洪沟，厂区内设置截排水沟与初期雨水池相连，初期雨水池设置切换阀门，厂区初期雨水进入初期雨水池经沉淀后回用于生产，后期雨水直接外排</w:t>
                  </w:r>
                  <w:r>
                    <w:rPr>
                      <w:rFonts w:hint="eastAsia"/>
                      <w:lang w:eastAsia="zh-CN"/>
                    </w:rPr>
                    <w:t>。</w:t>
                  </w:r>
                </w:p>
              </w:tc>
              <w:tc>
                <w:tcPr>
                  <w:tcW w:w="775" w:type="dxa"/>
                  <w:noWrap w:val="0"/>
                  <w:vAlign w:val="center"/>
                </w:tcPr>
                <w:p>
                  <w:pPr>
                    <w:pStyle w:val="55"/>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noWrap w:val="0"/>
                  <w:vAlign w:val="center"/>
                </w:tcPr>
                <w:p>
                  <w:pPr>
                    <w:pStyle w:val="55"/>
                  </w:pPr>
                  <w:r>
                    <w:rPr>
                      <w:rFonts w:hint="eastAsia"/>
                    </w:rPr>
                    <w:t>固体废物污染防治</w:t>
                  </w:r>
                </w:p>
              </w:tc>
              <w:tc>
                <w:tcPr>
                  <w:tcW w:w="3536" w:type="dxa"/>
                  <w:noWrap w:val="0"/>
                  <w:vAlign w:val="center"/>
                </w:tcPr>
                <w:p>
                  <w:pPr>
                    <w:pStyle w:val="55"/>
                    <w:jc w:val="both"/>
                    <w:rPr>
                      <w:rFonts w:hint="eastAsia" w:eastAsia="宋体"/>
                      <w:lang w:eastAsia="zh-CN"/>
                    </w:rPr>
                  </w:pPr>
                  <w:r>
                    <w:rPr>
                      <w:rFonts w:hint="eastAsia"/>
                    </w:rPr>
                    <w:t>科学设置堆场，规范废石、渣土堆放，完善排水系统，对已停用的堆场应立即开展植被恢复，对其它具备植被恢复条件的应及时开展植被恢复</w:t>
                  </w:r>
                  <w:r>
                    <w:rPr>
                      <w:rFonts w:hint="eastAsia"/>
                      <w:lang w:eastAsia="zh-CN"/>
                    </w:rPr>
                    <w:t>。</w:t>
                  </w:r>
                </w:p>
              </w:tc>
              <w:tc>
                <w:tcPr>
                  <w:tcW w:w="2862" w:type="dxa"/>
                  <w:noWrap w:val="0"/>
                  <w:vAlign w:val="center"/>
                </w:tcPr>
                <w:p>
                  <w:pPr>
                    <w:pStyle w:val="55"/>
                    <w:jc w:val="both"/>
                    <w:rPr>
                      <w:rFonts w:hint="eastAsia" w:eastAsia="宋体"/>
                      <w:lang w:eastAsia="zh-CN"/>
                    </w:rPr>
                  </w:pPr>
                  <w:r>
                    <w:rPr>
                      <w:rFonts w:hint="eastAsia"/>
                      <w:lang w:eastAsia="zh-CN"/>
                    </w:rPr>
                    <w:t>项目</w:t>
                  </w:r>
                  <w:r>
                    <w:rPr>
                      <w:rFonts w:hint="eastAsia"/>
                    </w:rPr>
                    <w:t>原料堆场进行覆盖且定期洒水降尘，原料堆场、一般固废堆存场及生产区设置截排水沟连接初期雨水池，规范化建设一般固废堆存场，采取三防措施</w:t>
                  </w:r>
                  <w:r>
                    <w:rPr>
                      <w:rFonts w:hint="eastAsia"/>
                      <w:lang w:eastAsia="zh-CN"/>
                    </w:rPr>
                    <w:t>。</w:t>
                  </w:r>
                </w:p>
              </w:tc>
              <w:tc>
                <w:tcPr>
                  <w:tcW w:w="775" w:type="dxa"/>
                  <w:noWrap w:val="0"/>
                  <w:vAlign w:val="center"/>
                </w:tcPr>
                <w:p>
                  <w:pPr>
                    <w:pStyle w:val="55"/>
                  </w:pPr>
                  <w:r>
                    <w:rPr>
                      <w:rFonts w:hint="eastAsi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noWrap w:val="0"/>
                  <w:vAlign w:val="center"/>
                </w:tcPr>
                <w:p>
                  <w:pPr>
                    <w:pStyle w:val="55"/>
                  </w:pPr>
                  <w:r>
                    <w:rPr>
                      <w:rFonts w:hint="eastAsia"/>
                    </w:rPr>
                    <w:t>噪声污染防治</w:t>
                  </w:r>
                </w:p>
              </w:tc>
              <w:tc>
                <w:tcPr>
                  <w:tcW w:w="3536" w:type="dxa"/>
                  <w:noWrap w:val="0"/>
                  <w:vAlign w:val="center"/>
                </w:tcPr>
                <w:p>
                  <w:pPr>
                    <w:pStyle w:val="55"/>
                    <w:rPr>
                      <w:rFonts w:hint="eastAsia" w:eastAsia="宋体"/>
                      <w:lang w:eastAsia="zh-CN"/>
                    </w:rPr>
                  </w:pPr>
                  <w:r>
                    <w:rPr>
                      <w:rFonts w:hint="eastAsia"/>
                    </w:rPr>
                    <w:t>打砂场、石材加工企业应采用隔声、减振、消音措施，确保噪声厂界达标排放</w:t>
                  </w:r>
                  <w:r>
                    <w:rPr>
                      <w:rFonts w:hint="eastAsia"/>
                      <w:lang w:eastAsia="zh-CN"/>
                    </w:rPr>
                    <w:t>。</w:t>
                  </w:r>
                </w:p>
              </w:tc>
              <w:tc>
                <w:tcPr>
                  <w:tcW w:w="2862" w:type="dxa"/>
                  <w:noWrap w:val="0"/>
                  <w:vAlign w:val="center"/>
                </w:tcPr>
                <w:p>
                  <w:pPr>
                    <w:pStyle w:val="55"/>
                    <w:jc w:val="both"/>
                    <w:rPr>
                      <w:rFonts w:hint="eastAsia" w:eastAsia="宋体"/>
                      <w:lang w:eastAsia="zh-CN"/>
                    </w:rPr>
                  </w:pPr>
                  <w:r>
                    <w:rPr>
                      <w:rFonts w:hint="eastAsia"/>
                    </w:rPr>
                    <w:t>本项目设备采用隔声、减振、消音措施，生产区已密闭，经预测，厂区生产区噪声厂界贡献值达标</w:t>
                  </w:r>
                  <w:r>
                    <w:rPr>
                      <w:rFonts w:hint="eastAsia"/>
                      <w:lang w:eastAsia="zh-CN"/>
                    </w:rPr>
                    <w:t>。</w:t>
                  </w:r>
                </w:p>
              </w:tc>
              <w:tc>
                <w:tcPr>
                  <w:tcW w:w="775" w:type="dxa"/>
                  <w:noWrap w:val="0"/>
                  <w:vAlign w:val="center"/>
                </w:tcPr>
                <w:p>
                  <w:pPr>
                    <w:pStyle w:val="55"/>
                  </w:pPr>
                  <w:r>
                    <w:rPr>
                      <w:rFonts w:hint="eastAsia"/>
                    </w:rPr>
                    <w:t>符合</w:t>
                  </w:r>
                </w:p>
              </w:tc>
            </w:tr>
          </w:tbl>
          <w:p>
            <w:pPr>
              <w:wordWrap w:val="0"/>
              <w:spacing w:before="144" w:beforeLines="60" w:line="360" w:lineRule="auto"/>
              <w:ind w:firstLine="480" w:firstLineChars="200"/>
              <w:rPr>
                <w:sz w:val="24"/>
                <w:lang w:val="zh-CN"/>
              </w:rPr>
            </w:pPr>
            <w:r>
              <w:rPr>
                <w:rFonts w:hint="eastAsia"/>
                <w:sz w:val="24"/>
              </w:rPr>
              <w:t>项目实际建设情况及本环评针对大气污染防治、水污染防治、固体废物污染防治、噪声污染防治提出的整改措施符合《湘西自治州露天矿山开采加工专项整治行动方案》中相关要求。</w:t>
            </w:r>
          </w:p>
          <w:p>
            <w:pPr>
              <w:keepNext/>
              <w:keepLines/>
              <w:wordWrap w:val="0"/>
              <w:spacing w:before="260" w:after="260"/>
              <w:outlineLvl w:val="2"/>
              <w:rPr>
                <w:rFonts w:hint="eastAsia" w:ascii="Times New Roman" w:hAnsi="Times New Roman" w:eastAsia="宋体" w:cs="Times New Roman"/>
                <w:b/>
                <w:bCs/>
                <w:sz w:val="28"/>
                <w:szCs w:val="32"/>
                <w:u w:val="single"/>
                <w:lang w:val="en-US" w:eastAsia="zh-CN"/>
              </w:rPr>
            </w:pPr>
            <w:r>
              <w:rPr>
                <w:rFonts w:hint="eastAsia"/>
                <w:b/>
                <w:bCs/>
                <w:sz w:val="28"/>
                <w:szCs w:val="32"/>
                <w:u w:val="single"/>
              </w:rPr>
              <w:t>1.3.6</w:t>
            </w:r>
            <w:r>
              <w:rPr>
                <w:rFonts w:hint="eastAsia" w:ascii="Times New Roman" w:hAnsi="Times New Roman" w:eastAsia="宋体" w:cs="Times New Roman"/>
                <w:b/>
                <w:bCs/>
                <w:sz w:val="28"/>
                <w:szCs w:val="32"/>
                <w:u w:val="single"/>
                <w:lang w:val="en-US" w:eastAsia="zh-CN"/>
              </w:rPr>
              <w:t>项目与《花垣县露天矿山开采、砂石加工专项整治行动方案》的符合性分析</w:t>
            </w:r>
          </w:p>
          <w:p>
            <w:pPr>
              <w:widowControl/>
              <w:wordWrap w:val="0"/>
              <w:spacing w:line="360" w:lineRule="auto"/>
              <w:ind w:firstLine="480" w:firstLineChars="200"/>
              <w:rPr>
                <w:sz w:val="24"/>
                <w:u w:val="single"/>
              </w:rPr>
            </w:pPr>
            <w:r>
              <w:rPr>
                <w:sz w:val="24"/>
                <w:u w:val="single"/>
              </w:rPr>
              <w:t>企业与《</w:t>
            </w:r>
            <w:r>
              <w:rPr>
                <w:rFonts w:hint="eastAsia"/>
                <w:sz w:val="24"/>
                <w:u w:val="single"/>
              </w:rPr>
              <w:t>花垣县露天矿山开采、砂石加工专项整治行动方案</w:t>
            </w:r>
            <w:r>
              <w:rPr>
                <w:sz w:val="24"/>
                <w:u w:val="single"/>
              </w:rPr>
              <w:t>》符合性分析详见表</w:t>
            </w:r>
            <w:r>
              <w:rPr>
                <w:rFonts w:hint="eastAsia"/>
                <w:sz w:val="24"/>
                <w:u w:val="single"/>
                <w:lang w:val="en-US" w:eastAsia="zh-CN"/>
              </w:rPr>
              <w:t>1.3-6</w:t>
            </w:r>
            <w:r>
              <w:rPr>
                <w:sz w:val="24"/>
                <w:u w:val="single"/>
              </w:rPr>
              <w:t>。</w:t>
            </w:r>
          </w:p>
          <w:p>
            <w:pPr>
              <w:pStyle w:val="72"/>
              <w:spacing w:before="144" w:after="144"/>
              <w:rPr>
                <w:u w:val="single"/>
                <w:lang w:val="zh-CN"/>
              </w:rPr>
            </w:pPr>
            <w:r>
              <w:rPr>
                <w:u w:val="single"/>
                <w:lang w:val="zh-CN"/>
              </w:rPr>
              <w:t>表</w:t>
            </w:r>
            <w:r>
              <w:rPr>
                <w:rFonts w:hint="eastAsia"/>
                <w:u w:val="single"/>
              </w:rPr>
              <w:t>1.3-6：</w:t>
            </w:r>
            <w:r>
              <w:rPr>
                <w:u w:val="single"/>
                <w:lang w:val="zh-CN"/>
              </w:rPr>
              <w:t>与《</w:t>
            </w:r>
            <w:r>
              <w:rPr>
                <w:rFonts w:hint="eastAsia"/>
                <w:u w:val="single"/>
                <w:lang w:val="zh-CN"/>
              </w:rPr>
              <w:t>花垣县露天矿山开采、砂石加工专项整治行动方案</w:t>
            </w:r>
            <w:r>
              <w:rPr>
                <w:u w:val="single"/>
                <w:lang w:val="zh-CN"/>
              </w:rPr>
              <w:t>》符合性分析一览表</w:t>
            </w:r>
          </w:p>
          <w:tbl>
            <w:tblPr>
              <w:tblStyle w:val="24"/>
              <w:tblW w:w="79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4"/>
              <w:gridCol w:w="3991"/>
              <w:gridCol w:w="2702"/>
              <w:gridCol w:w="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862" w:type="pct"/>
                  <w:gridSpan w:val="2"/>
                  <w:noWrap w:val="0"/>
                  <w:vAlign w:val="center"/>
                </w:tcPr>
                <w:p>
                  <w:pPr>
                    <w:pStyle w:val="55"/>
                    <w:rPr>
                      <w:u w:val="single"/>
                    </w:rPr>
                  </w:pPr>
                  <w:r>
                    <w:rPr>
                      <w:u w:val="single"/>
                    </w:rPr>
                    <w:t>《</w:t>
                  </w:r>
                  <w:r>
                    <w:rPr>
                      <w:rFonts w:hint="eastAsia"/>
                      <w:u w:val="single"/>
                    </w:rPr>
                    <w:t>花垣县露天矿山开采、砂石加工专项整治行动方案</w:t>
                  </w:r>
                  <w:r>
                    <w:rPr>
                      <w:u w:val="single"/>
                    </w:rPr>
                    <w:t>》要求</w:t>
                  </w:r>
                </w:p>
              </w:tc>
              <w:tc>
                <w:tcPr>
                  <w:tcW w:w="1701" w:type="pct"/>
                  <w:noWrap w:val="0"/>
                  <w:vAlign w:val="center"/>
                </w:tcPr>
                <w:p>
                  <w:pPr>
                    <w:pStyle w:val="55"/>
                    <w:rPr>
                      <w:u w:val="single"/>
                    </w:rPr>
                  </w:pPr>
                  <w:r>
                    <w:rPr>
                      <w:u w:val="single"/>
                    </w:rPr>
                    <w:t>本项目情况</w:t>
                  </w:r>
                </w:p>
              </w:tc>
              <w:tc>
                <w:tcPr>
                  <w:tcW w:w="435" w:type="pct"/>
                  <w:noWrap w:val="0"/>
                  <w:vAlign w:val="center"/>
                </w:tcPr>
                <w:p>
                  <w:pPr>
                    <w:pStyle w:val="55"/>
                    <w:rPr>
                      <w:u w:val="single"/>
                    </w:rPr>
                  </w:pPr>
                  <w:r>
                    <w:rPr>
                      <w:u w:val="singl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349" w:type="pct"/>
                  <w:vMerge w:val="restart"/>
                  <w:noWrap w:val="0"/>
                  <w:vAlign w:val="center"/>
                </w:tcPr>
                <w:p>
                  <w:pPr>
                    <w:pStyle w:val="55"/>
                    <w:rPr>
                      <w:u w:val="single"/>
                    </w:rPr>
                  </w:pPr>
                  <w:r>
                    <w:rPr>
                      <w:u w:val="single"/>
                    </w:rPr>
                    <w:t>依法分类整治要求</w:t>
                  </w:r>
                </w:p>
              </w:tc>
              <w:tc>
                <w:tcPr>
                  <w:tcW w:w="2513" w:type="pct"/>
                  <w:noWrap w:val="0"/>
                  <w:vAlign w:val="center"/>
                </w:tcPr>
                <w:p>
                  <w:pPr>
                    <w:pStyle w:val="55"/>
                    <w:jc w:val="both"/>
                    <w:rPr>
                      <w:u w:val="single"/>
                    </w:rPr>
                  </w:pPr>
                  <w:r>
                    <w:rPr>
                      <w:rFonts w:hint="eastAsia"/>
                      <w:u w:val="single"/>
                    </w:rPr>
                    <w:t>大气污染防治。露天矿山作业中所用设备应配备粉尘收集或洒水降尘设施，严禁干法生产；打砂场（含砂石出料口、产品库房）实现厂区封闭管理；堆场采取“三防”（防扬散、防流失、防渗漏）措施，砂石破碎筛分等过程应配备粉尘收集或淋水、洒水降尘设施，打砂场厂区砂石输送采取密闭履带输送，防粉尘扬散，运输道路应硬化并采取洒水降尘措施；砂石及产品运输车辆出入口设置车辆冲洗设施，冲洗废水不得外排。原料及产品运输车辆密闭装载，防止运输过程中出现泄漏、散落及飞扬。</w:t>
                  </w:r>
                </w:p>
              </w:tc>
              <w:tc>
                <w:tcPr>
                  <w:tcW w:w="1701" w:type="pct"/>
                  <w:noWrap w:val="0"/>
                  <w:vAlign w:val="center"/>
                </w:tcPr>
                <w:p>
                  <w:pPr>
                    <w:pStyle w:val="55"/>
                    <w:jc w:val="both"/>
                    <w:rPr>
                      <w:u w:val="single"/>
                    </w:rPr>
                  </w:pPr>
                  <w:r>
                    <w:rPr>
                      <w:rFonts w:hint="eastAsia"/>
                      <w:u w:val="single"/>
                    </w:rPr>
                    <w:t>本项目不涉及矿山开采，生产车间及产品库房采用密闭厂房，破碎筛分过程均密闭，定期对厂区路面进行洒水降尘，砂石及产品运输车辆出入口设置车辆冲洗设施，冲洗废水经沉淀池沉淀后用于砂水降尘，不外排。原料及产品运输车辆密闭装载。</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8" w:hRule="atLeast"/>
              </w:trPr>
              <w:tc>
                <w:tcPr>
                  <w:tcW w:w="349" w:type="pct"/>
                  <w:vMerge w:val="continue"/>
                  <w:noWrap w:val="0"/>
                  <w:vAlign w:val="center"/>
                </w:tcPr>
                <w:p>
                  <w:pPr>
                    <w:pStyle w:val="55"/>
                    <w:rPr>
                      <w:u w:val="single"/>
                    </w:rPr>
                  </w:pPr>
                </w:p>
              </w:tc>
              <w:tc>
                <w:tcPr>
                  <w:tcW w:w="2513" w:type="pct"/>
                  <w:noWrap w:val="0"/>
                  <w:vAlign w:val="center"/>
                </w:tcPr>
                <w:p>
                  <w:pPr>
                    <w:pStyle w:val="55"/>
                    <w:rPr>
                      <w:u w:val="single"/>
                    </w:rPr>
                  </w:pPr>
                  <w:r>
                    <w:rPr>
                      <w:rFonts w:hint="eastAsia"/>
                      <w:u w:val="single"/>
                    </w:rPr>
                    <w:t>水污染防治。严格落实雨污分流措施，在项目周边设置导洪沟，场区（厂区）内设置截排水沟，场区（厂区）外地表雨水不得进入场内（厂内）；建设生产废水收集、沉淀池，生产废水沉淀处理后循环使用零排放，不得设置废水排放口；场区（厂区）初期雨水进入沉淀池经沉淀后回用于生产。</w:t>
                  </w:r>
                </w:p>
              </w:tc>
              <w:tc>
                <w:tcPr>
                  <w:tcW w:w="1701" w:type="pct"/>
                  <w:noWrap w:val="0"/>
                  <w:vAlign w:val="center"/>
                </w:tcPr>
                <w:p>
                  <w:pPr>
                    <w:pStyle w:val="55"/>
                    <w:jc w:val="both"/>
                    <w:rPr>
                      <w:u w:val="single"/>
                    </w:rPr>
                  </w:pPr>
                  <w:r>
                    <w:rPr>
                      <w:rFonts w:hint="eastAsia"/>
                      <w:u w:val="single"/>
                    </w:rPr>
                    <w:t>目前实际建设中生活污水经化粪池处理后用作农肥，生产废水经沉淀池收集处理后回用于生产不外排。初期雨水进入</w:t>
                  </w:r>
                  <w:r>
                    <w:rPr>
                      <w:rFonts w:hint="eastAsia"/>
                      <w:u w:val="single"/>
                      <w:lang w:eastAsia="zh-CN"/>
                    </w:rPr>
                    <w:t>雨水收集池</w:t>
                  </w:r>
                  <w:r>
                    <w:rPr>
                      <w:rFonts w:hint="eastAsia"/>
                      <w:u w:val="single"/>
                    </w:rPr>
                    <w:t>后回用。</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4" w:hRule="atLeast"/>
              </w:trPr>
              <w:tc>
                <w:tcPr>
                  <w:tcW w:w="349" w:type="pct"/>
                  <w:vMerge w:val="continue"/>
                  <w:noWrap w:val="0"/>
                  <w:vAlign w:val="center"/>
                </w:tcPr>
                <w:p>
                  <w:pPr>
                    <w:pStyle w:val="55"/>
                    <w:rPr>
                      <w:u w:val="single"/>
                    </w:rPr>
                  </w:pPr>
                </w:p>
              </w:tc>
              <w:tc>
                <w:tcPr>
                  <w:tcW w:w="2513" w:type="pct"/>
                  <w:noWrap w:val="0"/>
                  <w:vAlign w:val="center"/>
                </w:tcPr>
                <w:p>
                  <w:pPr>
                    <w:pStyle w:val="55"/>
                    <w:rPr>
                      <w:u w:val="single"/>
                    </w:rPr>
                  </w:pPr>
                  <w:r>
                    <w:rPr>
                      <w:rFonts w:hint="eastAsia"/>
                      <w:u w:val="single"/>
                    </w:rPr>
                    <w:t>固体废物污染防治。规范建设排土场及废石堆场，应符合《一般工业固体废物贮存、处置场污染控制标准》（GB18599）要求，建设挡土墙、周围设置完整的排水系统、截流系统、防洪系统防止水土流失。排土场或废石堆场应及时封场，具备植被恢复条件的应及时开展植被恢复。沉淀池沉淀渣应及时清理处置，以确保沉淀池有效容积。</w:t>
                  </w:r>
                </w:p>
              </w:tc>
              <w:tc>
                <w:tcPr>
                  <w:tcW w:w="1701" w:type="pct"/>
                  <w:noWrap w:val="0"/>
                  <w:vAlign w:val="center"/>
                </w:tcPr>
                <w:p>
                  <w:pPr>
                    <w:pStyle w:val="55"/>
                    <w:jc w:val="both"/>
                    <w:rPr>
                      <w:rFonts w:hint="eastAsia" w:eastAsia="宋体"/>
                      <w:u w:val="single"/>
                      <w:lang w:eastAsia="zh-CN"/>
                    </w:rPr>
                  </w:pPr>
                  <w:r>
                    <w:rPr>
                      <w:rFonts w:hint="eastAsia"/>
                      <w:u w:val="single"/>
                    </w:rPr>
                    <w:t>本项目原料为</w:t>
                  </w:r>
                  <w:r>
                    <w:rPr>
                      <w:rFonts w:hint="eastAsia"/>
                      <w:u w:val="single"/>
                      <w:lang w:eastAsia="zh-CN"/>
                    </w:rPr>
                    <w:t>紫霞大道</w:t>
                  </w:r>
                  <w:r>
                    <w:rPr>
                      <w:rFonts w:hint="eastAsia"/>
                      <w:u w:val="single"/>
                    </w:rPr>
                    <w:t>施工废石，不设置采石场；本项目沉淀池沉淀渣及时清理处置，确保沉淀池有效容积，不乱堆乱放</w:t>
                  </w:r>
                  <w:r>
                    <w:rPr>
                      <w:rFonts w:hint="eastAsia"/>
                      <w:u w:val="single"/>
                      <w:lang w:eastAsia="zh-CN"/>
                    </w:rPr>
                    <w:t>。</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7" w:hRule="atLeast"/>
              </w:trPr>
              <w:tc>
                <w:tcPr>
                  <w:tcW w:w="349" w:type="pct"/>
                  <w:vMerge w:val="continue"/>
                  <w:noWrap w:val="0"/>
                  <w:vAlign w:val="center"/>
                </w:tcPr>
                <w:p>
                  <w:pPr>
                    <w:pStyle w:val="55"/>
                    <w:rPr>
                      <w:u w:val="single"/>
                    </w:rPr>
                  </w:pPr>
                </w:p>
              </w:tc>
              <w:tc>
                <w:tcPr>
                  <w:tcW w:w="2513" w:type="pct"/>
                  <w:noWrap w:val="0"/>
                  <w:vAlign w:val="center"/>
                </w:tcPr>
                <w:p>
                  <w:pPr>
                    <w:pStyle w:val="55"/>
                    <w:rPr>
                      <w:u w:val="single"/>
                    </w:rPr>
                  </w:pPr>
                  <w:r>
                    <w:rPr>
                      <w:rFonts w:hint="eastAsia"/>
                      <w:u w:val="single"/>
                    </w:rPr>
                    <w:t>噪声污染防治。打砂场应采取封闭式厂房，四周建设围墙等隔声措施。生产设备应进行减振、局部密闭等消音措施，确保噪声厂界达标排放。</w:t>
                  </w:r>
                </w:p>
              </w:tc>
              <w:tc>
                <w:tcPr>
                  <w:tcW w:w="1701" w:type="pct"/>
                  <w:noWrap w:val="0"/>
                  <w:vAlign w:val="center"/>
                </w:tcPr>
                <w:p>
                  <w:pPr>
                    <w:pStyle w:val="55"/>
                    <w:jc w:val="both"/>
                    <w:rPr>
                      <w:u w:val="single"/>
                    </w:rPr>
                  </w:pPr>
                  <w:r>
                    <w:rPr>
                      <w:rFonts w:hint="eastAsia"/>
                      <w:u w:val="single"/>
                    </w:rPr>
                    <w:t>目前本项目生产厂房已密闭，生产设备已采用</w:t>
                  </w:r>
                  <w:r>
                    <w:rPr>
                      <w:u w:val="single"/>
                    </w:rPr>
                    <w:t>隔声、减振、消音措施，</w:t>
                  </w:r>
                  <w:r>
                    <w:rPr>
                      <w:rFonts w:hint="eastAsia"/>
                      <w:u w:val="single"/>
                    </w:rPr>
                    <w:t>经预测生产设备噪声</w:t>
                  </w:r>
                  <w:r>
                    <w:rPr>
                      <w:u w:val="single"/>
                    </w:rPr>
                    <w:t>厂界</w:t>
                  </w:r>
                  <w:r>
                    <w:rPr>
                      <w:rFonts w:hint="eastAsia"/>
                      <w:u w:val="single"/>
                    </w:rPr>
                    <w:t>贡献值</w:t>
                  </w:r>
                  <w:r>
                    <w:rPr>
                      <w:u w:val="single"/>
                    </w:rPr>
                    <w:t>达标排放</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2862" w:type="pct"/>
                  <w:gridSpan w:val="2"/>
                  <w:noWrap w:val="0"/>
                  <w:vAlign w:val="center"/>
                </w:tcPr>
                <w:p>
                  <w:pPr>
                    <w:pStyle w:val="55"/>
                    <w:rPr>
                      <w:rFonts w:hint="eastAsia"/>
                      <w:u w:val="single"/>
                    </w:rPr>
                  </w:pPr>
                  <w:r>
                    <w:rPr>
                      <w:rFonts w:hint="eastAsia"/>
                      <w:u w:val="single"/>
                    </w:rPr>
                    <w:t>涉及建设项目“未批先建”环境违法行为查处</w:t>
                  </w:r>
                </w:p>
              </w:tc>
              <w:tc>
                <w:tcPr>
                  <w:tcW w:w="1701" w:type="pct"/>
                  <w:noWrap w:val="0"/>
                  <w:vAlign w:val="center"/>
                </w:tcPr>
                <w:p>
                  <w:pPr>
                    <w:pStyle w:val="55"/>
                    <w:rPr>
                      <w:rFonts w:hint="eastAsia"/>
                      <w:u w:val="single"/>
                    </w:rPr>
                  </w:pPr>
                  <w:r>
                    <w:rPr>
                      <w:rFonts w:hint="eastAsia"/>
                      <w:u w:val="single"/>
                    </w:rPr>
                    <w:t>/</w:t>
                  </w:r>
                </w:p>
              </w:tc>
              <w:tc>
                <w:tcPr>
                  <w:tcW w:w="435" w:type="pct"/>
                  <w:noWrap w:val="0"/>
                  <w:vAlign w:val="center"/>
                </w:tcPr>
                <w:p>
                  <w:pPr>
                    <w:pStyle w:val="55"/>
                    <w:rPr>
                      <w:u w:val="single"/>
                    </w:rPr>
                  </w:pPr>
                  <w:r>
                    <w:rPr>
                      <w:rFonts w:hint="eastAsia"/>
                      <w:u w:val="singl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2862" w:type="pct"/>
                  <w:gridSpan w:val="2"/>
                  <w:noWrap w:val="0"/>
                  <w:vAlign w:val="center"/>
                </w:tcPr>
                <w:p>
                  <w:pPr>
                    <w:pStyle w:val="55"/>
                    <w:rPr>
                      <w:rFonts w:hint="eastAsia"/>
                      <w:u w:val="single"/>
                    </w:rPr>
                  </w:pPr>
                  <w:r>
                    <w:rPr>
                      <w:rFonts w:hint="eastAsia"/>
                      <w:u w:val="single"/>
                    </w:rPr>
                    <w:t>涉及其他主要环境违法行为查处</w:t>
                  </w:r>
                </w:p>
              </w:tc>
              <w:tc>
                <w:tcPr>
                  <w:tcW w:w="1701" w:type="pct"/>
                  <w:noWrap w:val="0"/>
                  <w:vAlign w:val="center"/>
                </w:tcPr>
                <w:p>
                  <w:pPr>
                    <w:pStyle w:val="55"/>
                    <w:rPr>
                      <w:u w:val="single"/>
                    </w:rPr>
                  </w:pPr>
                  <w:r>
                    <w:rPr>
                      <w:rFonts w:hint="eastAsia"/>
                      <w:u w:val="single"/>
                    </w:rPr>
                    <w:t>不涉及</w:t>
                  </w:r>
                </w:p>
              </w:tc>
              <w:tc>
                <w:tcPr>
                  <w:tcW w:w="435" w:type="pct"/>
                  <w:noWrap w:val="0"/>
                  <w:vAlign w:val="center"/>
                </w:tcPr>
                <w:p>
                  <w:pPr>
                    <w:pStyle w:val="55"/>
                    <w:rPr>
                      <w:u w:val="single"/>
                    </w:rPr>
                  </w:pPr>
                  <w:r>
                    <w:rPr>
                      <w:u w:val="single"/>
                    </w:rPr>
                    <w:t>符合</w:t>
                  </w:r>
                </w:p>
              </w:tc>
            </w:tr>
          </w:tbl>
          <w:p>
            <w:pPr>
              <w:wordWrap w:val="0"/>
              <w:spacing w:before="144" w:beforeLines="60" w:line="360" w:lineRule="auto"/>
              <w:ind w:firstLine="480" w:firstLineChars="200"/>
              <w:rPr>
                <w:rFonts w:hint="eastAsia"/>
                <w:sz w:val="24"/>
                <w:u w:val="single"/>
              </w:rPr>
            </w:pPr>
            <w:r>
              <w:rPr>
                <w:rFonts w:hint="eastAsia"/>
                <w:sz w:val="24"/>
                <w:u w:val="single"/>
              </w:rPr>
              <w:t>由以上分析可知，本项目建设符合</w:t>
            </w:r>
            <w:r>
              <w:rPr>
                <w:u w:val="single"/>
                <w:lang w:val="zh-CN"/>
              </w:rPr>
              <w:t>《</w:t>
            </w:r>
            <w:r>
              <w:rPr>
                <w:rFonts w:hint="eastAsia"/>
                <w:u w:val="single"/>
                <w:lang w:val="zh-CN"/>
              </w:rPr>
              <w:t>花垣县露天矿山开采、砂石加工专项整治行动方案</w:t>
            </w:r>
            <w:r>
              <w:rPr>
                <w:u w:val="single"/>
                <w:lang w:val="zh-CN"/>
              </w:rPr>
              <w:t>》</w:t>
            </w:r>
            <w:r>
              <w:rPr>
                <w:rFonts w:hint="eastAsia"/>
                <w:sz w:val="24"/>
                <w:u w:val="single"/>
              </w:rPr>
              <w:t>要求。</w:t>
            </w:r>
          </w:p>
          <w:p>
            <w:pPr>
              <w:keepNext/>
              <w:keepLines/>
              <w:wordWrap w:val="0"/>
              <w:spacing w:before="260" w:after="260"/>
              <w:outlineLvl w:val="2"/>
              <w:rPr>
                <w:rFonts w:hint="eastAsia" w:ascii="Times New Roman" w:hAnsi="Times New Roman" w:eastAsia="宋体" w:cs="Times New Roman"/>
                <w:b/>
                <w:bCs/>
                <w:sz w:val="28"/>
                <w:szCs w:val="32"/>
                <w:lang w:val="en-US" w:eastAsia="zh-CN"/>
              </w:rPr>
            </w:pPr>
            <w:r>
              <w:rPr>
                <w:rFonts w:hint="eastAsia" w:ascii="Times New Roman" w:hAnsi="Times New Roman" w:eastAsia="宋体" w:cs="Times New Roman"/>
                <w:b/>
                <w:bCs/>
                <w:sz w:val="28"/>
                <w:szCs w:val="32"/>
                <w:lang w:val="en-US" w:eastAsia="zh-CN"/>
              </w:rPr>
              <w:t>1.3.7项目与《中华人民共和国公路法》相符性分析</w:t>
            </w:r>
          </w:p>
          <w:p>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项目与《中华人民共和国公路法》（中华人民共和国主席令〔2016〕第57号）符合性分析见下表。</w:t>
            </w:r>
          </w:p>
          <w:p>
            <w:pPr>
              <w:pStyle w:val="72"/>
              <w:spacing w:before="144" w:after="144"/>
              <w:rPr>
                <w:rFonts w:hint="eastAsia" w:ascii="Times New Roman" w:hAnsi="Times New Roman" w:eastAsia="宋体" w:cs="宋体"/>
                <w:u w:val="single"/>
                <w:lang w:val="en-US" w:eastAsia="zh-CN"/>
              </w:rPr>
            </w:pPr>
            <w:r>
              <w:rPr>
                <w:rFonts w:hint="eastAsia" w:ascii="Times New Roman" w:hAnsi="Times New Roman" w:eastAsia="宋体" w:cs="宋体"/>
                <w:u w:val="single"/>
                <w:lang w:val="en-US" w:eastAsia="zh-CN"/>
              </w:rPr>
              <w:t>表1.3-7 与《中华人民共和国公路法》符合性分析表</w:t>
            </w:r>
          </w:p>
          <w:tbl>
            <w:tblPr>
              <w:tblStyle w:val="24"/>
              <w:tblW w:w="481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5"/>
              <w:gridCol w:w="2702"/>
              <w:gridCol w:w="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862" w:type="pct"/>
                  <w:noWrap w:val="0"/>
                  <w:vAlign w:val="center"/>
                </w:tcPr>
                <w:p>
                  <w:pPr>
                    <w:pStyle w:val="55"/>
                    <w:rPr>
                      <w:u w:val="single"/>
                    </w:rPr>
                  </w:pPr>
                  <w:r>
                    <w:rPr>
                      <w:rFonts w:hint="eastAsia"/>
                      <w:u w:val="single"/>
                    </w:rPr>
                    <w:t>《中华人民共和国公路法》（中华人民共和国主席令〔2016〕第57号）</w:t>
                  </w:r>
                </w:p>
              </w:tc>
              <w:tc>
                <w:tcPr>
                  <w:tcW w:w="1701" w:type="pct"/>
                  <w:noWrap w:val="0"/>
                  <w:vAlign w:val="center"/>
                </w:tcPr>
                <w:p>
                  <w:pPr>
                    <w:pStyle w:val="55"/>
                    <w:rPr>
                      <w:u w:val="single"/>
                    </w:rPr>
                  </w:pPr>
                  <w:r>
                    <w:rPr>
                      <w:u w:val="single"/>
                    </w:rPr>
                    <w:t>本项目情况</w:t>
                  </w:r>
                </w:p>
              </w:tc>
              <w:tc>
                <w:tcPr>
                  <w:tcW w:w="435" w:type="pct"/>
                  <w:noWrap w:val="0"/>
                  <w:vAlign w:val="center"/>
                </w:tcPr>
                <w:p>
                  <w:pPr>
                    <w:pStyle w:val="55"/>
                    <w:rPr>
                      <w:u w:val="single"/>
                    </w:rPr>
                  </w:pPr>
                  <w:r>
                    <w:rPr>
                      <w:u w:val="singl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2862" w:type="pct"/>
                  <w:tcBorders>
                    <w:bottom w:val="single" w:color="auto" w:sz="4" w:space="0"/>
                  </w:tcBorders>
                  <w:noWrap w:val="0"/>
                  <w:vAlign w:val="center"/>
                </w:tcPr>
                <w:p>
                  <w:pPr>
                    <w:pStyle w:val="55"/>
                    <w:jc w:val="both"/>
                    <w:rPr>
                      <w:u w:val="single"/>
                    </w:rPr>
                  </w:pPr>
                  <w:r>
                    <w:rPr>
                      <w:rFonts w:hint="eastAsia"/>
                      <w:u w:val="single"/>
                    </w:rPr>
                    <w:t>第九条　任何单位和个人不得破坏、损坏、非法占用或者非法利用公路、公路用地和公路附属设施。</w:t>
                  </w:r>
                </w:p>
              </w:tc>
              <w:tc>
                <w:tcPr>
                  <w:tcW w:w="1701" w:type="pct"/>
                  <w:noWrap w:val="0"/>
                  <w:vAlign w:val="center"/>
                </w:tcPr>
                <w:p>
                  <w:pPr>
                    <w:pStyle w:val="55"/>
                    <w:jc w:val="both"/>
                    <w:rPr>
                      <w:rFonts w:hint="eastAsia" w:eastAsia="宋体"/>
                      <w:u w:val="single"/>
                      <w:lang w:eastAsia="zh-CN"/>
                    </w:rPr>
                  </w:pPr>
                  <w:r>
                    <w:rPr>
                      <w:rFonts w:hint="eastAsia"/>
                      <w:u w:val="single"/>
                      <w:lang w:eastAsia="zh-CN"/>
                    </w:rPr>
                    <w:t>项目占地属于紫霞湖大道弃渣场，不属于非法利用</w:t>
                  </w:r>
                  <w:r>
                    <w:rPr>
                      <w:rFonts w:hint="eastAsia"/>
                      <w:u w:val="single"/>
                    </w:rPr>
                    <w:t>公路、公路用地和公路附属设施。</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8" w:hRule="atLeast"/>
              </w:trPr>
              <w:tc>
                <w:tcPr>
                  <w:tcW w:w="2862" w:type="pct"/>
                  <w:tcBorders>
                    <w:top w:val="single" w:color="auto" w:sz="4" w:space="0"/>
                    <w:bottom w:val="single" w:color="auto" w:sz="4" w:space="0"/>
                  </w:tcBorders>
                  <w:noWrap w:val="0"/>
                  <w:vAlign w:val="center"/>
                </w:tcPr>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rPr>
                    <w:t>第十七条　禁止在下列范围内从事采矿、采石、取土、爆破作业等危及公路、公路桥梁、公路隧道、公路渡口安全的活动：</w:t>
                  </w:r>
                </w:p>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rPr>
                    <w:t>（一）国道、省道、县道的公路用地外缘起向外100米，乡道的公路用地外缘起向外50米；</w:t>
                  </w:r>
                </w:p>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lang w:eastAsia="zh-CN"/>
                    </w:rPr>
                    <w:t>（</w:t>
                  </w:r>
                  <w:r>
                    <w:rPr>
                      <w:rFonts w:hint="eastAsia" w:ascii="Times New Roman" w:hAnsi="Times New Roman" w:eastAsia="宋体" w:cs="Times New Roman"/>
                      <w:u w:val="single"/>
                    </w:rPr>
                    <w:t>二）公路渡口和中型以上公路桥梁周围200米；</w:t>
                  </w:r>
                </w:p>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rPr>
                    <w:t>（三）公路隧道上方和洞口外100米。</w:t>
                  </w:r>
                </w:p>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rPr>
                    <w:t>在前款规定的范围内，因抢险、防汛需要修筑堤坝、压缩或者拓宽河床的，应当经省、自治区、直辖市人民政府交通运输主管部门会同水行政主管部门或者流域管理机构批准，并采取安全防护措施方可进行。</w:t>
                  </w:r>
                </w:p>
              </w:tc>
              <w:tc>
                <w:tcPr>
                  <w:tcW w:w="1701" w:type="pct"/>
                  <w:noWrap w:val="0"/>
                  <w:vAlign w:val="center"/>
                </w:tcPr>
                <w:p>
                  <w:pPr>
                    <w:pStyle w:val="55"/>
                    <w:jc w:val="both"/>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项目属于紫霞湖大道工程建设、朝料村土地平整砂石综合利用</w:t>
                  </w:r>
                  <w:r>
                    <w:rPr>
                      <w:rFonts w:hint="eastAsia" w:ascii="Times New Roman" w:hAnsi="Times New Roman" w:eastAsia="宋体" w:cs="Times New Roman"/>
                      <w:highlight w:val="none"/>
                      <w:u w:val="single"/>
                      <w:lang w:eastAsia="zh-CN"/>
                    </w:rPr>
                    <w:t>项目</w:t>
                  </w:r>
                  <w:r>
                    <w:rPr>
                      <w:rFonts w:hint="eastAsia" w:ascii="Times New Roman" w:hAnsi="Times New Roman" w:eastAsia="宋体" w:cs="Times New Roman"/>
                      <w:u w:val="single"/>
                      <w:lang w:eastAsia="zh-CN"/>
                    </w:rPr>
                    <w:t>，不从事</w:t>
                  </w:r>
                  <w:r>
                    <w:rPr>
                      <w:rFonts w:hint="eastAsia" w:ascii="Times New Roman" w:hAnsi="Times New Roman" w:eastAsia="宋体" w:cs="Times New Roman"/>
                      <w:u w:val="single"/>
                    </w:rPr>
                    <w:t>采矿、采石、取土、爆破作业等危及公路、公路桥梁、公路隧道、公路渡口安全的活动</w:t>
                  </w:r>
                  <w:r>
                    <w:rPr>
                      <w:rFonts w:hint="eastAsia" w:ascii="Times New Roman" w:hAnsi="Times New Roman" w:eastAsia="宋体" w:cs="Times New Roman"/>
                      <w:u w:val="single"/>
                      <w:lang w:eastAsia="zh-CN"/>
                    </w:rPr>
                    <w:t>。</w:t>
                  </w:r>
                </w:p>
              </w:tc>
              <w:tc>
                <w:tcPr>
                  <w:tcW w:w="435" w:type="pct"/>
                  <w:noWrap w:val="0"/>
                  <w:vAlign w:val="center"/>
                </w:tcPr>
                <w:p>
                  <w:pPr>
                    <w:pStyle w:val="55"/>
                    <w:rPr>
                      <w:u w:val="single"/>
                    </w:rPr>
                  </w:pPr>
                  <w:r>
                    <w:rPr>
                      <w:u w:val="singl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1" w:hRule="atLeast"/>
              </w:trPr>
              <w:tc>
                <w:tcPr>
                  <w:tcW w:w="2862" w:type="pct"/>
                  <w:tcBorders>
                    <w:top w:val="single" w:color="auto" w:sz="4" w:space="0"/>
                    <w:bottom w:val="single" w:color="auto" w:sz="4" w:space="0"/>
                  </w:tcBorders>
                  <w:noWrap w:val="0"/>
                  <w:vAlign w:val="center"/>
                </w:tcPr>
                <w:p>
                  <w:pPr>
                    <w:pStyle w:val="55"/>
                    <w:jc w:val="both"/>
                    <w:rPr>
                      <w:rFonts w:hint="eastAsia" w:ascii="Times New Roman" w:hAnsi="Times New Roman" w:eastAsia="宋体" w:cs="Times New Roman"/>
                      <w:u w:val="single"/>
                    </w:rPr>
                  </w:pPr>
                  <w:r>
                    <w:rPr>
                      <w:rFonts w:hint="eastAsia" w:ascii="Times New Roman" w:hAnsi="Times New Roman" w:eastAsia="宋体" w:cs="Times New Roman"/>
                      <w:u w:val="single"/>
                    </w:rPr>
                    <w:t>　第二十六条　禁止破坏公路、公路用地范围内的绿化物。需要更新采伐护路林的，应当向公路管理机构提出申请，经批准方可更新采伐，并及时补种；不能及时补种的，应当交纳补种所需费用，由公路管理机构代为补种。</w:t>
                  </w:r>
                </w:p>
              </w:tc>
              <w:tc>
                <w:tcPr>
                  <w:tcW w:w="1701" w:type="pct"/>
                  <w:noWrap w:val="0"/>
                  <w:vAlign w:val="center"/>
                </w:tcPr>
                <w:p>
                  <w:pPr>
                    <w:pStyle w:val="55"/>
                    <w:jc w:val="both"/>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项目建设后期根据要求由花垣县交通运输进行绿化复垦。</w:t>
                  </w:r>
                </w:p>
              </w:tc>
              <w:tc>
                <w:tcPr>
                  <w:tcW w:w="435" w:type="pct"/>
                  <w:noWrap w:val="0"/>
                  <w:vAlign w:val="center"/>
                </w:tcPr>
                <w:p>
                  <w:pPr>
                    <w:pStyle w:val="55"/>
                    <w:rPr>
                      <w:u w:val="single"/>
                    </w:rPr>
                  </w:pPr>
                  <w:r>
                    <w:rPr>
                      <w:u w:val="single"/>
                    </w:rPr>
                    <w:t>符合</w:t>
                  </w:r>
                </w:p>
              </w:tc>
            </w:tr>
          </w:tbl>
          <w:p>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由以上分析可知，本项目建设符合《中华人民共和国公路法》。</w:t>
            </w:r>
          </w:p>
          <w:p>
            <w:pPr>
              <w:pStyle w:val="3"/>
              <w:wordWrap w:val="0"/>
              <w:spacing w:line="240" w:lineRule="auto"/>
              <w:ind w:firstLine="0" w:firstLineChars="0"/>
              <w:rPr>
                <w:rFonts w:ascii="Times New Roman" w:hAnsi="Times New Roman" w:eastAsia="宋体"/>
                <w:bCs w:val="0"/>
                <w:szCs w:val="24"/>
              </w:rPr>
            </w:pPr>
            <w:r>
              <w:rPr>
                <w:rFonts w:hint="eastAsia" w:ascii="Times New Roman" w:hAnsi="Times New Roman" w:eastAsia="宋体"/>
                <w:bCs w:val="0"/>
                <w:szCs w:val="24"/>
              </w:rPr>
              <w:t>1.4项目选址合理性及周边环境分析</w:t>
            </w:r>
          </w:p>
          <w:p>
            <w:pPr>
              <w:numPr>
                <w:ilvl w:val="0"/>
                <w:numId w:val="1"/>
              </w:numPr>
              <w:wordWrap w:val="0"/>
              <w:topLinePunct/>
              <w:spacing w:line="360" w:lineRule="auto"/>
              <w:ind w:left="105" w:leftChars="50" w:right="105" w:rightChars="50" w:firstLine="480" w:firstLineChars="200"/>
              <w:rPr>
                <w:rFonts w:hint="eastAsia"/>
                <w:sz w:val="24"/>
              </w:rPr>
            </w:pPr>
            <w:r>
              <w:rPr>
                <w:rFonts w:hint="eastAsia"/>
                <w:sz w:val="24"/>
              </w:rPr>
              <w:t>选址合理性分析</w:t>
            </w:r>
          </w:p>
          <w:p>
            <w:pPr>
              <w:spacing w:line="360" w:lineRule="auto"/>
              <w:ind w:firstLine="480" w:firstLineChars="200"/>
              <w:rPr>
                <w:rFonts w:hint="eastAsia"/>
                <w:sz w:val="24"/>
                <w:u w:val="single"/>
              </w:rPr>
            </w:pPr>
            <w:r>
              <w:rPr>
                <w:rFonts w:hint="eastAsia"/>
                <w:sz w:val="24"/>
                <w:u w:val="single"/>
              </w:rPr>
              <w:t>项目选址位于湖南省湘西州花垣县花垣镇，</w:t>
            </w:r>
            <w:r>
              <w:rPr>
                <w:rFonts w:hint="eastAsia"/>
                <w:sz w:val="24"/>
                <w:u w:val="single"/>
                <w:lang w:eastAsia="zh-CN"/>
              </w:rPr>
              <w:t>用地为紫霞湖大道弃渣场，紫霞湖大道由花垣县交通运输局管理。根据《花垣县紫霞湖大道项目环境影响报告书》（已取得批复花环评</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2017</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30号</w:t>
            </w:r>
            <w:r>
              <w:rPr>
                <w:rFonts w:hint="eastAsia"/>
                <w:sz w:val="24"/>
                <w:u w:val="single"/>
                <w:lang w:eastAsia="zh-CN"/>
              </w:rPr>
              <w:t>），弃渣场占地</w:t>
            </w:r>
            <w:r>
              <w:rPr>
                <w:rFonts w:hint="eastAsia"/>
                <w:sz w:val="24"/>
                <w:u w:val="single"/>
                <w:lang w:val="en-US" w:eastAsia="zh-CN"/>
              </w:rPr>
              <w:t>23000㎡，</w:t>
            </w:r>
            <w:r>
              <w:rPr>
                <w:rFonts w:hint="eastAsia"/>
                <w:sz w:val="24"/>
                <w:u w:val="single"/>
              </w:rPr>
              <w:t>不在生态红线范围内，不占用基本农田。</w:t>
            </w:r>
            <w:r>
              <w:rPr>
                <w:rFonts w:hint="eastAsia"/>
                <w:sz w:val="24"/>
                <w:u w:val="single"/>
                <w:lang w:eastAsia="zh-CN"/>
              </w:rPr>
              <w:t>根据自然资源局下发的建设用地规划许可证（附件</w:t>
            </w:r>
            <w:r>
              <w:rPr>
                <w:rFonts w:hint="eastAsia"/>
                <w:sz w:val="24"/>
                <w:u w:val="single"/>
                <w:lang w:val="en-US" w:eastAsia="zh-CN"/>
              </w:rPr>
              <w:t>6</w:t>
            </w:r>
            <w:r>
              <w:rPr>
                <w:rFonts w:hint="eastAsia"/>
                <w:sz w:val="24"/>
                <w:u w:val="single"/>
                <w:lang w:eastAsia="zh-CN"/>
              </w:rPr>
              <w:t>）和不动产权证（附件</w:t>
            </w:r>
            <w:r>
              <w:rPr>
                <w:rFonts w:hint="eastAsia"/>
                <w:sz w:val="24"/>
                <w:u w:val="single"/>
                <w:lang w:val="en-US" w:eastAsia="zh-CN"/>
              </w:rPr>
              <w:t>9</w:t>
            </w:r>
            <w:r>
              <w:rPr>
                <w:rFonts w:hint="eastAsia"/>
                <w:sz w:val="24"/>
                <w:u w:val="single"/>
                <w:lang w:eastAsia="zh-CN"/>
              </w:rPr>
              <w:t>），项目占地在紫霞湖大道用地范围内，规划为公路用地。根据</w:t>
            </w:r>
            <w:r>
              <w:rPr>
                <w:rFonts w:hint="eastAsia"/>
                <w:sz w:val="24"/>
                <w:u w:val="single"/>
              </w:rPr>
              <w:t>湖南省林业局准予行政许可决定书（花林地许临（2023）001号）</w:t>
            </w:r>
            <w:r>
              <w:rPr>
                <w:rFonts w:hint="eastAsia"/>
                <w:sz w:val="24"/>
                <w:u w:val="single"/>
                <w:lang w:eastAsia="zh-CN"/>
              </w:rPr>
              <w:t>，本项目</w:t>
            </w:r>
            <w:r>
              <w:rPr>
                <w:rFonts w:hint="eastAsia"/>
                <w:sz w:val="24"/>
                <w:u w:val="single"/>
              </w:rPr>
              <w:t>占用林地0.273公顷（2730㎡）。因此项目用地属性符合要求。</w:t>
            </w:r>
          </w:p>
          <w:p>
            <w:pPr>
              <w:numPr>
                <w:ilvl w:val="0"/>
                <w:numId w:val="1"/>
              </w:numPr>
              <w:spacing w:before="144" w:beforeLines="60" w:line="360" w:lineRule="auto"/>
              <w:ind w:left="105" w:leftChars="50" w:firstLine="480" w:firstLineChars="200"/>
              <w:rPr>
                <w:rFonts w:hint="eastAsia"/>
                <w:color w:val="auto"/>
                <w:sz w:val="24"/>
                <w:highlight w:val="none"/>
              </w:rPr>
            </w:pPr>
            <w:r>
              <w:rPr>
                <w:rFonts w:hint="eastAsia"/>
                <w:color w:val="auto"/>
                <w:sz w:val="24"/>
                <w:highlight w:val="none"/>
              </w:rPr>
              <w:t>规划符合性分析</w:t>
            </w:r>
          </w:p>
          <w:p>
            <w:pPr>
              <w:wordWrap w:val="0"/>
              <w:spacing w:line="360" w:lineRule="auto"/>
              <w:ind w:firstLine="480" w:firstLineChars="200"/>
              <w:rPr>
                <w:rFonts w:hint="eastAsia"/>
                <w:sz w:val="24"/>
              </w:rPr>
            </w:pPr>
            <w:r>
              <w:rPr>
                <w:rFonts w:hint="eastAsia"/>
                <w:sz w:val="24"/>
              </w:rPr>
              <w:t>本项目属于非</w:t>
            </w:r>
            <w:r>
              <w:rPr>
                <w:sz w:val="24"/>
              </w:rPr>
              <w:t>金属</w:t>
            </w:r>
            <w:r>
              <w:rPr>
                <w:rFonts w:hint="eastAsia"/>
                <w:sz w:val="24"/>
              </w:rPr>
              <w:t>矿物</w:t>
            </w:r>
            <w:r>
              <w:rPr>
                <w:sz w:val="24"/>
              </w:rPr>
              <w:t>制品业，</w:t>
            </w:r>
            <w:r>
              <w:rPr>
                <w:rFonts w:hint="eastAsia"/>
                <w:sz w:val="24"/>
              </w:rPr>
              <w:t>主要产品建筑用石</w:t>
            </w:r>
            <w:r>
              <w:rPr>
                <w:sz w:val="24"/>
              </w:rPr>
              <w:t>，</w:t>
            </w:r>
            <w:r>
              <w:rPr>
                <w:rFonts w:hint="eastAsia"/>
                <w:sz w:val="24"/>
              </w:rPr>
              <w:t>不属于《产业结构调整指导目录（2024年本）》中规定的“鼓励类”“限制类”和“淘汰类”，属于国家允许的生产建设</w:t>
            </w:r>
            <w:r>
              <w:rPr>
                <w:rFonts w:hint="eastAsia"/>
                <w:sz w:val="24"/>
                <w:lang w:eastAsia="zh-CN"/>
              </w:rPr>
              <w:t>项目</w:t>
            </w:r>
            <w:r>
              <w:rPr>
                <w:rFonts w:hint="eastAsia"/>
                <w:sz w:val="24"/>
              </w:rPr>
              <w:t>，</w:t>
            </w:r>
            <w:r>
              <w:rPr>
                <w:sz w:val="24"/>
              </w:rPr>
              <w:t>符合国家产业政策。</w:t>
            </w:r>
            <w:r>
              <w:rPr>
                <w:rFonts w:hint="eastAsia"/>
                <w:sz w:val="24"/>
              </w:rPr>
              <w:t>根据前文“三线一单”分析，项目不属于国家重点生态功能区产业准入负面清单中的限制类和禁止类。</w:t>
            </w:r>
            <w:r>
              <w:rPr>
                <w:rFonts w:hint="eastAsia"/>
                <w:sz w:val="24"/>
                <w:u w:val="none"/>
                <w:lang w:eastAsia="zh-CN"/>
              </w:rPr>
              <w:t>根据自然资源局下发的建设用地规划许可证（附件</w:t>
            </w:r>
            <w:r>
              <w:rPr>
                <w:rFonts w:hint="eastAsia"/>
                <w:sz w:val="24"/>
                <w:u w:val="none"/>
                <w:lang w:val="en-US" w:eastAsia="zh-CN"/>
              </w:rPr>
              <w:t>6</w:t>
            </w:r>
            <w:r>
              <w:rPr>
                <w:rFonts w:hint="eastAsia"/>
                <w:sz w:val="24"/>
                <w:u w:val="none"/>
                <w:lang w:eastAsia="zh-CN"/>
              </w:rPr>
              <w:t>）和不动产权证（附件</w:t>
            </w:r>
            <w:r>
              <w:rPr>
                <w:rFonts w:hint="eastAsia"/>
                <w:sz w:val="24"/>
                <w:u w:val="none"/>
                <w:lang w:val="en-US" w:eastAsia="zh-CN"/>
              </w:rPr>
              <w:t>9</w:t>
            </w:r>
            <w:r>
              <w:rPr>
                <w:rFonts w:hint="eastAsia"/>
                <w:sz w:val="24"/>
                <w:u w:val="none"/>
                <w:lang w:eastAsia="zh-CN"/>
              </w:rPr>
              <w:t>），项目占地在紫霞湖大道用地范围内，规划为公路用地。根据</w:t>
            </w:r>
            <w:r>
              <w:rPr>
                <w:rFonts w:hint="eastAsia"/>
                <w:sz w:val="24"/>
                <w:u w:val="none"/>
              </w:rPr>
              <w:t>湖南省林业局准予行政许可决定书（花林地许临（2023）001号）</w:t>
            </w:r>
            <w:r>
              <w:rPr>
                <w:rFonts w:hint="eastAsia"/>
                <w:sz w:val="24"/>
                <w:u w:val="none"/>
                <w:lang w:eastAsia="zh-CN"/>
              </w:rPr>
              <w:t>，本项目</w:t>
            </w:r>
            <w:r>
              <w:rPr>
                <w:rFonts w:hint="eastAsia"/>
                <w:sz w:val="24"/>
                <w:u w:val="none"/>
              </w:rPr>
              <w:t>占用林地0.273公顷（2730㎡）</w:t>
            </w:r>
            <w:r>
              <w:rPr>
                <w:rFonts w:hint="eastAsia"/>
                <w:sz w:val="24"/>
                <w:u w:val="none"/>
                <w:lang w:eastAsia="zh-CN"/>
              </w:rPr>
              <w:t>，项目后期绿化复垦由花垣县交通运输局负责，恢复林地生产条件并归还林地。</w:t>
            </w:r>
            <w:r>
              <w:rPr>
                <w:rFonts w:hint="eastAsia"/>
                <w:sz w:val="24"/>
              </w:rPr>
              <w:t>项目符合规划要求。</w:t>
            </w:r>
          </w:p>
          <w:p>
            <w:pPr>
              <w:numPr>
                <w:ilvl w:val="0"/>
                <w:numId w:val="1"/>
              </w:numPr>
              <w:spacing w:before="144" w:beforeLines="60" w:line="360" w:lineRule="auto"/>
              <w:ind w:left="105" w:leftChars="50" w:firstLine="480" w:firstLineChars="200"/>
              <w:rPr>
                <w:rFonts w:hint="eastAsia"/>
                <w:sz w:val="24"/>
              </w:rPr>
            </w:pPr>
            <w:r>
              <w:rPr>
                <w:rFonts w:hint="eastAsia"/>
                <w:sz w:val="24"/>
              </w:rPr>
              <w:t>周边环境相容性</w:t>
            </w:r>
          </w:p>
          <w:p>
            <w:pPr>
              <w:spacing w:line="360" w:lineRule="auto"/>
              <w:ind w:firstLine="480" w:firstLineChars="200"/>
              <w:rPr>
                <w:rFonts w:hint="eastAsia"/>
                <w:sz w:val="24"/>
              </w:rPr>
            </w:pPr>
            <w:r>
              <w:rPr>
                <w:rFonts w:hint="eastAsia"/>
                <w:sz w:val="24"/>
              </w:rPr>
              <w:t>本项目选址于花垣县花垣镇紫霞大道流当隧道出口450m处东侧。东侧为紫霞大道，西侧300m处为羽丰鸽业，中间有自然山体隔开，南侧270m处为湖南德农牧业，中间有自然山体隔开。北侧为自然山体。</w:t>
            </w:r>
          </w:p>
          <w:p>
            <w:pPr>
              <w:wordWrap w:val="0"/>
              <w:spacing w:line="360" w:lineRule="auto"/>
              <w:ind w:firstLine="480" w:firstLineChars="200"/>
              <w:rPr>
                <w:rFonts w:hint="eastAsia"/>
                <w:sz w:val="24"/>
              </w:rPr>
            </w:pPr>
            <w:r>
              <w:rPr>
                <w:rFonts w:hint="eastAsia"/>
                <w:sz w:val="24"/>
              </w:rPr>
              <w:t>根据湖南省人民政府关于公布《湖南省县级以上地表水集中式饮用水水源保护区划定方案的通知》</w:t>
            </w:r>
            <w:r>
              <w:rPr>
                <w:sz w:val="24"/>
              </w:rPr>
              <w:t>（湘政函〔2016〕176号）和</w:t>
            </w:r>
            <w:r>
              <w:rPr>
                <w:rFonts w:hint="eastAsia"/>
                <w:sz w:val="24"/>
              </w:rPr>
              <w:t>《湖南省县级以上地表水集中式饮用水水源保护区划定方案》</w:t>
            </w:r>
            <w:r>
              <w:rPr>
                <w:sz w:val="24"/>
              </w:rPr>
              <w:t>，</w:t>
            </w:r>
            <w:r>
              <w:rPr>
                <w:rFonts w:hint="eastAsia"/>
                <w:sz w:val="24"/>
              </w:rPr>
              <w:t>项目东</w:t>
            </w:r>
            <w:r>
              <w:rPr>
                <w:rFonts w:hint="eastAsia"/>
                <w:sz w:val="24"/>
                <w:lang w:eastAsia="zh-CN"/>
              </w:rPr>
              <w:t>北</w:t>
            </w:r>
            <w:r>
              <w:rPr>
                <w:rFonts w:hint="eastAsia"/>
                <w:sz w:val="24"/>
              </w:rPr>
              <w:t>侧据湘西自治州花垣县下寨河饮用水水源保护区二级保护区525m</w:t>
            </w:r>
            <w:r>
              <w:rPr>
                <w:rFonts w:hint="eastAsia"/>
                <w:sz w:val="24"/>
                <w:lang w:eastAsia="zh-CN"/>
              </w:rPr>
              <w:t>（位置关系见附图</w:t>
            </w:r>
            <w:r>
              <w:rPr>
                <w:rFonts w:hint="eastAsia"/>
                <w:sz w:val="24"/>
                <w:lang w:val="en-US" w:eastAsia="zh-CN"/>
              </w:rPr>
              <w:t>5</w:t>
            </w:r>
            <w:r>
              <w:rPr>
                <w:rFonts w:hint="eastAsia"/>
                <w:sz w:val="24"/>
                <w:lang w:eastAsia="zh-CN"/>
              </w:rPr>
              <w:t>）</w:t>
            </w:r>
            <w:r>
              <w:rPr>
                <w:rFonts w:hint="eastAsia"/>
                <w:sz w:val="24"/>
              </w:rPr>
              <w:t>，中间有山体隔开。建设单位生活废水经化粪池处理后定期清掏用作农肥，生产废水经沉淀池处理后回用，不外排。因此项目建设不会对周边饮用水水源造成影响。</w:t>
            </w:r>
          </w:p>
          <w:p>
            <w:pPr>
              <w:wordWrap w:val="0"/>
              <w:spacing w:line="360" w:lineRule="auto"/>
              <w:ind w:firstLine="480" w:firstLineChars="200"/>
              <w:rPr>
                <w:rFonts w:hint="eastAsia"/>
                <w:sz w:val="24"/>
              </w:rPr>
            </w:pPr>
            <w:r>
              <w:rPr>
                <w:rFonts w:hint="eastAsia"/>
                <w:sz w:val="24"/>
              </w:rPr>
              <w:t>本项目周边交通方便，区域内变电站等基础设施齐全，水、气、声环境质量现状均符合相应环境功能区要求。项目在严格落实设计和环评提出的治理措施下，废水、废气和噪声达标排放、固体废物综合利用或妥善处置，本项目对周围环境影响不大，对周围敏感区的影响在可接受范围内，从环境影响角度看，项目选址是合理的。</w:t>
            </w:r>
          </w:p>
          <w:p>
            <w:pPr>
              <w:wordWrap w:val="0"/>
              <w:spacing w:line="360" w:lineRule="auto"/>
              <w:ind w:firstLine="480" w:firstLineChars="200"/>
              <w:rPr>
                <w:rFonts w:ascii="宋体" w:hAnsi="宋体" w:cs="宋体"/>
                <w:kern w:val="0"/>
                <w:sz w:val="24"/>
              </w:rPr>
            </w:pPr>
            <w:r>
              <w:rPr>
                <w:rFonts w:hint="eastAsia"/>
                <w:sz w:val="24"/>
              </w:rPr>
              <w:t>综上分析，项目选址合理。</w:t>
            </w:r>
          </w:p>
        </w:tc>
      </w:tr>
    </w:tbl>
    <w:p>
      <w:pPr>
        <w:spacing w:line="360" w:lineRule="auto"/>
        <w:jc w:val="center"/>
        <w:outlineLvl w:val="0"/>
        <w:rPr>
          <w:rFonts w:eastAsia="黑体"/>
          <w:sz w:val="30"/>
        </w:rPr>
        <w:sectPr>
          <w:footerReference r:id="rId11" w:type="default"/>
          <w:pgSz w:w="11906" w:h="16838"/>
          <w:pgMar w:top="1440" w:right="1080" w:bottom="1440" w:left="1080" w:header="851" w:footer="1077" w:gutter="0"/>
          <w:pgNumType w:fmt="numberInDash" w:start="1"/>
          <w:cols w:space="720" w:num="1"/>
          <w:docGrid w:linePitch="312" w:charSpace="0"/>
        </w:sectPr>
      </w:pPr>
    </w:p>
    <w:p>
      <w:pPr>
        <w:pStyle w:val="2"/>
        <w:wordWrap w:val="0"/>
        <w:spacing w:line="260" w:lineRule="auto"/>
        <w:ind w:left="0" w:firstLine="0"/>
        <w:rPr>
          <w:rFonts w:hint="eastAsia"/>
          <w:color w:val="auto"/>
          <w:sz w:val="36"/>
        </w:rPr>
      </w:pPr>
      <w:bookmarkStart w:id="6" w:name="_Toc26287"/>
      <w:r>
        <w:rPr>
          <w:rFonts w:hint="eastAsia"/>
          <w:color w:val="auto"/>
          <w:sz w:val="36"/>
        </w:rPr>
        <w:t>二、建设项目工程分析</w:t>
      </w:r>
      <w:bookmarkEnd w:id="6"/>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7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建设内容</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both"/>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both"/>
              <w:rPr>
                <w:rFonts w:hint="eastAsia" w:cs="宋体"/>
                <w:szCs w:val="24"/>
              </w:rPr>
            </w:pPr>
          </w:p>
        </w:tc>
        <w:tc>
          <w:tcPr>
            <w:tcW w:w="8742" w:type="dxa"/>
            <w:noWrap w:val="0"/>
            <w:vAlign w:val="top"/>
          </w:tcPr>
          <w:p>
            <w:pPr>
              <w:keepNext/>
              <w:keepLines/>
              <w:wordWrap w:val="0"/>
              <w:spacing w:before="260" w:after="260"/>
              <w:outlineLvl w:val="1"/>
              <w:rPr>
                <w:b/>
                <w:sz w:val="32"/>
              </w:rPr>
            </w:pPr>
            <w:bookmarkStart w:id="7" w:name="_Toc109630651"/>
            <w:bookmarkStart w:id="8" w:name="_Toc110446455"/>
            <w:bookmarkStart w:id="9" w:name="_Toc111721038"/>
            <w:bookmarkStart w:id="10" w:name="_Toc109734353"/>
            <w:bookmarkStart w:id="11" w:name="_Toc109294450"/>
            <w:r>
              <w:rPr>
                <w:rFonts w:hint="eastAsia"/>
                <w:b/>
                <w:sz w:val="32"/>
              </w:rPr>
              <w:t>2</w:t>
            </w:r>
            <w:r>
              <w:rPr>
                <w:b/>
                <w:sz w:val="32"/>
              </w:rPr>
              <w:t>.1</w:t>
            </w:r>
            <w:r>
              <w:rPr>
                <w:rFonts w:hint="eastAsia"/>
                <w:b/>
                <w:sz w:val="32"/>
              </w:rPr>
              <w:t>建设内容</w:t>
            </w:r>
            <w:bookmarkEnd w:id="7"/>
            <w:bookmarkEnd w:id="8"/>
            <w:bookmarkEnd w:id="9"/>
            <w:bookmarkEnd w:id="10"/>
            <w:bookmarkEnd w:id="11"/>
          </w:p>
          <w:p>
            <w:pPr>
              <w:keepNext/>
              <w:keepLines/>
              <w:wordWrap w:val="0"/>
              <w:spacing w:before="192" w:beforeLines="80" w:after="192" w:afterLines="80"/>
              <w:outlineLvl w:val="2"/>
              <w:rPr>
                <w:b/>
                <w:bCs/>
                <w:sz w:val="28"/>
                <w:szCs w:val="32"/>
              </w:rPr>
            </w:pPr>
            <w:bookmarkStart w:id="12" w:name="_Toc109294451"/>
            <w:bookmarkStart w:id="13" w:name="_Toc111721039"/>
            <w:bookmarkStart w:id="14" w:name="_Toc109630652"/>
            <w:bookmarkStart w:id="15" w:name="_Toc110446456"/>
            <w:bookmarkStart w:id="16" w:name="_Toc109734354"/>
            <w:r>
              <w:rPr>
                <w:b/>
                <w:bCs/>
                <w:sz w:val="28"/>
                <w:szCs w:val="32"/>
              </w:rPr>
              <w:t>2.1.1</w:t>
            </w:r>
            <w:r>
              <w:rPr>
                <w:rFonts w:hint="eastAsia"/>
                <w:b/>
                <w:bCs/>
                <w:sz w:val="28"/>
                <w:szCs w:val="32"/>
              </w:rPr>
              <w:t>项目</w:t>
            </w:r>
            <w:bookmarkEnd w:id="12"/>
            <w:bookmarkEnd w:id="13"/>
            <w:bookmarkEnd w:id="14"/>
            <w:bookmarkEnd w:id="15"/>
            <w:bookmarkEnd w:id="16"/>
            <w:r>
              <w:rPr>
                <w:rFonts w:hint="eastAsia"/>
                <w:b/>
                <w:bCs/>
                <w:sz w:val="28"/>
                <w:szCs w:val="32"/>
              </w:rPr>
              <w:t>由来</w:t>
            </w:r>
          </w:p>
          <w:p>
            <w:pPr>
              <w:keepNext/>
              <w:keepLines/>
              <w:wordWrap w:val="0"/>
              <w:spacing w:before="192" w:beforeLines="80" w:line="360" w:lineRule="auto"/>
              <w:ind w:firstLine="480" w:firstLineChars="200"/>
              <w:outlineLvl w:val="2"/>
              <w:rPr>
                <w:rFonts w:hint="eastAsia"/>
                <w:bCs/>
                <w:sz w:val="24"/>
                <w:u w:val="single"/>
              </w:rPr>
            </w:pPr>
            <w:bookmarkStart w:id="17" w:name="_Toc109294452"/>
            <w:bookmarkStart w:id="18" w:name="_Toc109630653"/>
            <w:bookmarkStart w:id="19" w:name="_Toc109734355"/>
            <w:bookmarkStart w:id="20" w:name="_Toc111721040"/>
            <w:bookmarkStart w:id="21" w:name="_Toc110446457"/>
            <w:r>
              <w:rPr>
                <w:rFonts w:hint="eastAsia"/>
                <w:bCs/>
                <w:sz w:val="24"/>
                <w:u w:val="single"/>
              </w:rPr>
              <w:t>根据《花垣县紫霞湖大道项目环境影响报告书》（国环评证已字第2706号），本项目为流当隧道开挖和朝料村段土地平整产生的土石方综合利用项目，地址为道路修建时的弃渣场</w:t>
            </w:r>
            <w:r>
              <w:rPr>
                <w:rFonts w:hint="eastAsia"/>
                <w:bCs/>
                <w:sz w:val="24"/>
                <w:u w:val="single"/>
                <w:lang w:eastAsia="zh-CN"/>
              </w:rPr>
              <w:t>（位置关系见不动产权证书附图）</w:t>
            </w:r>
            <w:r>
              <w:rPr>
                <w:rFonts w:hint="eastAsia"/>
                <w:bCs/>
                <w:sz w:val="24"/>
                <w:u w:val="single"/>
              </w:rPr>
              <w:t>，占地23000㎡。</w:t>
            </w:r>
          </w:p>
          <w:p>
            <w:pPr>
              <w:keepNext/>
              <w:keepLines/>
              <w:wordWrap w:val="0"/>
              <w:spacing w:line="360" w:lineRule="auto"/>
              <w:ind w:firstLine="480" w:firstLineChars="200"/>
              <w:outlineLvl w:val="2"/>
              <w:rPr>
                <w:rFonts w:hint="eastAsia"/>
                <w:bCs/>
                <w:sz w:val="24"/>
              </w:rPr>
            </w:pPr>
            <w:r>
              <w:rPr>
                <w:rFonts w:hint="eastAsia"/>
                <w:bCs/>
                <w:sz w:val="24"/>
              </w:rPr>
              <w:t>花垣县紫霞湖大道由花垣县交通建设项目有限责任公司投资70426.82万元于花垣县农业科技园及周边村落建设，道路起于G319国道花垣佳民汽车站旁，终点止于兴隆湾（紫霞湖东北岸边），全长6.426km。道路按设计速度60km/h的一级公路设计，路基宽度32.0m（4.0m人行道+2.5m硬路肩+2×7.5m行车道+2.5m硬路肩+4.0m人行道+1.5m预留绿化带+2.5m预留慢行道），马其洛大桥一座长770m，兴隆湾中桥一座长100m，流当隧道一座长730m，以及路基、路面、交叉工程、安全设施等。2017年9月15日取得花垣县环境保护局关于花垣县紫霞湖大道项目环境影响评价报告书的批复。</w:t>
            </w:r>
          </w:p>
          <w:p>
            <w:pPr>
              <w:keepNext/>
              <w:keepLines/>
              <w:spacing w:line="360" w:lineRule="auto"/>
              <w:ind w:firstLine="480" w:firstLineChars="200"/>
              <w:outlineLvl w:val="2"/>
              <w:rPr>
                <w:rFonts w:hint="eastAsia"/>
                <w:bCs/>
                <w:sz w:val="24"/>
                <w:u w:val="single"/>
                <w:lang w:eastAsia="zh-CN"/>
              </w:rPr>
            </w:pPr>
            <w:r>
              <w:rPr>
                <w:rFonts w:hint="eastAsia"/>
                <w:bCs/>
                <w:sz w:val="24"/>
                <w:u w:val="single"/>
              </w:rPr>
              <w:t>现道路已经建设完毕，</w:t>
            </w:r>
            <w:r>
              <w:rPr>
                <w:rFonts w:hint="eastAsia"/>
                <w:bCs/>
                <w:sz w:val="24"/>
                <w:u w:val="single"/>
                <w:lang w:eastAsia="zh-CN"/>
              </w:rPr>
              <w:t>道路由花垣县交通运输局进行管理，为此项目用地规划许可证、湖南省林业准予行政许可决定书、不动产权证书用地单位全部为花垣县交通运输局。</w:t>
            </w:r>
          </w:p>
          <w:p>
            <w:pPr>
              <w:keepNext/>
              <w:keepLines/>
              <w:spacing w:line="360" w:lineRule="auto"/>
              <w:ind w:firstLine="480" w:firstLineChars="200"/>
              <w:outlineLvl w:val="2"/>
              <w:rPr>
                <w:rFonts w:hint="default" w:eastAsia="宋体"/>
                <w:bCs/>
                <w:sz w:val="24"/>
                <w:u w:val="single"/>
                <w:lang w:val="en-US" w:eastAsia="zh-CN"/>
              </w:rPr>
            </w:pPr>
            <w:r>
              <w:rPr>
                <w:rFonts w:hint="eastAsia"/>
                <w:bCs/>
                <w:sz w:val="24"/>
                <w:u w:val="single"/>
              </w:rPr>
              <w:t>根据花垣县砂石资源处置方案审批表以及花垣县人民政府关于紫霞道路及朝料村土地平整项目剩余石料处置的批复，项目移交给国有资产投资服务中心，将其纳入公共资源交易平台。2023年10月25日</w:t>
            </w:r>
            <w:r>
              <w:rPr>
                <w:rFonts w:hint="eastAsia"/>
                <w:bCs/>
                <w:sz w:val="24"/>
                <w:u w:val="single"/>
                <w:lang w:eastAsia="zh-CN"/>
              </w:rPr>
              <w:t>由</w:t>
            </w:r>
            <w:r>
              <w:rPr>
                <w:rFonts w:hint="eastAsia"/>
                <w:bCs/>
                <w:sz w:val="24"/>
                <w:u w:val="single"/>
              </w:rPr>
              <w:t>花垣县自然资源局于全国公共资源交易平台（湘西州）湘西州公共资源交易网进行竞价，</w:t>
            </w:r>
            <w:r>
              <w:rPr>
                <w:rFonts w:hint="eastAsia"/>
                <w:bCs/>
                <w:sz w:val="24"/>
                <w:u w:val="single"/>
                <w:lang w:eastAsia="zh-CN"/>
              </w:rPr>
              <w:t>花垣县太平砂石场罗迎春为竞得人（建设单位即花垣县太平砂石场委托罗迎春完成网上竞价与合同签订事宜，委托书见附件</w:t>
            </w:r>
            <w:r>
              <w:rPr>
                <w:rFonts w:hint="eastAsia"/>
                <w:bCs/>
                <w:sz w:val="24"/>
                <w:u w:val="single"/>
                <w:lang w:val="en-US" w:eastAsia="zh-CN"/>
              </w:rPr>
              <w:t>5</w:t>
            </w:r>
            <w:r>
              <w:rPr>
                <w:rFonts w:hint="eastAsia"/>
                <w:bCs/>
                <w:sz w:val="24"/>
                <w:u w:val="single"/>
                <w:lang w:eastAsia="zh-CN"/>
              </w:rPr>
              <w:t>），</w:t>
            </w:r>
            <w:r>
              <w:rPr>
                <w:rFonts w:hint="eastAsia"/>
                <w:bCs/>
                <w:sz w:val="24"/>
                <w:u w:val="single"/>
              </w:rPr>
              <w:t>2024年1月3日完成第三次成交公告（附件</w:t>
            </w:r>
            <w:r>
              <w:rPr>
                <w:rFonts w:hint="eastAsia"/>
                <w:bCs/>
                <w:sz w:val="24"/>
                <w:u w:val="single"/>
                <w:lang w:val="en-US" w:eastAsia="zh-CN"/>
              </w:rPr>
              <w:t>6</w:t>
            </w:r>
            <w:r>
              <w:rPr>
                <w:rFonts w:hint="eastAsia"/>
                <w:bCs/>
                <w:sz w:val="24"/>
                <w:u w:val="single"/>
              </w:rPr>
              <w:t>），于2024年1月12日与</w:t>
            </w:r>
            <w:r>
              <w:rPr>
                <w:rFonts w:hint="eastAsia"/>
                <w:bCs/>
                <w:sz w:val="24"/>
                <w:u w:val="single"/>
                <w:lang w:eastAsia="zh-CN"/>
              </w:rPr>
              <w:t>太平砂石场</w:t>
            </w:r>
            <w:r>
              <w:rPr>
                <w:rFonts w:hint="eastAsia"/>
                <w:bCs/>
                <w:sz w:val="24"/>
                <w:u w:val="single"/>
              </w:rPr>
              <w:t>签订产权交易合同（附件</w:t>
            </w:r>
            <w:r>
              <w:rPr>
                <w:rFonts w:hint="eastAsia"/>
                <w:bCs/>
                <w:sz w:val="24"/>
                <w:u w:val="single"/>
                <w:lang w:val="en-US" w:eastAsia="zh-CN"/>
              </w:rPr>
              <w:t>9</w:t>
            </w:r>
            <w:r>
              <w:rPr>
                <w:rFonts w:hint="eastAsia"/>
                <w:bCs/>
                <w:sz w:val="24"/>
                <w:u w:val="single"/>
              </w:rPr>
              <w:t>）。</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sz w:val="24"/>
                <w:szCs w:val="21"/>
                <w:u w:val="single"/>
                <w:lang w:val="en-US" w:eastAsia="zh-CN"/>
              </w:rPr>
            </w:pPr>
            <w:r>
              <w:rPr>
                <w:rFonts w:hint="eastAsia"/>
                <w:bCs/>
                <w:sz w:val="24"/>
                <w:u w:val="single"/>
                <w:lang w:eastAsia="zh-CN"/>
              </w:rPr>
              <w:t>根据花垣县砂石资源处置方案审批表、湖南省林业局准予行政许可决定书和签订的产权交易合同，项目砂石量</w:t>
            </w:r>
            <w:r>
              <w:rPr>
                <w:rFonts w:hint="eastAsia"/>
                <w:bCs/>
                <w:sz w:val="24"/>
                <w:u w:val="single"/>
                <w:lang w:val="en-US" w:eastAsia="zh-CN"/>
              </w:rPr>
              <w:t>120894.2m³，建设单位必须在网上竞价后365天内将砂石加工处理完毕，占用林地期满后（2年）由花垣县交通运输局恢复占用林地的林业生产条件，并归还林地。因此项目为临时工程，仅处理完成紫霞大道工程、朝料村土地平整剩余砂石，不接收外来石料，服务时间为1年，</w:t>
            </w:r>
            <w:r>
              <w:rPr>
                <w:rFonts w:hint="eastAsia"/>
                <w:sz w:val="24"/>
                <w:szCs w:val="21"/>
                <w:u w:val="single"/>
                <w:lang w:val="en-US" w:eastAsia="zh-CN"/>
              </w:rPr>
              <w:t>即2024年1月3日至2025年1月1日。服务期满后交由</w:t>
            </w:r>
            <w:r>
              <w:rPr>
                <w:rFonts w:hint="eastAsia"/>
                <w:bCs/>
                <w:sz w:val="24"/>
                <w:u w:val="single"/>
                <w:lang w:val="en-US" w:eastAsia="zh-CN"/>
              </w:rPr>
              <w:t>花垣县交通运输局进行绿地复垦。</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bCs/>
                <w:sz w:val="24"/>
              </w:rPr>
            </w:pPr>
            <w:r>
              <w:rPr>
                <w:rFonts w:hint="eastAsia"/>
                <w:bCs/>
                <w:sz w:val="24"/>
              </w:rPr>
              <w:t>本项目建设提高了紫霞湖大道工程弃渣资源利用率，推动了当地的经济发展，因此项目建设十分必要和可行的。</w:t>
            </w:r>
          </w:p>
          <w:p>
            <w:pPr>
              <w:wordWrap w:val="0"/>
              <w:spacing w:line="360" w:lineRule="auto"/>
              <w:ind w:firstLine="480" w:firstLineChars="200"/>
              <w:rPr>
                <w:sz w:val="24"/>
              </w:rPr>
            </w:pPr>
            <w:r>
              <w:rPr>
                <w:rFonts w:hint="eastAsia"/>
                <w:sz w:val="24"/>
              </w:rPr>
              <w:t>根据《中华人民共和国环境影响评价法》、《建设项目环境保护管理条例》等相关法律法规，本项目需进行环境影响评价。根据《建设项目环境影响评价分类管理名录》（2021版），项目属于“二十七、非金属矿物制品业”中“56砖瓦、石材等建筑材料制造”</w:t>
            </w:r>
            <w:r>
              <w:rPr>
                <w:sz w:val="24"/>
              </w:rPr>
              <w:t>中</w:t>
            </w:r>
            <w:r>
              <w:rPr>
                <w:rFonts w:hint="eastAsia"/>
                <w:sz w:val="24"/>
              </w:rPr>
              <w:t>“建筑用石加工”，需编制环境影响报告表。</w:t>
            </w:r>
          </w:p>
          <w:p>
            <w:pPr>
              <w:keepNext/>
              <w:keepLines/>
              <w:wordWrap w:val="0"/>
              <w:spacing w:before="192" w:beforeLines="80" w:after="192" w:afterLines="80" w:line="360" w:lineRule="auto"/>
              <w:ind w:firstLine="480" w:firstLineChars="200"/>
              <w:outlineLvl w:val="2"/>
              <w:rPr>
                <w:rFonts w:hint="eastAsia"/>
                <w:bCs/>
                <w:sz w:val="24"/>
              </w:rPr>
            </w:pPr>
            <w:r>
              <w:rPr>
                <w:rFonts w:hint="eastAsia"/>
                <w:bCs/>
                <w:sz w:val="24"/>
              </w:rPr>
              <w:t>花垣县太平砂石场于2024年3月委托我公司承担该项目的环境影响评价工作。接受委托后（委托书见附件一），我公司立即组织有关技术人员对项目所在地及周围环境进行了实地踏勘，收集相关资料，并在此基础上，依据国家法律法规和建设项目环境影响评价相关导则、规范和标准等，编制完成了本环境影响报告表。</w:t>
            </w:r>
          </w:p>
          <w:p>
            <w:pPr>
              <w:keepNext/>
              <w:keepLines/>
              <w:wordWrap w:val="0"/>
              <w:spacing w:before="192" w:beforeLines="80" w:after="192" w:afterLines="80"/>
              <w:outlineLvl w:val="2"/>
              <w:rPr>
                <w:b/>
                <w:bCs/>
                <w:sz w:val="28"/>
                <w:szCs w:val="32"/>
              </w:rPr>
            </w:pPr>
            <w:r>
              <w:rPr>
                <w:b/>
                <w:bCs/>
                <w:sz w:val="28"/>
                <w:szCs w:val="32"/>
              </w:rPr>
              <w:t>2.1.2</w:t>
            </w:r>
            <w:bookmarkEnd w:id="17"/>
            <w:bookmarkEnd w:id="18"/>
            <w:bookmarkEnd w:id="19"/>
            <w:bookmarkEnd w:id="20"/>
            <w:bookmarkEnd w:id="21"/>
            <w:r>
              <w:rPr>
                <w:rFonts w:hint="eastAsia"/>
                <w:b/>
                <w:bCs/>
                <w:sz w:val="28"/>
                <w:szCs w:val="32"/>
              </w:rPr>
              <w:t>项目概况</w:t>
            </w:r>
          </w:p>
          <w:p>
            <w:pPr>
              <w:pStyle w:val="10"/>
              <w:adjustRightInd w:val="0"/>
              <w:snapToGrid w:val="0"/>
              <w:spacing w:after="0" w:line="360" w:lineRule="auto"/>
              <w:ind w:left="0" w:leftChars="0" w:firstLine="480" w:firstLineChars="200"/>
              <w:rPr>
                <w:szCs w:val="24"/>
              </w:rPr>
            </w:pPr>
            <w:r>
              <w:rPr>
                <w:rFonts w:hint="eastAsia"/>
                <w:szCs w:val="24"/>
              </w:rPr>
              <w:t>（1）</w:t>
            </w:r>
            <w:r>
              <w:rPr>
                <w:szCs w:val="24"/>
              </w:rPr>
              <w:t>项目名称：紫霞大道工程建设、朝料村土地平整剩余砂石资源利用项目；</w:t>
            </w:r>
          </w:p>
          <w:p>
            <w:pPr>
              <w:pStyle w:val="10"/>
              <w:adjustRightInd w:val="0"/>
              <w:snapToGrid w:val="0"/>
              <w:spacing w:after="0" w:line="360" w:lineRule="auto"/>
              <w:ind w:left="0" w:leftChars="0" w:firstLine="480" w:firstLineChars="200"/>
              <w:rPr>
                <w:szCs w:val="24"/>
              </w:rPr>
            </w:pPr>
            <w:r>
              <w:rPr>
                <w:rFonts w:hint="eastAsia"/>
                <w:szCs w:val="24"/>
              </w:rPr>
              <w:t>（2）</w:t>
            </w:r>
            <w:r>
              <w:rPr>
                <w:szCs w:val="24"/>
              </w:rPr>
              <w:t>建设单位：</w:t>
            </w:r>
            <w:r>
              <w:rPr>
                <w:rFonts w:hint="eastAsia"/>
                <w:szCs w:val="24"/>
              </w:rPr>
              <w:t>花垣县太平砂石场</w:t>
            </w:r>
            <w:r>
              <w:t>；</w:t>
            </w:r>
          </w:p>
          <w:p>
            <w:pPr>
              <w:pStyle w:val="10"/>
              <w:adjustRightInd w:val="0"/>
              <w:snapToGrid w:val="0"/>
              <w:spacing w:after="0" w:line="360" w:lineRule="auto"/>
              <w:ind w:left="0" w:leftChars="0" w:firstLine="480" w:firstLineChars="200"/>
            </w:pPr>
            <w:r>
              <w:rPr>
                <w:rFonts w:hint="eastAsia"/>
                <w:szCs w:val="24"/>
              </w:rPr>
              <w:t>（3）</w:t>
            </w:r>
            <w:r>
              <w:rPr>
                <w:szCs w:val="24"/>
              </w:rPr>
              <w:t>建设性质：新建；</w:t>
            </w:r>
          </w:p>
          <w:p>
            <w:pPr>
              <w:wordWrap w:val="0"/>
              <w:spacing w:line="360" w:lineRule="auto"/>
              <w:ind w:firstLine="480" w:firstLineChars="200"/>
              <w:rPr>
                <w:sz w:val="24"/>
              </w:rPr>
            </w:pPr>
            <w:r>
              <w:rPr>
                <w:rFonts w:hint="eastAsia"/>
                <w:sz w:val="24"/>
              </w:rPr>
              <w:t>（4）项目投资：总投资：230万元，其中环保投资</w:t>
            </w:r>
            <w:r>
              <w:rPr>
                <w:rFonts w:hint="eastAsia"/>
                <w:sz w:val="24"/>
                <w:lang w:val="en-US" w:eastAsia="zh-CN"/>
              </w:rPr>
              <w:t>42.20</w:t>
            </w:r>
            <w:r>
              <w:rPr>
                <w:rFonts w:hint="eastAsia"/>
                <w:sz w:val="24"/>
              </w:rPr>
              <w:t>万元，占总投资的</w:t>
            </w:r>
            <w:r>
              <w:rPr>
                <w:rFonts w:hint="eastAsia"/>
                <w:sz w:val="24"/>
                <w:lang w:val="en-US" w:eastAsia="zh-CN"/>
              </w:rPr>
              <w:t>324.87</w:t>
            </w:r>
            <w:r>
              <w:rPr>
                <w:rFonts w:hint="eastAsia"/>
                <w:sz w:val="24"/>
              </w:rPr>
              <w:t>%。</w:t>
            </w:r>
          </w:p>
          <w:p>
            <w:pPr>
              <w:spacing w:line="360" w:lineRule="auto"/>
              <w:ind w:firstLine="480" w:firstLineChars="200"/>
              <w:rPr>
                <w:sz w:val="24"/>
              </w:rPr>
            </w:pPr>
            <w:r>
              <w:rPr>
                <w:rFonts w:hint="eastAsia"/>
                <w:sz w:val="24"/>
              </w:rPr>
              <w:t>（5）建设地点：花垣县花垣镇。项目中心地理坐标为：东经</w:t>
            </w:r>
            <w:r>
              <w:rPr>
                <w:rFonts w:hint="eastAsia"/>
                <w:sz w:val="24"/>
                <w:szCs w:val="21"/>
              </w:rPr>
              <w:t>109度27分31.235秒</w:t>
            </w:r>
            <w:r>
              <w:rPr>
                <w:sz w:val="24"/>
                <w:szCs w:val="21"/>
              </w:rPr>
              <w:t>，</w:t>
            </w:r>
            <w:r>
              <w:rPr>
                <w:rFonts w:hint="eastAsia"/>
                <w:sz w:val="24"/>
                <w:szCs w:val="21"/>
              </w:rPr>
              <w:t>北纬28度33分6.180秒。</w:t>
            </w:r>
          </w:p>
          <w:p>
            <w:pPr>
              <w:wordWrap w:val="0"/>
              <w:spacing w:line="360" w:lineRule="auto"/>
              <w:ind w:firstLine="480" w:firstLineChars="200"/>
              <w:rPr>
                <w:color w:val="FF0000"/>
                <w:sz w:val="24"/>
              </w:rPr>
            </w:pPr>
            <w:r>
              <w:rPr>
                <w:rFonts w:hint="eastAsia"/>
                <w:sz w:val="24"/>
              </w:rPr>
              <w:t>（6）国民经济行业类别：C30</w:t>
            </w:r>
            <w:r>
              <w:rPr>
                <w:rFonts w:hint="eastAsia"/>
                <w:sz w:val="24"/>
                <w:lang w:val="en-US" w:eastAsia="zh-CN"/>
              </w:rPr>
              <w:t>39其他建筑材料制造</w:t>
            </w:r>
            <w:r>
              <w:rPr>
                <w:rFonts w:hint="eastAsia"/>
                <w:sz w:val="24"/>
              </w:rPr>
              <w:t>。</w:t>
            </w:r>
          </w:p>
          <w:p>
            <w:pPr>
              <w:wordWrap w:val="0"/>
              <w:spacing w:line="360" w:lineRule="auto"/>
              <w:ind w:firstLine="480" w:firstLineChars="200"/>
              <w:rPr>
                <w:rFonts w:hint="eastAsia"/>
                <w:sz w:val="24"/>
                <w:highlight w:val="none"/>
                <w:shd w:val="clear" w:color="auto" w:fill="auto"/>
              </w:rPr>
            </w:pPr>
            <w:r>
              <w:rPr>
                <w:rFonts w:hint="eastAsia"/>
                <w:sz w:val="24"/>
              </w:rPr>
              <w:t>（7）建设规模：年加工砂石</w:t>
            </w:r>
            <w:r>
              <w:rPr>
                <w:rFonts w:hint="eastAsia"/>
                <w:sz w:val="24"/>
                <w:highlight w:val="none"/>
              </w:rPr>
              <w:t>120894.2m³/a</w:t>
            </w:r>
            <w:r>
              <w:rPr>
                <w:rFonts w:hint="eastAsia"/>
                <w:sz w:val="24"/>
              </w:rPr>
              <w:t>（密度2.6g/cm³，</w:t>
            </w:r>
            <w:r>
              <w:rPr>
                <w:rFonts w:hint="eastAsia"/>
                <w:sz w:val="24"/>
                <w:highlight w:val="none"/>
                <w:shd w:val="clear" w:color="auto" w:fill="auto"/>
              </w:rPr>
              <w:t>约31.43万t/a</w:t>
            </w:r>
            <w:r>
              <w:rPr>
                <w:rFonts w:hint="eastAsia"/>
                <w:sz w:val="24"/>
                <w:highlight w:val="none"/>
                <w:shd w:val="clear" w:color="auto" w:fill="auto"/>
                <w:lang w:eastAsia="zh-CN"/>
              </w:rPr>
              <w:t>，</w:t>
            </w:r>
            <w:r>
              <w:rPr>
                <w:rFonts w:hint="eastAsia"/>
                <w:sz w:val="24"/>
                <w:highlight w:val="none"/>
                <w:shd w:val="clear" w:color="auto" w:fill="auto"/>
                <w:lang w:val="en-US" w:eastAsia="zh-CN"/>
              </w:rPr>
              <w:t>1047.67t/d</w:t>
            </w:r>
            <w:r>
              <w:rPr>
                <w:rFonts w:hint="eastAsia"/>
                <w:sz w:val="24"/>
                <w:highlight w:val="none"/>
                <w:shd w:val="clear" w:color="auto" w:fill="auto"/>
              </w:rPr>
              <w:t>）。</w:t>
            </w:r>
          </w:p>
          <w:p>
            <w:pPr>
              <w:wordWrap w:val="0"/>
              <w:spacing w:line="360" w:lineRule="auto"/>
              <w:ind w:firstLine="480" w:firstLineChars="200"/>
              <w:rPr>
                <w:rFonts w:hint="default"/>
                <w:sz w:val="24"/>
                <w:lang w:val="en-US" w:eastAsia="zh-CN"/>
              </w:rPr>
            </w:pPr>
            <w:r>
              <w:rPr>
                <w:rFonts w:hint="eastAsia"/>
                <w:sz w:val="24"/>
                <w:lang w:val="en-US" w:eastAsia="zh-CN"/>
              </w:rPr>
              <w:t>（8）服务年限：生产运行1年。</w:t>
            </w:r>
          </w:p>
          <w:p>
            <w:pPr>
              <w:wordWrap w:val="0"/>
              <w:spacing w:line="360" w:lineRule="auto"/>
              <w:ind w:firstLine="480" w:firstLineChars="200"/>
              <w:rPr>
                <w:sz w:val="24"/>
              </w:rPr>
            </w:pPr>
            <w:r>
              <w:rPr>
                <w:rFonts w:hint="eastAsia"/>
                <w:sz w:val="24"/>
              </w:rPr>
              <w:t>（</w:t>
            </w:r>
            <w:r>
              <w:rPr>
                <w:rFonts w:hint="eastAsia"/>
                <w:sz w:val="24"/>
                <w:lang w:val="en-US" w:eastAsia="zh-CN"/>
              </w:rPr>
              <w:t>9</w:t>
            </w:r>
            <w:r>
              <w:rPr>
                <w:rFonts w:hint="eastAsia"/>
                <w:sz w:val="24"/>
              </w:rPr>
              <w:t>）劳动定员和工作制度：工作人员10人，年工作</w:t>
            </w:r>
            <w:r>
              <w:rPr>
                <w:rFonts w:hint="eastAsia"/>
                <w:sz w:val="24"/>
                <w:lang w:val="en-US" w:eastAsia="zh-CN"/>
              </w:rPr>
              <w:t>300</w:t>
            </w:r>
            <w:r>
              <w:rPr>
                <w:rFonts w:hint="eastAsia"/>
                <w:sz w:val="24"/>
              </w:rPr>
              <w:t>天，每天工作8小时</w:t>
            </w:r>
            <w:r>
              <w:rPr>
                <w:rFonts w:hint="eastAsia"/>
                <w:sz w:val="24"/>
                <w:lang w:eastAsia="zh-CN"/>
              </w:rPr>
              <w:t>，夜间不</w:t>
            </w:r>
            <w:r>
              <w:rPr>
                <w:rFonts w:hint="eastAsia"/>
                <w:sz w:val="24"/>
                <w:highlight w:val="none"/>
                <w:lang w:eastAsia="zh-CN"/>
              </w:rPr>
              <w:t>生产</w:t>
            </w:r>
            <w:r>
              <w:rPr>
                <w:rFonts w:hint="eastAsia"/>
                <w:sz w:val="24"/>
              </w:rPr>
              <w:t>。</w:t>
            </w:r>
          </w:p>
          <w:p>
            <w:pPr>
              <w:keepNext/>
              <w:keepLines/>
              <w:wordWrap w:val="0"/>
              <w:spacing w:before="192" w:beforeLines="80" w:after="192" w:afterLines="80"/>
              <w:outlineLvl w:val="2"/>
              <w:rPr>
                <w:b/>
                <w:bCs/>
                <w:sz w:val="28"/>
                <w:szCs w:val="32"/>
              </w:rPr>
            </w:pPr>
            <w:bookmarkStart w:id="22" w:name="_Toc111721041"/>
            <w:bookmarkStart w:id="23" w:name="_Toc109630654"/>
            <w:bookmarkStart w:id="24" w:name="_Toc110446458"/>
            <w:bookmarkStart w:id="25" w:name="_Toc109294453"/>
            <w:bookmarkStart w:id="26" w:name="_Toc109734356"/>
            <w:r>
              <w:rPr>
                <w:b/>
                <w:bCs/>
                <w:sz w:val="28"/>
                <w:szCs w:val="32"/>
              </w:rPr>
              <w:t>2.1.</w:t>
            </w:r>
            <w:r>
              <w:rPr>
                <w:rFonts w:hint="eastAsia"/>
                <w:b/>
                <w:bCs/>
                <w:sz w:val="28"/>
                <w:szCs w:val="32"/>
              </w:rPr>
              <w:t>3产品方案</w:t>
            </w:r>
            <w:bookmarkEnd w:id="22"/>
            <w:bookmarkEnd w:id="23"/>
            <w:bookmarkEnd w:id="24"/>
            <w:bookmarkEnd w:id="25"/>
            <w:bookmarkEnd w:id="26"/>
          </w:p>
          <w:p>
            <w:pPr>
              <w:wordWrap w:val="0"/>
              <w:spacing w:line="360" w:lineRule="auto"/>
              <w:ind w:firstLine="480" w:firstLineChars="200"/>
              <w:rPr>
                <w:sz w:val="24"/>
              </w:rPr>
            </w:pPr>
            <w:r>
              <w:rPr>
                <w:rFonts w:hint="eastAsia"/>
                <w:sz w:val="24"/>
              </w:rPr>
              <w:t>本项目主要产品为</w:t>
            </w:r>
            <w:r>
              <w:rPr>
                <w:rFonts w:hint="eastAsia"/>
                <w:sz w:val="24"/>
                <w:lang w:eastAsia="zh-CN"/>
              </w:rPr>
              <w:t>利用紫霞湖大道及朝料村场地平整剩余砂石加工成为机砂、粉砂和</w:t>
            </w:r>
            <w:r>
              <w:rPr>
                <w:rFonts w:hint="eastAsia"/>
                <w:sz w:val="24"/>
                <w:lang w:val="en-US" w:eastAsia="zh-CN"/>
              </w:rPr>
              <w:t>1312卵石</w:t>
            </w:r>
            <w:r>
              <w:rPr>
                <w:rFonts w:hint="eastAsia"/>
                <w:sz w:val="24"/>
              </w:rPr>
              <w:t>。项目产品方案如下：</w:t>
            </w:r>
          </w:p>
          <w:p>
            <w:pPr>
              <w:wordWrap w:val="0"/>
              <w:overflowPunct w:val="0"/>
              <w:autoSpaceDE w:val="0"/>
              <w:autoSpaceDN w:val="0"/>
              <w:adjustRightInd w:val="0"/>
              <w:snapToGrid w:val="0"/>
              <w:spacing w:before="144" w:beforeLines="60" w:after="144" w:afterLines="60"/>
              <w:jc w:val="center"/>
              <w:textAlignment w:val="baseline"/>
              <w:rPr>
                <w:rFonts w:cs="宋体"/>
                <w:b/>
                <w:szCs w:val="21"/>
                <w:highlight w:val="none"/>
              </w:rPr>
            </w:pPr>
            <w:r>
              <w:rPr>
                <w:rFonts w:hint="eastAsia" w:cs="宋体"/>
                <w:b/>
                <w:szCs w:val="21"/>
                <w:highlight w:val="none"/>
              </w:rPr>
              <w:t>表2.1-1：产品方案一览表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1"/>
              <w:gridCol w:w="1232"/>
              <w:gridCol w:w="1747"/>
              <w:gridCol w:w="966"/>
              <w:gridCol w:w="1571"/>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4" w:hRule="atLeast"/>
                <w:jc w:val="center"/>
              </w:trPr>
              <w:tc>
                <w:tcPr>
                  <w:tcW w:w="376" w:type="pct"/>
                  <w:noWrap w:val="0"/>
                  <w:vAlign w:val="center"/>
                </w:tcPr>
                <w:p>
                  <w:pPr>
                    <w:pStyle w:val="77"/>
                  </w:pPr>
                  <w:r>
                    <w:rPr>
                      <w:rFonts w:hint="eastAsia"/>
                    </w:rPr>
                    <w:t>序号</w:t>
                  </w:r>
                </w:p>
              </w:tc>
              <w:tc>
                <w:tcPr>
                  <w:tcW w:w="723" w:type="pct"/>
                  <w:noWrap w:val="0"/>
                  <w:vAlign w:val="center"/>
                </w:tcPr>
                <w:p>
                  <w:pPr>
                    <w:pStyle w:val="77"/>
                  </w:pPr>
                  <w:r>
                    <w:rPr>
                      <w:rFonts w:hint="eastAsia"/>
                    </w:rPr>
                    <w:t>产品名称</w:t>
                  </w:r>
                </w:p>
              </w:tc>
              <w:tc>
                <w:tcPr>
                  <w:tcW w:w="1025" w:type="pct"/>
                  <w:tcBorders>
                    <w:right w:val="single" w:color="000000" w:sz="4" w:space="0"/>
                  </w:tcBorders>
                  <w:noWrap w:val="0"/>
                  <w:vAlign w:val="center"/>
                </w:tcPr>
                <w:p>
                  <w:pPr>
                    <w:pStyle w:val="77"/>
                  </w:pPr>
                  <w:r>
                    <w:rPr>
                      <w:rFonts w:hint="eastAsia"/>
                    </w:rPr>
                    <w:t>生产规模</w:t>
                  </w:r>
                </w:p>
              </w:tc>
              <w:tc>
                <w:tcPr>
                  <w:tcW w:w="567" w:type="pct"/>
                  <w:noWrap w:val="0"/>
                  <w:vAlign w:val="center"/>
                </w:tcPr>
                <w:p>
                  <w:pPr>
                    <w:pStyle w:val="77"/>
                  </w:pPr>
                  <w:r>
                    <w:rPr>
                      <w:rFonts w:hint="eastAsia"/>
                    </w:rPr>
                    <w:t>储存位置</w:t>
                  </w:r>
                </w:p>
              </w:tc>
              <w:tc>
                <w:tcPr>
                  <w:tcW w:w="922" w:type="pct"/>
                  <w:noWrap w:val="0"/>
                  <w:vAlign w:val="center"/>
                </w:tcPr>
                <w:p>
                  <w:pPr>
                    <w:pStyle w:val="77"/>
                    <w:rPr>
                      <w:rFonts w:hint="eastAsia"/>
                    </w:rPr>
                  </w:pPr>
                  <w:r>
                    <w:rPr>
                      <w:rFonts w:hint="eastAsia"/>
                    </w:rPr>
                    <w:t>用途</w:t>
                  </w:r>
                </w:p>
              </w:tc>
              <w:tc>
                <w:tcPr>
                  <w:tcW w:w="1385" w:type="pct"/>
                  <w:noWrap w:val="0"/>
                  <w:vAlign w:val="center"/>
                </w:tcPr>
                <w:p>
                  <w:pPr>
                    <w:pStyle w:val="77"/>
                    <w:rPr>
                      <w:rFonts w:hint="eastAsia"/>
                    </w:rPr>
                  </w:pPr>
                  <w:r>
                    <w:rPr>
                      <w:rFonts w:hint="eastAsia"/>
                    </w:rPr>
                    <w:t>产品规格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6" w:type="pct"/>
                  <w:noWrap w:val="0"/>
                  <w:vAlign w:val="center"/>
                </w:tcPr>
                <w:p>
                  <w:pPr>
                    <w:pStyle w:val="77"/>
                  </w:pPr>
                  <w:r>
                    <w:rPr>
                      <w:rFonts w:hint="eastAsia"/>
                    </w:rPr>
                    <w:t>1</w:t>
                  </w:r>
                </w:p>
              </w:tc>
              <w:tc>
                <w:tcPr>
                  <w:tcW w:w="723" w:type="pct"/>
                  <w:noWrap w:val="0"/>
                  <w:vAlign w:val="center"/>
                </w:tcPr>
                <w:p>
                  <w:pPr>
                    <w:pStyle w:val="77"/>
                    <w:rPr>
                      <w:rFonts w:hint="eastAsia" w:eastAsia="宋体"/>
                      <w:lang w:eastAsia="zh-CN"/>
                    </w:rPr>
                  </w:pPr>
                  <w:r>
                    <w:rPr>
                      <w:rFonts w:hint="eastAsia"/>
                      <w:lang w:eastAsia="zh-CN"/>
                    </w:rPr>
                    <w:t>机砂</w:t>
                  </w:r>
                </w:p>
              </w:tc>
              <w:tc>
                <w:tcPr>
                  <w:tcW w:w="1025" w:type="pct"/>
                  <w:noWrap w:val="0"/>
                  <w:vAlign w:val="center"/>
                </w:tcPr>
                <w:p>
                  <w:pPr>
                    <w:pStyle w:val="77"/>
                    <w:rPr>
                      <w:highlight w:val="none"/>
                    </w:rPr>
                  </w:pPr>
                  <w:r>
                    <w:rPr>
                      <w:rFonts w:hint="eastAsia"/>
                      <w:highlight w:val="none"/>
                      <w:lang w:val="en-US" w:eastAsia="zh-CN"/>
                    </w:rPr>
                    <w:t>21.9594</w:t>
                  </w:r>
                  <w:r>
                    <w:rPr>
                      <w:rFonts w:hint="eastAsia"/>
                      <w:highlight w:val="none"/>
                      <w:lang w:eastAsia="zh-CN"/>
                    </w:rPr>
                    <w:t>万</w:t>
                  </w:r>
                  <w:r>
                    <w:rPr>
                      <w:rFonts w:hint="eastAsia"/>
                      <w:highlight w:val="none"/>
                    </w:rPr>
                    <w:t>t/d</w:t>
                  </w:r>
                </w:p>
              </w:tc>
              <w:tc>
                <w:tcPr>
                  <w:tcW w:w="567" w:type="pct"/>
                  <w:noWrap w:val="0"/>
                  <w:vAlign w:val="center"/>
                </w:tcPr>
                <w:p>
                  <w:pPr>
                    <w:pStyle w:val="77"/>
                    <w:rPr>
                      <w:rFonts w:hint="eastAsia"/>
                    </w:rPr>
                  </w:pPr>
                  <w:r>
                    <w:rPr>
                      <w:rFonts w:hint="eastAsia"/>
                    </w:rPr>
                    <w:t>成品库</w:t>
                  </w:r>
                </w:p>
              </w:tc>
              <w:tc>
                <w:tcPr>
                  <w:tcW w:w="922" w:type="pct"/>
                  <w:vMerge w:val="restart"/>
                  <w:noWrap w:val="0"/>
                  <w:vAlign w:val="center"/>
                </w:tcPr>
                <w:p>
                  <w:pPr>
                    <w:pStyle w:val="77"/>
                    <w:rPr>
                      <w:rFonts w:hint="eastAsia"/>
                    </w:rPr>
                  </w:pPr>
                  <w:r>
                    <w:rPr>
                      <w:rFonts w:hint="eastAsia"/>
                    </w:rPr>
                    <w:t>用于建筑、道路</w:t>
                  </w:r>
                </w:p>
              </w:tc>
              <w:tc>
                <w:tcPr>
                  <w:tcW w:w="1385" w:type="pct"/>
                  <w:noWrap w:val="0"/>
                  <w:vAlign w:val="center"/>
                </w:tcPr>
                <w:p>
                  <w:pPr>
                    <w:pStyle w:val="77"/>
                  </w:pPr>
                  <w:r>
                    <w:rPr>
                      <w:rFonts w:hint="eastAsia"/>
                      <w:lang w:val="en-US" w:eastAsia="zh-CN"/>
                    </w:rPr>
                    <w:t>10mm~</w:t>
                  </w:r>
                  <w:r>
                    <w:t>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76" w:type="pct"/>
                  <w:noWrap w:val="0"/>
                  <w:vAlign w:val="center"/>
                </w:tcPr>
                <w:p>
                  <w:pPr>
                    <w:pStyle w:val="77"/>
                    <w:rPr>
                      <w:rFonts w:hint="eastAsia" w:eastAsia="宋体"/>
                      <w:lang w:val="en-US" w:eastAsia="zh-CN"/>
                    </w:rPr>
                  </w:pPr>
                  <w:r>
                    <w:rPr>
                      <w:rFonts w:hint="eastAsia"/>
                      <w:lang w:val="en-US" w:eastAsia="zh-CN"/>
                    </w:rPr>
                    <w:t>2</w:t>
                  </w:r>
                </w:p>
              </w:tc>
              <w:tc>
                <w:tcPr>
                  <w:tcW w:w="723" w:type="pct"/>
                  <w:noWrap w:val="0"/>
                  <w:vAlign w:val="center"/>
                </w:tcPr>
                <w:p>
                  <w:pPr>
                    <w:pStyle w:val="77"/>
                    <w:rPr>
                      <w:rFonts w:hint="eastAsia" w:eastAsia="宋体"/>
                      <w:lang w:eastAsia="zh-CN"/>
                    </w:rPr>
                  </w:pPr>
                  <w:r>
                    <w:rPr>
                      <w:rFonts w:hint="eastAsia"/>
                      <w:lang w:eastAsia="zh-CN"/>
                    </w:rPr>
                    <w:t>粉砂</w:t>
                  </w:r>
                </w:p>
              </w:tc>
              <w:tc>
                <w:tcPr>
                  <w:tcW w:w="1025" w:type="pct"/>
                  <w:noWrap w:val="0"/>
                  <w:vAlign w:val="center"/>
                </w:tcPr>
                <w:p>
                  <w:pPr>
                    <w:pStyle w:val="77"/>
                    <w:rPr>
                      <w:rFonts w:hint="default"/>
                      <w:highlight w:val="none"/>
                      <w:lang w:val="en-US" w:eastAsia="zh-CN"/>
                    </w:rPr>
                  </w:pPr>
                  <w:r>
                    <w:rPr>
                      <w:rFonts w:hint="eastAsia"/>
                      <w:highlight w:val="none"/>
                      <w:lang w:val="en-US" w:eastAsia="zh-CN"/>
                    </w:rPr>
                    <w:t>4.7055</w:t>
                  </w:r>
                  <w:r>
                    <w:rPr>
                      <w:rFonts w:hint="eastAsia"/>
                      <w:highlight w:val="none"/>
                      <w:lang w:eastAsia="zh-CN"/>
                    </w:rPr>
                    <w:t>万</w:t>
                  </w:r>
                  <w:r>
                    <w:rPr>
                      <w:rFonts w:hint="eastAsia"/>
                      <w:highlight w:val="none"/>
                    </w:rPr>
                    <w:t>t/d</w:t>
                  </w:r>
                </w:p>
              </w:tc>
              <w:tc>
                <w:tcPr>
                  <w:tcW w:w="567" w:type="pct"/>
                  <w:noWrap w:val="0"/>
                  <w:vAlign w:val="center"/>
                </w:tcPr>
                <w:p>
                  <w:pPr>
                    <w:pStyle w:val="77"/>
                    <w:rPr>
                      <w:rFonts w:hint="eastAsia"/>
                    </w:rPr>
                  </w:pPr>
                  <w:r>
                    <w:rPr>
                      <w:rFonts w:hint="eastAsia"/>
                    </w:rPr>
                    <w:t>成品库</w:t>
                  </w:r>
                </w:p>
              </w:tc>
              <w:tc>
                <w:tcPr>
                  <w:tcW w:w="922" w:type="pct"/>
                  <w:vMerge w:val="continue"/>
                  <w:noWrap w:val="0"/>
                  <w:vAlign w:val="center"/>
                </w:tcPr>
                <w:p>
                  <w:pPr>
                    <w:pStyle w:val="77"/>
                    <w:rPr>
                      <w:rFonts w:hint="eastAsia"/>
                    </w:rPr>
                  </w:pPr>
                </w:p>
              </w:tc>
              <w:tc>
                <w:tcPr>
                  <w:tcW w:w="1385" w:type="pct"/>
                  <w:noWrap w:val="0"/>
                  <w:vAlign w:val="center"/>
                </w:tcPr>
                <w:p>
                  <w:pPr>
                    <w:pStyle w:val="77"/>
                    <w:rPr>
                      <w:rFonts w:hint="default" w:eastAsia="宋体"/>
                      <w:lang w:val="en-US" w:eastAsia="zh-CN"/>
                    </w:rPr>
                  </w:pPr>
                  <w:r>
                    <w:rPr>
                      <w:rFonts w:hint="eastAsia"/>
                      <w:lang w:val="en-US" w:eastAsia="zh-CN"/>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6" w:type="pct"/>
                  <w:noWrap w:val="0"/>
                  <w:vAlign w:val="center"/>
                </w:tcPr>
                <w:p>
                  <w:pPr>
                    <w:pStyle w:val="77"/>
                    <w:rPr>
                      <w:rFonts w:hint="default"/>
                      <w:lang w:val="en-US" w:eastAsia="zh-CN"/>
                    </w:rPr>
                  </w:pPr>
                  <w:r>
                    <w:rPr>
                      <w:rFonts w:hint="eastAsia"/>
                      <w:lang w:val="en-US" w:eastAsia="zh-CN"/>
                    </w:rPr>
                    <w:t>3</w:t>
                  </w:r>
                </w:p>
              </w:tc>
              <w:tc>
                <w:tcPr>
                  <w:tcW w:w="723" w:type="pct"/>
                  <w:noWrap w:val="0"/>
                  <w:vAlign w:val="center"/>
                </w:tcPr>
                <w:p>
                  <w:pPr>
                    <w:pStyle w:val="77"/>
                    <w:rPr>
                      <w:rFonts w:hint="default" w:eastAsia="宋体"/>
                      <w:lang w:val="en-US" w:eastAsia="zh-CN"/>
                    </w:rPr>
                  </w:pPr>
                  <w:r>
                    <w:rPr>
                      <w:rFonts w:hint="eastAsia"/>
                      <w:lang w:val="en-US" w:eastAsia="zh-CN"/>
                    </w:rPr>
                    <w:t>1213卵石</w:t>
                  </w:r>
                </w:p>
              </w:tc>
              <w:tc>
                <w:tcPr>
                  <w:tcW w:w="1025" w:type="pct"/>
                  <w:noWrap w:val="0"/>
                  <w:vAlign w:val="center"/>
                </w:tcPr>
                <w:p>
                  <w:pPr>
                    <w:pStyle w:val="77"/>
                    <w:rPr>
                      <w:rFonts w:hint="default"/>
                      <w:highlight w:val="none"/>
                      <w:lang w:val="en-US" w:eastAsia="zh-CN"/>
                    </w:rPr>
                  </w:pPr>
                  <w:r>
                    <w:rPr>
                      <w:rFonts w:hint="eastAsia"/>
                      <w:highlight w:val="none"/>
                      <w:lang w:val="en-US" w:eastAsia="zh-CN"/>
                    </w:rPr>
                    <w:t>4.7056</w:t>
                  </w:r>
                  <w:r>
                    <w:rPr>
                      <w:rFonts w:hint="eastAsia"/>
                      <w:highlight w:val="none"/>
                      <w:lang w:eastAsia="zh-CN"/>
                    </w:rPr>
                    <w:t>万</w:t>
                  </w:r>
                  <w:r>
                    <w:rPr>
                      <w:rFonts w:hint="eastAsia"/>
                      <w:highlight w:val="none"/>
                    </w:rPr>
                    <w:t>t/d</w:t>
                  </w:r>
                </w:p>
              </w:tc>
              <w:tc>
                <w:tcPr>
                  <w:tcW w:w="567" w:type="pct"/>
                  <w:noWrap w:val="0"/>
                  <w:vAlign w:val="center"/>
                </w:tcPr>
                <w:p>
                  <w:pPr>
                    <w:pStyle w:val="77"/>
                    <w:rPr>
                      <w:rFonts w:hint="eastAsia"/>
                    </w:rPr>
                  </w:pPr>
                  <w:r>
                    <w:rPr>
                      <w:rFonts w:hint="eastAsia"/>
                    </w:rPr>
                    <w:t>成品库</w:t>
                  </w:r>
                </w:p>
              </w:tc>
              <w:tc>
                <w:tcPr>
                  <w:tcW w:w="922" w:type="pct"/>
                  <w:vMerge w:val="continue"/>
                  <w:noWrap w:val="0"/>
                  <w:vAlign w:val="center"/>
                </w:tcPr>
                <w:p>
                  <w:pPr>
                    <w:pStyle w:val="77"/>
                    <w:rPr>
                      <w:rFonts w:hint="eastAsia"/>
                    </w:rPr>
                  </w:pPr>
                </w:p>
              </w:tc>
              <w:tc>
                <w:tcPr>
                  <w:tcW w:w="1385" w:type="pct"/>
                  <w:noWrap w:val="0"/>
                  <w:vAlign w:val="center"/>
                </w:tcPr>
                <w:p>
                  <w:pPr>
                    <w:pStyle w:val="77"/>
                    <w:rPr>
                      <w:rFonts w:hint="default" w:eastAsia="宋体"/>
                      <w:lang w:val="en-US" w:eastAsia="zh-CN"/>
                    </w:rPr>
                  </w:pPr>
                  <w:r>
                    <w:rPr>
                      <w:rFonts w:hint="eastAsia"/>
                      <w:lang w:val="en-US" w:eastAsia="zh-CN"/>
                    </w:rPr>
                    <w:t>20~25mm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99" w:type="pct"/>
                  <w:gridSpan w:val="2"/>
                  <w:noWrap w:val="0"/>
                  <w:vAlign w:val="center"/>
                </w:tcPr>
                <w:p>
                  <w:pPr>
                    <w:pStyle w:val="77"/>
                    <w:rPr>
                      <w:rFonts w:hint="eastAsia"/>
                      <w:lang w:val="en-US" w:eastAsia="zh-CN"/>
                    </w:rPr>
                  </w:pPr>
                  <w:r>
                    <w:rPr>
                      <w:rFonts w:hint="eastAsia"/>
                      <w:lang w:val="en-US" w:eastAsia="zh-CN"/>
                    </w:rPr>
                    <w:t>合计</w:t>
                  </w:r>
                </w:p>
              </w:tc>
              <w:tc>
                <w:tcPr>
                  <w:tcW w:w="1025" w:type="pct"/>
                  <w:noWrap w:val="0"/>
                  <w:vAlign w:val="center"/>
                </w:tcPr>
                <w:p>
                  <w:pPr>
                    <w:pStyle w:val="77"/>
                    <w:rPr>
                      <w:rFonts w:hint="default"/>
                      <w:highlight w:val="none"/>
                      <w:lang w:val="en-US" w:eastAsia="zh-CN"/>
                    </w:rPr>
                  </w:pPr>
                  <w:r>
                    <w:rPr>
                      <w:rFonts w:hint="eastAsia"/>
                      <w:highlight w:val="none"/>
                      <w:lang w:val="en-US" w:eastAsia="zh-CN"/>
                    </w:rPr>
                    <w:t>31.3705</w:t>
                  </w:r>
                  <w:r>
                    <w:rPr>
                      <w:rFonts w:hint="eastAsia"/>
                      <w:highlight w:val="none"/>
                      <w:lang w:eastAsia="zh-CN"/>
                    </w:rPr>
                    <w:t>万</w:t>
                  </w:r>
                  <w:r>
                    <w:rPr>
                      <w:rFonts w:hint="eastAsia"/>
                      <w:highlight w:val="none"/>
                    </w:rPr>
                    <w:t>t/d</w:t>
                  </w:r>
                </w:p>
              </w:tc>
              <w:tc>
                <w:tcPr>
                  <w:tcW w:w="567" w:type="pct"/>
                  <w:noWrap w:val="0"/>
                  <w:vAlign w:val="center"/>
                </w:tcPr>
                <w:p>
                  <w:pPr>
                    <w:pStyle w:val="77"/>
                    <w:rPr>
                      <w:rFonts w:hint="eastAsia"/>
                    </w:rPr>
                  </w:pPr>
                </w:p>
              </w:tc>
              <w:tc>
                <w:tcPr>
                  <w:tcW w:w="922" w:type="pct"/>
                  <w:noWrap w:val="0"/>
                  <w:vAlign w:val="center"/>
                </w:tcPr>
                <w:p>
                  <w:pPr>
                    <w:pStyle w:val="77"/>
                    <w:rPr>
                      <w:rFonts w:hint="eastAsia"/>
                    </w:rPr>
                  </w:pPr>
                </w:p>
              </w:tc>
              <w:tc>
                <w:tcPr>
                  <w:tcW w:w="1385" w:type="pct"/>
                  <w:noWrap w:val="0"/>
                  <w:vAlign w:val="center"/>
                </w:tcPr>
                <w:p>
                  <w:pPr>
                    <w:pStyle w:val="77"/>
                    <w:rPr>
                      <w:rFonts w:hint="eastAsia"/>
                      <w:lang w:val="en-US" w:eastAsia="zh-CN"/>
                    </w:rPr>
                  </w:pPr>
                </w:p>
              </w:tc>
            </w:tr>
          </w:tbl>
          <w:p>
            <w:pPr>
              <w:keepNext/>
              <w:keepLines/>
              <w:wordWrap w:val="0"/>
              <w:spacing w:before="192" w:beforeLines="80" w:after="192" w:afterLines="80"/>
              <w:outlineLvl w:val="2"/>
              <w:rPr>
                <w:b/>
                <w:bCs/>
                <w:sz w:val="28"/>
                <w:szCs w:val="32"/>
              </w:rPr>
            </w:pPr>
            <w:r>
              <w:rPr>
                <w:rFonts w:hint="eastAsia"/>
                <w:b/>
                <w:bCs/>
                <w:sz w:val="28"/>
                <w:szCs w:val="32"/>
              </w:rPr>
              <w:t>2.1.4项目组成</w:t>
            </w:r>
          </w:p>
          <w:p>
            <w:pPr>
              <w:wordWrap w:val="0"/>
              <w:spacing w:line="360" w:lineRule="auto"/>
              <w:ind w:firstLine="480" w:firstLineChars="200"/>
              <w:rPr>
                <w:sz w:val="24"/>
              </w:rPr>
            </w:pPr>
            <w:r>
              <w:rPr>
                <w:bCs/>
                <w:sz w:val="24"/>
              </w:rPr>
              <w:t>项目位于</w:t>
            </w:r>
            <w:r>
              <w:rPr>
                <w:rFonts w:hint="eastAsia"/>
                <w:bCs/>
                <w:sz w:val="24"/>
              </w:rPr>
              <w:t>花垣县花垣镇</w:t>
            </w:r>
            <w:r>
              <w:rPr>
                <w:bCs/>
                <w:sz w:val="24"/>
              </w:rPr>
              <w:t>，占地面积</w:t>
            </w:r>
            <w:r>
              <w:rPr>
                <w:rFonts w:hint="eastAsia"/>
                <w:bCs/>
                <w:sz w:val="24"/>
              </w:rPr>
              <w:t>23000</w:t>
            </w:r>
            <w:r>
              <w:rPr>
                <w:bCs/>
                <w:sz w:val="24"/>
              </w:rPr>
              <w:t>m</w:t>
            </w:r>
            <w:r>
              <w:rPr>
                <w:bCs/>
                <w:sz w:val="24"/>
                <w:vertAlign w:val="superscript"/>
              </w:rPr>
              <w:t>2</w:t>
            </w:r>
            <w:r>
              <w:rPr>
                <w:bCs/>
                <w:sz w:val="24"/>
              </w:rPr>
              <w:t>，主要</w:t>
            </w:r>
            <w:r>
              <w:rPr>
                <w:rFonts w:hint="eastAsia"/>
                <w:bCs/>
                <w:sz w:val="24"/>
              </w:rPr>
              <w:t>利用紫霞湖大道道路废石进行建筑用石加工</w:t>
            </w:r>
            <w:r>
              <w:rPr>
                <w:bCs/>
                <w:sz w:val="24"/>
              </w:rPr>
              <w:t>，</w:t>
            </w:r>
            <w:r>
              <w:rPr>
                <w:rFonts w:hint="eastAsia"/>
                <w:bCs/>
                <w:sz w:val="24"/>
                <w:highlight w:val="none"/>
              </w:rPr>
              <w:t>年</w:t>
            </w:r>
            <w:r>
              <w:rPr>
                <w:rFonts w:hint="eastAsia"/>
                <w:bCs/>
                <w:sz w:val="24"/>
                <w:highlight w:val="none"/>
                <w:lang w:eastAsia="zh-CN"/>
              </w:rPr>
              <w:t>加工砂</w:t>
            </w:r>
            <w:r>
              <w:rPr>
                <w:rFonts w:hint="eastAsia"/>
                <w:bCs/>
                <w:sz w:val="24"/>
                <w:highlight w:val="none"/>
              </w:rPr>
              <w:t>石</w:t>
            </w:r>
            <w:r>
              <w:rPr>
                <w:rFonts w:hint="eastAsia"/>
                <w:bCs/>
                <w:sz w:val="24"/>
                <w:highlight w:val="none"/>
                <w:lang w:val="en-US" w:eastAsia="zh-CN"/>
              </w:rPr>
              <w:t>31.43万t</w:t>
            </w:r>
            <w:r>
              <w:rPr>
                <w:rFonts w:hint="eastAsia"/>
                <w:bCs/>
                <w:sz w:val="24"/>
                <w:highlight w:val="none"/>
              </w:rPr>
              <w:t>，</w:t>
            </w:r>
            <w:r>
              <w:rPr>
                <w:bCs/>
                <w:sz w:val="24"/>
              </w:rPr>
              <w:t>建设内容及规模见表</w:t>
            </w:r>
            <w:r>
              <w:rPr>
                <w:rFonts w:hint="eastAsia"/>
                <w:sz w:val="24"/>
              </w:rPr>
              <w:t>项目主要建设内容见下表。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表2.1-2：项目组成一览表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52"/>
              <w:gridCol w:w="5673"/>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noWrap w:val="0"/>
                  <w:vAlign w:val="center"/>
                </w:tcPr>
                <w:p>
                  <w:pPr>
                    <w:pStyle w:val="78"/>
                    <w:rPr>
                      <w:b/>
                      <w:bCs w:val="0"/>
                      <w:u w:val="single"/>
                    </w:rPr>
                  </w:pPr>
                  <w:bookmarkStart w:id="27" w:name="_Hlk108622875"/>
                  <w:r>
                    <w:rPr>
                      <w:rFonts w:hint="eastAsia"/>
                      <w:b/>
                      <w:bCs w:val="0"/>
                      <w:u w:val="single"/>
                    </w:rPr>
                    <w:t>工程类别</w:t>
                  </w:r>
                </w:p>
              </w:tc>
              <w:tc>
                <w:tcPr>
                  <w:tcW w:w="676" w:type="pct"/>
                  <w:noWrap w:val="0"/>
                  <w:vAlign w:val="center"/>
                </w:tcPr>
                <w:p>
                  <w:pPr>
                    <w:pStyle w:val="78"/>
                    <w:rPr>
                      <w:b/>
                      <w:bCs w:val="0"/>
                      <w:u w:val="single"/>
                    </w:rPr>
                  </w:pPr>
                  <w:r>
                    <w:rPr>
                      <w:rFonts w:hint="eastAsia"/>
                      <w:b/>
                      <w:bCs w:val="0"/>
                      <w:u w:val="single"/>
                    </w:rPr>
                    <w:t>工程名称</w:t>
                  </w:r>
                </w:p>
              </w:tc>
              <w:tc>
                <w:tcPr>
                  <w:tcW w:w="3330" w:type="pct"/>
                  <w:noWrap w:val="0"/>
                  <w:vAlign w:val="center"/>
                </w:tcPr>
                <w:p>
                  <w:pPr>
                    <w:pStyle w:val="78"/>
                    <w:rPr>
                      <w:b/>
                      <w:bCs w:val="0"/>
                      <w:u w:val="single"/>
                    </w:rPr>
                  </w:pPr>
                  <w:r>
                    <w:rPr>
                      <w:rFonts w:hint="eastAsia"/>
                      <w:b/>
                      <w:bCs w:val="0"/>
                      <w:u w:val="single"/>
                    </w:rPr>
                    <w:t>工程内容以及规模</w:t>
                  </w:r>
                </w:p>
              </w:tc>
              <w:tc>
                <w:tcPr>
                  <w:tcW w:w="520" w:type="pct"/>
                  <w:noWrap w:val="0"/>
                  <w:vAlign w:val="center"/>
                </w:tcPr>
                <w:p>
                  <w:pPr>
                    <w:pStyle w:val="78"/>
                    <w:rPr>
                      <w:b/>
                      <w:bCs w:val="0"/>
                      <w:u w:val="single"/>
                    </w:rPr>
                  </w:pPr>
                  <w:r>
                    <w:rPr>
                      <w:rFonts w:hint="eastAsia"/>
                      <w:b/>
                      <w:bCs w:val="0"/>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72" w:type="pct"/>
                  <w:noWrap w:val="0"/>
                  <w:vAlign w:val="center"/>
                </w:tcPr>
                <w:p>
                  <w:pPr>
                    <w:pStyle w:val="78"/>
                    <w:rPr>
                      <w:u w:val="single"/>
                    </w:rPr>
                  </w:pPr>
                  <w:r>
                    <w:rPr>
                      <w:rFonts w:hint="eastAsia"/>
                      <w:u w:val="single"/>
                    </w:rPr>
                    <w:t>主体工程</w:t>
                  </w:r>
                </w:p>
              </w:tc>
              <w:tc>
                <w:tcPr>
                  <w:tcW w:w="676" w:type="pct"/>
                  <w:tcBorders>
                    <w:bottom w:val="single" w:color="000000" w:sz="4" w:space="0"/>
                  </w:tcBorders>
                  <w:noWrap w:val="0"/>
                  <w:vAlign w:val="center"/>
                </w:tcPr>
                <w:p>
                  <w:pPr>
                    <w:pStyle w:val="78"/>
                    <w:rPr>
                      <w:rFonts w:hint="eastAsia"/>
                      <w:u w:val="single"/>
                    </w:rPr>
                  </w:pPr>
                  <w:r>
                    <w:rPr>
                      <w:rFonts w:hint="eastAsia"/>
                      <w:u w:val="single"/>
                    </w:rPr>
                    <w:t>生产车间</w:t>
                  </w:r>
                </w:p>
              </w:tc>
              <w:tc>
                <w:tcPr>
                  <w:tcW w:w="3330" w:type="pct"/>
                  <w:tcBorders>
                    <w:bottom w:val="single" w:color="000000" w:sz="4" w:space="0"/>
                  </w:tcBorders>
                  <w:noWrap w:val="0"/>
                  <w:vAlign w:val="center"/>
                </w:tcPr>
                <w:p>
                  <w:pPr>
                    <w:adjustRightInd w:val="0"/>
                    <w:snapToGrid w:val="0"/>
                    <w:rPr>
                      <w:u w:val="single"/>
                    </w:rPr>
                  </w:pPr>
                  <w:r>
                    <w:rPr>
                      <w:rFonts w:hint="eastAsia"/>
                      <w:bCs/>
                      <w:szCs w:val="21"/>
                      <w:u w:val="single"/>
                    </w:rPr>
                    <w:t>建设1间3700m</w:t>
                  </w:r>
                  <w:r>
                    <w:rPr>
                      <w:rFonts w:hint="eastAsia"/>
                      <w:bCs/>
                      <w:szCs w:val="21"/>
                      <w:u w:val="single"/>
                      <w:vertAlign w:val="superscript"/>
                    </w:rPr>
                    <w:t>2</w:t>
                  </w:r>
                  <w:r>
                    <w:rPr>
                      <w:rFonts w:hint="eastAsia"/>
                      <w:bCs/>
                      <w:szCs w:val="21"/>
                      <w:u w:val="single"/>
                    </w:rPr>
                    <w:t>的封闭式钢架生产车间，内设建筑用石生产线，主要布设滚筒筛、破碎机、振动筛等设备；</w:t>
                  </w:r>
                </w:p>
              </w:tc>
              <w:tc>
                <w:tcPr>
                  <w:tcW w:w="520" w:type="pct"/>
                  <w:tcBorders>
                    <w:bottom w:val="single" w:color="000000" w:sz="4" w:space="0"/>
                  </w:tcBorders>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noWrap w:val="0"/>
                  <w:vAlign w:val="center"/>
                </w:tcPr>
                <w:p>
                  <w:pPr>
                    <w:pStyle w:val="78"/>
                    <w:rPr>
                      <w:rFonts w:hint="eastAsia"/>
                      <w:u w:val="single"/>
                    </w:rPr>
                  </w:pPr>
                  <w:r>
                    <w:rPr>
                      <w:rFonts w:hint="eastAsia"/>
                      <w:u w:val="single"/>
                    </w:rPr>
                    <w:t>辅助工程</w:t>
                  </w:r>
                </w:p>
              </w:tc>
              <w:tc>
                <w:tcPr>
                  <w:tcW w:w="676" w:type="pct"/>
                  <w:noWrap w:val="0"/>
                  <w:vAlign w:val="center"/>
                </w:tcPr>
                <w:p>
                  <w:pPr>
                    <w:adjustRightInd w:val="0"/>
                    <w:snapToGrid w:val="0"/>
                    <w:jc w:val="center"/>
                    <w:rPr>
                      <w:rFonts w:hint="eastAsia"/>
                      <w:bCs/>
                      <w:szCs w:val="21"/>
                      <w:u w:val="single"/>
                    </w:rPr>
                  </w:pPr>
                  <w:r>
                    <w:rPr>
                      <w:rFonts w:hint="eastAsia"/>
                      <w:bCs/>
                      <w:szCs w:val="21"/>
                      <w:u w:val="single"/>
                    </w:rPr>
                    <w:t>办公楼</w:t>
                  </w:r>
                </w:p>
              </w:tc>
              <w:tc>
                <w:tcPr>
                  <w:tcW w:w="3330" w:type="pct"/>
                  <w:noWrap w:val="0"/>
                  <w:vAlign w:val="center"/>
                </w:tcPr>
                <w:p>
                  <w:pPr>
                    <w:adjustRightInd w:val="0"/>
                    <w:snapToGrid w:val="0"/>
                    <w:rPr>
                      <w:rFonts w:hint="eastAsia"/>
                      <w:bCs/>
                      <w:szCs w:val="21"/>
                      <w:u w:val="single"/>
                    </w:rPr>
                  </w:pPr>
                  <w:r>
                    <w:rPr>
                      <w:rFonts w:hint="eastAsia"/>
                      <w:bCs/>
                      <w:szCs w:val="21"/>
                      <w:u w:val="single"/>
                    </w:rPr>
                    <w:t>厂区西南侧新建办公及休息区，共5间办公室，每间建筑面积均为20m</w:t>
                  </w:r>
                  <w:r>
                    <w:rPr>
                      <w:rFonts w:hint="eastAsia"/>
                      <w:bCs/>
                      <w:szCs w:val="21"/>
                      <w:u w:val="single"/>
                      <w:vertAlign w:val="superscript"/>
                    </w:rPr>
                    <w:t>2</w:t>
                  </w:r>
                  <w:r>
                    <w:rPr>
                      <w:rFonts w:hint="eastAsia"/>
                      <w:bCs/>
                      <w:szCs w:val="21"/>
                      <w:u w:val="single"/>
                    </w:rPr>
                    <w:t>，主要用于办公、日常接待和休息；</w:t>
                  </w:r>
                </w:p>
              </w:tc>
              <w:tc>
                <w:tcPr>
                  <w:tcW w:w="520" w:type="pct"/>
                  <w:noWrap w:val="0"/>
                  <w:vAlign w:val="center"/>
                </w:tcPr>
                <w:p>
                  <w:pPr>
                    <w:pStyle w:val="78"/>
                    <w:rPr>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2" w:type="pct"/>
                  <w:vMerge w:val="continue"/>
                  <w:noWrap w:val="0"/>
                  <w:vAlign w:val="center"/>
                </w:tcPr>
                <w:p>
                  <w:pPr>
                    <w:pStyle w:val="78"/>
                    <w:rPr>
                      <w:rFonts w:hint="eastAsia"/>
                      <w:u w:val="single"/>
                    </w:rPr>
                  </w:pPr>
                </w:p>
              </w:tc>
              <w:tc>
                <w:tcPr>
                  <w:tcW w:w="676" w:type="pct"/>
                  <w:tcBorders>
                    <w:bottom w:val="single" w:color="000000" w:sz="4" w:space="0"/>
                  </w:tcBorders>
                  <w:noWrap w:val="0"/>
                  <w:vAlign w:val="center"/>
                </w:tcPr>
                <w:p>
                  <w:pPr>
                    <w:pStyle w:val="78"/>
                    <w:rPr>
                      <w:rFonts w:hint="eastAsia"/>
                      <w:u w:val="single"/>
                    </w:rPr>
                  </w:pPr>
                  <w:r>
                    <w:rPr>
                      <w:rFonts w:hint="eastAsia"/>
                      <w:u w:val="single"/>
                    </w:rPr>
                    <w:t>洗车平台、地磅</w:t>
                  </w:r>
                </w:p>
              </w:tc>
              <w:tc>
                <w:tcPr>
                  <w:tcW w:w="3330" w:type="pct"/>
                  <w:tcBorders>
                    <w:bottom w:val="single" w:color="000000" w:sz="4" w:space="0"/>
                  </w:tcBorders>
                  <w:noWrap w:val="0"/>
                  <w:vAlign w:val="center"/>
                </w:tcPr>
                <w:p>
                  <w:pPr>
                    <w:pStyle w:val="78"/>
                    <w:jc w:val="both"/>
                    <w:rPr>
                      <w:rFonts w:hint="eastAsia"/>
                      <w:u w:val="single"/>
                    </w:rPr>
                  </w:pPr>
                  <w:r>
                    <w:rPr>
                      <w:rFonts w:hint="eastAsia"/>
                      <w:u w:val="single"/>
                    </w:rPr>
                    <w:t>地磅和洗车平台12m</w:t>
                  </w:r>
                  <w:r>
                    <w:rPr>
                      <w:rFonts w:hint="eastAsia"/>
                      <w:u w:val="single"/>
                      <w:vertAlign w:val="superscript"/>
                    </w:rPr>
                    <w:t>2</w:t>
                  </w:r>
                </w:p>
              </w:tc>
              <w:tc>
                <w:tcPr>
                  <w:tcW w:w="520" w:type="pct"/>
                  <w:tcBorders>
                    <w:bottom w:val="single" w:color="000000" w:sz="4" w:space="0"/>
                  </w:tcBorders>
                  <w:noWrap w:val="0"/>
                  <w:vAlign w:val="center"/>
                </w:tcPr>
                <w:p>
                  <w:pPr>
                    <w:pStyle w:val="78"/>
                    <w:rPr>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72" w:type="pct"/>
                  <w:vMerge w:val="continue"/>
                  <w:noWrap w:val="0"/>
                  <w:vAlign w:val="center"/>
                </w:tcPr>
                <w:p>
                  <w:pPr>
                    <w:pStyle w:val="78"/>
                    <w:rPr>
                      <w:rFonts w:hint="eastAsia"/>
                      <w:u w:val="single"/>
                    </w:rPr>
                  </w:pPr>
                </w:p>
              </w:tc>
              <w:tc>
                <w:tcPr>
                  <w:tcW w:w="676" w:type="pct"/>
                  <w:tcBorders>
                    <w:top w:val="single" w:color="000000" w:sz="4" w:space="0"/>
                  </w:tcBorders>
                  <w:noWrap w:val="0"/>
                  <w:vAlign w:val="center"/>
                </w:tcPr>
                <w:p>
                  <w:pPr>
                    <w:pStyle w:val="78"/>
                    <w:rPr>
                      <w:rFonts w:hint="eastAsia"/>
                      <w:u w:val="single"/>
                    </w:rPr>
                  </w:pPr>
                  <w:r>
                    <w:rPr>
                      <w:rFonts w:hint="eastAsia"/>
                      <w:u w:val="single"/>
                    </w:rPr>
                    <w:t>场内道路</w:t>
                  </w:r>
                </w:p>
              </w:tc>
              <w:tc>
                <w:tcPr>
                  <w:tcW w:w="3330" w:type="pct"/>
                  <w:tcBorders>
                    <w:top w:val="single" w:color="000000" w:sz="4" w:space="0"/>
                  </w:tcBorders>
                  <w:noWrap w:val="0"/>
                  <w:vAlign w:val="center"/>
                </w:tcPr>
                <w:p>
                  <w:pPr>
                    <w:pStyle w:val="78"/>
                    <w:jc w:val="both"/>
                    <w:rPr>
                      <w:rFonts w:hint="eastAsia"/>
                      <w:u w:val="single"/>
                    </w:rPr>
                  </w:pPr>
                  <w:r>
                    <w:rPr>
                      <w:rFonts w:hint="eastAsia"/>
                      <w:u w:val="single"/>
                    </w:rPr>
                    <w:t>厂内运输道路约</w:t>
                  </w:r>
                  <w:r>
                    <w:rPr>
                      <w:rFonts w:hint="eastAsia"/>
                      <w:u w:val="single"/>
                      <w:lang w:val="en-US" w:eastAsia="zh-CN"/>
                    </w:rPr>
                    <w:t>2</w:t>
                  </w:r>
                  <w:r>
                    <w:rPr>
                      <w:rFonts w:hint="eastAsia"/>
                      <w:u w:val="single"/>
                    </w:rPr>
                    <w:t>00m，</w:t>
                  </w:r>
                  <w:r>
                    <w:rPr>
                      <w:rFonts w:hint="eastAsia"/>
                      <w:u w:val="single"/>
                      <w:lang w:eastAsia="zh-CN"/>
                    </w:rPr>
                    <w:t>宽</w:t>
                  </w:r>
                  <w:r>
                    <w:rPr>
                      <w:rFonts w:hint="eastAsia"/>
                      <w:u w:val="single"/>
                      <w:lang w:val="en-US" w:eastAsia="zh-CN"/>
                    </w:rPr>
                    <w:t>4.5m，</w:t>
                  </w:r>
                  <w:r>
                    <w:rPr>
                      <w:rFonts w:hint="eastAsia"/>
                      <w:u w:val="single"/>
                    </w:rPr>
                    <w:t>水泥硬化路面</w:t>
                  </w:r>
                </w:p>
              </w:tc>
              <w:tc>
                <w:tcPr>
                  <w:tcW w:w="520" w:type="pct"/>
                  <w:tcBorders>
                    <w:top w:val="single" w:color="000000" w:sz="4" w:space="0"/>
                  </w:tcBorders>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noWrap w:val="0"/>
                  <w:vAlign w:val="center"/>
                </w:tcPr>
                <w:p>
                  <w:pPr>
                    <w:pStyle w:val="78"/>
                    <w:rPr>
                      <w:u w:val="single"/>
                    </w:rPr>
                  </w:pPr>
                  <w:r>
                    <w:rPr>
                      <w:rFonts w:hint="eastAsia"/>
                      <w:u w:val="single"/>
                    </w:rPr>
                    <w:t>公用工程</w:t>
                  </w:r>
                </w:p>
              </w:tc>
              <w:tc>
                <w:tcPr>
                  <w:tcW w:w="676" w:type="pct"/>
                  <w:noWrap w:val="0"/>
                  <w:vAlign w:val="center"/>
                </w:tcPr>
                <w:p>
                  <w:pPr>
                    <w:pStyle w:val="78"/>
                    <w:rPr>
                      <w:u w:val="single"/>
                    </w:rPr>
                  </w:pPr>
                  <w:r>
                    <w:rPr>
                      <w:rFonts w:hint="eastAsia"/>
                      <w:u w:val="single"/>
                    </w:rPr>
                    <w:t>供水</w:t>
                  </w:r>
                </w:p>
              </w:tc>
              <w:tc>
                <w:tcPr>
                  <w:tcW w:w="3330" w:type="pct"/>
                  <w:noWrap w:val="0"/>
                  <w:vAlign w:val="center"/>
                </w:tcPr>
                <w:p>
                  <w:pPr>
                    <w:pStyle w:val="78"/>
                    <w:jc w:val="both"/>
                    <w:rPr>
                      <w:rFonts w:hint="eastAsia"/>
                      <w:u w:val="single"/>
                    </w:rPr>
                  </w:pPr>
                  <w:r>
                    <w:rPr>
                      <w:rFonts w:hint="eastAsia"/>
                      <w:u w:val="single"/>
                    </w:rPr>
                    <w:t>由市镇供水管网供水</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u w:val="single"/>
                    </w:rPr>
                  </w:pPr>
                  <w:r>
                    <w:rPr>
                      <w:rFonts w:hint="eastAsia"/>
                      <w:u w:val="single"/>
                    </w:rPr>
                    <w:t>排水</w:t>
                  </w:r>
                </w:p>
              </w:tc>
              <w:tc>
                <w:tcPr>
                  <w:tcW w:w="3330" w:type="pct"/>
                  <w:noWrap w:val="0"/>
                  <w:vAlign w:val="center"/>
                </w:tcPr>
                <w:p>
                  <w:pPr>
                    <w:pStyle w:val="78"/>
                    <w:jc w:val="both"/>
                    <w:rPr>
                      <w:rFonts w:hint="eastAsia" w:eastAsia="宋体"/>
                      <w:u w:val="single"/>
                      <w:lang w:eastAsia="zh-CN"/>
                    </w:rPr>
                  </w:pPr>
                  <w:r>
                    <w:rPr>
                      <w:rFonts w:hint="eastAsia"/>
                      <w:u w:val="single"/>
                    </w:rPr>
                    <w:t>本项目生产废水为车辆冲洗废水，泼洒厂区降尘，沉淀后回用，不外排；生活污水主要为职工办公废水，厂区建设化粪池（6m³），定期委托农户清掏至农田施肥；</w:t>
                  </w:r>
                  <w:r>
                    <w:rPr>
                      <w:rFonts w:hint="eastAsia"/>
                      <w:u w:val="single"/>
                      <w:lang w:eastAsia="zh-CN"/>
                    </w:rPr>
                    <w:t>雨水收集后经雨水收集池沉淀后回用于抑尘。</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u w:val="single"/>
                    </w:rPr>
                  </w:pPr>
                  <w:r>
                    <w:rPr>
                      <w:rFonts w:hint="eastAsia"/>
                      <w:u w:val="single"/>
                    </w:rPr>
                    <w:t>供电</w:t>
                  </w:r>
                </w:p>
              </w:tc>
              <w:tc>
                <w:tcPr>
                  <w:tcW w:w="3330" w:type="pct"/>
                  <w:noWrap w:val="0"/>
                  <w:vAlign w:val="center"/>
                </w:tcPr>
                <w:p>
                  <w:pPr>
                    <w:pStyle w:val="78"/>
                    <w:jc w:val="both"/>
                    <w:rPr>
                      <w:rFonts w:hint="eastAsia"/>
                      <w:u w:val="single"/>
                    </w:rPr>
                  </w:pPr>
                  <w:r>
                    <w:rPr>
                      <w:rFonts w:hint="eastAsia"/>
                      <w:u w:val="single"/>
                    </w:rPr>
                    <w:t>用电接入乡镇供电线路，可保证日常的生产用电；</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noWrap w:val="0"/>
                  <w:vAlign w:val="center"/>
                </w:tcPr>
                <w:p>
                  <w:pPr>
                    <w:pStyle w:val="78"/>
                    <w:rPr>
                      <w:u w:val="single"/>
                    </w:rPr>
                  </w:pPr>
                  <w:r>
                    <w:rPr>
                      <w:rFonts w:hint="eastAsia"/>
                      <w:u w:val="single"/>
                    </w:rPr>
                    <w:t>环保工程</w:t>
                  </w:r>
                </w:p>
              </w:tc>
              <w:tc>
                <w:tcPr>
                  <w:tcW w:w="676" w:type="pct"/>
                  <w:noWrap w:val="0"/>
                  <w:vAlign w:val="center"/>
                </w:tcPr>
                <w:p>
                  <w:pPr>
                    <w:pStyle w:val="78"/>
                    <w:rPr>
                      <w:rFonts w:hint="eastAsia"/>
                      <w:u w:val="single"/>
                    </w:rPr>
                  </w:pPr>
                  <w:r>
                    <w:rPr>
                      <w:rFonts w:hint="eastAsia"/>
                      <w:u w:val="single"/>
                    </w:rPr>
                    <w:t>废水工程</w:t>
                  </w:r>
                </w:p>
              </w:tc>
              <w:tc>
                <w:tcPr>
                  <w:tcW w:w="3330" w:type="pct"/>
                  <w:noWrap w:val="0"/>
                  <w:vAlign w:val="center"/>
                </w:tcPr>
                <w:p>
                  <w:pPr>
                    <w:pStyle w:val="78"/>
                    <w:jc w:val="both"/>
                    <w:rPr>
                      <w:rFonts w:hint="eastAsia"/>
                      <w:u w:val="single"/>
                    </w:rPr>
                  </w:pPr>
                  <w:r>
                    <w:rPr>
                      <w:rFonts w:hint="eastAsia"/>
                      <w:u w:val="single"/>
                    </w:rPr>
                    <w:t>项目生产废水为车辆冲洗废水，泼洒厂区降尘，絮凝沉淀后回用，不外排；生活污水主要为职工办公废水，厂区建设化粪池，定期委托农户清掏至农田施肥；</w:t>
                  </w:r>
                  <w:r>
                    <w:rPr>
                      <w:rFonts w:hint="eastAsia"/>
                      <w:u w:val="single"/>
                      <w:lang w:eastAsia="zh-CN"/>
                    </w:rPr>
                    <w:t>雨水收集后经雨水收集池沉淀后回用于抑尘。初期雨水经雨水排水沟进入雨水收集池收集后回用。</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u w:val="single"/>
                    </w:rPr>
                  </w:pPr>
                  <w:r>
                    <w:rPr>
                      <w:rFonts w:hint="eastAsia"/>
                      <w:u w:val="single"/>
                    </w:rPr>
                    <w:t>废气工程</w:t>
                  </w:r>
                </w:p>
              </w:tc>
              <w:tc>
                <w:tcPr>
                  <w:tcW w:w="3330" w:type="pct"/>
                  <w:noWrap w:val="0"/>
                  <w:vAlign w:val="center"/>
                </w:tcPr>
                <w:p>
                  <w:pPr>
                    <w:pStyle w:val="78"/>
                    <w:jc w:val="both"/>
                    <w:rPr>
                      <w:rFonts w:hint="eastAsia" w:eastAsia="宋体"/>
                      <w:u w:val="single"/>
                      <w:lang w:eastAsia="zh-CN"/>
                    </w:rPr>
                  </w:pPr>
                  <w:r>
                    <w:rPr>
                      <w:rFonts w:hint="eastAsia"/>
                      <w:u w:val="single"/>
                    </w:rPr>
                    <w:t>运营期在喂料口、滚筒筛、破碎机口及振动筛上方均安装集气罩，收集后废气经管道通入一套布袋除尘器处理，处理后由1根15m排气筒（DA001）排放；针对物料暂存，本项目建设了封闭式生产车间、</w:t>
                  </w:r>
                  <w:r>
                    <w:rPr>
                      <w:rFonts w:hint="eastAsia"/>
                      <w:u w:val="single"/>
                      <w:lang w:eastAsia="zh-CN"/>
                    </w:rPr>
                    <w:t>半</w:t>
                  </w:r>
                  <w:r>
                    <w:rPr>
                      <w:rFonts w:hint="eastAsia"/>
                      <w:u w:val="single"/>
                    </w:rPr>
                    <w:t>封闭式成品暂存库等，</w:t>
                  </w:r>
                  <w:r>
                    <w:rPr>
                      <w:rFonts w:hint="eastAsia"/>
                      <w:u w:val="single"/>
                      <w:lang w:eastAsia="zh-CN"/>
                    </w:rPr>
                    <w:t>原料堆场使用土工布苫盖并洒水抑尘，</w:t>
                  </w:r>
                  <w:r>
                    <w:rPr>
                      <w:rFonts w:hint="eastAsia"/>
                      <w:u w:val="single"/>
                    </w:rPr>
                    <w:t>可有效降低物料堆存产生的粉尘污染，降尘效率可达95%；皮带运输产生的粉尘安装皮带廊道等抑尘措施</w:t>
                  </w:r>
                  <w:r>
                    <w:rPr>
                      <w:rFonts w:hint="eastAsia"/>
                      <w:u w:val="single"/>
                      <w:lang w:eastAsia="zh-CN"/>
                    </w:rPr>
                    <w:t>。</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u w:val="single"/>
                    </w:rPr>
                  </w:pPr>
                  <w:r>
                    <w:rPr>
                      <w:rFonts w:hint="eastAsia"/>
                      <w:u w:val="single"/>
                    </w:rPr>
                    <w:t>固废工程</w:t>
                  </w:r>
                </w:p>
              </w:tc>
              <w:tc>
                <w:tcPr>
                  <w:tcW w:w="3330" w:type="pct"/>
                  <w:noWrap w:val="0"/>
                  <w:vAlign w:val="center"/>
                </w:tcPr>
                <w:p>
                  <w:pPr>
                    <w:pStyle w:val="78"/>
                    <w:jc w:val="both"/>
                    <w:rPr>
                      <w:u w:val="single"/>
                    </w:rPr>
                  </w:pPr>
                  <w:r>
                    <w:rPr>
                      <w:rFonts w:hint="eastAsia"/>
                      <w:u w:val="single"/>
                    </w:rPr>
                    <w:t>除尘灰自身综合利用或外售建材厂综合利用；生活垃圾委托环卫部门收集处置；废机油、废润滑油暂存于危废暂存间，定期交由有资质的单位处置。</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u w:val="single"/>
                    </w:rPr>
                  </w:pPr>
                  <w:r>
                    <w:rPr>
                      <w:rFonts w:hint="eastAsia"/>
                      <w:u w:val="single"/>
                    </w:rPr>
                    <w:t>噪声治理工程</w:t>
                  </w:r>
                </w:p>
              </w:tc>
              <w:tc>
                <w:tcPr>
                  <w:tcW w:w="3330" w:type="pct"/>
                  <w:noWrap w:val="0"/>
                  <w:vAlign w:val="center"/>
                </w:tcPr>
                <w:p>
                  <w:pPr>
                    <w:pStyle w:val="78"/>
                    <w:jc w:val="both"/>
                    <w:rPr>
                      <w:u w:val="single"/>
                    </w:rPr>
                  </w:pPr>
                  <w:r>
                    <w:rPr>
                      <w:rFonts w:hint="eastAsia"/>
                      <w:u w:val="single"/>
                    </w:rPr>
                    <w:t>高噪声设备安装基础减震，同时将设备置于车间内，风机安装消声器，通过门窗隔声降噪；</w:t>
                  </w:r>
                </w:p>
              </w:tc>
              <w:tc>
                <w:tcPr>
                  <w:tcW w:w="520" w:type="pct"/>
                  <w:noWrap w:val="0"/>
                  <w:vAlign w:val="center"/>
                </w:tcPr>
                <w:p>
                  <w:pPr>
                    <w:pStyle w:val="78"/>
                    <w:rPr>
                      <w:rFonts w:hint="eastAsia"/>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rFonts w:hint="eastAsia" w:eastAsia="宋体"/>
                      <w:u w:val="single"/>
                      <w:lang w:eastAsia="zh-CN"/>
                    </w:rPr>
                  </w:pPr>
                  <w:r>
                    <w:rPr>
                      <w:rFonts w:hint="eastAsia"/>
                      <w:u w:val="single"/>
                      <w:lang w:eastAsia="zh-CN"/>
                    </w:rPr>
                    <w:t>生态工程</w:t>
                  </w:r>
                </w:p>
              </w:tc>
              <w:tc>
                <w:tcPr>
                  <w:tcW w:w="3330" w:type="pct"/>
                  <w:noWrap w:val="0"/>
                  <w:vAlign w:val="center"/>
                </w:tcPr>
                <w:p>
                  <w:pPr>
                    <w:pStyle w:val="78"/>
                    <w:jc w:val="both"/>
                    <w:rPr>
                      <w:rFonts w:hint="eastAsia" w:eastAsia="宋体"/>
                      <w:u w:val="single"/>
                      <w:lang w:eastAsia="zh-CN"/>
                    </w:rPr>
                  </w:pPr>
                  <w:r>
                    <w:rPr>
                      <w:rFonts w:hint="eastAsia"/>
                      <w:u w:val="single"/>
                      <w:lang w:eastAsia="zh-CN"/>
                    </w:rPr>
                    <w:t>运营期种植绿化</w:t>
                  </w:r>
                  <w:r>
                    <w:rPr>
                      <w:rFonts w:hint="eastAsia"/>
                      <w:u w:val="single"/>
                      <w:lang w:val="en-US" w:eastAsia="zh-CN"/>
                    </w:rPr>
                    <w:t>8855㎡，生产</w:t>
                  </w:r>
                  <w:r>
                    <w:rPr>
                      <w:rFonts w:hint="eastAsia"/>
                      <w:u w:val="single"/>
                      <w:lang w:eastAsia="zh-CN"/>
                    </w:rPr>
                    <w:t>结束后全区种植绿化，耕作土回填，修建截洪沟与排水沟。雨水收集池。</w:t>
                  </w:r>
                </w:p>
              </w:tc>
              <w:tc>
                <w:tcPr>
                  <w:tcW w:w="520" w:type="pct"/>
                  <w:noWrap w:val="0"/>
                  <w:vAlign w:val="center"/>
                </w:tcPr>
                <w:p>
                  <w:pPr>
                    <w:pStyle w:val="78"/>
                    <w:rPr>
                      <w:rFonts w:hint="eastAsia" w:eastAsia="宋体"/>
                      <w:u w:val="single"/>
                      <w:lang w:eastAsia="zh-CN"/>
                    </w:rPr>
                  </w:pPr>
                  <w:r>
                    <w:rPr>
                      <w:rFonts w:hint="eastAsia"/>
                      <w:u w:val="singl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noWrap w:val="0"/>
                  <w:vAlign w:val="center"/>
                </w:tcPr>
                <w:p>
                  <w:pPr>
                    <w:pStyle w:val="78"/>
                    <w:rPr>
                      <w:u w:val="single"/>
                    </w:rPr>
                  </w:pPr>
                  <w:r>
                    <w:rPr>
                      <w:u w:val="single"/>
                    </w:rPr>
                    <w:t>储运工程</w:t>
                  </w:r>
                </w:p>
              </w:tc>
              <w:tc>
                <w:tcPr>
                  <w:tcW w:w="676" w:type="pct"/>
                  <w:noWrap w:val="0"/>
                  <w:vAlign w:val="center"/>
                </w:tcPr>
                <w:p>
                  <w:pPr>
                    <w:pStyle w:val="78"/>
                    <w:rPr>
                      <w:rFonts w:hint="eastAsia" w:eastAsia="宋体"/>
                      <w:u w:val="single"/>
                      <w:lang w:val="en-US" w:eastAsia="zh-CN"/>
                    </w:rPr>
                  </w:pPr>
                  <w:r>
                    <w:rPr>
                      <w:rFonts w:hint="eastAsia"/>
                      <w:u w:val="single"/>
                    </w:rPr>
                    <w:t>原料</w:t>
                  </w:r>
                  <w:r>
                    <w:rPr>
                      <w:rFonts w:hint="eastAsia"/>
                      <w:u w:val="single"/>
                      <w:lang w:eastAsia="zh-CN"/>
                    </w:rPr>
                    <w:t>堆场</w:t>
                  </w:r>
                </w:p>
              </w:tc>
              <w:tc>
                <w:tcPr>
                  <w:tcW w:w="3330" w:type="pct"/>
                  <w:noWrap w:val="0"/>
                  <w:vAlign w:val="center"/>
                </w:tcPr>
                <w:p>
                  <w:pPr>
                    <w:adjustRightInd w:val="0"/>
                    <w:snapToGrid w:val="0"/>
                    <w:rPr>
                      <w:rFonts w:hint="eastAsia" w:eastAsia="宋体"/>
                      <w:u w:val="single"/>
                      <w:lang w:eastAsia="zh-CN"/>
                    </w:rPr>
                  </w:pPr>
                  <w:r>
                    <w:rPr>
                      <w:rFonts w:hint="eastAsia"/>
                      <w:bCs/>
                      <w:szCs w:val="21"/>
                      <w:u w:val="single"/>
                      <w:lang w:eastAsia="zh-CN"/>
                    </w:rPr>
                    <w:t>堆场堆高约</w:t>
                  </w:r>
                  <w:r>
                    <w:rPr>
                      <w:rFonts w:hint="eastAsia"/>
                      <w:bCs/>
                      <w:szCs w:val="21"/>
                      <w:u w:val="single"/>
                      <w:lang w:val="en-US" w:eastAsia="zh-CN"/>
                    </w:rPr>
                    <w:t>10m</w:t>
                  </w:r>
                  <w:r>
                    <w:rPr>
                      <w:rFonts w:hint="eastAsia"/>
                      <w:bCs/>
                      <w:szCs w:val="21"/>
                      <w:u w:val="single"/>
                    </w:rPr>
                    <w:t>，主要</w:t>
                  </w:r>
                  <w:r>
                    <w:rPr>
                      <w:rFonts w:hint="eastAsia"/>
                      <w:bCs/>
                      <w:szCs w:val="21"/>
                      <w:u w:val="single"/>
                      <w:lang w:eastAsia="zh-CN"/>
                    </w:rPr>
                    <w:t>堆放</w:t>
                  </w:r>
                  <w:r>
                    <w:rPr>
                      <w:rFonts w:hint="eastAsia"/>
                      <w:bCs/>
                      <w:szCs w:val="21"/>
                      <w:u w:val="single"/>
                    </w:rPr>
                    <w:t>废石；</w:t>
                  </w:r>
                  <w:r>
                    <w:rPr>
                      <w:rFonts w:hint="eastAsia"/>
                      <w:bCs/>
                      <w:szCs w:val="21"/>
                      <w:u w:val="single"/>
                      <w:lang w:eastAsia="zh-CN"/>
                    </w:rPr>
                    <w:t>新建土工布覆盖。</w:t>
                  </w:r>
                </w:p>
              </w:tc>
              <w:tc>
                <w:tcPr>
                  <w:tcW w:w="520" w:type="pct"/>
                  <w:noWrap w:val="0"/>
                  <w:vAlign w:val="center"/>
                </w:tcPr>
                <w:p>
                  <w:pPr>
                    <w:pStyle w:val="78"/>
                    <w:rPr>
                      <w:rFonts w:hint="eastAsia" w:eastAsia="宋体"/>
                      <w:u w:val="single"/>
                      <w:lang w:eastAsia="zh-CN"/>
                    </w:rPr>
                  </w:pPr>
                  <w:r>
                    <w:rPr>
                      <w:rFonts w:hint="eastAsia"/>
                      <w:u w:val="single"/>
                      <w:lang w:eastAsia="zh-CN"/>
                    </w:rPr>
                    <w:t>已建、新建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rFonts w:hint="eastAsia"/>
                      <w:u w:val="single"/>
                    </w:rPr>
                  </w:pPr>
                  <w:r>
                    <w:rPr>
                      <w:rFonts w:hint="eastAsia"/>
                      <w:u w:val="single"/>
                    </w:rPr>
                    <w:t>成品库</w:t>
                  </w:r>
                </w:p>
              </w:tc>
              <w:tc>
                <w:tcPr>
                  <w:tcW w:w="3330" w:type="pct"/>
                  <w:noWrap w:val="0"/>
                  <w:vAlign w:val="center"/>
                </w:tcPr>
                <w:p>
                  <w:pPr>
                    <w:adjustRightInd w:val="0"/>
                    <w:snapToGrid w:val="0"/>
                    <w:rPr>
                      <w:rFonts w:hint="eastAsia"/>
                      <w:u w:val="single"/>
                    </w:rPr>
                  </w:pPr>
                  <w:r>
                    <w:rPr>
                      <w:rFonts w:hint="eastAsia"/>
                      <w:bCs/>
                      <w:szCs w:val="21"/>
                      <w:u w:val="single"/>
                    </w:rPr>
                    <w:t>配套建设1间1200m</w:t>
                  </w:r>
                  <w:r>
                    <w:rPr>
                      <w:rFonts w:hint="eastAsia"/>
                      <w:bCs/>
                      <w:szCs w:val="21"/>
                      <w:u w:val="single"/>
                      <w:vertAlign w:val="superscript"/>
                    </w:rPr>
                    <w:t>2</w:t>
                  </w:r>
                  <w:r>
                    <w:rPr>
                      <w:rFonts w:hint="eastAsia"/>
                      <w:bCs/>
                      <w:szCs w:val="21"/>
                      <w:u w:val="single"/>
                      <w:vertAlign w:val="baseline"/>
                      <w:lang w:eastAsia="zh-CN"/>
                    </w:rPr>
                    <w:t>半</w:t>
                  </w:r>
                  <w:r>
                    <w:rPr>
                      <w:rFonts w:hint="eastAsia"/>
                      <w:bCs/>
                      <w:szCs w:val="21"/>
                      <w:u w:val="single"/>
                    </w:rPr>
                    <w:t>封闭式钢架成品库，主要暂存成品；</w:t>
                  </w:r>
                </w:p>
              </w:tc>
              <w:tc>
                <w:tcPr>
                  <w:tcW w:w="520" w:type="pct"/>
                  <w:noWrap w:val="0"/>
                  <w:vAlign w:val="center"/>
                </w:tcPr>
                <w:p>
                  <w:pPr>
                    <w:pStyle w:val="78"/>
                    <w:rPr>
                      <w:u w:val="single"/>
                    </w:rPr>
                  </w:pPr>
                  <w:r>
                    <w:rPr>
                      <w:rFonts w:hint="eastAsia"/>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noWrap w:val="0"/>
                  <w:vAlign w:val="center"/>
                </w:tcPr>
                <w:p>
                  <w:pPr>
                    <w:pStyle w:val="78"/>
                    <w:rPr>
                      <w:u w:val="single"/>
                    </w:rPr>
                  </w:pPr>
                </w:p>
              </w:tc>
              <w:tc>
                <w:tcPr>
                  <w:tcW w:w="676" w:type="pct"/>
                  <w:noWrap w:val="0"/>
                  <w:vAlign w:val="center"/>
                </w:tcPr>
                <w:p>
                  <w:pPr>
                    <w:pStyle w:val="78"/>
                    <w:rPr>
                      <w:rFonts w:hint="eastAsia"/>
                      <w:u w:val="single"/>
                    </w:rPr>
                  </w:pPr>
                  <w:r>
                    <w:rPr>
                      <w:u w:val="single"/>
                    </w:rPr>
                    <w:t>厂内运输</w:t>
                  </w:r>
                </w:p>
              </w:tc>
              <w:tc>
                <w:tcPr>
                  <w:tcW w:w="3330" w:type="pct"/>
                  <w:noWrap w:val="0"/>
                  <w:vAlign w:val="center"/>
                </w:tcPr>
                <w:p>
                  <w:pPr>
                    <w:pStyle w:val="78"/>
                    <w:jc w:val="both"/>
                    <w:rPr>
                      <w:rFonts w:hint="eastAsia"/>
                      <w:u w:val="single"/>
                    </w:rPr>
                  </w:pPr>
                  <w:r>
                    <w:rPr>
                      <w:rFonts w:hint="eastAsia"/>
                      <w:u w:val="single"/>
                    </w:rPr>
                    <w:t>厂内运输道路约</w:t>
                  </w:r>
                  <w:r>
                    <w:rPr>
                      <w:rFonts w:hint="eastAsia"/>
                      <w:u w:val="single"/>
                      <w:lang w:val="en-US" w:eastAsia="zh-CN"/>
                    </w:rPr>
                    <w:t>2</w:t>
                  </w:r>
                  <w:r>
                    <w:rPr>
                      <w:rFonts w:hint="eastAsia"/>
                      <w:u w:val="single"/>
                    </w:rPr>
                    <w:t>00m，水泥硬化路面</w:t>
                  </w:r>
                </w:p>
              </w:tc>
              <w:tc>
                <w:tcPr>
                  <w:tcW w:w="520" w:type="pct"/>
                  <w:noWrap w:val="0"/>
                  <w:vAlign w:val="center"/>
                </w:tcPr>
                <w:p>
                  <w:pPr>
                    <w:pStyle w:val="78"/>
                    <w:rPr>
                      <w:rFonts w:hint="eastAsia"/>
                      <w:u w:val="single"/>
                    </w:rPr>
                  </w:pPr>
                  <w:r>
                    <w:rPr>
                      <w:rFonts w:hint="eastAsia"/>
                      <w:u w:val="single"/>
                    </w:rPr>
                    <w:t>新建</w:t>
                  </w:r>
                </w:p>
              </w:tc>
            </w:tr>
            <w:bookmarkEnd w:id="27"/>
          </w:tbl>
          <w:p>
            <w:pPr>
              <w:keepNext/>
              <w:keepLines/>
              <w:wordWrap w:val="0"/>
              <w:spacing w:before="192" w:beforeLines="80" w:after="192" w:afterLines="80"/>
              <w:outlineLvl w:val="2"/>
              <w:rPr>
                <w:rFonts w:hint="eastAsia"/>
                <w:b/>
                <w:bCs/>
                <w:sz w:val="28"/>
                <w:szCs w:val="32"/>
              </w:rPr>
            </w:pPr>
            <w:r>
              <w:rPr>
                <w:rFonts w:hint="eastAsia"/>
                <w:b/>
                <w:bCs/>
                <w:sz w:val="28"/>
                <w:szCs w:val="32"/>
              </w:rPr>
              <w:t>2.1.5原辅材料及能源消耗</w:t>
            </w:r>
          </w:p>
          <w:p>
            <w:pPr>
              <w:adjustRightInd w:val="0"/>
              <w:snapToGrid w:val="0"/>
              <w:spacing w:line="360" w:lineRule="auto"/>
              <w:ind w:firstLine="480" w:firstLineChars="200"/>
              <w:rPr>
                <w:snapToGrid w:val="0"/>
                <w:kern w:val="0"/>
                <w:sz w:val="24"/>
              </w:rPr>
            </w:pPr>
            <w:bookmarkStart w:id="28" w:name="_Toc109630655"/>
            <w:bookmarkStart w:id="29" w:name="_Toc109294454"/>
            <w:bookmarkStart w:id="30" w:name="_Toc111721042"/>
            <w:bookmarkStart w:id="31" w:name="_Toc110446459"/>
            <w:bookmarkStart w:id="32" w:name="_Toc109734357"/>
            <w:r>
              <w:rPr>
                <w:snapToGrid w:val="0"/>
                <w:kern w:val="0"/>
                <w:sz w:val="24"/>
              </w:rPr>
              <w:t>本项目建筑用石生产主要原料为</w:t>
            </w:r>
            <w:r>
              <w:rPr>
                <w:rFonts w:hint="eastAsia"/>
                <w:snapToGrid w:val="0"/>
                <w:kern w:val="0"/>
                <w:sz w:val="24"/>
              </w:rPr>
              <w:t>紫霞大道</w:t>
            </w:r>
            <w:r>
              <w:rPr>
                <w:snapToGrid w:val="0"/>
                <w:kern w:val="0"/>
                <w:sz w:val="24"/>
              </w:rPr>
              <w:t>废石料，废石具有较好的利用价值，经过简单破碎、筛分后即可作为建筑用石利用，本项目采用干法工艺，无水洗工序。</w:t>
            </w:r>
          </w:p>
          <w:p>
            <w:pPr>
              <w:wordWrap w:val="0"/>
              <w:spacing w:line="360" w:lineRule="auto"/>
              <w:ind w:firstLine="482" w:firstLineChars="200"/>
              <w:rPr>
                <w:rFonts w:hint="eastAsia"/>
                <w:b/>
                <w:sz w:val="24"/>
              </w:rPr>
            </w:pPr>
            <w:r>
              <w:rPr>
                <w:b/>
                <w:sz w:val="24"/>
              </w:rPr>
              <w:t>1、主要原辅材料消耗</w:t>
            </w:r>
          </w:p>
          <w:p>
            <w:pPr>
              <w:wordWrap w:val="0"/>
              <w:autoSpaceDE w:val="0"/>
              <w:autoSpaceDN w:val="0"/>
              <w:spacing w:line="360" w:lineRule="auto"/>
              <w:ind w:firstLine="480" w:firstLineChars="200"/>
              <w:jc w:val="left"/>
              <w:rPr>
                <w:rFonts w:hint="eastAsia" w:ascii="宋体" w:hAnsi="宋体" w:cs="宋体"/>
                <w:color w:val="000000"/>
                <w:kern w:val="0"/>
                <w:sz w:val="24"/>
                <w:szCs w:val="22"/>
              </w:rPr>
            </w:pPr>
            <w:r>
              <w:rPr>
                <w:rFonts w:hint="eastAsia" w:ascii="宋体" w:hAnsi="宋体" w:cs="宋体"/>
                <w:color w:val="000000"/>
                <w:kern w:val="0"/>
                <w:sz w:val="24"/>
                <w:szCs w:val="22"/>
              </w:rPr>
              <w:t>主要原辅材料消耗见下表。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表2.1-3：主要原辅材料消耗</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6"/>
              <w:gridCol w:w="600"/>
              <w:gridCol w:w="613"/>
              <w:gridCol w:w="652"/>
              <w:gridCol w:w="1296"/>
              <w:gridCol w:w="1174"/>
              <w:gridCol w:w="860"/>
              <w:gridCol w:w="1051"/>
              <w:gridCol w:w="16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6" w:type="pct"/>
                  <w:noWrap w:val="0"/>
                  <w:vAlign w:val="center"/>
                </w:tcPr>
                <w:p>
                  <w:pPr>
                    <w:widowControl/>
                    <w:adjustRightInd w:val="0"/>
                    <w:jc w:val="center"/>
                    <w:rPr>
                      <w:color w:val="000000"/>
                      <w:kern w:val="0"/>
                      <w:sz w:val="18"/>
                      <w:szCs w:val="18"/>
                    </w:rPr>
                  </w:pPr>
                  <w:r>
                    <w:rPr>
                      <w:color w:val="000000"/>
                      <w:kern w:val="0"/>
                      <w:sz w:val="18"/>
                      <w:szCs w:val="18"/>
                    </w:rPr>
                    <w:t>序号</w:t>
                  </w:r>
                </w:p>
              </w:tc>
              <w:tc>
                <w:tcPr>
                  <w:tcW w:w="352" w:type="pct"/>
                  <w:noWrap w:val="0"/>
                  <w:vAlign w:val="center"/>
                </w:tcPr>
                <w:p>
                  <w:pPr>
                    <w:widowControl/>
                    <w:adjustRightInd w:val="0"/>
                    <w:jc w:val="center"/>
                    <w:rPr>
                      <w:color w:val="000000"/>
                      <w:kern w:val="0"/>
                      <w:sz w:val="18"/>
                      <w:szCs w:val="18"/>
                    </w:rPr>
                  </w:pPr>
                  <w:r>
                    <w:rPr>
                      <w:color w:val="000000"/>
                      <w:kern w:val="0"/>
                      <w:sz w:val="18"/>
                      <w:szCs w:val="18"/>
                    </w:rPr>
                    <w:t>项目</w:t>
                  </w:r>
                </w:p>
              </w:tc>
              <w:tc>
                <w:tcPr>
                  <w:tcW w:w="360" w:type="pct"/>
                  <w:noWrap/>
                  <w:vAlign w:val="center"/>
                </w:tcPr>
                <w:p>
                  <w:pPr>
                    <w:widowControl/>
                    <w:adjustRightInd w:val="0"/>
                    <w:jc w:val="center"/>
                    <w:rPr>
                      <w:color w:val="000000"/>
                      <w:kern w:val="0"/>
                      <w:sz w:val="18"/>
                      <w:szCs w:val="18"/>
                    </w:rPr>
                  </w:pPr>
                  <w:r>
                    <w:rPr>
                      <w:color w:val="000000"/>
                      <w:kern w:val="0"/>
                      <w:sz w:val="18"/>
                      <w:szCs w:val="18"/>
                    </w:rPr>
                    <w:t>规格</w:t>
                  </w:r>
                </w:p>
              </w:tc>
              <w:tc>
                <w:tcPr>
                  <w:tcW w:w="383" w:type="pct"/>
                  <w:noWrap/>
                  <w:vAlign w:val="center"/>
                </w:tcPr>
                <w:p>
                  <w:pPr>
                    <w:widowControl/>
                    <w:adjustRightInd w:val="0"/>
                    <w:jc w:val="center"/>
                    <w:rPr>
                      <w:color w:val="000000"/>
                      <w:kern w:val="0"/>
                      <w:sz w:val="18"/>
                      <w:szCs w:val="18"/>
                    </w:rPr>
                  </w:pPr>
                  <w:r>
                    <w:rPr>
                      <w:color w:val="000000"/>
                      <w:kern w:val="0"/>
                      <w:sz w:val="18"/>
                      <w:szCs w:val="18"/>
                    </w:rPr>
                    <w:t>形态</w:t>
                  </w:r>
                </w:p>
              </w:tc>
              <w:tc>
                <w:tcPr>
                  <w:tcW w:w="760" w:type="pct"/>
                  <w:noWrap/>
                  <w:vAlign w:val="center"/>
                </w:tcPr>
                <w:p>
                  <w:pPr>
                    <w:widowControl/>
                    <w:adjustRightInd w:val="0"/>
                    <w:jc w:val="center"/>
                    <w:rPr>
                      <w:color w:val="000000"/>
                      <w:kern w:val="0"/>
                      <w:sz w:val="18"/>
                      <w:szCs w:val="18"/>
                    </w:rPr>
                  </w:pPr>
                  <w:r>
                    <w:rPr>
                      <w:color w:val="000000"/>
                      <w:kern w:val="0"/>
                      <w:sz w:val="18"/>
                      <w:szCs w:val="18"/>
                    </w:rPr>
                    <w:t>包装方式</w:t>
                  </w:r>
                </w:p>
              </w:tc>
              <w:tc>
                <w:tcPr>
                  <w:tcW w:w="688" w:type="pct"/>
                  <w:noWrap w:val="0"/>
                  <w:vAlign w:val="center"/>
                </w:tcPr>
                <w:p>
                  <w:pPr>
                    <w:widowControl/>
                    <w:adjustRightInd w:val="0"/>
                    <w:jc w:val="center"/>
                    <w:rPr>
                      <w:color w:val="000000"/>
                      <w:kern w:val="0"/>
                      <w:sz w:val="18"/>
                      <w:szCs w:val="18"/>
                    </w:rPr>
                  </w:pPr>
                  <w:r>
                    <w:rPr>
                      <w:color w:val="000000"/>
                      <w:kern w:val="0"/>
                      <w:sz w:val="18"/>
                      <w:szCs w:val="18"/>
                      <w:highlight w:val="none"/>
                    </w:rPr>
                    <w:t>年消耗量</w:t>
                  </w:r>
                </w:p>
              </w:tc>
              <w:tc>
                <w:tcPr>
                  <w:tcW w:w="504" w:type="pct"/>
                  <w:noWrap w:val="0"/>
                  <w:vAlign w:val="center"/>
                </w:tcPr>
                <w:p>
                  <w:pPr>
                    <w:widowControl/>
                    <w:adjustRightInd w:val="0"/>
                    <w:jc w:val="center"/>
                    <w:rPr>
                      <w:color w:val="000000"/>
                      <w:kern w:val="0"/>
                      <w:sz w:val="18"/>
                      <w:szCs w:val="18"/>
                    </w:rPr>
                  </w:pPr>
                  <w:r>
                    <w:rPr>
                      <w:color w:val="000000"/>
                      <w:kern w:val="0"/>
                      <w:sz w:val="18"/>
                      <w:szCs w:val="18"/>
                    </w:rPr>
                    <w:t>用途</w:t>
                  </w:r>
                </w:p>
              </w:tc>
              <w:tc>
                <w:tcPr>
                  <w:tcW w:w="616" w:type="pct"/>
                  <w:noWrap w:val="0"/>
                  <w:vAlign w:val="center"/>
                </w:tcPr>
                <w:p>
                  <w:pPr>
                    <w:widowControl/>
                    <w:adjustRightInd w:val="0"/>
                    <w:jc w:val="center"/>
                    <w:rPr>
                      <w:color w:val="000000"/>
                      <w:kern w:val="0"/>
                      <w:sz w:val="18"/>
                      <w:szCs w:val="18"/>
                    </w:rPr>
                  </w:pPr>
                  <w:r>
                    <w:rPr>
                      <w:color w:val="000000"/>
                      <w:kern w:val="0"/>
                      <w:sz w:val="18"/>
                      <w:szCs w:val="18"/>
                    </w:rPr>
                    <w:t>储存点</w:t>
                  </w:r>
                </w:p>
              </w:tc>
              <w:tc>
                <w:tcPr>
                  <w:tcW w:w="976" w:type="pct"/>
                  <w:noWrap w:val="0"/>
                  <w:vAlign w:val="center"/>
                </w:tcPr>
                <w:p>
                  <w:pPr>
                    <w:widowControl/>
                    <w:adjustRightInd w:val="0"/>
                    <w:jc w:val="center"/>
                    <w:rPr>
                      <w:color w:val="000000"/>
                      <w:kern w:val="0"/>
                      <w:sz w:val="18"/>
                      <w:szCs w:val="18"/>
                    </w:rPr>
                  </w:pPr>
                  <w:r>
                    <w:rPr>
                      <w:color w:val="000000"/>
                      <w:kern w:val="0"/>
                      <w:sz w:val="18"/>
                      <w:szCs w:val="18"/>
                    </w:rPr>
                    <w:t>最大储存量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6" w:type="pct"/>
                  <w:noWrap w:val="0"/>
                  <w:vAlign w:val="center"/>
                </w:tcPr>
                <w:p>
                  <w:pPr>
                    <w:adjustRightInd w:val="0"/>
                    <w:jc w:val="center"/>
                    <w:rPr>
                      <w:color w:val="000000"/>
                      <w:kern w:val="0"/>
                      <w:sz w:val="18"/>
                      <w:szCs w:val="18"/>
                    </w:rPr>
                  </w:pPr>
                  <w:r>
                    <w:rPr>
                      <w:color w:val="000000"/>
                      <w:kern w:val="0"/>
                      <w:sz w:val="18"/>
                      <w:szCs w:val="18"/>
                    </w:rPr>
                    <w:t>1</w:t>
                  </w:r>
                </w:p>
              </w:tc>
              <w:tc>
                <w:tcPr>
                  <w:tcW w:w="352" w:type="pct"/>
                  <w:noWrap w:val="0"/>
                  <w:vAlign w:val="center"/>
                </w:tcPr>
                <w:p>
                  <w:pPr>
                    <w:adjustRightInd w:val="0"/>
                    <w:jc w:val="center"/>
                    <w:rPr>
                      <w:color w:val="000000"/>
                      <w:sz w:val="18"/>
                      <w:szCs w:val="18"/>
                    </w:rPr>
                  </w:pPr>
                  <w:r>
                    <w:rPr>
                      <w:rFonts w:hint="eastAsia"/>
                      <w:color w:val="000000"/>
                      <w:sz w:val="18"/>
                      <w:szCs w:val="18"/>
                    </w:rPr>
                    <w:t>废石</w:t>
                  </w:r>
                </w:p>
              </w:tc>
              <w:tc>
                <w:tcPr>
                  <w:tcW w:w="360" w:type="pct"/>
                  <w:noWrap w:val="0"/>
                  <w:vAlign w:val="center"/>
                </w:tcPr>
                <w:p>
                  <w:pPr>
                    <w:adjustRightInd w:val="0"/>
                    <w:jc w:val="center"/>
                    <w:rPr>
                      <w:rFonts w:hint="eastAsia"/>
                      <w:color w:val="000000"/>
                      <w:kern w:val="0"/>
                      <w:sz w:val="18"/>
                      <w:szCs w:val="18"/>
                    </w:rPr>
                  </w:pPr>
                  <w:r>
                    <w:rPr>
                      <w:rFonts w:hint="eastAsia"/>
                      <w:color w:val="000000"/>
                      <w:kern w:val="0"/>
                      <w:sz w:val="18"/>
                      <w:szCs w:val="18"/>
                    </w:rPr>
                    <w:t>/</w:t>
                  </w:r>
                </w:p>
              </w:tc>
              <w:tc>
                <w:tcPr>
                  <w:tcW w:w="383" w:type="pct"/>
                  <w:noWrap/>
                  <w:vAlign w:val="center"/>
                </w:tcPr>
                <w:p>
                  <w:pPr>
                    <w:widowControl/>
                    <w:adjustRightInd w:val="0"/>
                    <w:jc w:val="center"/>
                    <w:rPr>
                      <w:color w:val="000000"/>
                      <w:kern w:val="0"/>
                      <w:sz w:val="18"/>
                      <w:szCs w:val="18"/>
                    </w:rPr>
                  </w:pPr>
                  <w:r>
                    <w:rPr>
                      <w:rFonts w:hint="eastAsia"/>
                      <w:color w:val="000000"/>
                      <w:kern w:val="0"/>
                      <w:sz w:val="18"/>
                      <w:szCs w:val="18"/>
                    </w:rPr>
                    <w:t>固态</w:t>
                  </w:r>
                </w:p>
              </w:tc>
              <w:tc>
                <w:tcPr>
                  <w:tcW w:w="760" w:type="pct"/>
                  <w:noWrap w:val="0"/>
                  <w:vAlign w:val="center"/>
                </w:tcPr>
                <w:p>
                  <w:pPr>
                    <w:widowControl/>
                    <w:adjustRightInd w:val="0"/>
                    <w:jc w:val="center"/>
                    <w:rPr>
                      <w:rFonts w:hint="eastAsia"/>
                      <w:color w:val="000000"/>
                      <w:kern w:val="0"/>
                      <w:sz w:val="18"/>
                      <w:szCs w:val="18"/>
                    </w:rPr>
                  </w:pPr>
                  <w:r>
                    <w:rPr>
                      <w:rFonts w:hint="eastAsia"/>
                      <w:color w:val="000000"/>
                      <w:kern w:val="0"/>
                      <w:sz w:val="18"/>
                      <w:szCs w:val="18"/>
                    </w:rPr>
                    <w:t>原料</w:t>
                  </w:r>
                  <w:r>
                    <w:rPr>
                      <w:rFonts w:hint="eastAsia"/>
                      <w:color w:val="000000"/>
                      <w:kern w:val="0"/>
                      <w:sz w:val="18"/>
                      <w:szCs w:val="18"/>
                      <w:lang w:eastAsia="zh-CN"/>
                    </w:rPr>
                    <w:t>堆场</w:t>
                  </w:r>
                  <w:r>
                    <w:rPr>
                      <w:rFonts w:hint="eastAsia"/>
                      <w:color w:val="000000"/>
                      <w:kern w:val="0"/>
                      <w:sz w:val="18"/>
                      <w:szCs w:val="18"/>
                    </w:rPr>
                    <w:t>堆放</w:t>
                  </w:r>
                </w:p>
              </w:tc>
              <w:tc>
                <w:tcPr>
                  <w:tcW w:w="688" w:type="pct"/>
                  <w:noWrap/>
                  <w:vAlign w:val="center"/>
                </w:tcPr>
                <w:p>
                  <w:pPr>
                    <w:adjustRightInd w:val="0"/>
                    <w:jc w:val="center"/>
                    <w:rPr>
                      <w:color w:val="000000"/>
                      <w:sz w:val="18"/>
                      <w:szCs w:val="18"/>
                    </w:rPr>
                  </w:pPr>
                  <w:r>
                    <w:rPr>
                      <w:rFonts w:hint="eastAsia"/>
                      <w:color w:val="000000"/>
                      <w:sz w:val="18"/>
                      <w:szCs w:val="18"/>
                    </w:rPr>
                    <w:t>120894.2m³</w:t>
                  </w:r>
                </w:p>
              </w:tc>
              <w:tc>
                <w:tcPr>
                  <w:tcW w:w="504" w:type="pct"/>
                  <w:noWrap/>
                  <w:vAlign w:val="center"/>
                </w:tcPr>
                <w:p>
                  <w:pPr>
                    <w:widowControl/>
                    <w:adjustRightInd w:val="0"/>
                    <w:jc w:val="center"/>
                    <w:rPr>
                      <w:rFonts w:hint="eastAsia"/>
                      <w:color w:val="000000"/>
                      <w:kern w:val="0"/>
                      <w:sz w:val="18"/>
                      <w:szCs w:val="18"/>
                    </w:rPr>
                  </w:pPr>
                  <w:r>
                    <w:rPr>
                      <w:rFonts w:hint="eastAsia"/>
                      <w:color w:val="000000"/>
                      <w:kern w:val="0"/>
                      <w:sz w:val="18"/>
                      <w:szCs w:val="18"/>
                    </w:rPr>
                    <w:t>主原料</w:t>
                  </w:r>
                </w:p>
              </w:tc>
              <w:tc>
                <w:tcPr>
                  <w:tcW w:w="616" w:type="pct"/>
                  <w:noWrap/>
                  <w:vAlign w:val="center"/>
                </w:tcPr>
                <w:p>
                  <w:pPr>
                    <w:widowControl/>
                    <w:adjustRightInd w:val="0"/>
                    <w:jc w:val="center"/>
                    <w:rPr>
                      <w:rFonts w:hint="eastAsia" w:eastAsia="宋体"/>
                      <w:color w:val="000000"/>
                      <w:kern w:val="0"/>
                      <w:sz w:val="18"/>
                      <w:szCs w:val="18"/>
                      <w:lang w:eastAsia="zh-CN"/>
                    </w:rPr>
                  </w:pPr>
                  <w:r>
                    <w:rPr>
                      <w:rFonts w:hint="eastAsia"/>
                      <w:color w:val="000000"/>
                      <w:kern w:val="0"/>
                      <w:sz w:val="18"/>
                      <w:szCs w:val="18"/>
                    </w:rPr>
                    <w:t>原料</w:t>
                  </w:r>
                  <w:r>
                    <w:rPr>
                      <w:rFonts w:hint="eastAsia"/>
                      <w:color w:val="000000"/>
                      <w:kern w:val="0"/>
                      <w:sz w:val="18"/>
                      <w:szCs w:val="18"/>
                      <w:lang w:eastAsia="zh-CN"/>
                    </w:rPr>
                    <w:t>堆场</w:t>
                  </w:r>
                </w:p>
              </w:tc>
              <w:tc>
                <w:tcPr>
                  <w:tcW w:w="976" w:type="pct"/>
                  <w:noWrap/>
                  <w:vAlign w:val="center"/>
                </w:tcPr>
                <w:p>
                  <w:pPr>
                    <w:adjustRightInd w:val="0"/>
                    <w:jc w:val="center"/>
                    <w:rPr>
                      <w:color w:val="000000"/>
                      <w:sz w:val="18"/>
                      <w:szCs w:val="18"/>
                    </w:rPr>
                  </w:pPr>
                  <w:r>
                    <w:rPr>
                      <w:rFonts w:hint="eastAsia"/>
                      <w:color w:val="000000"/>
                      <w:sz w:val="18"/>
                      <w:szCs w:val="18"/>
                    </w:rPr>
                    <w:t>120894.2m³</w:t>
                  </w:r>
                </w:p>
              </w:tc>
            </w:tr>
          </w:tbl>
          <w:p>
            <w:pPr>
              <w:wordWrap w:val="0"/>
              <w:autoSpaceDE w:val="0"/>
              <w:autoSpaceDN w:val="0"/>
              <w:spacing w:line="360" w:lineRule="auto"/>
              <w:ind w:firstLine="482" w:firstLineChars="200"/>
              <w:jc w:val="left"/>
              <w:rPr>
                <w:b/>
                <w:color w:val="000000"/>
                <w:kern w:val="0"/>
                <w:sz w:val="24"/>
                <w:szCs w:val="22"/>
              </w:rPr>
            </w:pPr>
            <w:r>
              <w:rPr>
                <w:b/>
                <w:color w:val="000000"/>
                <w:kern w:val="0"/>
                <w:sz w:val="24"/>
                <w:szCs w:val="22"/>
              </w:rPr>
              <w:t>2、主要能源消耗</w:t>
            </w:r>
          </w:p>
          <w:p>
            <w:pPr>
              <w:spacing w:line="360" w:lineRule="auto"/>
              <w:ind w:firstLine="480" w:firstLineChars="200"/>
              <w:rPr>
                <w:color w:val="000000"/>
                <w:sz w:val="24"/>
              </w:rPr>
            </w:pPr>
            <w:r>
              <w:rPr>
                <w:rFonts w:hint="eastAsia"/>
                <w:color w:val="000000"/>
                <w:sz w:val="24"/>
              </w:rPr>
              <w:t>项目</w:t>
            </w:r>
            <w:r>
              <w:rPr>
                <w:color w:val="000000"/>
                <w:sz w:val="24"/>
              </w:rPr>
              <w:t>主要能源消耗见下表</w:t>
            </w:r>
            <w:r>
              <w:rPr>
                <w:rFonts w:hint="eastAsia"/>
                <w:color w:val="000000"/>
                <w:sz w:val="24"/>
              </w:rPr>
              <w:t>。</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表2.1-4：主要能源消耗一览表</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738"/>
              <w:gridCol w:w="1595"/>
              <w:gridCol w:w="1013"/>
              <w:gridCol w:w="1449"/>
              <w:gridCol w:w="3721"/>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1" w:hRule="atLeast"/>
              </w:trPr>
              <w:tc>
                <w:tcPr>
                  <w:tcW w:w="433" w:type="pct"/>
                  <w:noWrap w:val="0"/>
                  <w:vAlign w:val="center"/>
                </w:tcPr>
                <w:p>
                  <w:pPr>
                    <w:adjustRightInd w:val="0"/>
                    <w:jc w:val="center"/>
                    <w:rPr>
                      <w:b/>
                      <w:color w:val="000000"/>
                      <w:szCs w:val="21"/>
                    </w:rPr>
                  </w:pPr>
                  <w:r>
                    <w:rPr>
                      <w:b/>
                      <w:color w:val="000000"/>
                      <w:szCs w:val="21"/>
                    </w:rPr>
                    <w:t>序号</w:t>
                  </w:r>
                </w:p>
              </w:tc>
              <w:tc>
                <w:tcPr>
                  <w:tcW w:w="936" w:type="pct"/>
                  <w:noWrap w:val="0"/>
                  <w:vAlign w:val="center"/>
                </w:tcPr>
                <w:p>
                  <w:pPr>
                    <w:adjustRightInd w:val="0"/>
                    <w:jc w:val="center"/>
                    <w:rPr>
                      <w:b/>
                      <w:color w:val="000000"/>
                      <w:szCs w:val="21"/>
                    </w:rPr>
                  </w:pPr>
                  <w:r>
                    <w:rPr>
                      <w:b/>
                      <w:color w:val="000000"/>
                      <w:szCs w:val="21"/>
                    </w:rPr>
                    <w:t>能源名称</w:t>
                  </w:r>
                </w:p>
              </w:tc>
              <w:tc>
                <w:tcPr>
                  <w:tcW w:w="594" w:type="pct"/>
                  <w:noWrap w:val="0"/>
                  <w:vAlign w:val="center"/>
                </w:tcPr>
                <w:p>
                  <w:pPr>
                    <w:adjustRightInd w:val="0"/>
                    <w:jc w:val="center"/>
                    <w:rPr>
                      <w:b/>
                      <w:color w:val="000000"/>
                      <w:szCs w:val="21"/>
                    </w:rPr>
                  </w:pPr>
                  <w:r>
                    <w:rPr>
                      <w:b/>
                      <w:color w:val="000000"/>
                      <w:szCs w:val="21"/>
                    </w:rPr>
                    <w:t>单位</w:t>
                  </w:r>
                </w:p>
              </w:tc>
              <w:tc>
                <w:tcPr>
                  <w:tcW w:w="850" w:type="pct"/>
                  <w:noWrap w:val="0"/>
                  <w:vAlign w:val="center"/>
                </w:tcPr>
                <w:p>
                  <w:pPr>
                    <w:widowControl/>
                    <w:adjustRightInd w:val="0"/>
                    <w:jc w:val="center"/>
                    <w:rPr>
                      <w:b/>
                      <w:color w:val="000000"/>
                      <w:szCs w:val="21"/>
                    </w:rPr>
                  </w:pPr>
                  <w:r>
                    <w:rPr>
                      <w:b/>
                      <w:color w:val="000000"/>
                      <w:szCs w:val="21"/>
                    </w:rPr>
                    <w:t>年消耗量</w:t>
                  </w:r>
                </w:p>
              </w:tc>
              <w:tc>
                <w:tcPr>
                  <w:tcW w:w="2184" w:type="pct"/>
                  <w:noWrap w:val="0"/>
                  <w:vAlign w:val="center"/>
                </w:tcPr>
                <w:p>
                  <w:pPr>
                    <w:adjustRightInd w:val="0"/>
                    <w:jc w:val="center"/>
                    <w:rPr>
                      <w:b/>
                      <w:color w:val="000000"/>
                      <w:szCs w:val="21"/>
                    </w:rPr>
                  </w:pPr>
                  <w:r>
                    <w:rPr>
                      <w:b/>
                      <w:color w:val="000000"/>
                      <w:szCs w:val="21"/>
                    </w:rPr>
                    <w:t>来源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c>
                <w:tcPr>
                  <w:tcW w:w="433" w:type="pct"/>
                  <w:noWrap w:val="0"/>
                  <w:vAlign w:val="center"/>
                </w:tcPr>
                <w:p>
                  <w:pPr>
                    <w:widowControl/>
                    <w:adjustRightInd w:val="0"/>
                    <w:jc w:val="center"/>
                    <w:rPr>
                      <w:color w:val="000000"/>
                      <w:szCs w:val="21"/>
                    </w:rPr>
                  </w:pPr>
                  <w:r>
                    <w:rPr>
                      <w:color w:val="000000"/>
                      <w:szCs w:val="21"/>
                    </w:rPr>
                    <w:t>1</w:t>
                  </w:r>
                </w:p>
              </w:tc>
              <w:tc>
                <w:tcPr>
                  <w:tcW w:w="936" w:type="pct"/>
                  <w:noWrap w:val="0"/>
                  <w:vAlign w:val="center"/>
                </w:tcPr>
                <w:p>
                  <w:pPr>
                    <w:widowControl/>
                    <w:adjustRightInd w:val="0"/>
                    <w:jc w:val="center"/>
                    <w:rPr>
                      <w:color w:val="000000"/>
                      <w:szCs w:val="21"/>
                    </w:rPr>
                  </w:pPr>
                  <w:r>
                    <w:rPr>
                      <w:color w:val="000000"/>
                      <w:szCs w:val="21"/>
                    </w:rPr>
                    <w:t>水</w:t>
                  </w:r>
                </w:p>
              </w:tc>
              <w:tc>
                <w:tcPr>
                  <w:tcW w:w="594" w:type="pct"/>
                  <w:noWrap w:val="0"/>
                  <w:vAlign w:val="center"/>
                </w:tcPr>
                <w:p>
                  <w:pPr>
                    <w:widowControl/>
                    <w:adjustRightInd w:val="0"/>
                    <w:jc w:val="center"/>
                    <w:rPr>
                      <w:color w:val="000000"/>
                      <w:szCs w:val="21"/>
                    </w:rPr>
                  </w:pPr>
                  <w:r>
                    <w:rPr>
                      <w:color w:val="000000"/>
                      <w:szCs w:val="21"/>
                    </w:rPr>
                    <w:t>吨</w:t>
                  </w:r>
                </w:p>
              </w:tc>
              <w:tc>
                <w:tcPr>
                  <w:tcW w:w="850" w:type="pct"/>
                  <w:noWrap w:val="0"/>
                  <w:vAlign w:val="center"/>
                </w:tcPr>
                <w:p>
                  <w:pPr>
                    <w:widowControl/>
                    <w:adjustRightInd w:val="0"/>
                    <w:jc w:val="center"/>
                    <w:rPr>
                      <w:rFonts w:hint="default" w:eastAsia="宋体"/>
                      <w:color w:val="000000"/>
                      <w:szCs w:val="21"/>
                      <w:lang w:val="en-US" w:eastAsia="zh-CN"/>
                    </w:rPr>
                  </w:pPr>
                  <w:r>
                    <w:rPr>
                      <w:rFonts w:hint="eastAsia" w:eastAsia="宋体"/>
                      <w:color w:val="000000"/>
                      <w:szCs w:val="21"/>
                      <w:lang w:val="en-US" w:eastAsia="zh-CN"/>
                    </w:rPr>
                    <w:t>7720</w:t>
                  </w:r>
                </w:p>
              </w:tc>
              <w:tc>
                <w:tcPr>
                  <w:tcW w:w="2184" w:type="pct"/>
                  <w:noWrap w:val="0"/>
                  <w:vAlign w:val="center"/>
                </w:tcPr>
                <w:p>
                  <w:pPr>
                    <w:widowControl/>
                    <w:adjustRightInd w:val="0"/>
                    <w:jc w:val="center"/>
                    <w:rPr>
                      <w:rFonts w:hint="eastAsia"/>
                      <w:color w:val="000000"/>
                      <w:szCs w:val="21"/>
                    </w:rPr>
                  </w:pPr>
                  <w:r>
                    <w:rPr>
                      <w:rFonts w:hint="eastAsia"/>
                      <w:color w:val="000000"/>
                      <w:szCs w:val="21"/>
                    </w:rPr>
                    <w:t>市镇供水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3" w:hRule="atLeast"/>
              </w:trPr>
              <w:tc>
                <w:tcPr>
                  <w:tcW w:w="433" w:type="pct"/>
                  <w:noWrap w:val="0"/>
                  <w:vAlign w:val="center"/>
                </w:tcPr>
                <w:p>
                  <w:pPr>
                    <w:widowControl/>
                    <w:adjustRightInd w:val="0"/>
                    <w:jc w:val="center"/>
                    <w:rPr>
                      <w:color w:val="000000"/>
                      <w:szCs w:val="21"/>
                    </w:rPr>
                  </w:pPr>
                  <w:r>
                    <w:rPr>
                      <w:color w:val="000000"/>
                      <w:szCs w:val="21"/>
                    </w:rPr>
                    <w:t>2</w:t>
                  </w:r>
                </w:p>
              </w:tc>
              <w:tc>
                <w:tcPr>
                  <w:tcW w:w="936" w:type="pct"/>
                  <w:noWrap w:val="0"/>
                  <w:vAlign w:val="center"/>
                </w:tcPr>
                <w:p>
                  <w:pPr>
                    <w:widowControl/>
                    <w:adjustRightInd w:val="0"/>
                    <w:jc w:val="center"/>
                    <w:rPr>
                      <w:color w:val="000000"/>
                      <w:szCs w:val="21"/>
                    </w:rPr>
                  </w:pPr>
                  <w:r>
                    <w:rPr>
                      <w:color w:val="000000"/>
                      <w:szCs w:val="21"/>
                    </w:rPr>
                    <w:t>电</w:t>
                  </w:r>
                </w:p>
              </w:tc>
              <w:tc>
                <w:tcPr>
                  <w:tcW w:w="594" w:type="pct"/>
                  <w:noWrap w:val="0"/>
                  <w:vAlign w:val="center"/>
                </w:tcPr>
                <w:p>
                  <w:pPr>
                    <w:widowControl/>
                    <w:adjustRightInd w:val="0"/>
                    <w:jc w:val="center"/>
                    <w:rPr>
                      <w:color w:val="000000"/>
                      <w:szCs w:val="21"/>
                    </w:rPr>
                  </w:pPr>
                  <w:r>
                    <w:rPr>
                      <w:rFonts w:hint="eastAsia"/>
                      <w:color w:val="000000"/>
                      <w:szCs w:val="21"/>
                    </w:rPr>
                    <w:t>万kwh</w:t>
                  </w:r>
                </w:p>
              </w:tc>
              <w:tc>
                <w:tcPr>
                  <w:tcW w:w="850" w:type="pct"/>
                  <w:noWrap w:val="0"/>
                  <w:vAlign w:val="center"/>
                </w:tcPr>
                <w:p>
                  <w:pPr>
                    <w:widowControl/>
                    <w:adjustRightInd w:val="0"/>
                    <w:jc w:val="center"/>
                    <w:rPr>
                      <w:color w:val="000000"/>
                      <w:szCs w:val="21"/>
                    </w:rPr>
                  </w:pPr>
                  <w:r>
                    <w:rPr>
                      <w:rFonts w:hint="eastAsia"/>
                      <w:color w:val="000000"/>
                      <w:szCs w:val="21"/>
                    </w:rPr>
                    <w:t>150</w:t>
                  </w:r>
                </w:p>
              </w:tc>
              <w:tc>
                <w:tcPr>
                  <w:tcW w:w="2184" w:type="pct"/>
                  <w:noWrap w:val="0"/>
                  <w:vAlign w:val="center"/>
                </w:tcPr>
                <w:p>
                  <w:pPr>
                    <w:widowControl/>
                    <w:adjustRightInd w:val="0"/>
                    <w:jc w:val="center"/>
                    <w:rPr>
                      <w:color w:val="000000"/>
                      <w:szCs w:val="21"/>
                    </w:rPr>
                  </w:pPr>
                  <w:r>
                    <w:rPr>
                      <w:color w:val="000000"/>
                      <w:szCs w:val="21"/>
                    </w:rPr>
                    <w:t>国家电网</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33" w:type="pct"/>
                  <w:noWrap w:val="0"/>
                  <w:vAlign w:val="center"/>
                </w:tcPr>
                <w:p>
                  <w:pPr>
                    <w:widowControl/>
                    <w:adjustRightInd w:val="0"/>
                    <w:jc w:val="center"/>
                    <w:rPr>
                      <w:color w:val="000000"/>
                      <w:szCs w:val="21"/>
                    </w:rPr>
                  </w:pPr>
                  <w:r>
                    <w:rPr>
                      <w:rFonts w:hint="eastAsia"/>
                      <w:color w:val="000000"/>
                      <w:szCs w:val="21"/>
                    </w:rPr>
                    <w:t>3</w:t>
                  </w:r>
                </w:p>
              </w:tc>
              <w:tc>
                <w:tcPr>
                  <w:tcW w:w="936" w:type="pct"/>
                  <w:noWrap w:val="0"/>
                  <w:vAlign w:val="center"/>
                </w:tcPr>
                <w:p>
                  <w:pPr>
                    <w:widowControl/>
                    <w:adjustRightInd w:val="0"/>
                    <w:jc w:val="center"/>
                    <w:rPr>
                      <w:rFonts w:hint="eastAsia"/>
                      <w:color w:val="000000"/>
                      <w:szCs w:val="21"/>
                    </w:rPr>
                  </w:pPr>
                  <w:r>
                    <w:rPr>
                      <w:rFonts w:hint="eastAsia"/>
                      <w:color w:val="000000"/>
                      <w:szCs w:val="21"/>
                    </w:rPr>
                    <w:t>柴油</w:t>
                  </w:r>
                </w:p>
              </w:tc>
              <w:tc>
                <w:tcPr>
                  <w:tcW w:w="594" w:type="pct"/>
                  <w:noWrap w:val="0"/>
                  <w:vAlign w:val="center"/>
                </w:tcPr>
                <w:p>
                  <w:pPr>
                    <w:widowControl/>
                    <w:adjustRightInd w:val="0"/>
                    <w:jc w:val="center"/>
                    <w:rPr>
                      <w:color w:val="000000"/>
                      <w:szCs w:val="21"/>
                    </w:rPr>
                  </w:pPr>
                  <w:r>
                    <w:rPr>
                      <w:rFonts w:hint="eastAsia"/>
                      <w:color w:val="000000"/>
                      <w:szCs w:val="21"/>
                    </w:rPr>
                    <w:t>t/a</w:t>
                  </w:r>
                </w:p>
              </w:tc>
              <w:tc>
                <w:tcPr>
                  <w:tcW w:w="850" w:type="pct"/>
                  <w:noWrap w:val="0"/>
                  <w:vAlign w:val="center"/>
                </w:tcPr>
                <w:p>
                  <w:pPr>
                    <w:widowControl/>
                    <w:adjustRightInd w:val="0"/>
                    <w:jc w:val="center"/>
                    <w:rPr>
                      <w:color w:val="000000"/>
                      <w:szCs w:val="21"/>
                    </w:rPr>
                  </w:pPr>
                  <w:r>
                    <w:rPr>
                      <w:rFonts w:hint="eastAsia"/>
                      <w:color w:val="000000"/>
                      <w:szCs w:val="21"/>
                    </w:rPr>
                    <w:t>100</w:t>
                  </w:r>
                </w:p>
              </w:tc>
              <w:tc>
                <w:tcPr>
                  <w:tcW w:w="2184" w:type="pct"/>
                  <w:noWrap w:val="0"/>
                  <w:vAlign w:val="center"/>
                </w:tcPr>
                <w:p>
                  <w:pPr>
                    <w:widowControl/>
                    <w:adjustRightInd w:val="0"/>
                    <w:jc w:val="center"/>
                    <w:rPr>
                      <w:color w:val="000000"/>
                      <w:szCs w:val="21"/>
                    </w:rPr>
                  </w:pPr>
                  <w:r>
                    <w:rPr>
                      <w:rFonts w:hint="eastAsia"/>
                      <w:color w:val="000000"/>
                      <w:szCs w:val="21"/>
                    </w:rPr>
                    <w:t>外购</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00" w:type="pct"/>
                  <w:gridSpan w:val="5"/>
                  <w:noWrap w:val="0"/>
                  <w:vAlign w:val="center"/>
                </w:tcPr>
                <w:p>
                  <w:pPr>
                    <w:widowControl/>
                    <w:adjustRightInd w:val="0"/>
                    <w:jc w:val="center"/>
                    <w:rPr>
                      <w:rFonts w:hint="eastAsia" w:eastAsia="宋体"/>
                      <w:color w:val="000000"/>
                      <w:szCs w:val="21"/>
                      <w:lang w:eastAsia="zh-CN"/>
                    </w:rPr>
                  </w:pPr>
                  <w:r>
                    <w:rPr>
                      <w:rFonts w:hint="eastAsia"/>
                      <w:color w:val="000000"/>
                      <w:szCs w:val="21"/>
                      <w:u w:val="single"/>
                      <w:lang w:eastAsia="zh-CN"/>
                    </w:rPr>
                    <w:t>注：柴油不在场区内储存，通过加油站外购</w:t>
                  </w:r>
                </w:p>
              </w:tc>
            </w:tr>
          </w:tbl>
          <w:p>
            <w:pPr>
              <w:keepNext/>
              <w:keepLines/>
              <w:wordWrap w:val="0"/>
              <w:spacing w:before="192" w:beforeLines="80" w:after="192" w:afterLines="80"/>
              <w:outlineLvl w:val="2"/>
              <w:rPr>
                <w:rFonts w:hint="eastAsia" w:eastAsia="宋体"/>
                <w:b/>
                <w:bCs/>
                <w:sz w:val="28"/>
                <w:szCs w:val="32"/>
                <w:lang w:eastAsia="zh-CN"/>
              </w:rPr>
            </w:pPr>
            <w:r>
              <w:rPr>
                <w:rFonts w:hint="eastAsia"/>
                <w:b/>
                <w:bCs/>
                <w:sz w:val="28"/>
                <w:szCs w:val="32"/>
              </w:rPr>
              <w:t>2.1.6主要设备</w:t>
            </w:r>
            <w:bookmarkEnd w:id="28"/>
            <w:bookmarkEnd w:id="29"/>
            <w:bookmarkEnd w:id="30"/>
            <w:bookmarkEnd w:id="31"/>
            <w:bookmarkEnd w:id="32"/>
            <w:r>
              <w:rPr>
                <w:rFonts w:hint="eastAsia"/>
                <w:b/>
                <w:bCs/>
                <w:sz w:val="28"/>
                <w:szCs w:val="32"/>
                <w:lang w:eastAsia="zh-CN"/>
              </w:rPr>
              <w:t>注：</w:t>
            </w:r>
          </w:p>
          <w:p>
            <w:pPr>
              <w:wordWrap w:val="0"/>
              <w:spacing w:line="360" w:lineRule="auto"/>
              <w:ind w:firstLine="480" w:firstLineChars="200"/>
              <w:rPr>
                <w:rFonts w:hint="eastAsia"/>
                <w:sz w:val="24"/>
              </w:rPr>
            </w:pPr>
            <w:r>
              <w:rPr>
                <w:rFonts w:eastAsia="Calibri"/>
                <w:bCs/>
                <w:sz w:val="24"/>
              </w:rPr>
              <w:t>主要设备见下表</w:t>
            </w:r>
            <w:r>
              <w:rPr>
                <w:rFonts w:hint="eastAsia" w:eastAsia="Calibri"/>
                <w:bCs/>
                <w:sz w:val="24"/>
              </w:rPr>
              <w:t>：</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表2.1-5：主要设备一览表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9"/>
              <w:gridCol w:w="852"/>
              <w:gridCol w:w="1938"/>
              <w:gridCol w:w="1501"/>
              <w:gridCol w:w="1790"/>
              <w:gridCol w:w="874"/>
              <w:gridCol w:w="1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64" w:type="pct"/>
                  <w:noWrap w:val="0"/>
                  <w:vAlign w:val="center"/>
                </w:tcPr>
                <w:p>
                  <w:pPr>
                    <w:adjustRightInd w:val="0"/>
                    <w:jc w:val="center"/>
                    <w:rPr>
                      <w:b/>
                      <w:bCs/>
                      <w:color w:val="000000"/>
                      <w:szCs w:val="21"/>
                    </w:rPr>
                  </w:pPr>
                  <w:bookmarkStart w:id="33" w:name="_Toc110446465"/>
                  <w:bookmarkStart w:id="34" w:name="_Toc109294459"/>
                  <w:bookmarkStart w:id="35" w:name="_Toc109630660"/>
                  <w:bookmarkStart w:id="36" w:name="_Toc109734362"/>
                  <w:bookmarkStart w:id="37" w:name="_Toc111721047"/>
                  <w:bookmarkStart w:id="38" w:name="_Hlk109512466"/>
                  <w:r>
                    <w:rPr>
                      <w:b/>
                      <w:bCs/>
                      <w:color w:val="000000"/>
                      <w:szCs w:val="21"/>
                    </w:rPr>
                    <w:t>序号</w:t>
                  </w:r>
                </w:p>
              </w:tc>
              <w:tc>
                <w:tcPr>
                  <w:tcW w:w="500" w:type="pct"/>
                  <w:noWrap w:val="0"/>
                  <w:vAlign w:val="center"/>
                </w:tcPr>
                <w:p>
                  <w:pPr>
                    <w:adjustRightInd w:val="0"/>
                    <w:jc w:val="center"/>
                    <w:rPr>
                      <w:b/>
                      <w:bCs/>
                      <w:color w:val="000000"/>
                      <w:szCs w:val="21"/>
                    </w:rPr>
                  </w:pPr>
                  <w:r>
                    <w:rPr>
                      <w:b/>
                      <w:bCs/>
                      <w:color w:val="000000"/>
                      <w:szCs w:val="21"/>
                    </w:rPr>
                    <w:t>车间</w:t>
                  </w:r>
                </w:p>
              </w:tc>
              <w:tc>
                <w:tcPr>
                  <w:tcW w:w="1137" w:type="pct"/>
                  <w:noWrap w:val="0"/>
                  <w:vAlign w:val="center"/>
                </w:tcPr>
                <w:p>
                  <w:pPr>
                    <w:adjustRightInd w:val="0"/>
                    <w:jc w:val="center"/>
                    <w:rPr>
                      <w:b/>
                      <w:bCs/>
                      <w:color w:val="000000"/>
                      <w:szCs w:val="21"/>
                    </w:rPr>
                  </w:pPr>
                  <w:r>
                    <w:rPr>
                      <w:b/>
                      <w:bCs/>
                      <w:color w:val="000000"/>
                      <w:szCs w:val="21"/>
                    </w:rPr>
                    <w:t>设备名称</w:t>
                  </w:r>
                </w:p>
              </w:tc>
              <w:tc>
                <w:tcPr>
                  <w:tcW w:w="880" w:type="pct"/>
                  <w:noWrap w:val="0"/>
                  <w:vAlign w:val="center"/>
                </w:tcPr>
                <w:p>
                  <w:pPr>
                    <w:adjustRightInd w:val="0"/>
                    <w:jc w:val="center"/>
                    <w:rPr>
                      <w:b/>
                      <w:bCs/>
                      <w:color w:val="000000"/>
                      <w:szCs w:val="21"/>
                    </w:rPr>
                  </w:pPr>
                  <w:r>
                    <w:rPr>
                      <w:b/>
                      <w:bCs/>
                      <w:color w:val="000000"/>
                      <w:szCs w:val="21"/>
                    </w:rPr>
                    <w:t>数量</w:t>
                  </w:r>
                </w:p>
                <w:p>
                  <w:pPr>
                    <w:adjustRightInd w:val="0"/>
                    <w:jc w:val="center"/>
                    <w:rPr>
                      <w:b/>
                      <w:bCs/>
                      <w:color w:val="000000"/>
                      <w:szCs w:val="21"/>
                    </w:rPr>
                  </w:pPr>
                  <w:r>
                    <w:rPr>
                      <w:b/>
                      <w:bCs/>
                      <w:color w:val="000000"/>
                      <w:szCs w:val="21"/>
                    </w:rPr>
                    <w:t>(台/个)</w:t>
                  </w:r>
                </w:p>
              </w:tc>
              <w:tc>
                <w:tcPr>
                  <w:tcW w:w="1050" w:type="pct"/>
                  <w:noWrap w:val="0"/>
                  <w:vAlign w:val="center"/>
                </w:tcPr>
                <w:p>
                  <w:pPr>
                    <w:adjustRightInd w:val="0"/>
                    <w:jc w:val="center"/>
                    <w:rPr>
                      <w:b/>
                      <w:bCs/>
                      <w:color w:val="000000"/>
                      <w:szCs w:val="21"/>
                    </w:rPr>
                  </w:pPr>
                  <w:r>
                    <w:rPr>
                      <w:b/>
                      <w:bCs/>
                      <w:color w:val="000000"/>
                      <w:szCs w:val="21"/>
                    </w:rPr>
                    <w:t>规格型号</w:t>
                  </w:r>
                </w:p>
              </w:tc>
              <w:tc>
                <w:tcPr>
                  <w:tcW w:w="513" w:type="pct"/>
                  <w:noWrap w:val="0"/>
                  <w:vAlign w:val="center"/>
                </w:tcPr>
                <w:p>
                  <w:pPr>
                    <w:adjustRightInd w:val="0"/>
                    <w:jc w:val="center"/>
                    <w:rPr>
                      <w:b/>
                      <w:bCs/>
                      <w:color w:val="000000"/>
                      <w:szCs w:val="21"/>
                    </w:rPr>
                  </w:pPr>
                  <w:r>
                    <w:rPr>
                      <w:b/>
                      <w:bCs/>
                      <w:color w:val="000000"/>
                      <w:szCs w:val="21"/>
                    </w:rPr>
                    <w:t>用途</w:t>
                  </w:r>
                </w:p>
              </w:tc>
              <w:tc>
                <w:tcPr>
                  <w:tcW w:w="652" w:type="pct"/>
                  <w:noWrap w:val="0"/>
                  <w:vAlign w:val="center"/>
                </w:tcPr>
                <w:p>
                  <w:pPr>
                    <w:adjustRightInd w:val="0"/>
                    <w:jc w:val="center"/>
                    <w:rPr>
                      <w:b/>
                      <w:bCs/>
                      <w:color w:val="000000"/>
                      <w:szCs w:val="21"/>
                    </w:rPr>
                  </w:pPr>
                  <w:r>
                    <w:rPr>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color w:val="000000"/>
                      <w:kern w:val="0"/>
                      <w:szCs w:val="21"/>
                    </w:rPr>
                  </w:pPr>
                  <w:r>
                    <w:rPr>
                      <w:color w:val="000000"/>
                      <w:kern w:val="0"/>
                      <w:szCs w:val="21"/>
                    </w:rPr>
                    <w:t>1</w:t>
                  </w:r>
                </w:p>
              </w:tc>
              <w:tc>
                <w:tcPr>
                  <w:tcW w:w="500" w:type="pct"/>
                  <w:vMerge w:val="restart"/>
                  <w:noWrap w:val="0"/>
                  <w:vAlign w:val="center"/>
                </w:tcPr>
                <w:p>
                  <w:pPr>
                    <w:adjustRightInd w:val="0"/>
                    <w:jc w:val="center"/>
                    <w:rPr>
                      <w:rFonts w:hint="eastAsia"/>
                      <w:color w:val="000000"/>
                      <w:szCs w:val="21"/>
                    </w:rPr>
                  </w:pPr>
                  <w:r>
                    <w:rPr>
                      <w:rFonts w:hint="eastAsia"/>
                      <w:color w:val="000000"/>
                      <w:szCs w:val="21"/>
                    </w:rPr>
                    <w:t>生产车间</w:t>
                  </w:r>
                </w:p>
              </w:tc>
              <w:tc>
                <w:tcPr>
                  <w:tcW w:w="1137" w:type="pct"/>
                  <w:noWrap w:val="0"/>
                  <w:vAlign w:val="center"/>
                </w:tcPr>
                <w:p>
                  <w:pPr>
                    <w:adjustRightInd w:val="0"/>
                    <w:snapToGrid w:val="0"/>
                    <w:jc w:val="center"/>
                    <w:rPr>
                      <w:rFonts w:hint="eastAsia"/>
                      <w:szCs w:val="21"/>
                    </w:rPr>
                  </w:pPr>
                  <w:r>
                    <w:rPr>
                      <w:rFonts w:hint="eastAsia"/>
                      <w:szCs w:val="21"/>
                    </w:rPr>
                    <w:t>破碎机</w:t>
                  </w:r>
                </w:p>
              </w:tc>
              <w:tc>
                <w:tcPr>
                  <w:tcW w:w="880" w:type="pct"/>
                  <w:noWrap w:val="0"/>
                  <w:vAlign w:val="center"/>
                </w:tcPr>
                <w:p>
                  <w:pPr>
                    <w:adjustRightInd w:val="0"/>
                    <w:jc w:val="center"/>
                    <w:rPr>
                      <w:rFonts w:hint="eastAsia"/>
                      <w:color w:val="000000"/>
                      <w:szCs w:val="21"/>
                    </w:rPr>
                  </w:pPr>
                  <w:r>
                    <w:rPr>
                      <w:rFonts w:hint="eastAsia"/>
                      <w:color w:val="000000"/>
                      <w:szCs w:val="21"/>
                    </w:rPr>
                    <w:t>1</w:t>
                  </w:r>
                </w:p>
              </w:tc>
              <w:tc>
                <w:tcPr>
                  <w:tcW w:w="1050" w:type="pct"/>
                  <w:noWrap w:val="0"/>
                  <w:vAlign w:val="center"/>
                </w:tcPr>
                <w:p>
                  <w:pPr>
                    <w:adjustRightInd w:val="0"/>
                    <w:snapToGrid w:val="0"/>
                    <w:jc w:val="center"/>
                    <w:rPr>
                      <w:szCs w:val="21"/>
                    </w:rPr>
                  </w:pPr>
                  <w:r>
                    <w:rPr>
                      <w:rFonts w:hint="eastAsia"/>
                      <w:szCs w:val="21"/>
                    </w:rPr>
                    <w:t>400×600mm</w:t>
                  </w:r>
                </w:p>
              </w:tc>
              <w:tc>
                <w:tcPr>
                  <w:tcW w:w="513" w:type="pct"/>
                  <w:noWrap w:val="0"/>
                  <w:vAlign w:val="center"/>
                </w:tcPr>
                <w:p>
                  <w:pPr>
                    <w:widowControl/>
                    <w:adjustRightInd w:val="0"/>
                    <w:jc w:val="center"/>
                    <w:rPr>
                      <w:rFonts w:hint="eastAsia"/>
                      <w:color w:val="000000"/>
                      <w:szCs w:val="21"/>
                    </w:rPr>
                  </w:pPr>
                  <w:r>
                    <w:rPr>
                      <w:rFonts w:hint="eastAsia"/>
                      <w:color w:val="000000"/>
                      <w:szCs w:val="21"/>
                    </w:rPr>
                    <w:t>破碎</w:t>
                  </w:r>
                </w:p>
              </w:tc>
              <w:tc>
                <w:tcPr>
                  <w:tcW w:w="652" w:type="pct"/>
                  <w:noWrap w:val="0"/>
                  <w:vAlign w:val="center"/>
                </w:tcPr>
                <w:p>
                  <w:pPr>
                    <w:adjustRightInd w:val="0"/>
                    <w:snapToGrid w:val="0"/>
                    <w:jc w:val="center"/>
                    <w:rPr>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rFonts w:hint="eastAsia" w:eastAsia="宋体"/>
                      <w:color w:val="000000"/>
                      <w:kern w:val="0"/>
                      <w:szCs w:val="21"/>
                      <w:lang w:val="en-US" w:eastAsia="zh-CN"/>
                    </w:rPr>
                  </w:pPr>
                  <w:r>
                    <w:rPr>
                      <w:rFonts w:hint="eastAsia"/>
                      <w:color w:val="000000"/>
                      <w:kern w:val="0"/>
                      <w:szCs w:val="21"/>
                      <w:lang w:val="en-US" w:eastAsia="zh-CN"/>
                    </w:rPr>
                    <w:t>2</w:t>
                  </w:r>
                </w:p>
              </w:tc>
              <w:tc>
                <w:tcPr>
                  <w:tcW w:w="500" w:type="pct"/>
                  <w:vMerge w:val="continue"/>
                  <w:noWrap w:val="0"/>
                  <w:vAlign w:val="center"/>
                </w:tcPr>
                <w:p>
                  <w:pPr>
                    <w:adjustRightInd w:val="0"/>
                    <w:jc w:val="center"/>
                    <w:rPr>
                      <w:rFonts w:hint="eastAsia"/>
                      <w:color w:val="000000"/>
                      <w:szCs w:val="21"/>
                    </w:rPr>
                  </w:pPr>
                </w:p>
              </w:tc>
              <w:tc>
                <w:tcPr>
                  <w:tcW w:w="1137" w:type="pct"/>
                  <w:noWrap w:val="0"/>
                  <w:vAlign w:val="center"/>
                </w:tcPr>
                <w:p>
                  <w:pPr>
                    <w:adjustRightInd w:val="0"/>
                    <w:snapToGrid w:val="0"/>
                    <w:jc w:val="center"/>
                    <w:rPr>
                      <w:rFonts w:hint="eastAsia" w:eastAsia="宋体"/>
                      <w:szCs w:val="21"/>
                      <w:lang w:eastAsia="zh-CN"/>
                    </w:rPr>
                  </w:pPr>
                  <w:r>
                    <w:rPr>
                      <w:rFonts w:hint="eastAsia"/>
                      <w:szCs w:val="21"/>
                      <w:lang w:eastAsia="zh-CN"/>
                    </w:rPr>
                    <w:t>装载机</w:t>
                  </w:r>
                </w:p>
              </w:tc>
              <w:tc>
                <w:tcPr>
                  <w:tcW w:w="880" w:type="pct"/>
                  <w:noWrap w:val="0"/>
                  <w:vAlign w:val="center"/>
                </w:tcPr>
                <w:p>
                  <w:pPr>
                    <w:adjustRightInd w:val="0"/>
                    <w:jc w:val="center"/>
                    <w:rPr>
                      <w:rFonts w:hint="eastAsia" w:eastAsia="宋体"/>
                      <w:color w:val="000000"/>
                      <w:szCs w:val="21"/>
                      <w:lang w:val="en-US" w:eastAsia="zh-CN"/>
                    </w:rPr>
                  </w:pPr>
                  <w:r>
                    <w:rPr>
                      <w:rFonts w:hint="eastAsia"/>
                      <w:color w:val="000000"/>
                      <w:szCs w:val="21"/>
                      <w:lang w:val="en-US" w:eastAsia="zh-CN"/>
                    </w:rPr>
                    <w:t>2</w:t>
                  </w:r>
                </w:p>
              </w:tc>
              <w:tc>
                <w:tcPr>
                  <w:tcW w:w="1050" w:type="pct"/>
                  <w:noWrap w:val="0"/>
                  <w:vAlign w:val="center"/>
                </w:tcPr>
                <w:p>
                  <w:pPr>
                    <w:adjustRightInd w:val="0"/>
                    <w:snapToGrid w:val="0"/>
                    <w:jc w:val="center"/>
                    <w:rPr>
                      <w:rFonts w:hint="default" w:eastAsia="宋体"/>
                      <w:szCs w:val="21"/>
                      <w:lang w:val="en-US" w:eastAsia="zh-CN"/>
                    </w:rPr>
                  </w:pPr>
                  <w:r>
                    <w:rPr>
                      <w:rFonts w:hint="eastAsia"/>
                      <w:szCs w:val="21"/>
                      <w:lang w:val="en-US" w:eastAsia="zh-CN"/>
                    </w:rPr>
                    <w:t>L-958</w:t>
                  </w:r>
                </w:p>
              </w:tc>
              <w:tc>
                <w:tcPr>
                  <w:tcW w:w="513" w:type="pct"/>
                  <w:noWrap w:val="0"/>
                  <w:vAlign w:val="center"/>
                </w:tcPr>
                <w:p>
                  <w:pPr>
                    <w:widowControl/>
                    <w:adjustRightInd w:val="0"/>
                    <w:jc w:val="center"/>
                    <w:rPr>
                      <w:rFonts w:hint="eastAsia" w:eastAsia="宋体"/>
                      <w:color w:val="000000"/>
                      <w:szCs w:val="21"/>
                      <w:lang w:eastAsia="zh-CN"/>
                    </w:rPr>
                  </w:pPr>
                  <w:r>
                    <w:rPr>
                      <w:rFonts w:hint="eastAsia"/>
                      <w:color w:val="000000"/>
                      <w:szCs w:val="21"/>
                      <w:lang w:eastAsia="zh-CN"/>
                    </w:rPr>
                    <w:t>装载</w:t>
                  </w:r>
                </w:p>
              </w:tc>
              <w:tc>
                <w:tcPr>
                  <w:tcW w:w="652" w:type="pct"/>
                  <w:noWrap w:val="0"/>
                  <w:vAlign w:val="center"/>
                </w:tcPr>
                <w:p>
                  <w:pPr>
                    <w:adjustRightInd w:val="0"/>
                    <w:snapToGrid w:val="0"/>
                    <w:jc w:val="center"/>
                    <w:rPr>
                      <w:rFonts w:hint="eastAsia" w:eastAsia="宋体"/>
                      <w:szCs w:val="21"/>
                      <w:lang w:eastAsia="zh-CN"/>
                    </w:rPr>
                  </w:pPr>
                  <w:r>
                    <w:rPr>
                      <w:rFonts w:hint="eastAsia"/>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color w:val="000000"/>
                      <w:kern w:val="0"/>
                      <w:szCs w:val="21"/>
                    </w:rPr>
                  </w:pPr>
                  <w:r>
                    <w:rPr>
                      <w:rFonts w:hint="eastAsia"/>
                      <w:color w:val="000000"/>
                      <w:kern w:val="0"/>
                      <w:szCs w:val="21"/>
                    </w:rPr>
                    <w:t>2</w:t>
                  </w:r>
                </w:p>
              </w:tc>
              <w:tc>
                <w:tcPr>
                  <w:tcW w:w="500" w:type="pct"/>
                  <w:vMerge w:val="continue"/>
                  <w:noWrap w:val="0"/>
                  <w:vAlign w:val="center"/>
                </w:tcPr>
                <w:p>
                  <w:pPr>
                    <w:adjustRightInd w:val="0"/>
                    <w:jc w:val="center"/>
                    <w:rPr>
                      <w:color w:val="000000"/>
                      <w:szCs w:val="21"/>
                    </w:rPr>
                  </w:pPr>
                </w:p>
              </w:tc>
              <w:tc>
                <w:tcPr>
                  <w:tcW w:w="1137" w:type="pct"/>
                  <w:noWrap w:val="0"/>
                  <w:vAlign w:val="center"/>
                </w:tcPr>
                <w:p>
                  <w:pPr>
                    <w:adjustRightInd w:val="0"/>
                    <w:snapToGrid w:val="0"/>
                    <w:jc w:val="center"/>
                    <w:rPr>
                      <w:rFonts w:hint="eastAsia"/>
                      <w:szCs w:val="21"/>
                    </w:rPr>
                  </w:pPr>
                  <w:r>
                    <w:rPr>
                      <w:rFonts w:hint="eastAsia"/>
                      <w:szCs w:val="21"/>
                    </w:rPr>
                    <w:t>振动筛</w:t>
                  </w:r>
                </w:p>
              </w:tc>
              <w:tc>
                <w:tcPr>
                  <w:tcW w:w="880" w:type="pct"/>
                  <w:noWrap w:val="0"/>
                  <w:vAlign w:val="center"/>
                </w:tcPr>
                <w:p>
                  <w:pPr>
                    <w:adjustRightInd w:val="0"/>
                    <w:jc w:val="center"/>
                    <w:rPr>
                      <w:rFonts w:hint="eastAsia"/>
                      <w:color w:val="000000"/>
                      <w:szCs w:val="21"/>
                    </w:rPr>
                  </w:pPr>
                  <w:r>
                    <w:rPr>
                      <w:rFonts w:hint="eastAsia"/>
                      <w:color w:val="000000"/>
                      <w:szCs w:val="21"/>
                    </w:rPr>
                    <w:t>1</w:t>
                  </w:r>
                </w:p>
              </w:tc>
              <w:tc>
                <w:tcPr>
                  <w:tcW w:w="1050" w:type="pct"/>
                  <w:noWrap w:val="0"/>
                  <w:vAlign w:val="center"/>
                </w:tcPr>
                <w:p>
                  <w:pPr>
                    <w:adjustRightInd w:val="0"/>
                    <w:snapToGrid w:val="0"/>
                    <w:jc w:val="center"/>
                    <w:rPr>
                      <w:szCs w:val="21"/>
                    </w:rPr>
                  </w:pPr>
                  <w:r>
                    <w:rPr>
                      <w:rFonts w:hint="eastAsia"/>
                      <w:szCs w:val="21"/>
                    </w:rPr>
                    <w:t>800-1000mm</w:t>
                  </w:r>
                </w:p>
              </w:tc>
              <w:tc>
                <w:tcPr>
                  <w:tcW w:w="513" w:type="pct"/>
                  <w:noWrap w:val="0"/>
                  <w:vAlign w:val="center"/>
                </w:tcPr>
                <w:p>
                  <w:pPr>
                    <w:widowControl/>
                    <w:adjustRightInd w:val="0"/>
                    <w:jc w:val="center"/>
                    <w:rPr>
                      <w:rFonts w:hint="eastAsia"/>
                      <w:color w:val="000000"/>
                      <w:szCs w:val="21"/>
                    </w:rPr>
                  </w:pPr>
                  <w:r>
                    <w:rPr>
                      <w:rFonts w:hint="eastAsia"/>
                      <w:color w:val="000000"/>
                      <w:szCs w:val="21"/>
                    </w:rPr>
                    <w:t>筛分</w:t>
                  </w:r>
                </w:p>
              </w:tc>
              <w:tc>
                <w:tcPr>
                  <w:tcW w:w="652" w:type="pct"/>
                  <w:noWrap w:val="0"/>
                  <w:vAlign w:val="center"/>
                </w:tcPr>
                <w:p>
                  <w:pPr>
                    <w:adjustRightInd w:val="0"/>
                    <w:snapToGrid w:val="0"/>
                    <w:jc w:val="center"/>
                    <w:rPr>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rFonts w:hint="eastAsia"/>
                      <w:color w:val="000000"/>
                      <w:kern w:val="0"/>
                      <w:szCs w:val="21"/>
                    </w:rPr>
                  </w:pPr>
                  <w:r>
                    <w:rPr>
                      <w:rFonts w:hint="eastAsia"/>
                      <w:color w:val="000000"/>
                      <w:kern w:val="0"/>
                      <w:szCs w:val="21"/>
                    </w:rPr>
                    <w:t>3</w:t>
                  </w:r>
                </w:p>
              </w:tc>
              <w:tc>
                <w:tcPr>
                  <w:tcW w:w="500" w:type="pct"/>
                  <w:vMerge w:val="continue"/>
                  <w:noWrap w:val="0"/>
                  <w:vAlign w:val="center"/>
                </w:tcPr>
                <w:p>
                  <w:pPr>
                    <w:adjustRightInd w:val="0"/>
                    <w:jc w:val="center"/>
                    <w:rPr>
                      <w:color w:val="000000"/>
                      <w:szCs w:val="21"/>
                    </w:rPr>
                  </w:pPr>
                </w:p>
              </w:tc>
              <w:tc>
                <w:tcPr>
                  <w:tcW w:w="1137" w:type="pct"/>
                  <w:noWrap w:val="0"/>
                  <w:vAlign w:val="center"/>
                </w:tcPr>
                <w:p>
                  <w:pPr>
                    <w:adjustRightInd w:val="0"/>
                    <w:snapToGrid w:val="0"/>
                    <w:jc w:val="center"/>
                    <w:rPr>
                      <w:rFonts w:hint="eastAsia"/>
                      <w:szCs w:val="21"/>
                    </w:rPr>
                  </w:pPr>
                  <w:r>
                    <w:rPr>
                      <w:rFonts w:hint="eastAsia"/>
                      <w:szCs w:val="21"/>
                    </w:rPr>
                    <w:t>喂料机</w:t>
                  </w:r>
                </w:p>
              </w:tc>
              <w:tc>
                <w:tcPr>
                  <w:tcW w:w="880" w:type="pct"/>
                  <w:noWrap w:val="0"/>
                  <w:vAlign w:val="center"/>
                </w:tcPr>
                <w:p>
                  <w:pPr>
                    <w:adjustRightInd w:val="0"/>
                    <w:jc w:val="center"/>
                    <w:rPr>
                      <w:rFonts w:hint="eastAsia"/>
                      <w:color w:val="000000"/>
                      <w:szCs w:val="21"/>
                    </w:rPr>
                  </w:pPr>
                  <w:r>
                    <w:rPr>
                      <w:rFonts w:hint="eastAsia"/>
                      <w:color w:val="000000"/>
                      <w:szCs w:val="21"/>
                    </w:rPr>
                    <w:t>1</w:t>
                  </w:r>
                </w:p>
              </w:tc>
              <w:tc>
                <w:tcPr>
                  <w:tcW w:w="1050" w:type="pct"/>
                  <w:noWrap w:val="0"/>
                  <w:vAlign w:val="center"/>
                </w:tcPr>
                <w:p>
                  <w:pPr>
                    <w:adjustRightInd w:val="0"/>
                    <w:snapToGrid w:val="0"/>
                    <w:jc w:val="center"/>
                    <w:rPr>
                      <w:szCs w:val="21"/>
                    </w:rPr>
                  </w:pPr>
                  <w:r>
                    <w:rPr>
                      <w:rFonts w:hint="eastAsia"/>
                      <w:szCs w:val="21"/>
                    </w:rPr>
                    <w:t>500×1000mm</w:t>
                  </w:r>
                </w:p>
              </w:tc>
              <w:tc>
                <w:tcPr>
                  <w:tcW w:w="513" w:type="pct"/>
                  <w:noWrap w:val="0"/>
                  <w:vAlign w:val="center"/>
                </w:tcPr>
                <w:p>
                  <w:pPr>
                    <w:widowControl/>
                    <w:adjustRightInd w:val="0"/>
                    <w:jc w:val="center"/>
                    <w:rPr>
                      <w:rFonts w:hint="eastAsia"/>
                      <w:color w:val="000000"/>
                      <w:szCs w:val="21"/>
                    </w:rPr>
                  </w:pPr>
                  <w:r>
                    <w:rPr>
                      <w:rFonts w:hint="eastAsia"/>
                      <w:color w:val="000000"/>
                      <w:szCs w:val="21"/>
                    </w:rPr>
                    <w:t>投料</w:t>
                  </w:r>
                </w:p>
              </w:tc>
              <w:tc>
                <w:tcPr>
                  <w:tcW w:w="652" w:type="pct"/>
                  <w:noWrap w:val="0"/>
                  <w:vAlign w:val="center"/>
                </w:tcPr>
                <w:p>
                  <w:pPr>
                    <w:adjustRightInd w:val="0"/>
                    <w:snapToGrid w:val="0"/>
                    <w:jc w:val="center"/>
                    <w:rPr>
                      <w:rFonts w:hint="eastAsia"/>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rFonts w:hint="eastAsia"/>
                      <w:color w:val="000000"/>
                      <w:kern w:val="0"/>
                      <w:szCs w:val="21"/>
                    </w:rPr>
                  </w:pPr>
                  <w:r>
                    <w:rPr>
                      <w:rFonts w:hint="eastAsia"/>
                      <w:color w:val="000000"/>
                      <w:kern w:val="0"/>
                      <w:szCs w:val="21"/>
                    </w:rPr>
                    <w:t>4</w:t>
                  </w:r>
                </w:p>
              </w:tc>
              <w:tc>
                <w:tcPr>
                  <w:tcW w:w="500" w:type="pct"/>
                  <w:vMerge w:val="continue"/>
                  <w:noWrap w:val="0"/>
                  <w:vAlign w:val="center"/>
                </w:tcPr>
                <w:p>
                  <w:pPr>
                    <w:adjustRightInd w:val="0"/>
                    <w:jc w:val="center"/>
                    <w:rPr>
                      <w:color w:val="000000"/>
                      <w:szCs w:val="21"/>
                    </w:rPr>
                  </w:pPr>
                </w:p>
              </w:tc>
              <w:tc>
                <w:tcPr>
                  <w:tcW w:w="1137" w:type="pct"/>
                  <w:noWrap w:val="0"/>
                  <w:vAlign w:val="center"/>
                </w:tcPr>
                <w:p>
                  <w:pPr>
                    <w:adjustRightInd w:val="0"/>
                    <w:snapToGrid w:val="0"/>
                    <w:jc w:val="center"/>
                    <w:rPr>
                      <w:rFonts w:hint="eastAsia"/>
                      <w:szCs w:val="21"/>
                    </w:rPr>
                  </w:pPr>
                  <w:r>
                    <w:rPr>
                      <w:rFonts w:hint="eastAsia"/>
                      <w:szCs w:val="21"/>
                    </w:rPr>
                    <w:t>滚筒筛</w:t>
                  </w:r>
                </w:p>
              </w:tc>
              <w:tc>
                <w:tcPr>
                  <w:tcW w:w="880" w:type="pct"/>
                  <w:noWrap w:val="0"/>
                  <w:vAlign w:val="center"/>
                </w:tcPr>
                <w:p>
                  <w:pPr>
                    <w:adjustRightInd w:val="0"/>
                    <w:jc w:val="center"/>
                    <w:rPr>
                      <w:rFonts w:hint="eastAsia"/>
                      <w:color w:val="000000"/>
                      <w:szCs w:val="21"/>
                    </w:rPr>
                  </w:pPr>
                  <w:r>
                    <w:rPr>
                      <w:rFonts w:hint="eastAsia"/>
                      <w:color w:val="000000"/>
                      <w:szCs w:val="21"/>
                    </w:rPr>
                    <w:t>1</w:t>
                  </w:r>
                </w:p>
              </w:tc>
              <w:tc>
                <w:tcPr>
                  <w:tcW w:w="1050" w:type="pct"/>
                  <w:noWrap w:val="0"/>
                  <w:vAlign w:val="center"/>
                </w:tcPr>
                <w:p>
                  <w:pPr>
                    <w:adjustRightInd w:val="0"/>
                    <w:snapToGrid w:val="0"/>
                    <w:jc w:val="center"/>
                    <w:rPr>
                      <w:szCs w:val="21"/>
                    </w:rPr>
                  </w:pPr>
                  <w:r>
                    <w:rPr>
                      <w:rFonts w:hint="eastAsia"/>
                      <w:szCs w:val="21"/>
                    </w:rPr>
                    <w:t>2200-5000mm</w:t>
                  </w:r>
                </w:p>
              </w:tc>
              <w:tc>
                <w:tcPr>
                  <w:tcW w:w="513" w:type="pct"/>
                  <w:noWrap w:val="0"/>
                  <w:vAlign w:val="center"/>
                </w:tcPr>
                <w:p>
                  <w:pPr>
                    <w:widowControl/>
                    <w:adjustRightInd w:val="0"/>
                    <w:jc w:val="center"/>
                    <w:rPr>
                      <w:rFonts w:hint="eastAsia"/>
                      <w:color w:val="000000"/>
                      <w:szCs w:val="21"/>
                    </w:rPr>
                  </w:pPr>
                  <w:r>
                    <w:rPr>
                      <w:rFonts w:hint="eastAsia"/>
                      <w:color w:val="000000"/>
                      <w:szCs w:val="21"/>
                    </w:rPr>
                    <w:t>筛分</w:t>
                  </w:r>
                </w:p>
              </w:tc>
              <w:tc>
                <w:tcPr>
                  <w:tcW w:w="652" w:type="pct"/>
                  <w:noWrap w:val="0"/>
                  <w:vAlign w:val="center"/>
                </w:tcPr>
                <w:p>
                  <w:pPr>
                    <w:adjustRightInd w:val="0"/>
                    <w:snapToGrid w:val="0"/>
                    <w:jc w:val="center"/>
                    <w:rPr>
                      <w:rFonts w:hint="eastAsia"/>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rFonts w:hint="eastAsia"/>
                      <w:color w:val="000000"/>
                      <w:kern w:val="0"/>
                      <w:szCs w:val="21"/>
                    </w:rPr>
                  </w:pPr>
                  <w:r>
                    <w:rPr>
                      <w:rFonts w:hint="eastAsia"/>
                      <w:color w:val="000000"/>
                      <w:kern w:val="0"/>
                      <w:szCs w:val="21"/>
                    </w:rPr>
                    <w:t>5</w:t>
                  </w:r>
                </w:p>
              </w:tc>
              <w:tc>
                <w:tcPr>
                  <w:tcW w:w="500" w:type="pct"/>
                  <w:vMerge w:val="continue"/>
                  <w:noWrap w:val="0"/>
                  <w:vAlign w:val="center"/>
                </w:tcPr>
                <w:p>
                  <w:pPr>
                    <w:adjustRightInd w:val="0"/>
                    <w:jc w:val="center"/>
                    <w:rPr>
                      <w:color w:val="000000"/>
                      <w:szCs w:val="21"/>
                    </w:rPr>
                  </w:pPr>
                </w:p>
              </w:tc>
              <w:tc>
                <w:tcPr>
                  <w:tcW w:w="1137" w:type="pct"/>
                  <w:noWrap w:val="0"/>
                  <w:vAlign w:val="center"/>
                </w:tcPr>
                <w:p>
                  <w:pPr>
                    <w:adjustRightInd w:val="0"/>
                    <w:snapToGrid w:val="0"/>
                    <w:jc w:val="center"/>
                    <w:rPr>
                      <w:szCs w:val="21"/>
                    </w:rPr>
                  </w:pPr>
                  <w:r>
                    <w:rPr>
                      <w:rFonts w:hint="eastAsia"/>
                      <w:szCs w:val="21"/>
                    </w:rPr>
                    <w:t>皮带输送机</w:t>
                  </w:r>
                </w:p>
              </w:tc>
              <w:tc>
                <w:tcPr>
                  <w:tcW w:w="880" w:type="pct"/>
                  <w:noWrap w:val="0"/>
                  <w:vAlign w:val="center"/>
                </w:tcPr>
                <w:p>
                  <w:pPr>
                    <w:adjustRightInd w:val="0"/>
                    <w:jc w:val="center"/>
                    <w:rPr>
                      <w:rFonts w:hint="eastAsia"/>
                      <w:color w:val="000000"/>
                      <w:szCs w:val="21"/>
                    </w:rPr>
                  </w:pPr>
                  <w:r>
                    <w:rPr>
                      <w:rFonts w:hint="eastAsia"/>
                      <w:color w:val="000000"/>
                      <w:szCs w:val="21"/>
                    </w:rPr>
                    <w:t>4</w:t>
                  </w:r>
                </w:p>
              </w:tc>
              <w:tc>
                <w:tcPr>
                  <w:tcW w:w="1050" w:type="pct"/>
                  <w:noWrap w:val="0"/>
                  <w:vAlign w:val="center"/>
                </w:tcPr>
                <w:p>
                  <w:pPr>
                    <w:adjustRightInd w:val="0"/>
                    <w:snapToGrid w:val="0"/>
                    <w:jc w:val="center"/>
                    <w:rPr>
                      <w:szCs w:val="21"/>
                    </w:rPr>
                  </w:pPr>
                  <w:r>
                    <w:rPr>
                      <w:rFonts w:hint="eastAsia"/>
                      <w:szCs w:val="21"/>
                    </w:rPr>
                    <w:t>500mm</w:t>
                  </w:r>
                </w:p>
              </w:tc>
              <w:tc>
                <w:tcPr>
                  <w:tcW w:w="513" w:type="pct"/>
                  <w:noWrap w:val="0"/>
                  <w:vAlign w:val="center"/>
                </w:tcPr>
                <w:p>
                  <w:pPr>
                    <w:widowControl/>
                    <w:adjustRightInd w:val="0"/>
                    <w:jc w:val="center"/>
                    <w:rPr>
                      <w:rFonts w:hint="eastAsia"/>
                      <w:color w:val="000000"/>
                      <w:szCs w:val="21"/>
                    </w:rPr>
                  </w:pPr>
                  <w:r>
                    <w:rPr>
                      <w:rFonts w:hint="eastAsia"/>
                      <w:color w:val="000000"/>
                      <w:szCs w:val="21"/>
                    </w:rPr>
                    <w:t>输送</w:t>
                  </w:r>
                </w:p>
              </w:tc>
              <w:tc>
                <w:tcPr>
                  <w:tcW w:w="652" w:type="pct"/>
                  <w:noWrap w:val="0"/>
                  <w:vAlign w:val="center"/>
                </w:tcPr>
                <w:p>
                  <w:pPr>
                    <w:adjustRightInd w:val="0"/>
                    <w:snapToGrid w:val="0"/>
                    <w:jc w:val="center"/>
                    <w:rPr>
                      <w:rFonts w:hint="eastAsia"/>
                      <w:szCs w:val="21"/>
                    </w:rPr>
                  </w:pPr>
                  <w:r>
                    <w:rPr>
                      <w:rFonts w:hint="eastAsia"/>
                      <w:szCs w:val="21"/>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8" w:hRule="atLeast"/>
              </w:trPr>
              <w:tc>
                <w:tcPr>
                  <w:tcW w:w="264" w:type="pct"/>
                  <w:noWrap w:val="0"/>
                  <w:vAlign w:val="center"/>
                </w:tcPr>
                <w:p>
                  <w:pPr>
                    <w:adjustRightInd w:val="0"/>
                    <w:jc w:val="center"/>
                    <w:rPr>
                      <w:rFonts w:hint="eastAsia"/>
                      <w:color w:val="000000"/>
                      <w:kern w:val="0"/>
                      <w:szCs w:val="21"/>
                    </w:rPr>
                  </w:pPr>
                  <w:r>
                    <w:rPr>
                      <w:rFonts w:hint="eastAsia"/>
                      <w:color w:val="000000"/>
                      <w:kern w:val="0"/>
                      <w:szCs w:val="21"/>
                    </w:rPr>
                    <w:t>6</w:t>
                  </w:r>
                </w:p>
              </w:tc>
              <w:tc>
                <w:tcPr>
                  <w:tcW w:w="500" w:type="pct"/>
                  <w:vMerge w:val="continue"/>
                  <w:noWrap w:val="0"/>
                  <w:vAlign w:val="center"/>
                </w:tcPr>
                <w:p>
                  <w:pPr>
                    <w:adjustRightInd w:val="0"/>
                    <w:jc w:val="center"/>
                    <w:rPr>
                      <w:color w:val="000000"/>
                      <w:szCs w:val="21"/>
                    </w:rPr>
                  </w:pPr>
                </w:p>
              </w:tc>
              <w:tc>
                <w:tcPr>
                  <w:tcW w:w="1137" w:type="pct"/>
                  <w:noWrap w:val="0"/>
                  <w:vAlign w:val="center"/>
                </w:tcPr>
                <w:p>
                  <w:pPr>
                    <w:widowControl/>
                    <w:adjustRightInd w:val="0"/>
                    <w:jc w:val="center"/>
                    <w:textAlignment w:val="center"/>
                    <w:rPr>
                      <w:rFonts w:hint="eastAsia"/>
                      <w:color w:val="000000"/>
                      <w:szCs w:val="21"/>
                    </w:rPr>
                  </w:pPr>
                  <w:r>
                    <w:rPr>
                      <w:rFonts w:hint="eastAsia"/>
                      <w:color w:val="000000"/>
                      <w:szCs w:val="21"/>
                    </w:rPr>
                    <w:t>定量机</w:t>
                  </w:r>
                </w:p>
              </w:tc>
              <w:tc>
                <w:tcPr>
                  <w:tcW w:w="880" w:type="pct"/>
                  <w:noWrap w:val="0"/>
                  <w:vAlign w:val="center"/>
                </w:tcPr>
                <w:p>
                  <w:pPr>
                    <w:adjustRightInd w:val="0"/>
                    <w:jc w:val="center"/>
                    <w:rPr>
                      <w:rFonts w:hint="eastAsia"/>
                      <w:color w:val="000000"/>
                      <w:szCs w:val="21"/>
                    </w:rPr>
                  </w:pPr>
                  <w:r>
                    <w:rPr>
                      <w:rFonts w:hint="eastAsia"/>
                      <w:color w:val="000000"/>
                      <w:szCs w:val="21"/>
                    </w:rPr>
                    <w:t>2</w:t>
                  </w:r>
                </w:p>
              </w:tc>
              <w:tc>
                <w:tcPr>
                  <w:tcW w:w="1050" w:type="pct"/>
                  <w:noWrap w:val="0"/>
                  <w:vAlign w:val="center"/>
                </w:tcPr>
                <w:p>
                  <w:pPr>
                    <w:adjustRightInd w:val="0"/>
                    <w:jc w:val="center"/>
                    <w:rPr>
                      <w:color w:val="000000"/>
                      <w:szCs w:val="21"/>
                    </w:rPr>
                  </w:pPr>
                  <w:r>
                    <w:rPr>
                      <w:rFonts w:hint="eastAsia"/>
                      <w:color w:val="000000"/>
                      <w:szCs w:val="21"/>
                    </w:rPr>
                    <w:t>/</w:t>
                  </w:r>
                </w:p>
              </w:tc>
              <w:tc>
                <w:tcPr>
                  <w:tcW w:w="513" w:type="pct"/>
                  <w:noWrap w:val="0"/>
                  <w:vAlign w:val="center"/>
                </w:tcPr>
                <w:p>
                  <w:pPr>
                    <w:widowControl/>
                    <w:adjustRightInd w:val="0"/>
                    <w:jc w:val="center"/>
                    <w:rPr>
                      <w:color w:val="000000"/>
                      <w:szCs w:val="21"/>
                    </w:rPr>
                  </w:pPr>
                  <w:r>
                    <w:rPr>
                      <w:rFonts w:hint="eastAsia"/>
                      <w:color w:val="000000"/>
                      <w:szCs w:val="21"/>
                    </w:rPr>
                    <w:t>计量</w:t>
                  </w:r>
                </w:p>
              </w:tc>
              <w:tc>
                <w:tcPr>
                  <w:tcW w:w="652" w:type="pct"/>
                  <w:noWrap w:val="0"/>
                  <w:vAlign w:val="center"/>
                </w:tcPr>
                <w:p>
                  <w:pPr>
                    <w:adjustRightInd w:val="0"/>
                    <w:snapToGrid w:val="0"/>
                    <w:jc w:val="center"/>
                    <w:rPr>
                      <w:szCs w:val="21"/>
                    </w:rPr>
                  </w:pPr>
                  <w:r>
                    <w:rPr>
                      <w:rFonts w:hint="eastAsia"/>
                      <w:szCs w:val="21"/>
                    </w:rPr>
                    <w:t>新增</w:t>
                  </w:r>
                </w:p>
              </w:tc>
            </w:tr>
          </w:tbl>
          <w:p>
            <w:pPr>
              <w:keepNext/>
              <w:keepLines/>
              <w:wordWrap w:val="0"/>
              <w:spacing w:before="192" w:beforeLines="80" w:after="192" w:afterLines="80"/>
              <w:outlineLvl w:val="2"/>
              <w:rPr>
                <w:rFonts w:hint="eastAsia"/>
                <w:b/>
                <w:bCs/>
                <w:sz w:val="28"/>
                <w:szCs w:val="32"/>
              </w:rPr>
            </w:pPr>
            <w:r>
              <w:rPr>
                <w:rFonts w:hint="eastAsia"/>
                <w:b/>
                <w:bCs/>
                <w:sz w:val="28"/>
                <w:szCs w:val="32"/>
              </w:rPr>
              <w:t>2.1.7平面布置</w:t>
            </w:r>
          </w:p>
          <w:p>
            <w:pPr>
              <w:spacing w:line="360" w:lineRule="auto"/>
              <w:ind w:firstLine="480" w:firstLineChars="200"/>
              <w:rPr>
                <w:rFonts w:hint="eastAsia"/>
                <w:color w:val="000000"/>
                <w:sz w:val="24"/>
              </w:rPr>
            </w:pPr>
            <w:r>
              <w:rPr>
                <w:rFonts w:hint="eastAsia"/>
                <w:color w:val="000000"/>
                <w:sz w:val="24"/>
              </w:rPr>
              <w:t>项目位于花垣县花垣镇，场地呈不规则四边形，场地内建筑物主要建筑为原料仓库、生产车间、成品库和生活办公区等。项目东北侧为道路进出口，道路进出口布置有洗车平台，至西向东分别是生活办公区、化粪池、沉淀池、成品库和生产车间，生产车间南侧为原料</w:t>
            </w:r>
            <w:r>
              <w:rPr>
                <w:rFonts w:hint="eastAsia"/>
                <w:color w:val="000000"/>
                <w:sz w:val="24"/>
                <w:lang w:eastAsia="zh-CN"/>
              </w:rPr>
              <w:t>堆场</w:t>
            </w:r>
            <w:r>
              <w:rPr>
                <w:rFonts w:hint="eastAsia"/>
                <w:color w:val="000000"/>
                <w:sz w:val="24"/>
              </w:rPr>
              <w:t>。</w:t>
            </w:r>
          </w:p>
          <w:p>
            <w:pPr>
              <w:wordWrap w:val="0"/>
              <w:spacing w:line="360" w:lineRule="auto"/>
              <w:ind w:firstLine="480" w:firstLineChars="200"/>
              <w:rPr>
                <w:rFonts w:hint="eastAsia"/>
                <w:color w:val="000000"/>
                <w:sz w:val="24"/>
              </w:rPr>
            </w:pPr>
            <w:r>
              <w:rPr>
                <w:rFonts w:hint="eastAsia"/>
                <w:color w:val="000000"/>
                <w:sz w:val="24"/>
              </w:rPr>
              <w:t>项目平面布局合理、可行。项目总平面布置见附图4。</w:t>
            </w:r>
          </w:p>
          <w:p>
            <w:pPr>
              <w:keepNext/>
              <w:keepLines/>
              <w:wordWrap w:val="0"/>
              <w:spacing w:before="192" w:beforeLines="80" w:after="192" w:afterLines="80"/>
              <w:outlineLvl w:val="2"/>
              <w:rPr>
                <w:rFonts w:hint="eastAsia"/>
                <w:b/>
                <w:bCs/>
                <w:sz w:val="28"/>
                <w:szCs w:val="32"/>
              </w:rPr>
            </w:pPr>
            <w:r>
              <w:rPr>
                <w:b/>
                <w:bCs/>
                <w:sz w:val="28"/>
                <w:szCs w:val="32"/>
              </w:rPr>
              <w:t>2.1.</w:t>
            </w:r>
            <w:bookmarkEnd w:id="33"/>
            <w:bookmarkEnd w:id="34"/>
            <w:bookmarkEnd w:id="35"/>
            <w:bookmarkEnd w:id="36"/>
            <w:bookmarkEnd w:id="37"/>
            <w:r>
              <w:rPr>
                <w:rFonts w:hint="eastAsia"/>
                <w:b/>
                <w:bCs/>
                <w:sz w:val="28"/>
                <w:szCs w:val="32"/>
              </w:rPr>
              <w:t>8公用工程</w:t>
            </w:r>
          </w:p>
          <w:p>
            <w:pPr>
              <w:wordWrap w:val="0"/>
              <w:spacing w:line="360" w:lineRule="auto"/>
              <w:ind w:firstLine="482" w:firstLineChars="200"/>
              <w:rPr>
                <w:rFonts w:hint="eastAsia"/>
                <w:b/>
                <w:sz w:val="24"/>
              </w:rPr>
            </w:pPr>
            <w:r>
              <w:rPr>
                <w:rFonts w:hint="eastAsia"/>
                <w:b/>
                <w:sz w:val="24"/>
              </w:rPr>
              <w:t>1、给水</w:t>
            </w:r>
          </w:p>
          <w:p>
            <w:pPr>
              <w:wordWrap w:val="0"/>
              <w:spacing w:line="360" w:lineRule="auto"/>
              <w:ind w:firstLine="480" w:firstLineChars="200"/>
              <w:rPr>
                <w:rFonts w:hint="eastAsia"/>
                <w:sz w:val="24"/>
              </w:rPr>
            </w:pPr>
            <w:r>
              <w:rPr>
                <w:rFonts w:hint="eastAsia"/>
                <w:sz w:val="24"/>
              </w:rPr>
              <w:t>项目用水主要是生活用水和生产用水。厂区用水由市政自来水管网接入供给。</w:t>
            </w:r>
          </w:p>
          <w:p>
            <w:pPr>
              <w:wordWrap w:val="0"/>
              <w:spacing w:line="360" w:lineRule="auto"/>
              <w:ind w:firstLine="480" w:firstLineChars="200"/>
              <w:rPr>
                <w:rFonts w:hint="eastAsia"/>
                <w:sz w:val="24"/>
              </w:rPr>
            </w:pPr>
            <w:r>
              <w:rPr>
                <w:rFonts w:hint="eastAsia"/>
                <w:sz w:val="24"/>
              </w:rPr>
              <w:t>（1）生活用水</w:t>
            </w:r>
          </w:p>
          <w:p>
            <w:pPr>
              <w:wordWrap w:val="0"/>
              <w:spacing w:line="360" w:lineRule="auto"/>
              <w:ind w:firstLine="480" w:firstLineChars="200"/>
              <w:rPr>
                <w:rFonts w:hint="eastAsia"/>
                <w:sz w:val="24"/>
              </w:rPr>
            </w:pPr>
            <w:r>
              <w:rPr>
                <w:rFonts w:hint="eastAsia"/>
                <w:sz w:val="24"/>
              </w:rPr>
              <w:t>项目员工10人，厂内不设食堂，建设宿舍。根据《建筑给排水设计标准》(GB50015-2019)中的业企业建筑管理人员的最高日生活用水定额40L/人·天，共计0.4t/d（</w:t>
            </w:r>
            <w:r>
              <w:rPr>
                <w:rFonts w:hint="eastAsia"/>
                <w:sz w:val="24"/>
                <w:lang w:val="en-US" w:eastAsia="zh-CN"/>
              </w:rPr>
              <w:t>120</w:t>
            </w:r>
            <w:r>
              <w:rPr>
                <w:rFonts w:hint="eastAsia"/>
                <w:sz w:val="24"/>
              </w:rPr>
              <w:t>t/a）。</w:t>
            </w:r>
          </w:p>
          <w:p>
            <w:pPr>
              <w:wordWrap w:val="0"/>
              <w:spacing w:line="360" w:lineRule="auto"/>
              <w:ind w:firstLine="480" w:firstLineChars="200"/>
              <w:rPr>
                <w:rFonts w:hint="eastAsia"/>
                <w:sz w:val="24"/>
              </w:rPr>
            </w:pPr>
            <w:r>
              <w:rPr>
                <w:rFonts w:hint="eastAsia"/>
                <w:sz w:val="24"/>
              </w:rPr>
              <w:t>（2）生产用水</w:t>
            </w:r>
          </w:p>
          <w:p>
            <w:pPr>
              <w:wordWrap w:val="0"/>
              <w:spacing w:line="360" w:lineRule="auto"/>
              <w:ind w:firstLine="480" w:firstLineChars="200"/>
              <w:rPr>
                <w:rFonts w:hint="eastAsia"/>
                <w:sz w:val="24"/>
              </w:rPr>
            </w:pPr>
            <w:r>
              <w:rPr>
                <w:rFonts w:hint="eastAsia"/>
                <w:sz w:val="24"/>
              </w:rPr>
              <w:t>项目运营期生产阶段用水为车辆冲洗用水，原料堆场和产品堆场用水，喂料、破碎与筛分降尘用水。</w:t>
            </w:r>
          </w:p>
          <w:p>
            <w:pPr>
              <w:wordWrap w:val="0"/>
              <w:spacing w:line="360" w:lineRule="auto"/>
              <w:ind w:firstLine="480" w:firstLineChars="200"/>
              <w:rPr>
                <w:rFonts w:hint="eastAsia"/>
                <w:sz w:val="24"/>
              </w:rPr>
            </w:pPr>
            <w:r>
              <w:rPr>
                <w:rFonts w:hint="eastAsia" w:ascii="宋体" w:hAnsi="宋体" w:cs="宋体"/>
                <w:sz w:val="24"/>
              </w:rPr>
              <w:t>①车辆冲洗用水</w:t>
            </w:r>
          </w:p>
          <w:p>
            <w:pPr>
              <w:spacing w:line="360" w:lineRule="auto"/>
              <w:ind w:firstLine="480" w:firstLineChars="200"/>
              <w:rPr>
                <w:kern w:val="0"/>
                <w:sz w:val="24"/>
              </w:rPr>
            </w:pPr>
            <w:r>
              <w:rPr>
                <w:rFonts w:hint="eastAsia"/>
                <w:kern w:val="0"/>
                <w:sz w:val="24"/>
              </w:rPr>
              <w:t>项目运输车辆出入口设置车辆冲洗平台，车辆冲洗用水为2</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，定期补充新鲜水，每天损耗约为15%（0.3</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w:t>
            </w:r>
            <w:r>
              <w:rPr>
                <w:rFonts w:hint="eastAsia"/>
                <w:sz w:val="24"/>
              </w:rPr>
              <w:t>本项目年工作日为</w:t>
            </w:r>
            <w:r>
              <w:rPr>
                <w:rFonts w:hint="eastAsia"/>
                <w:sz w:val="24"/>
                <w:lang w:val="en-US" w:eastAsia="zh-CN"/>
              </w:rPr>
              <w:t>300</w:t>
            </w:r>
            <w:r>
              <w:rPr>
                <w:rFonts w:hint="eastAsia"/>
                <w:sz w:val="24"/>
              </w:rPr>
              <w:t>d，非雨天按200d计算，则车辆冲洗用水量为第一次用水及后续补充新鲜水，则项目车辆清洗循环用水量为1.7m³/d，补充新鲜水0.3m³/d，年用水量为400m³/a。建设</w:t>
            </w:r>
            <w:r>
              <w:rPr>
                <w:sz w:val="24"/>
              </w:rPr>
              <w:t>设置</w:t>
            </w:r>
            <w:r>
              <w:rPr>
                <w:rFonts w:hint="eastAsia"/>
                <w:sz w:val="24"/>
              </w:rPr>
              <w:t>U型洗车池，并且对</w:t>
            </w:r>
            <w:r>
              <w:rPr>
                <w:sz w:val="24"/>
              </w:rPr>
              <w:t>冲洗废水进行沉淀处理后</w:t>
            </w:r>
            <w:r>
              <w:rPr>
                <w:rFonts w:hint="eastAsia"/>
                <w:sz w:val="24"/>
              </w:rPr>
              <w:t>作为车辆冲洗废水回用</w:t>
            </w:r>
            <w:r>
              <w:rPr>
                <w:sz w:val="24"/>
              </w:rPr>
              <w:t>。</w:t>
            </w:r>
          </w:p>
          <w:p>
            <w:pPr>
              <w:wordWrap w:val="0"/>
              <w:spacing w:line="360" w:lineRule="auto"/>
              <w:ind w:firstLine="480" w:firstLineChars="200"/>
              <w:rPr>
                <w:rFonts w:hint="eastAsia"/>
                <w:sz w:val="24"/>
              </w:rPr>
            </w:pPr>
            <w:r>
              <w:rPr>
                <w:rFonts w:hint="eastAsia" w:ascii="宋体" w:hAnsi="宋体" w:cs="宋体"/>
                <w:sz w:val="24"/>
              </w:rPr>
              <w:t>②</w:t>
            </w:r>
            <w:r>
              <w:rPr>
                <w:rFonts w:hint="eastAsia"/>
                <w:sz w:val="24"/>
              </w:rPr>
              <w:t>原料堆场和产品堆场用水</w:t>
            </w:r>
          </w:p>
          <w:p>
            <w:pPr>
              <w:spacing w:line="360" w:lineRule="auto"/>
              <w:ind w:firstLine="480" w:firstLineChars="200"/>
              <w:rPr>
                <w:kern w:val="0"/>
                <w:sz w:val="24"/>
              </w:rPr>
            </w:pPr>
            <w:r>
              <w:rPr>
                <w:rFonts w:hint="eastAsia"/>
                <w:kern w:val="0"/>
                <w:sz w:val="24"/>
                <w:szCs w:val="20"/>
              </w:rPr>
              <w:t>项目将对原料堆场和</w:t>
            </w:r>
            <w:r>
              <w:rPr>
                <w:rFonts w:hint="eastAsia"/>
                <w:kern w:val="0"/>
                <w:sz w:val="24"/>
                <w:szCs w:val="20"/>
                <w:highlight w:val="none"/>
              </w:rPr>
              <w:t>产品堆场</w:t>
            </w:r>
            <w:r>
              <w:rPr>
                <w:rFonts w:hint="eastAsia"/>
                <w:kern w:val="0"/>
                <w:sz w:val="24"/>
                <w:szCs w:val="20"/>
              </w:rPr>
              <w:t>进行洒水抑尘</w:t>
            </w:r>
            <w:r>
              <w:rPr>
                <w:kern w:val="0"/>
                <w:sz w:val="24"/>
                <w:szCs w:val="20"/>
              </w:rPr>
              <w:t>，</w:t>
            </w:r>
            <w:r>
              <w:rPr>
                <w:rFonts w:hint="eastAsia"/>
                <w:kern w:val="0"/>
                <w:sz w:val="24"/>
                <w:szCs w:val="20"/>
                <w:lang w:eastAsia="zh-CN"/>
              </w:rPr>
              <w:t>产品堆场</w:t>
            </w:r>
            <w:r>
              <w:rPr>
                <w:kern w:val="0"/>
                <w:sz w:val="24"/>
                <w:szCs w:val="20"/>
              </w:rPr>
              <w:t>用</w:t>
            </w:r>
            <w:r>
              <w:rPr>
                <w:rFonts w:hint="eastAsia"/>
                <w:kern w:val="0"/>
                <w:sz w:val="24"/>
                <w:szCs w:val="20"/>
                <w:lang w:eastAsia="zh-CN"/>
              </w:rPr>
              <w:t>水</w:t>
            </w:r>
            <w:r>
              <w:rPr>
                <w:kern w:val="0"/>
                <w:sz w:val="24"/>
                <w:szCs w:val="20"/>
              </w:rPr>
              <w:t>量为2m</w:t>
            </w:r>
            <w:r>
              <w:rPr>
                <w:kern w:val="0"/>
                <w:sz w:val="24"/>
                <w:szCs w:val="20"/>
                <w:vertAlign w:val="superscript"/>
              </w:rPr>
              <w:t>3</w:t>
            </w:r>
            <w:r>
              <w:rPr>
                <w:kern w:val="0"/>
                <w:sz w:val="24"/>
                <w:szCs w:val="20"/>
              </w:rPr>
              <w:t>/d，</w:t>
            </w:r>
            <w:r>
              <w:rPr>
                <w:rFonts w:hint="eastAsia"/>
                <w:sz w:val="24"/>
              </w:rPr>
              <w:t>本项目年工作日为</w:t>
            </w:r>
            <w:r>
              <w:rPr>
                <w:rFonts w:hint="eastAsia"/>
                <w:sz w:val="24"/>
                <w:lang w:val="en-US" w:eastAsia="zh-CN"/>
              </w:rPr>
              <w:t>300</w:t>
            </w:r>
            <w:r>
              <w:rPr>
                <w:rFonts w:hint="eastAsia"/>
                <w:sz w:val="24"/>
              </w:rPr>
              <w:t>d，则</w:t>
            </w:r>
            <w:r>
              <w:rPr>
                <w:rFonts w:hint="eastAsia"/>
                <w:sz w:val="24"/>
                <w:lang w:eastAsia="zh-CN"/>
              </w:rPr>
              <w:t>产品堆场</w:t>
            </w:r>
            <w:r>
              <w:rPr>
                <w:rFonts w:hint="eastAsia"/>
                <w:sz w:val="24"/>
              </w:rPr>
              <w:t>抑尘用水量为</w:t>
            </w:r>
            <w:r>
              <w:rPr>
                <w:rFonts w:hint="eastAsia"/>
                <w:sz w:val="24"/>
                <w:lang w:val="en-US" w:eastAsia="zh-CN"/>
              </w:rPr>
              <w:t>6</w:t>
            </w:r>
            <w:r>
              <w:rPr>
                <w:rFonts w:hint="eastAsia"/>
                <w:sz w:val="24"/>
              </w:rPr>
              <w:t>00m</w:t>
            </w:r>
            <w:r>
              <w:rPr>
                <w:rFonts w:hint="eastAsia"/>
                <w:sz w:val="24"/>
                <w:vertAlign w:val="superscript"/>
              </w:rPr>
              <w:t>3</w:t>
            </w:r>
            <w:r>
              <w:rPr>
                <w:rFonts w:hint="eastAsia"/>
                <w:sz w:val="24"/>
              </w:rPr>
              <w:t>/a</w:t>
            </w:r>
            <w:r>
              <w:rPr>
                <w:rFonts w:hint="eastAsia"/>
                <w:sz w:val="24"/>
                <w:lang w:eastAsia="zh-CN"/>
              </w:rPr>
              <w:t>，原料堆用水量</w:t>
            </w:r>
            <w:r>
              <w:rPr>
                <w:rFonts w:hint="eastAsia"/>
                <w:sz w:val="24"/>
                <w:lang w:val="en-US" w:eastAsia="zh-CN"/>
              </w:rPr>
              <w:t>6m³/d，非雨天数200d，则原料堆场抑尘用水量为1200m³/a。</w:t>
            </w:r>
            <w:r>
              <w:rPr>
                <w:rFonts w:hint="eastAsia"/>
                <w:sz w:val="24"/>
                <w:lang w:eastAsia="zh-CN"/>
              </w:rPr>
              <w:t>为</w:t>
            </w:r>
            <w:r>
              <w:rPr>
                <w:kern w:val="0"/>
                <w:sz w:val="24"/>
                <w:szCs w:val="20"/>
              </w:rPr>
              <w:t>这部分水将全部蒸发或渗透入</w:t>
            </w:r>
            <w:r>
              <w:rPr>
                <w:rFonts w:hint="eastAsia"/>
                <w:kern w:val="0"/>
                <w:sz w:val="24"/>
                <w:szCs w:val="20"/>
              </w:rPr>
              <w:t>石料</w:t>
            </w:r>
            <w:r>
              <w:rPr>
                <w:kern w:val="0"/>
                <w:sz w:val="24"/>
                <w:szCs w:val="20"/>
              </w:rPr>
              <w:t>中</w:t>
            </w:r>
            <w:r>
              <w:rPr>
                <w:rFonts w:hint="eastAsia"/>
                <w:kern w:val="0"/>
                <w:sz w:val="24"/>
              </w:rPr>
              <w:t>，</w:t>
            </w:r>
            <w:r>
              <w:rPr>
                <w:kern w:val="0"/>
                <w:sz w:val="24"/>
              </w:rPr>
              <w:t>没有废水</w:t>
            </w:r>
            <w:r>
              <w:rPr>
                <w:rFonts w:hint="eastAsia"/>
                <w:kern w:val="0"/>
                <w:sz w:val="24"/>
              </w:rPr>
              <w:t>产生和</w:t>
            </w:r>
            <w:r>
              <w:rPr>
                <w:kern w:val="0"/>
                <w:sz w:val="24"/>
              </w:rPr>
              <w:t>外排。</w:t>
            </w:r>
          </w:p>
          <w:p>
            <w:pPr>
              <w:wordWrap w:val="0"/>
              <w:spacing w:line="360" w:lineRule="auto"/>
              <w:ind w:firstLine="480" w:firstLineChars="200"/>
              <w:rPr>
                <w:rFonts w:hint="eastAsia" w:ascii="宋体" w:hAnsi="宋体" w:cs="宋体"/>
                <w:sz w:val="24"/>
              </w:rPr>
            </w:pPr>
            <w:r>
              <w:rPr>
                <w:rFonts w:hint="eastAsia" w:ascii="宋体" w:hAnsi="宋体" w:cs="宋体"/>
                <w:sz w:val="24"/>
              </w:rPr>
              <w:t>③</w:t>
            </w:r>
            <w:r>
              <w:rPr>
                <w:rFonts w:hint="eastAsia"/>
                <w:sz w:val="24"/>
              </w:rPr>
              <w:t>喂料、破碎与筛分降尘用水</w:t>
            </w:r>
          </w:p>
          <w:p>
            <w:pPr>
              <w:spacing w:line="360" w:lineRule="auto"/>
              <w:ind w:firstLine="480" w:firstLineChars="200"/>
              <w:rPr>
                <w:rFonts w:hint="eastAsia"/>
                <w:kern w:val="0"/>
                <w:sz w:val="24"/>
                <w:szCs w:val="20"/>
              </w:rPr>
            </w:pPr>
            <w:r>
              <w:rPr>
                <w:rFonts w:hint="eastAsia"/>
                <w:kern w:val="0"/>
                <w:sz w:val="24"/>
                <w:szCs w:val="20"/>
              </w:rPr>
              <w:t>根据业主提供资料，为减少粉尘排放，本项目在生产车间上</w:t>
            </w:r>
            <w:r>
              <w:rPr>
                <w:rFonts w:hint="eastAsia"/>
                <w:kern w:val="0"/>
                <w:sz w:val="24"/>
                <w:szCs w:val="20"/>
                <w:lang w:eastAsia="zh-CN"/>
              </w:rPr>
              <w:t>方</w:t>
            </w:r>
            <w:r>
              <w:rPr>
                <w:rFonts w:hint="eastAsia"/>
                <w:kern w:val="0"/>
                <w:sz w:val="24"/>
                <w:szCs w:val="20"/>
              </w:rPr>
              <w:t>安装喷水装置，抑尘用水量需约18m</w:t>
            </w:r>
            <w:r>
              <w:rPr>
                <w:rFonts w:hint="eastAsia"/>
                <w:kern w:val="0"/>
                <w:sz w:val="24"/>
                <w:szCs w:val="20"/>
                <w:vertAlign w:val="superscript"/>
              </w:rPr>
              <w:t>3</w:t>
            </w:r>
            <w:r>
              <w:rPr>
                <w:rFonts w:hint="eastAsia"/>
                <w:kern w:val="0"/>
                <w:sz w:val="24"/>
                <w:szCs w:val="20"/>
              </w:rPr>
              <w:t>/d，本项目年工作日为</w:t>
            </w:r>
            <w:r>
              <w:rPr>
                <w:rFonts w:hint="eastAsia"/>
                <w:kern w:val="0"/>
                <w:sz w:val="24"/>
                <w:szCs w:val="20"/>
                <w:lang w:val="en-US" w:eastAsia="zh-CN"/>
              </w:rPr>
              <w:t>300</w:t>
            </w:r>
            <w:r>
              <w:rPr>
                <w:rFonts w:hint="eastAsia"/>
                <w:kern w:val="0"/>
                <w:sz w:val="24"/>
                <w:szCs w:val="20"/>
              </w:rPr>
              <w:t>d，则抑尘用水量为</w:t>
            </w:r>
            <w:r>
              <w:rPr>
                <w:rFonts w:hint="eastAsia"/>
                <w:kern w:val="0"/>
                <w:sz w:val="24"/>
                <w:szCs w:val="20"/>
                <w:lang w:val="en-US" w:eastAsia="zh-CN"/>
              </w:rPr>
              <w:t>5400</w:t>
            </w:r>
            <w:r>
              <w:rPr>
                <w:rFonts w:hint="eastAsia"/>
                <w:kern w:val="0"/>
                <w:sz w:val="24"/>
                <w:szCs w:val="20"/>
              </w:rPr>
              <w:t>m</w:t>
            </w:r>
            <w:r>
              <w:rPr>
                <w:rFonts w:hint="eastAsia"/>
                <w:kern w:val="0"/>
                <w:sz w:val="24"/>
                <w:szCs w:val="20"/>
                <w:vertAlign w:val="superscript"/>
              </w:rPr>
              <w:t>3</w:t>
            </w:r>
            <w:r>
              <w:rPr>
                <w:rFonts w:hint="eastAsia"/>
                <w:kern w:val="0"/>
                <w:sz w:val="24"/>
                <w:szCs w:val="20"/>
              </w:rPr>
              <w:t>/a，这部分水全部蒸发损耗或随产品带走。</w:t>
            </w:r>
          </w:p>
          <w:p>
            <w:pPr>
              <w:wordWrap w:val="0"/>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④</w:t>
            </w:r>
            <w:r>
              <w:rPr>
                <w:rFonts w:hint="eastAsia" w:ascii="宋体" w:hAnsi="宋体" w:eastAsia="宋体" w:cs="宋体"/>
                <w:sz w:val="24"/>
                <w:highlight w:val="none"/>
                <w:lang w:eastAsia="zh-CN"/>
              </w:rPr>
              <w:t>道路运输降尘用水</w:t>
            </w:r>
          </w:p>
          <w:p>
            <w:pPr>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为减少运输扬尘，需对</w:t>
            </w:r>
            <w:r>
              <w:rPr>
                <w:rFonts w:hint="eastAsia" w:ascii="Times New Roman" w:hAnsi="Times New Roman" w:eastAsia="宋体" w:cs="Times New Roman"/>
                <w:kern w:val="0"/>
                <w:sz w:val="24"/>
                <w:lang w:eastAsia="zh-CN"/>
              </w:rPr>
              <w:t>场内</w:t>
            </w:r>
            <w:r>
              <w:rPr>
                <w:rFonts w:hint="eastAsia" w:ascii="Times New Roman" w:hAnsi="Times New Roman" w:eastAsia="宋体" w:cs="Times New Roman"/>
                <w:kern w:val="0"/>
                <w:sz w:val="24"/>
              </w:rPr>
              <w:t>的运输道路进行洒水，根据类比同类型工程，洒水频率为3次/d，洒水定额约0.5L/m</w:t>
            </w:r>
            <w:r>
              <w:rPr>
                <w:rFonts w:hint="eastAsia" w:ascii="Times New Roman" w:hAnsi="Times New Roman" w:eastAsia="宋体" w:cs="Times New Roman"/>
                <w:kern w:val="0"/>
                <w:sz w:val="24"/>
                <w:vertAlign w:val="superscript"/>
              </w:rPr>
              <w:t>2</w:t>
            </w:r>
            <w:r>
              <w:rPr>
                <w:rFonts w:hint="eastAsia" w:ascii="Times New Roman" w:hAnsi="Times New Roman" w:eastAsia="宋体" w:cs="Times New Roman"/>
                <w:kern w:val="0"/>
                <w:sz w:val="24"/>
              </w:rPr>
              <w:t>，矿区路面总面积约</w:t>
            </w:r>
            <w:r>
              <w:rPr>
                <w:rFonts w:hint="eastAsia" w:ascii="Times New Roman" w:hAnsi="Times New Roman" w:eastAsia="宋体" w:cs="Times New Roman"/>
                <w:kern w:val="0"/>
                <w:sz w:val="24"/>
                <w:lang w:val="en-US" w:eastAsia="zh-CN"/>
              </w:rPr>
              <w:t>900</w:t>
            </w:r>
            <w:r>
              <w:rPr>
                <w:rFonts w:hint="eastAsia" w:ascii="Times New Roman" w:hAnsi="Times New Roman" w:eastAsia="宋体" w:cs="Times New Roman"/>
                <w:kern w:val="0"/>
                <w:sz w:val="24"/>
              </w:rPr>
              <w:t>m</w:t>
            </w:r>
            <w:r>
              <w:rPr>
                <w:rFonts w:hint="eastAsia" w:ascii="Times New Roman" w:hAnsi="Times New Roman" w:eastAsia="宋体" w:cs="Times New Roman"/>
                <w:kern w:val="0"/>
                <w:sz w:val="24"/>
                <w:vertAlign w:val="superscript"/>
              </w:rPr>
              <w:t>2</w:t>
            </w:r>
            <w:r>
              <w:rPr>
                <w:rFonts w:hint="eastAsia" w:ascii="Times New Roman" w:hAnsi="Times New Roman" w:eastAsia="宋体" w:cs="Times New Roman"/>
                <w:kern w:val="0"/>
                <w:sz w:val="24"/>
              </w:rPr>
              <w:t>，则道路洒水抑尘用水量为</w:t>
            </w:r>
            <w:r>
              <w:rPr>
                <w:rFonts w:hint="eastAsia" w:ascii="Times New Roman" w:hAnsi="Times New Roman" w:eastAsia="宋体" w:cs="Times New Roman"/>
                <w:kern w:val="0"/>
                <w:sz w:val="24"/>
                <w:lang w:val="en-US" w:eastAsia="zh-CN"/>
              </w:rPr>
              <w:t>0.45</w:t>
            </w:r>
            <w:r>
              <w:rPr>
                <w:rFonts w:hint="eastAsia" w:ascii="Times New Roman" w:hAnsi="Times New Roman" w:eastAsia="宋体" w:cs="Times New Roman"/>
                <w:kern w:val="0"/>
                <w:sz w:val="24"/>
              </w:rPr>
              <w:t>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/d</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135m³/a</w:t>
            </w:r>
            <w:r>
              <w:rPr>
                <w:rFonts w:hint="eastAsia" w:ascii="Times New Roman" w:hAnsi="Times New Roman" w:eastAsia="宋体" w:cs="Times New Roman"/>
                <w:kern w:val="0"/>
                <w:sz w:val="24"/>
              </w:rPr>
              <w:t>。道路抑尘用水全部蒸发。</w:t>
            </w:r>
          </w:p>
          <w:p>
            <w:pPr>
              <w:wordWrap w:val="0"/>
              <w:spacing w:line="360" w:lineRule="auto"/>
              <w:ind w:firstLine="480" w:firstLineChars="200"/>
              <w:rPr>
                <w:rFonts w:hint="eastAsia"/>
                <w:sz w:val="24"/>
              </w:rPr>
            </w:pPr>
            <w:r>
              <w:rPr>
                <w:rFonts w:hint="eastAsia"/>
                <w:sz w:val="24"/>
              </w:rPr>
              <w:t>项目生产用水主要为车辆冲洗用水和生活用水。</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highlight w:val="none"/>
              </w:rPr>
            </w:pPr>
            <w:r>
              <w:rPr>
                <w:rFonts w:hint="eastAsia" w:cs="宋体"/>
                <w:b/>
                <w:szCs w:val="21"/>
              </w:rPr>
              <w:t>表2.1-6：</w:t>
            </w:r>
            <w:r>
              <w:rPr>
                <w:rFonts w:cs="宋体"/>
                <w:b/>
                <w:szCs w:val="21"/>
                <w:highlight w:val="none"/>
              </w:rPr>
              <w:t>项目用水情况一览表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701"/>
              <w:gridCol w:w="1134"/>
              <w:gridCol w:w="1398"/>
              <w:gridCol w:w="1410"/>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Merge w:val="restart"/>
                  <w:noWrap w:val="0"/>
                  <w:vAlign w:val="center"/>
                </w:tcPr>
                <w:p>
                  <w:pPr>
                    <w:wordWrap w:val="0"/>
                    <w:topLinePunct/>
                    <w:adjustRightInd w:val="0"/>
                    <w:jc w:val="center"/>
                    <w:textAlignment w:val="baseline"/>
                    <w:rPr>
                      <w:szCs w:val="20"/>
                    </w:rPr>
                  </w:pPr>
                  <w:r>
                    <w:rPr>
                      <w:szCs w:val="20"/>
                    </w:rPr>
                    <w:t>序号</w:t>
                  </w:r>
                </w:p>
              </w:tc>
              <w:tc>
                <w:tcPr>
                  <w:tcW w:w="1585" w:type="pct"/>
                  <w:vMerge w:val="restart"/>
                  <w:noWrap w:val="0"/>
                  <w:vAlign w:val="center"/>
                </w:tcPr>
                <w:p>
                  <w:pPr>
                    <w:wordWrap w:val="0"/>
                    <w:topLinePunct/>
                    <w:adjustRightInd w:val="0"/>
                    <w:jc w:val="center"/>
                    <w:textAlignment w:val="baseline"/>
                    <w:rPr>
                      <w:szCs w:val="20"/>
                    </w:rPr>
                  </w:pPr>
                  <w:r>
                    <w:rPr>
                      <w:rFonts w:hint="eastAsia"/>
                      <w:szCs w:val="20"/>
                    </w:rPr>
                    <w:t>用水</w:t>
                  </w:r>
                  <w:r>
                    <w:rPr>
                      <w:szCs w:val="20"/>
                    </w:rPr>
                    <w:t>工序</w:t>
                  </w:r>
                </w:p>
              </w:tc>
              <w:tc>
                <w:tcPr>
                  <w:tcW w:w="2315" w:type="pct"/>
                  <w:gridSpan w:val="3"/>
                  <w:noWrap w:val="0"/>
                  <w:vAlign w:val="center"/>
                </w:tcPr>
                <w:p>
                  <w:pPr>
                    <w:wordWrap w:val="0"/>
                    <w:topLinePunct/>
                    <w:adjustRightInd w:val="0"/>
                    <w:jc w:val="center"/>
                    <w:textAlignment w:val="baseline"/>
                    <w:rPr>
                      <w:szCs w:val="20"/>
                    </w:rPr>
                  </w:pPr>
                  <w:r>
                    <w:rPr>
                      <w:szCs w:val="20"/>
                    </w:rPr>
                    <w:t>日用水量m</w:t>
                  </w:r>
                  <w:r>
                    <w:rPr>
                      <w:rFonts w:hint="eastAsia" w:cs="宋体"/>
                      <w:sz w:val="24"/>
                      <w:szCs w:val="22"/>
                      <w:vertAlign w:val="superscript"/>
                      <w:lang w:bidi="zh-CN"/>
                    </w:rPr>
                    <w:t>3</w:t>
                  </w:r>
                  <w:r>
                    <w:rPr>
                      <w:rFonts w:hint="eastAsia"/>
                      <w:szCs w:val="20"/>
                    </w:rPr>
                    <w:t>/d</w:t>
                  </w:r>
                </w:p>
              </w:tc>
              <w:tc>
                <w:tcPr>
                  <w:tcW w:w="762" w:type="pct"/>
                  <w:vMerge w:val="restart"/>
                  <w:noWrap w:val="0"/>
                  <w:vAlign w:val="center"/>
                </w:tcPr>
                <w:p>
                  <w:pPr>
                    <w:wordWrap w:val="0"/>
                    <w:topLinePunct/>
                    <w:adjustRightInd w:val="0"/>
                    <w:jc w:val="center"/>
                    <w:textAlignment w:val="baseline"/>
                    <w:rPr>
                      <w:rFonts w:hint="eastAsia"/>
                      <w:szCs w:val="20"/>
                    </w:rPr>
                  </w:pPr>
                  <w:r>
                    <w:rPr>
                      <w:szCs w:val="20"/>
                    </w:rPr>
                    <w:t>年用水量</w:t>
                  </w:r>
                </w:p>
                <w:p>
                  <w:pPr>
                    <w:wordWrap w:val="0"/>
                    <w:topLinePunct/>
                    <w:adjustRightInd w:val="0"/>
                    <w:jc w:val="center"/>
                    <w:textAlignment w:val="baseline"/>
                    <w:rPr>
                      <w:szCs w:val="20"/>
                    </w:rPr>
                  </w:pPr>
                  <w:r>
                    <w:rPr>
                      <w:szCs w:val="20"/>
                    </w:rPr>
                    <w:t>m</w:t>
                  </w:r>
                  <w:r>
                    <w:rPr>
                      <w:rFonts w:hint="eastAsia" w:cs="宋体"/>
                      <w:sz w:val="24"/>
                      <w:szCs w:val="22"/>
                      <w:vertAlign w:val="superscript"/>
                      <w:lang w:bidi="zh-CN"/>
                    </w:rPr>
                    <w:t>3</w:t>
                  </w:r>
                  <w:r>
                    <w:rPr>
                      <w:rFonts w:hint="eastAsia"/>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Merge w:val="continue"/>
                  <w:noWrap w:val="0"/>
                  <w:vAlign w:val="center"/>
                </w:tcPr>
                <w:p>
                  <w:pPr>
                    <w:wordWrap w:val="0"/>
                    <w:topLinePunct/>
                    <w:adjustRightInd w:val="0"/>
                    <w:jc w:val="center"/>
                    <w:textAlignment w:val="baseline"/>
                    <w:rPr>
                      <w:szCs w:val="20"/>
                    </w:rPr>
                  </w:pPr>
                </w:p>
              </w:tc>
              <w:tc>
                <w:tcPr>
                  <w:tcW w:w="1585" w:type="pct"/>
                  <w:vMerge w:val="continue"/>
                  <w:noWrap w:val="0"/>
                  <w:vAlign w:val="center"/>
                </w:tcPr>
                <w:p>
                  <w:pPr>
                    <w:wordWrap w:val="0"/>
                    <w:topLinePunct/>
                    <w:adjustRightInd w:val="0"/>
                    <w:jc w:val="center"/>
                    <w:textAlignment w:val="baseline"/>
                    <w:rPr>
                      <w:szCs w:val="20"/>
                    </w:rPr>
                  </w:pPr>
                </w:p>
              </w:tc>
              <w:tc>
                <w:tcPr>
                  <w:tcW w:w="666" w:type="pct"/>
                  <w:noWrap w:val="0"/>
                  <w:vAlign w:val="center"/>
                </w:tcPr>
                <w:p>
                  <w:pPr>
                    <w:wordWrap w:val="0"/>
                    <w:topLinePunct/>
                    <w:adjustRightInd w:val="0"/>
                    <w:jc w:val="center"/>
                    <w:textAlignment w:val="baseline"/>
                    <w:rPr>
                      <w:rFonts w:hint="eastAsia"/>
                      <w:szCs w:val="20"/>
                    </w:rPr>
                  </w:pPr>
                  <w:r>
                    <w:rPr>
                      <w:rFonts w:hint="eastAsia"/>
                      <w:szCs w:val="20"/>
                    </w:rPr>
                    <w:t>新鲜水量</w:t>
                  </w:r>
                </w:p>
              </w:tc>
              <w:tc>
                <w:tcPr>
                  <w:tcW w:w="821" w:type="pct"/>
                  <w:noWrap w:val="0"/>
                  <w:vAlign w:val="center"/>
                </w:tcPr>
                <w:p>
                  <w:pPr>
                    <w:wordWrap w:val="0"/>
                    <w:topLinePunct/>
                    <w:adjustRightInd w:val="0"/>
                    <w:jc w:val="center"/>
                    <w:textAlignment w:val="baseline"/>
                    <w:rPr>
                      <w:szCs w:val="20"/>
                    </w:rPr>
                  </w:pPr>
                  <w:r>
                    <w:rPr>
                      <w:szCs w:val="20"/>
                    </w:rPr>
                    <w:t>循环水量</w:t>
                  </w:r>
                </w:p>
              </w:tc>
              <w:tc>
                <w:tcPr>
                  <w:tcW w:w="827" w:type="pct"/>
                  <w:noWrap w:val="0"/>
                  <w:vAlign w:val="center"/>
                </w:tcPr>
                <w:p>
                  <w:pPr>
                    <w:wordWrap w:val="0"/>
                    <w:topLinePunct/>
                    <w:adjustRightInd w:val="0"/>
                    <w:jc w:val="center"/>
                    <w:textAlignment w:val="baseline"/>
                    <w:rPr>
                      <w:szCs w:val="20"/>
                    </w:rPr>
                  </w:pPr>
                  <w:r>
                    <w:rPr>
                      <w:szCs w:val="20"/>
                    </w:rPr>
                    <w:t>总用水量</w:t>
                  </w:r>
                </w:p>
              </w:tc>
              <w:tc>
                <w:tcPr>
                  <w:tcW w:w="762" w:type="pct"/>
                  <w:vMerge w:val="continue"/>
                  <w:noWrap w:val="0"/>
                  <w:vAlign w:val="center"/>
                </w:tcPr>
                <w:p>
                  <w:pPr>
                    <w:wordWrap w:val="0"/>
                    <w:topLinePunct/>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szCs w:val="20"/>
                    </w:rPr>
                  </w:pPr>
                  <w:r>
                    <w:rPr>
                      <w:szCs w:val="20"/>
                    </w:rPr>
                    <w:t>1</w:t>
                  </w:r>
                </w:p>
              </w:tc>
              <w:tc>
                <w:tcPr>
                  <w:tcW w:w="1585" w:type="pct"/>
                  <w:noWrap w:val="0"/>
                  <w:vAlign w:val="center"/>
                </w:tcPr>
                <w:p>
                  <w:pPr>
                    <w:wordWrap w:val="0"/>
                    <w:topLinePunct/>
                    <w:adjustRightInd w:val="0"/>
                    <w:jc w:val="center"/>
                    <w:textAlignment w:val="baseline"/>
                    <w:rPr>
                      <w:szCs w:val="20"/>
                    </w:rPr>
                  </w:pPr>
                  <w:r>
                    <w:rPr>
                      <w:szCs w:val="20"/>
                    </w:rPr>
                    <w:t>生</w:t>
                  </w:r>
                  <w:r>
                    <w:rPr>
                      <w:rFonts w:hint="eastAsia"/>
                      <w:szCs w:val="20"/>
                    </w:rPr>
                    <w:t>活</w:t>
                  </w:r>
                  <w:r>
                    <w:rPr>
                      <w:szCs w:val="20"/>
                    </w:rPr>
                    <w:t>用水</w:t>
                  </w:r>
                </w:p>
              </w:tc>
              <w:tc>
                <w:tcPr>
                  <w:tcW w:w="666" w:type="pct"/>
                  <w:noWrap w:val="0"/>
                  <w:vAlign w:val="center"/>
                </w:tcPr>
                <w:p>
                  <w:pPr>
                    <w:wordWrap w:val="0"/>
                    <w:topLinePunct/>
                    <w:adjustRightInd w:val="0"/>
                    <w:jc w:val="center"/>
                    <w:textAlignment w:val="baseline"/>
                    <w:rPr>
                      <w:szCs w:val="20"/>
                    </w:rPr>
                  </w:pPr>
                  <w:r>
                    <w:rPr>
                      <w:rFonts w:hint="eastAsia"/>
                      <w:szCs w:val="20"/>
                    </w:rPr>
                    <w:t>0.40</w:t>
                  </w:r>
                </w:p>
              </w:tc>
              <w:tc>
                <w:tcPr>
                  <w:tcW w:w="821" w:type="pct"/>
                  <w:noWrap w:val="0"/>
                  <w:vAlign w:val="center"/>
                </w:tcPr>
                <w:p>
                  <w:pPr>
                    <w:wordWrap w:val="0"/>
                    <w:topLinePunct/>
                    <w:adjustRightInd w:val="0"/>
                    <w:jc w:val="center"/>
                    <w:textAlignment w:val="baseline"/>
                    <w:rPr>
                      <w:szCs w:val="20"/>
                    </w:rPr>
                  </w:pPr>
                  <w:r>
                    <w:rPr>
                      <w:rFonts w:hint="eastAsia"/>
                      <w:szCs w:val="20"/>
                    </w:rPr>
                    <w:t>/</w:t>
                  </w:r>
                </w:p>
              </w:tc>
              <w:tc>
                <w:tcPr>
                  <w:tcW w:w="827" w:type="pct"/>
                  <w:noWrap w:val="0"/>
                  <w:vAlign w:val="center"/>
                </w:tcPr>
                <w:p>
                  <w:pPr>
                    <w:wordWrap w:val="0"/>
                    <w:topLinePunct/>
                    <w:adjustRightInd w:val="0"/>
                    <w:jc w:val="center"/>
                    <w:textAlignment w:val="baseline"/>
                    <w:rPr>
                      <w:szCs w:val="20"/>
                    </w:rPr>
                  </w:pPr>
                  <w:r>
                    <w:rPr>
                      <w:rFonts w:hint="eastAsia"/>
                      <w:szCs w:val="20"/>
                    </w:rPr>
                    <w:t>0.4</w:t>
                  </w:r>
                </w:p>
              </w:tc>
              <w:tc>
                <w:tcPr>
                  <w:tcW w:w="762"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szCs w:val="20"/>
                    </w:rPr>
                  </w:pPr>
                  <w:r>
                    <w:rPr>
                      <w:rFonts w:hint="eastAsia"/>
                      <w:szCs w:val="20"/>
                    </w:rPr>
                    <w:t>2</w:t>
                  </w:r>
                </w:p>
              </w:tc>
              <w:tc>
                <w:tcPr>
                  <w:tcW w:w="1585" w:type="pct"/>
                  <w:noWrap w:val="0"/>
                  <w:vAlign w:val="center"/>
                </w:tcPr>
                <w:p>
                  <w:pPr>
                    <w:wordWrap w:val="0"/>
                    <w:topLinePunct/>
                    <w:adjustRightInd w:val="0"/>
                    <w:jc w:val="center"/>
                    <w:textAlignment w:val="baseline"/>
                    <w:rPr>
                      <w:rFonts w:hint="eastAsia"/>
                      <w:szCs w:val="20"/>
                    </w:rPr>
                  </w:pPr>
                  <w:r>
                    <w:rPr>
                      <w:rFonts w:hint="eastAsia"/>
                      <w:szCs w:val="20"/>
                    </w:rPr>
                    <w:t>车辆冲洗用水</w:t>
                  </w:r>
                </w:p>
              </w:tc>
              <w:tc>
                <w:tcPr>
                  <w:tcW w:w="666" w:type="pct"/>
                  <w:noWrap w:val="0"/>
                  <w:vAlign w:val="center"/>
                </w:tcPr>
                <w:p>
                  <w:pPr>
                    <w:wordWrap w:val="0"/>
                    <w:topLinePunct/>
                    <w:adjustRightInd w:val="0"/>
                    <w:jc w:val="center"/>
                    <w:textAlignment w:val="baseline"/>
                    <w:rPr>
                      <w:szCs w:val="20"/>
                    </w:rPr>
                  </w:pPr>
                  <w:r>
                    <w:rPr>
                      <w:rFonts w:hint="eastAsia"/>
                      <w:szCs w:val="20"/>
                    </w:rPr>
                    <w:t>0.3</w:t>
                  </w:r>
                </w:p>
              </w:tc>
              <w:tc>
                <w:tcPr>
                  <w:tcW w:w="821" w:type="pct"/>
                  <w:noWrap w:val="0"/>
                  <w:vAlign w:val="center"/>
                </w:tcPr>
                <w:p>
                  <w:pPr>
                    <w:wordWrap w:val="0"/>
                    <w:topLinePunct/>
                    <w:adjustRightInd w:val="0"/>
                    <w:jc w:val="center"/>
                    <w:textAlignment w:val="baseline"/>
                    <w:rPr>
                      <w:szCs w:val="20"/>
                    </w:rPr>
                  </w:pPr>
                  <w:r>
                    <w:rPr>
                      <w:rFonts w:hint="eastAsia"/>
                      <w:szCs w:val="20"/>
                    </w:rPr>
                    <w:t>1.7</w:t>
                  </w:r>
                </w:p>
              </w:tc>
              <w:tc>
                <w:tcPr>
                  <w:tcW w:w="827" w:type="pct"/>
                  <w:noWrap w:val="0"/>
                  <w:vAlign w:val="center"/>
                </w:tcPr>
                <w:p>
                  <w:pPr>
                    <w:wordWrap w:val="0"/>
                    <w:topLinePunct/>
                    <w:adjustRightInd w:val="0"/>
                    <w:jc w:val="center"/>
                    <w:textAlignment w:val="baseline"/>
                    <w:rPr>
                      <w:szCs w:val="20"/>
                    </w:rPr>
                  </w:pPr>
                  <w:r>
                    <w:rPr>
                      <w:rFonts w:hint="eastAsia"/>
                      <w:szCs w:val="20"/>
                    </w:rPr>
                    <w:t>2</w:t>
                  </w:r>
                </w:p>
              </w:tc>
              <w:tc>
                <w:tcPr>
                  <w:tcW w:w="762" w:type="pct"/>
                  <w:noWrap w:val="0"/>
                  <w:vAlign w:val="center"/>
                </w:tcPr>
                <w:p>
                  <w:pPr>
                    <w:wordWrap w:val="0"/>
                    <w:topLinePunct/>
                    <w:adjustRightInd w:val="0"/>
                    <w:jc w:val="center"/>
                    <w:textAlignment w:val="baseline"/>
                    <w:rPr>
                      <w:szCs w:val="20"/>
                    </w:rPr>
                  </w:pPr>
                  <w:r>
                    <w:rPr>
                      <w:rFonts w:hint="eastAsia"/>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szCs w:val="20"/>
                    </w:rPr>
                  </w:pPr>
                  <w:r>
                    <w:rPr>
                      <w:rFonts w:hint="eastAsia"/>
                      <w:szCs w:val="20"/>
                    </w:rPr>
                    <w:t>3</w:t>
                  </w:r>
                </w:p>
              </w:tc>
              <w:tc>
                <w:tcPr>
                  <w:tcW w:w="1585" w:type="pct"/>
                  <w:noWrap w:val="0"/>
                  <w:vAlign w:val="center"/>
                </w:tcPr>
                <w:p>
                  <w:pPr>
                    <w:wordWrap w:val="0"/>
                    <w:topLinePunct/>
                    <w:adjustRightInd w:val="0"/>
                    <w:jc w:val="center"/>
                    <w:textAlignment w:val="baseline"/>
                    <w:rPr>
                      <w:rFonts w:hint="eastAsia"/>
                      <w:szCs w:val="20"/>
                    </w:rPr>
                  </w:pPr>
                  <w:r>
                    <w:rPr>
                      <w:rFonts w:hint="eastAsia"/>
                      <w:szCs w:val="20"/>
                    </w:rPr>
                    <w:t>原料堆场和产品堆场用水</w:t>
                  </w:r>
                </w:p>
              </w:tc>
              <w:tc>
                <w:tcPr>
                  <w:tcW w:w="666" w:type="pct"/>
                  <w:noWrap w:val="0"/>
                  <w:vAlign w:val="center"/>
                </w:tcPr>
                <w:p>
                  <w:pPr>
                    <w:wordWrap w:val="0"/>
                    <w:topLinePunct/>
                    <w:adjustRightInd w:val="0"/>
                    <w:jc w:val="center"/>
                    <w:textAlignment w:val="baseline"/>
                    <w:rPr>
                      <w:rFonts w:hint="eastAsia" w:eastAsia="宋体"/>
                      <w:szCs w:val="20"/>
                      <w:lang w:eastAsia="zh-CN"/>
                    </w:rPr>
                  </w:pPr>
                  <w:r>
                    <w:rPr>
                      <w:rFonts w:hint="eastAsia"/>
                      <w:szCs w:val="20"/>
                      <w:lang w:val="en-US" w:eastAsia="zh-CN"/>
                    </w:rPr>
                    <w:t>8</w:t>
                  </w:r>
                </w:p>
              </w:tc>
              <w:tc>
                <w:tcPr>
                  <w:tcW w:w="821" w:type="pct"/>
                  <w:noWrap w:val="0"/>
                  <w:vAlign w:val="center"/>
                </w:tcPr>
                <w:p>
                  <w:pPr>
                    <w:wordWrap w:val="0"/>
                    <w:topLinePunct/>
                    <w:adjustRightInd w:val="0"/>
                    <w:jc w:val="center"/>
                    <w:textAlignment w:val="baseline"/>
                    <w:rPr>
                      <w:szCs w:val="20"/>
                    </w:rPr>
                  </w:pPr>
                  <w:r>
                    <w:rPr>
                      <w:rFonts w:hint="eastAsia"/>
                      <w:szCs w:val="20"/>
                    </w:rPr>
                    <w:t>/</w:t>
                  </w:r>
                </w:p>
              </w:tc>
              <w:tc>
                <w:tcPr>
                  <w:tcW w:w="827" w:type="pct"/>
                  <w:noWrap w:val="0"/>
                  <w:vAlign w:val="center"/>
                </w:tcPr>
                <w:p>
                  <w:pPr>
                    <w:wordWrap w:val="0"/>
                    <w:topLinePunct/>
                    <w:adjustRightInd w:val="0"/>
                    <w:jc w:val="center"/>
                    <w:textAlignment w:val="baseline"/>
                    <w:rPr>
                      <w:rFonts w:hint="eastAsia" w:eastAsia="宋体"/>
                      <w:szCs w:val="20"/>
                      <w:lang w:eastAsia="zh-CN"/>
                    </w:rPr>
                  </w:pPr>
                  <w:r>
                    <w:rPr>
                      <w:rFonts w:hint="eastAsia"/>
                      <w:szCs w:val="20"/>
                      <w:lang w:val="en-US" w:eastAsia="zh-CN"/>
                    </w:rPr>
                    <w:t>8</w:t>
                  </w:r>
                </w:p>
              </w:tc>
              <w:tc>
                <w:tcPr>
                  <w:tcW w:w="762"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szCs w:val="20"/>
                    </w:rPr>
                  </w:pPr>
                  <w:r>
                    <w:rPr>
                      <w:rFonts w:hint="eastAsia"/>
                      <w:szCs w:val="20"/>
                    </w:rPr>
                    <w:t>4</w:t>
                  </w:r>
                </w:p>
              </w:tc>
              <w:tc>
                <w:tcPr>
                  <w:tcW w:w="1585" w:type="pct"/>
                  <w:noWrap w:val="0"/>
                  <w:vAlign w:val="center"/>
                </w:tcPr>
                <w:p>
                  <w:pPr>
                    <w:wordWrap w:val="0"/>
                    <w:topLinePunct/>
                    <w:adjustRightInd w:val="0"/>
                    <w:jc w:val="center"/>
                    <w:textAlignment w:val="baseline"/>
                    <w:rPr>
                      <w:rFonts w:hint="eastAsia"/>
                      <w:szCs w:val="20"/>
                    </w:rPr>
                  </w:pPr>
                  <w:r>
                    <w:rPr>
                      <w:rFonts w:hint="eastAsia"/>
                      <w:szCs w:val="20"/>
                    </w:rPr>
                    <w:t>喂料、破碎与筛分降尘用水</w:t>
                  </w:r>
                </w:p>
              </w:tc>
              <w:tc>
                <w:tcPr>
                  <w:tcW w:w="666"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18</w:t>
                  </w:r>
                </w:p>
              </w:tc>
              <w:tc>
                <w:tcPr>
                  <w:tcW w:w="821" w:type="pct"/>
                  <w:noWrap w:val="0"/>
                  <w:vAlign w:val="center"/>
                </w:tcPr>
                <w:p>
                  <w:pPr>
                    <w:wordWrap w:val="0"/>
                    <w:topLinePunct/>
                    <w:adjustRightInd w:val="0"/>
                    <w:jc w:val="center"/>
                    <w:textAlignment w:val="baseline"/>
                    <w:rPr>
                      <w:szCs w:val="20"/>
                    </w:rPr>
                  </w:pPr>
                  <w:r>
                    <w:rPr>
                      <w:rFonts w:hint="eastAsia"/>
                      <w:szCs w:val="20"/>
                    </w:rPr>
                    <w:t>/</w:t>
                  </w:r>
                </w:p>
              </w:tc>
              <w:tc>
                <w:tcPr>
                  <w:tcW w:w="827"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18</w:t>
                  </w:r>
                </w:p>
              </w:tc>
              <w:tc>
                <w:tcPr>
                  <w:tcW w:w="762"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rFonts w:hint="eastAsia" w:eastAsia="宋体"/>
                      <w:szCs w:val="20"/>
                      <w:lang w:val="en-US" w:eastAsia="zh-CN"/>
                    </w:rPr>
                  </w:pPr>
                  <w:r>
                    <w:rPr>
                      <w:rFonts w:hint="eastAsia"/>
                      <w:szCs w:val="20"/>
                      <w:lang w:val="en-US" w:eastAsia="zh-CN"/>
                    </w:rPr>
                    <w:t>5</w:t>
                  </w:r>
                </w:p>
              </w:tc>
              <w:tc>
                <w:tcPr>
                  <w:tcW w:w="1585" w:type="pct"/>
                  <w:noWrap w:val="0"/>
                  <w:vAlign w:val="center"/>
                </w:tcPr>
                <w:p>
                  <w:pPr>
                    <w:wordWrap w:val="0"/>
                    <w:topLinePunct/>
                    <w:adjustRightInd w:val="0"/>
                    <w:jc w:val="center"/>
                    <w:textAlignment w:val="baseline"/>
                    <w:rPr>
                      <w:rFonts w:hint="eastAsia"/>
                      <w:szCs w:val="20"/>
                    </w:rPr>
                  </w:pPr>
                  <w:r>
                    <w:rPr>
                      <w:rFonts w:hint="eastAsia"/>
                      <w:szCs w:val="20"/>
                    </w:rPr>
                    <w:t>道路运输降尘用水</w:t>
                  </w:r>
                </w:p>
              </w:tc>
              <w:tc>
                <w:tcPr>
                  <w:tcW w:w="666"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0.45</w:t>
                  </w:r>
                </w:p>
              </w:tc>
              <w:tc>
                <w:tcPr>
                  <w:tcW w:w="821"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w:t>
                  </w:r>
                </w:p>
              </w:tc>
              <w:tc>
                <w:tcPr>
                  <w:tcW w:w="827" w:type="pct"/>
                  <w:noWrap w:val="0"/>
                  <w:vAlign w:val="center"/>
                </w:tcPr>
                <w:p>
                  <w:pPr>
                    <w:wordWrap w:val="0"/>
                    <w:topLinePunct/>
                    <w:adjustRightInd w:val="0"/>
                    <w:jc w:val="center"/>
                    <w:textAlignment w:val="baseline"/>
                    <w:rPr>
                      <w:rFonts w:hint="default" w:eastAsia="宋体"/>
                      <w:szCs w:val="20"/>
                      <w:lang w:val="en-US" w:eastAsia="zh-CN"/>
                    </w:rPr>
                  </w:pPr>
                  <w:r>
                    <w:rPr>
                      <w:rFonts w:hint="eastAsia"/>
                      <w:szCs w:val="20"/>
                      <w:lang w:val="en-US" w:eastAsia="zh-CN"/>
                    </w:rPr>
                    <w:t>0.45</w:t>
                  </w:r>
                </w:p>
              </w:tc>
              <w:tc>
                <w:tcPr>
                  <w:tcW w:w="762" w:type="pct"/>
                  <w:noWrap w:val="0"/>
                  <w:vAlign w:val="center"/>
                </w:tcPr>
                <w:p>
                  <w:pPr>
                    <w:wordWrap w:val="0"/>
                    <w:topLinePunct/>
                    <w:adjustRightInd w:val="0"/>
                    <w:jc w:val="center"/>
                    <w:textAlignment w:val="baseline"/>
                    <w:rPr>
                      <w:rFonts w:hint="default"/>
                      <w:szCs w:val="20"/>
                      <w:lang w:val="en-US" w:eastAsia="zh-CN"/>
                    </w:rPr>
                  </w:pPr>
                  <w:r>
                    <w:rPr>
                      <w:rFonts w:hint="eastAsia"/>
                      <w:szCs w:val="20"/>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noWrap w:val="0"/>
                  <w:vAlign w:val="center"/>
                </w:tcPr>
                <w:p>
                  <w:pPr>
                    <w:wordWrap w:val="0"/>
                    <w:topLinePunct/>
                    <w:adjustRightInd w:val="0"/>
                    <w:jc w:val="center"/>
                    <w:textAlignment w:val="baseline"/>
                    <w:rPr>
                      <w:rFonts w:hint="eastAsia" w:eastAsia="宋体"/>
                      <w:szCs w:val="20"/>
                      <w:lang w:eastAsia="zh-CN"/>
                    </w:rPr>
                  </w:pPr>
                  <w:r>
                    <w:rPr>
                      <w:rFonts w:hint="eastAsia"/>
                      <w:szCs w:val="20"/>
                      <w:lang w:val="en-US" w:eastAsia="zh-CN"/>
                    </w:rPr>
                    <w:t>6</w:t>
                  </w:r>
                </w:p>
              </w:tc>
              <w:tc>
                <w:tcPr>
                  <w:tcW w:w="1585" w:type="pct"/>
                  <w:noWrap w:val="0"/>
                  <w:vAlign w:val="center"/>
                </w:tcPr>
                <w:p>
                  <w:pPr>
                    <w:wordWrap w:val="0"/>
                    <w:topLinePunct/>
                    <w:adjustRightInd w:val="0"/>
                    <w:jc w:val="center"/>
                    <w:textAlignment w:val="baseline"/>
                    <w:rPr>
                      <w:sz w:val="22"/>
                      <w:szCs w:val="18"/>
                    </w:rPr>
                  </w:pPr>
                  <w:r>
                    <w:rPr>
                      <w:szCs w:val="21"/>
                    </w:rPr>
                    <w:t>合计</w:t>
                  </w:r>
                </w:p>
              </w:tc>
              <w:tc>
                <w:tcPr>
                  <w:tcW w:w="1135" w:type="dxa"/>
                  <w:noWrap w:val="0"/>
                  <w:vAlign w:val="center"/>
                </w:tcPr>
                <w:p>
                  <w:pPr>
                    <w:wordWrap w:val="0"/>
                    <w:topLinePunct/>
                    <w:adjustRightInd w:val="0"/>
                    <w:jc w:val="center"/>
                    <w:textAlignment w:val="baseline"/>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27.15</w:t>
                  </w:r>
                </w:p>
              </w:tc>
              <w:tc>
                <w:tcPr>
                  <w:tcW w:w="1400" w:type="dxa"/>
                  <w:noWrap w:val="0"/>
                  <w:vAlign w:val="center"/>
                </w:tcPr>
                <w:p>
                  <w:pPr>
                    <w:wordWrap w:val="0"/>
                    <w:topLinePunct/>
                    <w:adjustRightInd w:val="0"/>
                    <w:jc w:val="center"/>
                    <w:textAlignment w:val="baseline"/>
                    <w:rPr>
                      <w:rFonts w:hint="eastAsia" w:ascii="Times New Roman" w:hAnsi="Times New Roman" w:eastAsia="宋体" w:cs="Times New Roman"/>
                      <w:szCs w:val="20"/>
                      <w:lang w:val="en-US" w:eastAsia="zh-CN"/>
                    </w:rPr>
                  </w:pPr>
                  <w:r>
                    <w:rPr>
                      <w:rFonts w:hint="default" w:ascii="Times New Roman" w:hAnsi="Times New Roman" w:eastAsia="宋体" w:cs="Times New Roman"/>
                      <w:szCs w:val="20"/>
                      <w:lang w:val="en-US" w:eastAsia="zh-CN"/>
                    </w:rPr>
                    <w:t>1.7</w:t>
                  </w:r>
                </w:p>
              </w:tc>
              <w:tc>
                <w:tcPr>
                  <w:tcW w:w="1409" w:type="dxa"/>
                  <w:noWrap w:val="0"/>
                  <w:vAlign w:val="center"/>
                </w:tcPr>
                <w:p>
                  <w:pPr>
                    <w:wordWrap w:val="0"/>
                    <w:topLinePunct/>
                    <w:adjustRightInd w:val="0"/>
                    <w:jc w:val="center"/>
                    <w:textAlignment w:val="baseline"/>
                    <w:rPr>
                      <w:rFonts w:hint="default"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28.85</w:t>
                  </w:r>
                </w:p>
              </w:tc>
              <w:tc>
                <w:tcPr>
                  <w:tcW w:w="1298" w:type="dxa"/>
                  <w:noWrap w:val="0"/>
                  <w:vAlign w:val="center"/>
                </w:tcPr>
                <w:p>
                  <w:pPr>
                    <w:wordWrap w:val="0"/>
                    <w:topLinePunct/>
                    <w:adjustRightInd w:val="0"/>
                    <w:jc w:val="center"/>
                    <w:textAlignment w:val="baseline"/>
                    <w:rPr>
                      <w:rFonts w:hint="default" w:ascii="Times New Roman" w:hAnsi="Times New Roman" w:eastAsia="宋体" w:cs="Times New Roman"/>
                      <w:szCs w:val="20"/>
                      <w:lang w:val="en-US" w:eastAsia="zh-CN"/>
                    </w:rPr>
                  </w:pPr>
                  <w:r>
                    <w:rPr>
                      <w:rFonts w:hint="default" w:ascii="Times New Roman" w:hAnsi="Times New Roman" w:eastAsia="宋体" w:cs="Times New Roman"/>
                      <w:szCs w:val="20"/>
                      <w:lang w:val="en-US" w:eastAsia="zh-CN"/>
                    </w:rPr>
                    <w:t>7720</w:t>
                  </w:r>
                </w:p>
              </w:tc>
            </w:tr>
          </w:tbl>
          <w:p>
            <w:pPr>
              <w:wordWrap w:val="0"/>
              <w:spacing w:line="360" w:lineRule="auto"/>
              <w:ind w:firstLine="482" w:firstLineChars="200"/>
              <w:rPr>
                <w:rFonts w:hint="eastAsia"/>
                <w:b/>
                <w:sz w:val="24"/>
              </w:rPr>
            </w:pPr>
            <w:r>
              <w:rPr>
                <w:rFonts w:hint="eastAsia"/>
                <w:b/>
                <w:sz w:val="24"/>
              </w:rPr>
              <w:t>2、排水</w:t>
            </w:r>
          </w:p>
          <w:p>
            <w:pPr>
              <w:wordWrap w:val="0"/>
              <w:spacing w:line="360" w:lineRule="auto"/>
              <w:ind w:firstLine="480" w:firstLineChars="200"/>
              <w:rPr>
                <w:rFonts w:hint="eastAsia"/>
                <w:sz w:val="24"/>
              </w:rPr>
            </w:pPr>
            <w:r>
              <w:rPr>
                <w:rFonts w:hint="eastAsia"/>
                <w:sz w:val="24"/>
              </w:rPr>
              <w:t>项目排水采用“雨污分流”的排水体制，雨水经建筑边沟和雨水管收集，排入城市雨水干管。生活污水经化粪池处理后定期清掏用作农肥，车辆冲洗及地面冲洗废水经沉淀池沉淀后回用。</w:t>
            </w:r>
          </w:p>
          <w:p>
            <w:pPr>
              <w:wordWrap w:val="0"/>
              <w:spacing w:line="360" w:lineRule="auto"/>
              <w:ind w:firstLine="480" w:firstLineChars="200"/>
              <w:rPr>
                <w:rFonts w:hint="eastAsia"/>
                <w:sz w:val="24"/>
              </w:rPr>
            </w:pPr>
            <w:r>
              <w:rPr>
                <w:rFonts w:hint="eastAsia"/>
                <w:sz w:val="24"/>
              </w:rPr>
              <w:t>（1）生活污水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生活污水产生系数按用水量的85%计算，则生活污水的产生量为0.34</w:t>
            </w:r>
            <w:r>
              <w:rPr>
                <w:sz w:val="24"/>
              </w:rPr>
              <w:t>m</w:t>
            </w:r>
            <w:r>
              <w:rPr>
                <w:rFonts w:hint="eastAsia" w:cs="宋体"/>
                <w:sz w:val="24"/>
                <w:vertAlign w:val="superscript"/>
              </w:rPr>
              <w:t>3</w:t>
            </w:r>
            <w:r>
              <w:rPr>
                <w:sz w:val="24"/>
              </w:rPr>
              <w:t>/d（</w:t>
            </w:r>
            <w:r>
              <w:rPr>
                <w:rFonts w:hint="eastAsia"/>
                <w:sz w:val="24"/>
                <w:lang w:val="en-US" w:eastAsia="zh-CN"/>
              </w:rPr>
              <w:t>102</w:t>
            </w:r>
            <w:r>
              <w:rPr>
                <w:sz w:val="24"/>
              </w:rPr>
              <w:t>m</w:t>
            </w:r>
            <w:r>
              <w:rPr>
                <w:rFonts w:hint="eastAsia" w:cs="宋体"/>
                <w:sz w:val="24"/>
                <w:vertAlign w:val="superscript"/>
              </w:rPr>
              <w:t>3</w:t>
            </w:r>
            <w:r>
              <w:rPr>
                <w:sz w:val="24"/>
              </w:rPr>
              <w:t>/a）</w:t>
            </w:r>
            <w:r>
              <w:rPr>
                <w:rFonts w:hint="eastAsia"/>
                <w:sz w:val="24"/>
              </w:rPr>
              <w:t>。项目产生的生活污水经化粪池处理后用做农肥。</w:t>
            </w:r>
          </w:p>
          <w:p>
            <w:pPr>
              <w:wordWrap w:val="0"/>
              <w:spacing w:line="360" w:lineRule="auto"/>
              <w:ind w:firstLine="480" w:firstLineChars="200"/>
              <w:rPr>
                <w:rFonts w:hint="eastAsia"/>
                <w:sz w:val="24"/>
              </w:rPr>
            </w:pPr>
            <w:r>
              <w:rPr>
                <w:rFonts w:hint="eastAsia"/>
                <w:sz w:val="24"/>
              </w:rPr>
              <w:t>（2）生产废水</w:t>
            </w:r>
          </w:p>
          <w:p>
            <w:pPr>
              <w:wordWrap w:val="0"/>
              <w:spacing w:line="360" w:lineRule="auto"/>
              <w:ind w:firstLine="480" w:firstLineChars="200"/>
              <w:rPr>
                <w:rFonts w:hint="eastAsia"/>
                <w:sz w:val="24"/>
              </w:rPr>
            </w:pPr>
            <w:r>
              <w:rPr>
                <w:rFonts w:hint="eastAsia"/>
                <w:sz w:val="24"/>
              </w:rPr>
              <w:t>车辆冲洗废水经沉淀池沉淀后回用于车辆冲洗，沉淀过程中损耗15%，损耗水量为0.3</w:t>
            </w:r>
            <w:r>
              <w:rPr>
                <w:szCs w:val="20"/>
              </w:rPr>
              <w:t>m</w:t>
            </w:r>
            <w:r>
              <w:rPr>
                <w:rFonts w:hint="eastAsia" w:cs="宋体"/>
                <w:sz w:val="24"/>
                <w:szCs w:val="22"/>
                <w:vertAlign w:val="superscript"/>
                <w:lang w:bidi="zh-CN"/>
              </w:rPr>
              <w:t>3</w:t>
            </w:r>
            <w:r>
              <w:rPr>
                <w:rFonts w:hint="eastAsia"/>
                <w:szCs w:val="20"/>
              </w:rPr>
              <w:t>/d，</w:t>
            </w:r>
            <w:r>
              <w:rPr>
                <w:rFonts w:hint="eastAsia"/>
                <w:sz w:val="24"/>
              </w:rPr>
              <w:t>不外排。</w:t>
            </w:r>
          </w:p>
          <w:p>
            <w:pPr>
              <w:wordWrap w:val="0"/>
              <w:spacing w:line="360" w:lineRule="auto"/>
              <w:ind w:firstLine="480" w:firstLineChars="200"/>
              <w:rPr>
                <w:rFonts w:hint="eastAsia"/>
                <w:sz w:val="24"/>
              </w:rPr>
            </w:pPr>
            <w:r>
              <w:rPr>
                <w:rFonts w:hint="eastAsia"/>
                <w:sz w:val="24"/>
              </w:rPr>
              <w:t>原料堆场和产品堆场废水和喂料、破碎与筛分降尘废水蒸发和进入砂石中，</w:t>
            </w:r>
            <w:r>
              <w:rPr>
                <w:rFonts w:hint="eastAsia" w:ascii="Times New Roman" w:hAnsi="Times New Roman" w:eastAsia="宋体" w:cs="Times New Roman"/>
                <w:kern w:val="0"/>
                <w:sz w:val="24"/>
              </w:rPr>
              <w:t>道路抑尘用水全部蒸发</w:t>
            </w:r>
            <w:r>
              <w:rPr>
                <w:rFonts w:hint="eastAsia" w:ascii="Times New Roman" w:hAnsi="Times New Roman" w:eastAsia="宋体" w:cs="Times New Roman"/>
                <w:kern w:val="0"/>
                <w:sz w:val="24"/>
                <w:lang w:val="en-US" w:eastAsia="zh-CN"/>
              </w:rPr>
              <w:t>，</w:t>
            </w:r>
            <w:r>
              <w:rPr>
                <w:rFonts w:hint="eastAsia"/>
                <w:sz w:val="24"/>
              </w:rPr>
              <w:t>不外排。</w:t>
            </w:r>
          </w:p>
          <w:p>
            <w:pPr>
              <w:wordWrap w:val="0"/>
              <w:spacing w:line="360" w:lineRule="auto"/>
              <w:ind w:firstLine="480" w:firstLineChars="200"/>
              <w:rPr>
                <w:rFonts w:hint="eastAsia"/>
                <w:sz w:val="24"/>
                <w:u w:val="single"/>
                <w:lang w:eastAsia="zh-CN"/>
              </w:rPr>
            </w:pPr>
            <w:r>
              <w:rPr>
                <w:rFonts w:hint="eastAsia"/>
                <w:sz w:val="24"/>
                <w:u w:val="single"/>
                <w:lang w:eastAsia="zh-CN"/>
              </w:rPr>
              <w:t>（</w:t>
            </w:r>
            <w:r>
              <w:rPr>
                <w:rFonts w:hint="eastAsia"/>
                <w:sz w:val="24"/>
                <w:u w:val="single"/>
                <w:lang w:val="en-US" w:eastAsia="zh-CN"/>
              </w:rPr>
              <w:t>3</w:t>
            </w:r>
            <w:r>
              <w:rPr>
                <w:rFonts w:hint="eastAsia"/>
                <w:sz w:val="24"/>
                <w:u w:val="single"/>
                <w:lang w:eastAsia="zh-CN"/>
              </w:rPr>
              <w:t>）初期雨水</w:t>
            </w:r>
          </w:p>
          <w:p>
            <w:pPr>
              <w:bidi w:val="0"/>
              <w:spacing w:line="360" w:lineRule="auto"/>
              <w:ind w:firstLine="480" w:firstLineChars="200"/>
              <w:jc w:val="both"/>
              <w:rPr>
                <w:rFonts w:ascii="Times New Roman" w:hAnsi="Times New Roman" w:eastAsia="宋体" w:cs="Times New Roman"/>
                <w:sz w:val="24"/>
                <w:u w:val="single"/>
              </w:rPr>
            </w:pPr>
            <w:r>
              <w:rPr>
                <w:rFonts w:ascii="Times New Roman" w:hAnsi="Times New Roman" w:eastAsia="宋体" w:cs="Times New Roman"/>
                <w:sz w:val="24"/>
                <w:u w:val="single"/>
              </w:rPr>
              <w:t>裸露地表在雨季会产生地表径流，主要污染物为SS</w:t>
            </w:r>
            <w:r>
              <w:rPr>
                <w:rFonts w:hint="eastAsia" w:ascii="Times New Roman" w:hAnsi="Times New Roman" w:eastAsia="宋体" w:cs="Times New Roman"/>
                <w:sz w:val="24"/>
                <w:u w:val="single"/>
              </w:rPr>
              <w:t>及石油类</w:t>
            </w:r>
            <w:r>
              <w:rPr>
                <w:rFonts w:ascii="Times New Roman" w:hAnsi="Times New Roman" w:eastAsia="宋体" w:cs="Times New Roman"/>
                <w:sz w:val="24"/>
                <w:u w:val="single"/>
              </w:rPr>
              <w:t>，该类废水如不进行沉淀处理，将影响项目周边的地表水质量，甚至堵塞河道。根据室外排水设计手册，</w:t>
            </w:r>
            <w:r>
              <w:rPr>
                <w:rFonts w:hint="eastAsia" w:ascii="Times New Roman" w:hAnsi="Times New Roman" w:eastAsia="宋体" w:cs="Times New Roman"/>
                <w:sz w:val="24"/>
                <w:u w:val="single"/>
                <w:lang w:eastAsia="zh-CN"/>
              </w:rPr>
              <w:t>花垣县</w:t>
            </w:r>
            <w:r>
              <w:rPr>
                <w:rFonts w:ascii="Times New Roman" w:hAnsi="Times New Roman" w:eastAsia="宋体" w:cs="Times New Roman"/>
                <w:sz w:val="24"/>
                <w:u w:val="single"/>
              </w:rPr>
              <w:t>降雨强度（选用最近的湖南省湘西州吉首市的统计及计算公式）与设计重现期、降雨历时的关系如下：</w:t>
            </w:r>
          </w:p>
          <w:p>
            <w:pPr>
              <w:adjustRightInd w:val="0"/>
              <w:snapToGrid w:val="0"/>
              <w:spacing w:line="360" w:lineRule="auto"/>
              <w:ind w:left="0" w:leftChars="0" w:firstLine="0" w:firstLineChars="0"/>
              <w:jc w:val="center"/>
              <w:rPr>
                <w:rFonts w:ascii="Times New Roman" w:hAnsi="Times New Roman" w:eastAsia="宋体" w:cs="Times New Roman"/>
                <w:sz w:val="24"/>
                <w:u w:val="single"/>
              </w:rPr>
            </w:pPr>
            <w:r>
              <w:rPr>
                <w:rFonts w:ascii="Times New Roman" w:hAnsi="Times New Roman" w:eastAsia="宋体" w:cs="Times New Roman"/>
                <w:sz w:val="24"/>
                <w:u w:val="single"/>
              </w:rPr>
              <w:drawing>
                <wp:inline distT="0" distB="0" distL="114300" distR="114300">
                  <wp:extent cx="5063490" cy="691515"/>
                  <wp:effectExtent l="0" t="0" r="3810" b="13335"/>
                  <wp:docPr id="8" name="图片 20" descr="C:\Users\louling\Documents\Tencent Files\1578480177\FileRecv\MobileFile\IMG_20170907_17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C:\Users\louling\Documents\Tencent Files\1578480177\FileRecv\MobileFile\IMG_20170907_170848.jpg"/>
                          <pic:cNvPicPr>
                            <a:picLocks noChangeAspect="1"/>
                          </pic:cNvPicPr>
                        </pic:nvPicPr>
                        <pic:blipFill>
                          <a:blip r:embed="rId19"/>
                          <a:srcRect l="1743" t="60220" r="14932"/>
                          <a:stretch>
                            <a:fillRect/>
                          </a:stretch>
                        </pic:blipFill>
                        <pic:spPr>
                          <a:xfrm>
                            <a:off x="0" y="0"/>
                            <a:ext cx="5063490" cy="691515"/>
                          </a:xfrm>
                          <a:prstGeom prst="rect">
                            <a:avLst/>
                          </a:prstGeom>
                          <a:noFill/>
                          <a:ln>
                            <a:noFill/>
                          </a:ln>
                        </pic:spPr>
                      </pic:pic>
                    </a:graphicData>
                  </a:graphic>
                </wp:inline>
              </w:drawing>
            </w:r>
          </w:p>
          <w:p>
            <w:pPr>
              <w:adjustRightInd w:val="0"/>
              <w:snapToGrid w:val="0"/>
              <w:spacing w:line="360" w:lineRule="auto"/>
              <w:ind w:firstLine="480" w:firstLineChars="200"/>
              <w:jc w:val="left"/>
              <w:rPr>
                <w:rFonts w:ascii="Times New Roman" w:hAnsi="Times New Roman" w:eastAsia="宋体" w:cs="Times New Roman"/>
                <w:sz w:val="24"/>
                <w:u w:val="single"/>
              </w:rPr>
            </w:pPr>
            <w:r>
              <w:rPr>
                <w:rFonts w:ascii="Times New Roman" w:hAnsi="Times New Roman" w:eastAsia="宋体" w:cs="Times New Roman"/>
                <w:sz w:val="24"/>
                <w:u w:val="single"/>
              </w:rPr>
              <w:t>q——设计降雨强度，L/s·10000m</w:t>
            </w:r>
            <w:r>
              <w:rPr>
                <w:rFonts w:ascii="Times New Roman" w:hAnsi="Times New Roman" w:eastAsia="宋体" w:cs="Times New Roman"/>
                <w:sz w:val="24"/>
                <w:u w:val="single"/>
                <w:vertAlign w:val="superscript"/>
              </w:rPr>
              <w:t>2</w:t>
            </w:r>
            <w:r>
              <w:rPr>
                <w:rFonts w:ascii="Times New Roman" w:hAnsi="Times New Roman" w:eastAsia="宋体" w:cs="Times New Roman"/>
                <w:sz w:val="24"/>
                <w:u w:val="single"/>
              </w:rPr>
              <w:t>；</w:t>
            </w:r>
          </w:p>
          <w:p>
            <w:pPr>
              <w:adjustRightInd w:val="0"/>
              <w:snapToGrid w:val="0"/>
              <w:spacing w:line="360" w:lineRule="auto"/>
              <w:ind w:firstLine="480" w:firstLineChars="200"/>
              <w:jc w:val="left"/>
              <w:rPr>
                <w:rFonts w:ascii="Times New Roman" w:hAnsi="Times New Roman" w:eastAsia="宋体" w:cs="Times New Roman"/>
                <w:sz w:val="24"/>
                <w:u w:val="single"/>
              </w:rPr>
            </w:pPr>
            <w:r>
              <w:rPr>
                <w:rFonts w:ascii="Times New Roman" w:hAnsi="Times New Roman" w:eastAsia="宋体" w:cs="Times New Roman"/>
                <w:sz w:val="24"/>
                <w:u w:val="single"/>
              </w:rPr>
              <w:t>T——设计重现期，a；</w:t>
            </w:r>
          </w:p>
          <w:p>
            <w:pPr>
              <w:adjustRightInd w:val="0"/>
              <w:snapToGrid w:val="0"/>
              <w:spacing w:line="360" w:lineRule="auto"/>
              <w:ind w:firstLine="480" w:firstLineChars="200"/>
              <w:jc w:val="left"/>
              <w:rPr>
                <w:rFonts w:ascii="Times New Roman" w:hAnsi="Times New Roman" w:eastAsia="宋体" w:cs="Times New Roman"/>
                <w:sz w:val="24"/>
                <w:u w:val="single"/>
              </w:rPr>
            </w:pPr>
            <w:r>
              <w:rPr>
                <w:rFonts w:ascii="Times New Roman" w:hAnsi="Times New Roman" w:eastAsia="宋体" w:cs="Times New Roman"/>
                <w:sz w:val="24"/>
                <w:u w:val="single"/>
              </w:rPr>
              <w:t>t——降雨历时，min。</w:t>
            </w:r>
          </w:p>
          <w:p>
            <w:pPr>
              <w:adjustRightInd w:val="0"/>
              <w:snapToGrid w:val="0"/>
              <w:spacing w:line="360" w:lineRule="auto"/>
              <w:ind w:firstLine="480" w:firstLineChars="200"/>
              <w:jc w:val="left"/>
              <w:rPr>
                <w:rFonts w:ascii="Times New Roman" w:hAnsi="Times New Roman" w:eastAsia="宋体" w:cs="Times New Roman"/>
                <w:sz w:val="24"/>
                <w:u w:val="single"/>
              </w:rPr>
            </w:pPr>
            <w:r>
              <w:rPr>
                <w:rFonts w:ascii="Times New Roman" w:hAnsi="Times New Roman" w:eastAsia="宋体" w:cs="Times New Roman"/>
                <w:sz w:val="24"/>
                <w:u w:val="single"/>
              </w:rPr>
              <w:t>室外地面降雨历时一般取10~25min，t取</w:t>
            </w:r>
            <w:r>
              <w:rPr>
                <w:rFonts w:hint="eastAsia" w:ascii="Times New Roman" w:hAnsi="Times New Roman" w:eastAsia="宋体" w:cs="Times New Roman"/>
                <w:sz w:val="24"/>
                <w:u w:val="single"/>
                <w:lang w:val="en-US" w:eastAsia="zh-CN"/>
              </w:rPr>
              <w:t>15</w:t>
            </w:r>
            <w:r>
              <w:rPr>
                <w:rFonts w:ascii="Times New Roman" w:hAnsi="Times New Roman" w:eastAsia="宋体" w:cs="Times New Roman"/>
                <w:sz w:val="24"/>
                <w:u w:val="single"/>
              </w:rPr>
              <w:t>min；T取3a。</w:t>
            </w:r>
          </w:p>
          <w:p>
            <w:pPr>
              <w:wordWrap w:val="0"/>
              <w:spacing w:line="360" w:lineRule="auto"/>
              <w:ind w:firstLine="480" w:firstLineChars="200"/>
              <w:rPr>
                <w:rFonts w:hint="eastAsia" w:ascii="Times New Roman" w:hAnsi="Times New Roman" w:eastAsia="宋体" w:cs="Times New Roman"/>
                <w:sz w:val="24"/>
                <w:u w:val="single"/>
              </w:rPr>
            </w:pPr>
            <w:r>
              <w:rPr>
                <w:rFonts w:ascii="Times New Roman" w:hAnsi="Times New Roman" w:eastAsia="宋体" w:cs="Times New Roman"/>
                <w:sz w:val="24"/>
                <w:u w:val="single"/>
              </w:rPr>
              <w:t>根据上述公式，计算得出q=</w:t>
            </w:r>
            <w:r>
              <w:rPr>
                <w:rFonts w:hint="eastAsia" w:ascii="Times New Roman" w:hAnsi="Times New Roman" w:eastAsia="宋体" w:cs="Times New Roman"/>
                <w:sz w:val="24"/>
                <w:u w:val="single"/>
                <w:lang w:val="en-US" w:eastAsia="zh-CN"/>
              </w:rPr>
              <w:t>295.21</w:t>
            </w:r>
            <w:r>
              <w:rPr>
                <w:rFonts w:ascii="Times New Roman" w:hAnsi="Times New Roman" w:eastAsia="宋体" w:cs="Times New Roman"/>
                <w:sz w:val="24"/>
                <w:u w:val="single"/>
              </w:rPr>
              <w:t>L/s·10000m</w:t>
            </w:r>
            <w:r>
              <w:rPr>
                <w:rFonts w:ascii="Times New Roman" w:hAnsi="Times New Roman" w:eastAsia="宋体" w:cs="Times New Roman"/>
                <w:sz w:val="24"/>
                <w:u w:val="single"/>
                <w:vertAlign w:val="superscript"/>
              </w:rPr>
              <w:t>2</w:t>
            </w:r>
            <w:r>
              <w:rPr>
                <w:rFonts w:ascii="Times New Roman" w:hAnsi="Times New Roman" w:eastAsia="宋体" w:cs="Times New Roman"/>
                <w:sz w:val="24"/>
                <w:u w:val="single"/>
              </w:rPr>
              <w:t>，项目占地面积</w:t>
            </w:r>
            <w:r>
              <w:rPr>
                <w:rFonts w:hint="eastAsia" w:ascii="Times New Roman" w:hAnsi="Times New Roman" w:eastAsia="宋体" w:cs="Times New Roman"/>
                <w:sz w:val="24"/>
                <w:u w:val="single"/>
                <w:lang w:val="en-US" w:eastAsia="zh-CN"/>
              </w:rPr>
              <w:t>23000</w:t>
            </w:r>
            <w:r>
              <w:rPr>
                <w:rFonts w:ascii="Times New Roman" w:hAnsi="Times New Roman" w:eastAsia="宋体" w:cs="Times New Roman"/>
                <w:sz w:val="24"/>
                <w:u w:val="single"/>
              </w:rPr>
              <w:t>m</w:t>
            </w:r>
            <w:r>
              <w:rPr>
                <w:rFonts w:ascii="Times New Roman" w:hAnsi="Times New Roman" w:eastAsia="宋体" w:cs="Times New Roman"/>
                <w:sz w:val="24"/>
                <w:u w:val="single"/>
                <w:vertAlign w:val="superscript"/>
              </w:rPr>
              <w:t>2</w:t>
            </w:r>
            <w:r>
              <w:rPr>
                <w:rFonts w:ascii="Times New Roman" w:hAnsi="Times New Roman" w:eastAsia="宋体" w:cs="Times New Roman"/>
                <w:sz w:val="24"/>
                <w:u w:val="single"/>
              </w:rPr>
              <w:t>，除去建筑面积、绿化面积，裸露地面面积为</w:t>
            </w:r>
            <w:r>
              <w:rPr>
                <w:rFonts w:hint="eastAsia" w:ascii="Times New Roman" w:hAnsi="Times New Roman" w:eastAsia="宋体" w:cs="Times New Roman"/>
                <w:sz w:val="24"/>
                <w:u w:val="single"/>
                <w:lang w:val="en-US" w:eastAsia="zh-CN"/>
              </w:rPr>
              <w:t>8700</w:t>
            </w:r>
            <w:r>
              <w:rPr>
                <w:rFonts w:ascii="Times New Roman" w:hAnsi="Times New Roman" w:eastAsia="宋体" w:cs="Times New Roman"/>
                <w:sz w:val="24"/>
                <w:u w:val="single"/>
              </w:rPr>
              <w:t>m</w:t>
            </w:r>
            <w:r>
              <w:rPr>
                <w:rFonts w:ascii="Times New Roman" w:hAnsi="Times New Roman" w:eastAsia="宋体" w:cs="Times New Roman"/>
                <w:sz w:val="24"/>
                <w:u w:val="single"/>
                <w:vertAlign w:val="superscript"/>
              </w:rPr>
              <w:t>2</w:t>
            </w:r>
            <w:r>
              <w:rPr>
                <w:rFonts w:hint="eastAsia" w:ascii="Times New Roman" w:hAnsi="Times New Roman" w:eastAsia="宋体" w:cs="Times New Roman"/>
                <w:sz w:val="24"/>
                <w:u w:val="single"/>
                <w:lang w:eastAsia="zh-CN"/>
              </w:rPr>
              <w:t>（</w:t>
            </w:r>
            <w:r>
              <w:rPr>
                <w:rFonts w:hint="eastAsia" w:ascii="Times New Roman" w:hAnsi="Times New Roman" w:eastAsia="宋体" w:cs="Times New Roman"/>
                <w:sz w:val="24"/>
                <w:u w:val="single"/>
                <w:lang w:val="en-US" w:eastAsia="zh-CN"/>
              </w:rPr>
              <w:t>0.87hm</w:t>
            </w:r>
            <w:r>
              <w:rPr>
                <w:rFonts w:hint="eastAsia" w:ascii="Times New Roman" w:hAnsi="Times New Roman" w:eastAsia="宋体" w:cs="Times New Roman"/>
                <w:sz w:val="24"/>
                <w:u w:val="single"/>
                <w:vertAlign w:val="superscript"/>
                <w:lang w:val="en-US" w:eastAsia="zh-CN"/>
              </w:rPr>
              <w:t>2</w:t>
            </w:r>
            <w:r>
              <w:rPr>
                <w:rFonts w:hint="eastAsia" w:ascii="Times New Roman" w:hAnsi="Times New Roman" w:eastAsia="宋体" w:cs="Times New Roman"/>
                <w:sz w:val="24"/>
                <w:u w:val="single"/>
                <w:lang w:eastAsia="zh-CN"/>
              </w:rPr>
              <w:t>）</w:t>
            </w:r>
            <w:r>
              <w:rPr>
                <w:rFonts w:ascii="Times New Roman" w:hAnsi="Times New Roman" w:eastAsia="宋体" w:cs="Times New Roman"/>
                <w:sz w:val="24"/>
                <w:u w:val="single"/>
              </w:rPr>
              <w:t>，</w:t>
            </w:r>
            <w:r>
              <w:rPr>
                <w:rFonts w:hint="eastAsia" w:ascii="Times New Roman" w:hAnsi="Times New Roman" w:eastAsia="宋体" w:cs="Times New Roman"/>
                <w:sz w:val="24"/>
                <w:u w:val="single"/>
                <w:lang w:eastAsia="zh-CN"/>
              </w:rPr>
              <w:t>项目</w:t>
            </w:r>
            <w:r>
              <w:rPr>
                <w:rFonts w:ascii="Times New Roman" w:hAnsi="Times New Roman" w:eastAsia="宋体" w:cs="Times New Roman"/>
                <w:sz w:val="24"/>
                <w:u w:val="single"/>
              </w:rPr>
              <w:t>场地为水泥路面，</w:t>
            </w:r>
            <w:r>
              <w:rPr>
                <w:rFonts w:hint="eastAsia" w:ascii="Times New Roman" w:hAnsi="Times New Roman" w:eastAsia="宋体" w:cs="Times New Roman"/>
                <w:sz w:val="24"/>
                <w:u w:val="single"/>
                <w:lang w:eastAsia="zh-CN"/>
              </w:rPr>
              <w:t>则</w:t>
            </w:r>
            <w:r>
              <w:rPr>
                <w:rFonts w:ascii="Times New Roman" w:hAnsi="Times New Roman" w:eastAsia="宋体" w:cs="Times New Roman"/>
                <w:sz w:val="24"/>
                <w:u w:val="single"/>
              </w:rPr>
              <w:t>径流系数取0.</w:t>
            </w:r>
            <w:r>
              <w:rPr>
                <w:rFonts w:hint="eastAsia" w:ascii="Times New Roman" w:hAnsi="Times New Roman" w:eastAsia="宋体" w:cs="Times New Roman"/>
                <w:sz w:val="24"/>
                <w:u w:val="single"/>
              </w:rPr>
              <w:t>9</w:t>
            </w:r>
            <w:r>
              <w:rPr>
                <w:rFonts w:ascii="Times New Roman" w:hAnsi="Times New Roman" w:eastAsia="宋体" w:cs="Times New Roman"/>
                <w:sz w:val="24"/>
                <w:u w:val="single"/>
              </w:rPr>
              <w:t>，即</w:t>
            </w:r>
            <w:r>
              <w:rPr>
                <w:rFonts w:hint="eastAsia" w:ascii="Times New Roman" w:hAnsi="Times New Roman" w:eastAsia="宋体" w:cs="Times New Roman"/>
                <w:sz w:val="24"/>
                <w:u w:val="single"/>
              </w:rPr>
              <w:t>1</w:t>
            </w:r>
            <w:r>
              <w:rPr>
                <w:rFonts w:ascii="Times New Roman" w:hAnsi="Times New Roman" w:eastAsia="宋体" w:cs="Times New Roman"/>
                <w:sz w:val="24"/>
                <w:u w:val="single"/>
              </w:rPr>
              <w:t>0%渗入地下因此：初期雨水量为</w:t>
            </w:r>
            <w:r>
              <w:rPr>
                <w:rFonts w:hint="eastAsia" w:ascii="Times New Roman" w:hAnsi="Times New Roman" w:eastAsia="宋体" w:cs="Times New Roman"/>
                <w:sz w:val="24"/>
                <w:u w:val="single"/>
                <w:lang w:val="en-US" w:eastAsia="zh-CN"/>
              </w:rPr>
              <w:t>231.15</w:t>
            </w:r>
            <w:r>
              <w:rPr>
                <w:rFonts w:ascii="Times New Roman" w:hAnsi="Times New Roman" w:eastAsia="宋体" w:cs="Times New Roman"/>
                <w:sz w:val="24"/>
                <w:u w:val="single"/>
              </w:rPr>
              <w:t>m</w:t>
            </w:r>
            <w:r>
              <w:rPr>
                <w:rFonts w:ascii="Times New Roman" w:hAnsi="Times New Roman" w:eastAsia="宋体" w:cs="Times New Roman"/>
                <w:sz w:val="24"/>
                <w:u w:val="single"/>
                <w:vertAlign w:val="superscript"/>
              </w:rPr>
              <w:t>3</w:t>
            </w:r>
            <w:r>
              <w:rPr>
                <w:rFonts w:ascii="Times New Roman" w:hAnsi="Times New Roman" w:eastAsia="宋体" w:cs="Times New Roman"/>
                <w:sz w:val="24"/>
                <w:u w:val="single"/>
              </w:rPr>
              <w:t>/次</w:t>
            </w:r>
            <w:r>
              <w:rPr>
                <w:rFonts w:hint="eastAsia" w:ascii="Times New Roman" w:hAnsi="Times New Roman" w:eastAsia="宋体" w:cs="Times New Roman"/>
                <w:sz w:val="24"/>
                <w:u w:val="single"/>
              </w:rPr>
              <w:t>，</w:t>
            </w:r>
            <w:r>
              <w:rPr>
                <w:rFonts w:ascii="Times New Roman" w:hAnsi="Times New Roman" w:eastAsia="宋体" w:cs="Times New Roman"/>
                <w:sz w:val="24"/>
                <w:u w:val="single"/>
              </w:rPr>
              <w:t>因这部分雨水具有很大的不确定性，不宜计入排污总量，而纳入日常的监督管理，所以评价仅将其作为一个污染源，初期雨水经</w:t>
            </w:r>
            <w:r>
              <w:rPr>
                <w:rFonts w:hint="eastAsia" w:ascii="Times New Roman" w:hAnsi="Times New Roman" w:eastAsia="宋体" w:cs="Times New Roman"/>
                <w:sz w:val="24"/>
                <w:u w:val="single"/>
                <w:lang w:eastAsia="zh-CN"/>
              </w:rPr>
              <w:t>初期雨水</w:t>
            </w:r>
            <w:r>
              <w:rPr>
                <w:rFonts w:hint="eastAsia" w:ascii="Times New Roman" w:hAnsi="Times New Roman" w:eastAsia="宋体" w:cs="Times New Roman"/>
                <w:sz w:val="24"/>
                <w:u w:val="single"/>
              </w:rPr>
              <w:t>池</w:t>
            </w:r>
            <w:r>
              <w:rPr>
                <w:rFonts w:ascii="Times New Roman" w:hAnsi="Times New Roman" w:eastAsia="宋体" w:cs="Times New Roman"/>
                <w:sz w:val="24"/>
                <w:u w:val="single"/>
              </w:rPr>
              <w:t>处理后</w:t>
            </w:r>
            <w:r>
              <w:rPr>
                <w:rFonts w:hint="eastAsia" w:ascii="Times New Roman" w:hAnsi="Times New Roman" w:eastAsia="宋体" w:cs="Times New Roman"/>
                <w:sz w:val="24"/>
                <w:u w:val="single"/>
                <w:lang w:eastAsia="zh-CN"/>
              </w:rPr>
              <w:t>回用于抑尘</w:t>
            </w:r>
            <w:r>
              <w:rPr>
                <w:rFonts w:hint="eastAsia" w:ascii="Times New Roman" w:hAnsi="Times New Roman" w:eastAsia="宋体" w:cs="Times New Roman"/>
                <w:sz w:val="24"/>
                <w:u w:val="single"/>
              </w:rPr>
              <w:t>。</w:t>
            </w:r>
          </w:p>
          <w:p>
            <w:pPr>
              <w:wordWrap w:val="0"/>
              <w:spacing w:line="360" w:lineRule="auto"/>
              <w:ind w:firstLine="480" w:firstLineChars="200"/>
              <w:rPr>
                <w:sz w:val="24"/>
              </w:rPr>
            </w:pPr>
            <w:r>
              <w:rPr>
                <w:sz w:val="24"/>
              </w:rPr>
              <w:t>项目</w:t>
            </w:r>
            <w:r>
              <w:rPr>
                <w:rFonts w:hint="eastAsia"/>
                <w:sz w:val="24"/>
              </w:rPr>
              <w:t>排水</w:t>
            </w:r>
            <w:r>
              <w:rPr>
                <w:sz w:val="24"/>
              </w:rPr>
              <w:t>情况详见</w:t>
            </w:r>
            <w:r>
              <w:rPr>
                <w:rFonts w:hint="eastAsia"/>
                <w:sz w:val="24"/>
              </w:rPr>
              <w:t>下</w:t>
            </w:r>
            <w:r>
              <w:rPr>
                <w:sz w:val="24"/>
              </w:rPr>
              <w:t>表。水平衡图见下节。</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cs="宋体"/>
                <w:b/>
                <w:szCs w:val="21"/>
              </w:rPr>
              <w:t>表</w:t>
            </w:r>
            <w:r>
              <w:rPr>
                <w:rFonts w:hint="eastAsia" w:cs="宋体"/>
                <w:b/>
                <w:szCs w:val="21"/>
              </w:rPr>
              <w:t>2.1-7：</w:t>
            </w:r>
            <w:r>
              <w:rPr>
                <w:rFonts w:cs="宋体"/>
                <w:b/>
                <w:szCs w:val="21"/>
              </w:rPr>
              <w:t>运营期</w:t>
            </w:r>
            <w:r>
              <w:rPr>
                <w:rFonts w:hint="eastAsia" w:cs="宋体"/>
                <w:b/>
                <w:szCs w:val="21"/>
              </w:rPr>
              <w:t>排水</w:t>
            </w:r>
            <w:r>
              <w:rPr>
                <w:rFonts w:cs="宋体"/>
                <w:b/>
                <w:szCs w:val="21"/>
              </w:rPr>
              <w:t>情况一览表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6"/>
              <w:gridCol w:w="1578"/>
              <w:gridCol w:w="2810"/>
              <w:gridCol w:w="2098"/>
              <w:gridCol w:w="13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7" w:type="pct"/>
                  <w:noWrap w:val="0"/>
                  <w:vAlign w:val="center"/>
                </w:tcPr>
                <w:p>
                  <w:pPr>
                    <w:wordWrap w:val="0"/>
                    <w:jc w:val="center"/>
                  </w:pPr>
                  <w:r>
                    <w:t>序号</w:t>
                  </w:r>
                </w:p>
              </w:tc>
              <w:tc>
                <w:tcPr>
                  <w:tcW w:w="926" w:type="pct"/>
                  <w:noWrap w:val="0"/>
                  <w:vAlign w:val="center"/>
                </w:tcPr>
                <w:p>
                  <w:pPr>
                    <w:wordWrap w:val="0"/>
                    <w:jc w:val="center"/>
                  </w:pPr>
                  <w:r>
                    <w:rPr>
                      <w:rFonts w:hint="eastAsia"/>
                    </w:rPr>
                    <w:t>类别</w:t>
                  </w:r>
                </w:p>
              </w:tc>
              <w:tc>
                <w:tcPr>
                  <w:tcW w:w="1651" w:type="pct"/>
                  <w:tcBorders>
                    <w:left w:val="single" w:color="auto" w:sz="4" w:space="0"/>
                  </w:tcBorders>
                  <w:noWrap w:val="0"/>
                  <w:vAlign w:val="center"/>
                </w:tcPr>
                <w:p>
                  <w:pPr>
                    <w:wordWrap w:val="0"/>
                    <w:jc w:val="center"/>
                    <w:rPr>
                      <w:rFonts w:hint="eastAsia"/>
                    </w:rPr>
                  </w:pPr>
                  <w:r>
                    <w:rPr>
                      <w:rFonts w:hint="eastAsia"/>
                    </w:rPr>
                    <w:t>废水产生量</w:t>
                  </w:r>
                </w:p>
              </w:tc>
              <w:tc>
                <w:tcPr>
                  <w:tcW w:w="1233" w:type="pct"/>
                  <w:noWrap w:val="0"/>
                  <w:vAlign w:val="center"/>
                </w:tcPr>
                <w:p>
                  <w:pPr>
                    <w:wordWrap w:val="0"/>
                    <w:jc w:val="center"/>
                    <w:rPr>
                      <w:rFonts w:hint="eastAsia"/>
                    </w:rPr>
                  </w:pPr>
                  <w:r>
                    <w:rPr>
                      <w:rFonts w:hint="eastAsia"/>
                    </w:rPr>
                    <w:t>去向</w:t>
                  </w:r>
                </w:p>
              </w:tc>
              <w:tc>
                <w:tcPr>
                  <w:tcW w:w="790" w:type="pct"/>
                  <w:noWrap w:val="0"/>
                  <w:vAlign w:val="center"/>
                </w:tcPr>
                <w:p>
                  <w:pPr>
                    <w:wordWrap w:val="0"/>
                    <w:jc w:val="center"/>
                  </w:pPr>
                  <w:r>
                    <w:rPr>
                      <w:rFonts w:hint="eastAsia"/>
                    </w:rPr>
                    <w:t>排水量</w:t>
                  </w:r>
                </w:p>
                <w:p>
                  <w:pPr>
                    <w:wordWrap w:val="0"/>
                    <w:jc w:val="center"/>
                  </w:pPr>
                  <w:r>
                    <w:t>（m</w:t>
                  </w:r>
                  <w:r>
                    <w:rPr>
                      <w:rFonts w:hint="eastAsia"/>
                      <w:vertAlign w:val="superscript"/>
                    </w:rPr>
                    <w:t>3</w:t>
                  </w:r>
                  <w: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7" w:type="pct"/>
                  <w:noWrap w:val="0"/>
                  <w:vAlign w:val="center"/>
                </w:tcPr>
                <w:p>
                  <w:pPr>
                    <w:wordWrap w:val="0"/>
                    <w:jc w:val="center"/>
                    <w:rPr>
                      <w:szCs w:val="21"/>
                    </w:rPr>
                  </w:pPr>
                  <w:r>
                    <w:rPr>
                      <w:rFonts w:hint="eastAsia"/>
                      <w:szCs w:val="21"/>
                    </w:rPr>
                    <w:t>1</w:t>
                  </w:r>
                </w:p>
              </w:tc>
              <w:tc>
                <w:tcPr>
                  <w:tcW w:w="926" w:type="pct"/>
                  <w:noWrap w:val="0"/>
                  <w:vAlign w:val="center"/>
                </w:tcPr>
                <w:p>
                  <w:pPr>
                    <w:wordWrap w:val="0"/>
                    <w:jc w:val="center"/>
                    <w:rPr>
                      <w:rFonts w:hint="eastAsia"/>
                      <w:szCs w:val="21"/>
                    </w:rPr>
                  </w:pPr>
                  <w:r>
                    <w:rPr>
                      <w:rFonts w:hint="eastAsia"/>
                      <w:szCs w:val="21"/>
                    </w:rPr>
                    <w:t>生活污水</w:t>
                  </w:r>
                </w:p>
              </w:tc>
              <w:tc>
                <w:tcPr>
                  <w:tcW w:w="1651" w:type="pct"/>
                  <w:noWrap w:val="0"/>
                  <w:vAlign w:val="center"/>
                </w:tcPr>
                <w:p>
                  <w:pPr>
                    <w:wordWrap w:val="0"/>
                    <w:jc w:val="center"/>
                  </w:pPr>
                  <w:r>
                    <w:rPr>
                      <w:rFonts w:hint="eastAsia"/>
                    </w:rPr>
                    <w:t>0.34m</w:t>
                  </w:r>
                  <w:r>
                    <w:rPr>
                      <w:rFonts w:hint="eastAsia"/>
                      <w:vertAlign w:val="superscript"/>
                    </w:rPr>
                    <w:t>3</w:t>
                  </w:r>
                  <w:r>
                    <w:t>/d（</w:t>
                  </w:r>
                  <w:r>
                    <w:rPr>
                      <w:rFonts w:hint="eastAsia"/>
                      <w:lang w:val="en-US" w:eastAsia="zh-CN"/>
                    </w:rPr>
                    <w:t>102</w:t>
                  </w:r>
                  <w:r>
                    <w:rPr>
                      <w:rFonts w:hint="eastAsia"/>
                    </w:rPr>
                    <w:t>m</w:t>
                  </w:r>
                  <w:r>
                    <w:rPr>
                      <w:rFonts w:hint="eastAsia"/>
                      <w:vertAlign w:val="superscript"/>
                    </w:rPr>
                    <w:t>3</w:t>
                  </w:r>
                  <w:r>
                    <w:t>/a）</w:t>
                  </w:r>
                </w:p>
              </w:tc>
              <w:tc>
                <w:tcPr>
                  <w:tcW w:w="1233" w:type="pct"/>
                  <w:tcBorders>
                    <w:bottom w:val="single" w:color="000000" w:sz="4" w:space="0"/>
                  </w:tcBorders>
                  <w:noWrap w:val="0"/>
                  <w:vAlign w:val="center"/>
                </w:tcPr>
                <w:p>
                  <w:pPr>
                    <w:wordWrap w:val="0"/>
                    <w:jc w:val="center"/>
                    <w:rPr>
                      <w:rFonts w:hint="eastAsia"/>
                    </w:rPr>
                  </w:pPr>
                  <w:r>
                    <w:rPr>
                      <w:rFonts w:hint="eastAsia"/>
                    </w:rPr>
                    <w:t>农肥</w:t>
                  </w:r>
                </w:p>
              </w:tc>
              <w:tc>
                <w:tcPr>
                  <w:tcW w:w="790" w:type="pct"/>
                  <w:vMerge w:val="restart"/>
                  <w:noWrap w:val="0"/>
                  <w:vAlign w:val="center"/>
                </w:tcPr>
                <w:p>
                  <w:pPr>
                    <w:wordWrap w:val="0"/>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7" w:type="pct"/>
                  <w:noWrap w:val="0"/>
                  <w:vAlign w:val="center"/>
                </w:tcPr>
                <w:p>
                  <w:pPr>
                    <w:wordWrap w:val="0"/>
                    <w:jc w:val="center"/>
                    <w:rPr>
                      <w:rFonts w:hint="eastAsia"/>
                      <w:szCs w:val="21"/>
                    </w:rPr>
                  </w:pPr>
                  <w:r>
                    <w:rPr>
                      <w:rFonts w:hint="eastAsia"/>
                      <w:szCs w:val="21"/>
                    </w:rPr>
                    <w:t>2</w:t>
                  </w:r>
                </w:p>
              </w:tc>
              <w:tc>
                <w:tcPr>
                  <w:tcW w:w="926" w:type="pct"/>
                  <w:noWrap w:val="0"/>
                  <w:vAlign w:val="center"/>
                </w:tcPr>
                <w:p>
                  <w:pPr>
                    <w:wordWrap w:val="0"/>
                    <w:jc w:val="center"/>
                    <w:rPr>
                      <w:rFonts w:hint="eastAsia"/>
                      <w:szCs w:val="21"/>
                    </w:rPr>
                  </w:pPr>
                  <w:r>
                    <w:rPr>
                      <w:rFonts w:hint="eastAsia"/>
                      <w:szCs w:val="21"/>
                    </w:rPr>
                    <w:t>车辆冲洗废水</w:t>
                  </w:r>
                </w:p>
              </w:tc>
              <w:tc>
                <w:tcPr>
                  <w:tcW w:w="1651" w:type="pct"/>
                  <w:noWrap w:val="0"/>
                  <w:vAlign w:val="center"/>
                </w:tcPr>
                <w:p>
                  <w:pPr>
                    <w:wordWrap w:val="0"/>
                    <w:jc w:val="center"/>
                  </w:pPr>
                  <w:r>
                    <w:rPr>
                      <w:rFonts w:hint="eastAsia"/>
                    </w:rPr>
                    <w:t>0.3m</w:t>
                  </w:r>
                  <w:r>
                    <w:rPr>
                      <w:rFonts w:hint="eastAsia"/>
                      <w:vertAlign w:val="superscript"/>
                    </w:rPr>
                    <w:t>3</w:t>
                  </w:r>
                  <w:r>
                    <w:t>/d（</w:t>
                  </w:r>
                  <w:r>
                    <w:rPr>
                      <w:rFonts w:hint="eastAsia"/>
                    </w:rPr>
                    <w:t>60m</w:t>
                  </w:r>
                  <w:r>
                    <w:rPr>
                      <w:rFonts w:hint="eastAsia"/>
                      <w:vertAlign w:val="superscript"/>
                    </w:rPr>
                    <w:t>3</w:t>
                  </w:r>
                  <w:r>
                    <w:t>/a）</w:t>
                  </w:r>
                </w:p>
              </w:tc>
              <w:tc>
                <w:tcPr>
                  <w:tcW w:w="1233" w:type="pct"/>
                  <w:tcBorders>
                    <w:top w:val="single" w:color="000000" w:sz="4" w:space="0"/>
                    <w:bottom w:val="single" w:color="000000" w:sz="4" w:space="0"/>
                  </w:tcBorders>
                  <w:noWrap w:val="0"/>
                  <w:vAlign w:val="center"/>
                </w:tcPr>
                <w:p>
                  <w:pPr>
                    <w:wordWrap w:val="0"/>
                    <w:jc w:val="center"/>
                    <w:rPr>
                      <w:rFonts w:hint="eastAsia"/>
                    </w:rPr>
                  </w:pPr>
                  <w:r>
                    <w:rPr>
                      <w:rFonts w:hint="eastAsia"/>
                    </w:rPr>
                    <w:t>损耗</w:t>
                  </w:r>
                </w:p>
              </w:tc>
              <w:tc>
                <w:tcPr>
                  <w:tcW w:w="790" w:type="pct"/>
                  <w:vMerge w:val="continue"/>
                  <w:noWrap w:val="0"/>
                  <w:vAlign w:val="center"/>
                </w:tcPr>
                <w:p>
                  <w:pPr>
                    <w:wordWrap w:val="0"/>
                    <w:jc w:val="center"/>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7" w:type="pct"/>
                  <w:noWrap w:val="0"/>
                  <w:vAlign w:val="center"/>
                </w:tcPr>
                <w:p>
                  <w:pPr>
                    <w:wordWrap w:val="0"/>
                    <w:jc w:val="center"/>
                    <w:rPr>
                      <w:szCs w:val="21"/>
                    </w:rPr>
                  </w:pPr>
                  <w:r>
                    <w:rPr>
                      <w:rFonts w:hint="eastAsia"/>
                      <w:szCs w:val="21"/>
                    </w:rPr>
                    <w:t>3</w:t>
                  </w:r>
                </w:p>
              </w:tc>
              <w:tc>
                <w:tcPr>
                  <w:tcW w:w="926" w:type="pct"/>
                  <w:noWrap w:val="0"/>
                  <w:vAlign w:val="center"/>
                </w:tcPr>
                <w:p>
                  <w:pPr>
                    <w:wordWrap w:val="0"/>
                    <w:jc w:val="center"/>
                    <w:rPr>
                      <w:rFonts w:hint="eastAsia"/>
                      <w:szCs w:val="21"/>
                    </w:rPr>
                  </w:pPr>
                  <w:r>
                    <w:rPr>
                      <w:rFonts w:hint="eastAsia"/>
                      <w:szCs w:val="21"/>
                    </w:rPr>
                    <w:t>原料堆场和产品堆场废水</w:t>
                  </w:r>
                </w:p>
              </w:tc>
              <w:tc>
                <w:tcPr>
                  <w:tcW w:w="1651" w:type="pct"/>
                  <w:noWrap w:val="0"/>
                  <w:vAlign w:val="center"/>
                </w:tcPr>
                <w:p>
                  <w:pPr>
                    <w:wordWrap w:val="0"/>
                    <w:jc w:val="center"/>
                  </w:pPr>
                  <w:r>
                    <w:rPr>
                      <w:rFonts w:hint="eastAsia"/>
                    </w:rPr>
                    <w:t>/</w:t>
                  </w:r>
                </w:p>
              </w:tc>
              <w:tc>
                <w:tcPr>
                  <w:tcW w:w="1233" w:type="pct"/>
                  <w:vMerge w:val="restart"/>
                  <w:tcBorders>
                    <w:top w:val="single" w:color="000000" w:sz="4" w:space="0"/>
                  </w:tcBorders>
                  <w:noWrap w:val="0"/>
                  <w:vAlign w:val="center"/>
                </w:tcPr>
                <w:p>
                  <w:pPr>
                    <w:wordWrap w:val="0"/>
                    <w:jc w:val="center"/>
                    <w:rPr>
                      <w:rFonts w:hint="eastAsia"/>
                    </w:rPr>
                  </w:pPr>
                  <w:r>
                    <w:rPr>
                      <w:rFonts w:hint="eastAsia"/>
                    </w:rPr>
                    <w:t>蒸发和进入砂石</w:t>
                  </w:r>
                </w:p>
              </w:tc>
              <w:tc>
                <w:tcPr>
                  <w:tcW w:w="790" w:type="pct"/>
                  <w:vMerge w:val="continue"/>
                  <w:noWrap w:val="0"/>
                  <w:vAlign w:val="center"/>
                </w:tcPr>
                <w:p>
                  <w:pPr>
                    <w:wordWrap w:val="0"/>
                    <w:jc w:val="center"/>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jc w:val="center"/>
              </w:trPr>
              <w:tc>
                <w:tcPr>
                  <w:tcW w:w="397" w:type="pct"/>
                  <w:tcBorders>
                    <w:bottom w:val="single" w:color="auto" w:sz="4" w:space="0"/>
                  </w:tcBorders>
                  <w:noWrap w:val="0"/>
                  <w:vAlign w:val="center"/>
                </w:tcPr>
                <w:p>
                  <w:pPr>
                    <w:wordWrap w:val="0"/>
                    <w:jc w:val="center"/>
                    <w:rPr>
                      <w:szCs w:val="21"/>
                    </w:rPr>
                  </w:pPr>
                  <w:r>
                    <w:rPr>
                      <w:rFonts w:hint="eastAsia"/>
                      <w:szCs w:val="21"/>
                    </w:rPr>
                    <w:t>4</w:t>
                  </w:r>
                </w:p>
              </w:tc>
              <w:tc>
                <w:tcPr>
                  <w:tcW w:w="926" w:type="pct"/>
                  <w:tcBorders>
                    <w:bottom w:val="single" w:color="auto" w:sz="4" w:space="0"/>
                  </w:tcBorders>
                  <w:noWrap w:val="0"/>
                  <w:vAlign w:val="center"/>
                </w:tcPr>
                <w:p>
                  <w:pPr>
                    <w:wordWrap w:val="0"/>
                    <w:jc w:val="center"/>
                    <w:rPr>
                      <w:rFonts w:hint="eastAsia"/>
                      <w:szCs w:val="21"/>
                    </w:rPr>
                  </w:pPr>
                  <w:r>
                    <w:rPr>
                      <w:rFonts w:hint="eastAsia"/>
                      <w:szCs w:val="21"/>
                    </w:rPr>
                    <w:t>破碎与筛分降尘废水</w:t>
                  </w:r>
                </w:p>
              </w:tc>
              <w:tc>
                <w:tcPr>
                  <w:tcW w:w="1651" w:type="pct"/>
                  <w:tcBorders>
                    <w:bottom w:val="single" w:color="auto" w:sz="4" w:space="0"/>
                  </w:tcBorders>
                  <w:noWrap w:val="0"/>
                  <w:vAlign w:val="center"/>
                </w:tcPr>
                <w:p>
                  <w:pPr>
                    <w:wordWrap w:val="0"/>
                    <w:jc w:val="center"/>
                  </w:pPr>
                  <w:r>
                    <w:rPr>
                      <w:rFonts w:hint="eastAsia"/>
                    </w:rPr>
                    <w:t>/</w:t>
                  </w:r>
                </w:p>
              </w:tc>
              <w:tc>
                <w:tcPr>
                  <w:tcW w:w="1233" w:type="pct"/>
                  <w:vMerge w:val="continue"/>
                  <w:tcBorders>
                    <w:bottom w:val="single" w:color="000000" w:sz="4" w:space="0"/>
                  </w:tcBorders>
                  <w:noWrap w:val="0"/>
                  <w:vAlign w:val="center"/>
                </w:tcPr>
                <w:p>
                  <w:pPr>
                    <w:wordWrap w:val="0"/>
                    <w:jc w:val="center"/>
                    <w:rPr>
                      <w:rFonts w:hint="eastAsia"/>
                    </w:rPr>
                  </w:pPr>
                </w:p>
              </w:tc>
              <w:tc>
                <w:tcPr>
                  <w:tcW w:w="790" w:type="pct"/>
                  <w:vMerge w:val="continue"/>
                  <w:noWrap w:val="0"/>
                  <w:vAlign w:val="center"/>
                </w:tcPr>
                <w:p>
                  <w:pPr>
                    <w:wordWrap w:val="0"/>
                    <w:jc w:val="center"/>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397" w:type="pct"/>
                  <w:tcBorders>
                    <w:top w:val="single" w:color="auto" w:sz="4" w:space="0"/>
                  </w:tcBorders>
                  <w:noWrap w:val="0"/>
                  <w:vAlign w:val="center"/>
                </w:tcPr>
                <w:p>
                  <w:pPr>
                    <w:wordWrap w:val="0"/>
                    <w:jc w:val="center"/>
                    <w:rPr>
                      <w:rFonts w:hint="default" w:eastAsia="宋体"/>
                      <w:szCs w:val="21"/>
                      <w:lang w:val="en-US" w:eastAsia="zh-CN"/>
                    </w:rPr>
                  </w:pPr>
                  <w:r>
                    <w:rPr>
                      <w:rFonts w:hint="eastAsia"/>
                      <w:szCs w:val="21"/>
                      <w:lang w:val="en-US" w:eastAsia="zh-CN"/>
                    </w:rPr>
                    <w:t>5</w:t>
                  </w:r>
                </w:p>
              </w:tc>
              <w:tc>
                <w:tcPr>
                  <w:tcW w:w="926" w:type="pct"/>
                  <w:tcBorders>
                    <w:top w:val="single" w:color="auto" w:sz="4" w:space="0"/>
                  </w:tcBorders>
                  <w:noWrap w:val="0"/>
                  <w:vAlign w:val="center"/>
                </w:tcPr>
                <w:p>
                  <w:pPr>
                    <w:wordWrap w:val="0"/>
                    <w:jc w:val="center"/>
                    <w:rPr>
                      <w:rFonts w:hint="eastAsia"/>
                      <w:szCs w:val="21"/>
                    </w:rPr>
                  </w:pPr>
                  <w:r>
                    <w:rPr>
                      <w:rFonts w:hint="eastAsia"/>
                      <w:szCs w:val="20"/>
                    </w:rPr>
                    <w:t>道路运输降尘</w:t>
                  </w:r>
                  <w:r>
                    <w:rPr>
                      <w:rFonts w:hint="eastAsia"/>
                      <w:szCs w:val="20"/>
                      <w:lang w:eastAsia="zh-CN"/>
                    </w:rPr>
                    <w:t>废</w:t>
                  </w:r>
                  <w:r>
                    <w:rPr>
                      <w:rFonts w:hint="eastAsia"/>
                      <w:szCs w:val="20"/>
                    </w:rPr>
                    <w:t>水</w:t>
                  </w:r>
                </w:p>
              </w:tc>
              <w:tc>
                <w:tcPr>
                  <w:tcW w:w="1651" w:type="pct"/>
                  <w:tcBorders>
                    <w:top w:val="single" w:color="auto" w:sz="4" w:space="0"/>
                  </w:tcBorders>
                  <w:noWrap w:val="0"/>
                  <w:vAlign w:val="center"/>
                </w:tcPr>
                <w:p>
                  <w:pPr>
                    <w:wordWrap w:val="0"/>
                    <w:jc w:val="center"/>
                    <w:rPr>
                      <w:rFonts w:hint="eastAsia" w:eastAsia="宋体"/>
                      <w:lang w:val="en-US" w:eastAsia="zh-CN"/>
                    </w:rPr>
                  </w:pPr>
                  <w:r>
                    <w:rPr>
                      <w:rFonts w:hint="eastAsia"/>
                      <w:lang w:val="en-US" w:eastAsia="zh-CN"/>
                    </w:rPr>
                    <w:t>/</w:t>
                  </w:r>
                </w:p>
              </w:tc>
              <w:tc>
                <w:tcPr>
                  <w:tcW w:w="1233" w:type="pct"/>
                  <w:vMerge w:val="continue"/>
                  <w:tcBorders>
                    <w:bottom w:val="single" w:color="000000" w:sz="4" w:space="0"/>
                  </w:tcBorders>
                  <w:noWrap w:val="0"/>
                  <w:vAlign w:val="center"/>
                </w:tcPr>
                <w:p>
                  <w:pPr>
                    <w:wordWrap w:val="0"/>
                    <w:jc w:val="center"/>
                    <w:rPr>
                      <w:rFonts w:hint="eastAsia"/>
                    </w:rPr>
                  </w:pPr>
                </w:p>
              </w:tc>
              <w:tc>
                <w:tcPr>
                  <w:tcW w:w="790" w:type="pct"/>
                  <w:vMerge w:val="continue"/>
                  <w:noWrap w:val="0"/>
                  <w:vAlign w:val="center"/>
                </w:tcPr>
                <w:p>
                  <w:pPr>
                    <w:wordWrap w:val="0"/>
                    <w:jc w:val="center"/>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24" w:type="pct"/>
                  <w:gridSpan w:val="2"/>
                  <w:noWrap w:val="0"/>
                  <w:vAlign w:val="center"/>
                </w:tcPr>
                <w:p>
                  <w:pPr>
                    <w:wordWrap w:val="0"/>
                    <w:jc w:val="center"/>
                    <w:rPr>
                      <w:rFonts w:hint="eastAsia"/>
                      <w:szCs w:val="21"/>
                    </w:rPr>
                  </w:pPr>
                  <w:r>
                    <w:rPr>
                      <w:rFonts w:hint="eastAsia"/>
                      <w:szCs w:val="21"/>
                    </w:rPr>
                    <w:t>合计</w:t>
                  </w:r>
                </w:p>
              </w:tc>
              <w:tc>
                <w:tcPr>
                  <w:tcW w:w="1651" w:type="pct"/>
                  <w:noWrap w:val="0"/>
                  <w:vAlign w:val="center"/>
                </w:tcPr>
                <w:p>
                  <w:pPr>
                    <w:wordWrap w:val="0"/>
                    <w:jc w:val="center"/>
                  </w:pPr>
                  <w:r>
                    <w:rPr>
                      <w:rFonts w:hint="eastAsia"/>
                    </w:rPr>
                    <w:t>0.64m</w:t>
                  </w:r>
                  <w:r>
                    <w:rPr>
                      <w:rFonts w:hint="eastAsia"/>
                      <w:vertAlign w:val="superscript"/>
                    </w:rPr>
                    <w:t>3</w:t>
                  </w:r>
                  <w:r>
                    <w:t>/d（</w:t>
                  </w:r>
                  <w:r>
                    <w:rPr>
                      <w:rFonts w:hint="eastAsia"/>
                      <w:lang w:val="en-US" w:eastAsia="zh-CN"/>
                    </w:rPr>
                    <w:t>162</w:t>
                  </w:r>
                  <w:r>
                    <w:rPr>
                      <w:rFonts w:hint="eastAsia"/>
                    </w:rPr>
                    <w:t>m</w:t>
                  </w:r>
                  <w:r>
                    <w:rPr>
                      <w:rFonts w:hint="eastAsia"/>
                      <w:vertAlign w:val="superscript"/>
                    </w:rPr>
                    <w:t>3</w:t>
                  </w:r>
                  <w:r>
                    <w:t>/a）</w:t>
                  </w:r>
                </w:p>
              </w:tc>
              <w:tc>
                <w:tcPr>
                  <w:tcW w:w="1233" w:type="pct"/>
                  <w:tcBorders>
                    <w:top w:val="single" w:color="000000" w:sz="4" w:space="0"/>
                    <w:bottom w:val="single" w:color="000000" w:sz="4" w:space="0"/>
                  </w:tcBorders>
                  <w:noWrap w:val="0"/>
                  <w:vAlign w:val="center"/>
                </w:tcPr>
                <w:p>
                  <w:pPr>
                    <w:wordWrap w:val="0"/>
                    <w:jc w:val="center"/>
                  </w:pPr>
                </w:p>
              </w:tc>
              <w:tc>
                <w:tcPr>
                  <w:tcW w:w="790" w:type="pct"/>
                  <w:vMerge w:val="continue"/>
                  <w:noWrap w:val="0"/>
                  <w:vAlign w:val="center"/>
                </w:tcPr>
                <w:p>
                  <w:pPr>
                    <w:wordWrap w:val="0"/>
                    <w:jc w:val="center"/>
                  </w:pPr>
                </w:p>
              </w:tc>
            </w:tr>
          </w:tbl>
          <w:p>
            <w:pPr>
              <w:wordWrap w:val="0"/>
              <w:spacing w:line="360" w:lineRule="auto"/>
              <w:ind w:firstLine="482" w:firstLineChars="200"/>
              <w:rPr>
                <w:rFonts w:hint="eastAsia"/>
                <w:b/>
                <w:sz w:val="24"/>
              </w:rPr>
            </w:pPr>
            <w:r>
              <w:rPr>
                <w:rFonts w:hint="eastAsia"/>
                <w:b/>
                <w:sz w:val="24"/>
              </w:rPr>
              <w:t>3、供电</w:t>
            </w:r>
          </w:p>
          <w:p>
            <w:pPr>
              <w:spacing w:line="360" w:lineRule="auto"/>
              <w:ind w:firstLine="480" w:firstLineChars="200"/>
              <w:rPr>
                <w:color w:val="FF0000"/>
                <w:sz w:val="24"/>
              </w:rPr>
            </w:pPr>
            <w:r>
              <w:rPr>
                <w:rFonts w:hint="eastAsia"/>
                <w:sz w:val="24"/>
              </w:rPr>
              <w:t>用电接入附近乡镇供电线路，年用电量约150万Kwh。场内已有1个箱式变电站，所有用电均有箱式变压器提供，供电有保障。</w:t>
            </w:r>
          </w:p>
          <w:bookmarkEnd w:id="38"/>
          <w:p>
            <w:pPr>
              <w:keepNext/>
              <w:keepLines/>
              <w:wordWrap w:val="0"/>
              <w:spacing w:before="192" w:beforeLines="80" w:after="192" w:afterLines="80"/>
              <w:outlineLvl w:val="2"/>
              <w:rPr>
                <w:b/>
                <w:bCs/>
                <w:sz w:val="28"/>
                <w:szCs w:val="32"/>
              </w:rPr>
            </w:pPr>
            <w:bookmarkStart w:id="39" w:name="_Toc109294461"/>
            <w:bookmarkStart w:id="40" w:name="_Toc111721049"/>
            <w:bookmarkStart w:id="41" w:name="_Toc109734364"/>
            <w:bookmarkStart w:id="42" w:name="_Toc110446467"/>
            <w:bookmarkStart w:id="43" w:name="_Toc109630662"/>
            <w:r>
              <w:rPr>
                <w:b/>
                <w:bCs/>
                <w:sz w:val="28"/>
                <w:szCs w:val="32"/>
              </w:rPr>
              <w:t>2.1.</w:t>
            </w:r>
            <w:r>
              <w:rPr>
                <w:rFonts w:hint="eastAsia"/>
                <w:b/>
                <w:bCs/>
                <w:sz w:val="28"/>
                <w:szCs w:val="32"/>
              </w:rPr>
              <w:t>9储运工程</w:t>
            </w:r>
          </w:p>
          <w:p>
            <w:pPr>
              <w:wordWrap w:val="0"/>
              <w:spacing w:line="360" w:lineRule="auto"/>
              <w:ind w:firstLine="480" w:firstLineChars="200"/>
              <w:rPr>
                <w:rFonts w:hint="eastAsia"/>
                <w:sz w:val="24"/>
                <w:u w:val="single"/>
              </w:rPr>
            </w:pPr>
            <w:r>
              <w:rPr>
                <w:rFonts w:hint="eastAsia"/>
                <w:sz w:val="24"/>
                <w:u w:val="single"/>
                <w:lang w:eastAsia="zh-CN"/>
              </w:rPr>
              <w:t>已建原料堆场</w:t>
            </w:r>
            <w:r>
              <w:rPr>
                <w:rFonts w:hint="eastAsia"/>
                <w:sz w:val="24"/>
                <w:u w:val="single"/>
              </w:rPr>
              <w:t>，主要</w:t>
            </w:r>
            <w:r>
              <w:rPr>
                <w:rFonts w:hint="eastAsia"/>
                <w:sz w:val="24"/>
                <w:u w:val="single"/>
                <w:lang w:eastAsia="zh-CN"/>
              </w:rPr>
              <w:t>堆放</w:t>
            </w:r>
            <w:r>
              <w:rPr>
                <w:rFonts w:hint="eastAsia"/>
                <w:sz w:val="24"/>
                <w:u w:val="single"/>
              </w:rPr>
              <w:t>废石</w:t>
            </w:r>
            <w:r>
              <w:rPr>
                <w:rFonts w:hint="eastAsia"/>
                <w:sz w:val="24"/>
                <w:u w:val="single"/>
                <w:lang w:eastAsia="zh-CN"/>
              </w:rPr>
              <w:t>，生产车间前端建设半封闭进料口</w:t>
            </w:r>
            <w:r>
              <w:rPr>
                <w:rFonts w:hint="eastAsia"/>
                <w:sz w:val="24"/>
                <w:u w:val="single"/>
              </w:rPr>
              <w:t>；建设1间1200m</w:t>
            </w:r>
            <w:r>
              <w:rPr>
                <w:rFonts w:hint="eastAsia"/>
                <w:sz w:val="24"/>
                <w:u w:val="single"/>
                <w:vertAlign w:val="superscript"/>
              </w:rPr>
              <w:t>2</w:t>
            </w:r>
            <w:r>
              <w:rPr>
                <w:rFonts w:hint="eastAsia"/>
                <w:sz w:val="24"/>
                <w:u w:val="single"/>
                <w:vertAlign w:val="baseline"/>
                <w:lang w:eastAsia="zh-CN"/>
              </w:rPr>
              <w:t>半</w:t>
            </w:r>
            <w:r>
              <w:rPr>
                <w:rFonts w:hint="eastAsia"/>
                <w:sz w:val="24"/>
                <w:u w:val="single"/>
              </w:rPr>
              <w:t>封闭式钢架成品库，主要暂存成品。</w:t>
            </w:r>
          </w:p>
          <w:p>
            <w:pPr>
              <w:keepNext/>
              <w:keepLines/>
              <w:wordWrap w:val="0"/>
              <w:spacing w:before="192" w:beforeLines="80" w:after="192" w:afterLines="80"/>
              <w:outlineLvl w:val="2"/>
              <w:rPr>
                <w:b/>
                <w:bCs/>
                <w:sz w:val="28"/>
                <w:szCs w:val="32"/>
              </w:rPr>
            </w:pPr>
            <w:r>
              <w:rPr>
                <w:rFonts w:hint="eastAsia"/>
                <w:b/>
                <w:bCs/>
                <w:sz w:val="28"/>
                <w:szCs w:val="32"/>
              </w:rPr>
              <w:t>2.1.10劳动定员及工作制度</w:t>
            </w:r>
            <w:bookmarkEnd w:id="39"/>
            <w:bookmarkEnd w:id="40"/>
            <w:bookmarkEnd w:id="41"/>
            <w:bookmarkEnd w:id="42"/>
            <w:bookmarkEnd w:id="43"/>
          </w:p>
          <w:p>
            <w:pPr>
              <w:wordWrap w:val="0"/>
              <w:spacing w:line="360" w:lineRule="auto"/>
              <w:ind w:firstLine="480" w:firstLineChars="200"/>
              <w:rPr>
                <w:sz w:val="24"/>
                <w:szCs w:val="21"/>
              </w:rPr>
            </w:pPr>
            <w:r>
              <w:rPr>
                <w:sz w:val="24"/>
                <w:szCs w:val="21"/>
              </w:rPr>
              <w:t>项目劳动定员</w:t>
            </w:r>
            <w:r>
              <w:rPr>
                <w:rFonts w:hint="eastAsia"/>
                <w:sz w:val="24"/>
                <w:szCs w:val="21"/>
              </w:rPr>
              <w:t>10</w:t>
            </w:r>
            <w:r>
              <w:rPr>
                <w:sz w:val="24"/>
                <w:szCs w:val="21"/>
              </w:rPr>
              <w:t>人，不在厂内食宿。年工作</w:t>
            </w:r>
            <w:r>
              <w:rPr>
                <w:rFonts w:hint="eastAsia"/>
                <w:sz w:val="24"/>
                <w:szCs w:val="21"/>
                <w:lang w:val="en-US" w:eastAsia="zh-CN"/>
              </w:rPr>
              <w:t>300</w:t>
            </w:r>
            <w:r>
              <w:rPr>
                <w:sz w:val="24"/>
                <w:szCs w:val="21"/>
              </w:rPr>
              <w:t>d，每天工作</w:t>
            </w:r>
            <w:r>
              <w:rPr>
                <w:rFonts w:hint="eastAsia"/>
                <w:sz w:val="24"/>
                <w:szCs w:val="21"/>
              </w:rPr>
              <w:t>8</w:t>
            </w:r>
            <w:r>
              <w:rPr>
                <w:sz w:val="24"/>
                <w:szCs w:val="21"/>
              </w:rPr>
              <w:t>h</w:t>
            </w:r>
            <w:r>
              <w:rPr>
                <w:rFonts w:hint="eastAsia"/>
                <w:sz w:val="24"/>
                <w:szCs w:val="21"/>
                <w:lang w:eastAsia="zh-CN"/>
              </w:rPr>
              <w:t>，夜间不</w:t>
            </w:r>
            <w:r>
              <w:rPr>
                <w:rFonts w:hint="eastAsia"/>
                <w:sz w:val="24"/>
                <w:szCs w:val="21"/>
                <w:highlight w:val="none"/>
                <w:lang w:eastAsia="zh-CN"/>
              </w:rPr>
              <w:t>生产</w:t>
            </w:r>
            <w:r>
              <w:rPr>
                <w:sz w:val="24"/>
                <w:szCs w:val="21"/>
              </w:rPr>
              <w:t>。</w:t>
            </w:r>
          </w:p>
          <w:p>
            <w:pPr>
              <w:keepNext/>
              <w:keepLines/>
              <w:wordWrap w:val="0"/>
              <w:spacing w:before="192" w:beforeLines="80" w:after="192" w:afterLines="80"/>
              <w:outlineLvl w:val="2"/>
              <w:rPr>
                <w:rFonts w:hint="eastAsia"/>
                <w:b/>
                <w:bCs/>
                <w:sz w:val="28"/>
                <w:szCs w:val="32"/>
              </w:rPr>
            </w:pPr>
            <w:bookmarkStart w:id="44" w:name="_Toc110446468"/>
            <w:bookmarkStart w:id="45" w:name="_Toc109734365"/>
            <w:bookmarkStart w:id="46" w:name="_Toc109630663"/>
            <w:bookmarkStart w:id="47" w:name="_Toc111721050"/>
            <w:r>
              <w:rPr>
                <w:rFonts w:hint="eastAsia"/>
                <w:b/>
                <w:bCs/>
                <w:sz w:val="28"/>
                <w:szCs w:val="32"/>
              </w:rPr>
              <w:t>2</w:t>
            </w:r>
            <w:r>
              <w:rPr>
                <w:b/>
                <w:bCs/>
                <w:sz w:val="28"/>
                <w:szCs w:val="32"/>
              </w:rPr>
              <w:t>.1.1</w:t>
            </w:r>
            <w:bookmarkEnd w:id="44"/>
            <w:bookmarkEnd w:id="45"/>
            <w:bookmarkEnd w:id="46"/>
            <w:bookmarkEnd w:id="47"/>
            <w:r>
              <w:rPr>
                <w:rFonts w:hint="eastAsia"/>
                <w:b/>
                <w:bCs/>
                <w:sz w:val="28"/>
                <w:szCs w:val="32"/>
              </w:rPr>
              <w:t>1施工进度</w:t>
            </w:r>
          </w:p>
          <w:p>
            <w:pPr>
              <w:wordWrap w:val="0"/>
              <w:spacing w:line="360" w:lineRule="auto"/>
              <w:ind w:firstLine="480" w:firstLineChars="200"/>
              <w:rPr>
                <w:rFonts w:ascii="宋体" w:hAnsi="宋体" w:cs="宋体"/>
                <w:bCs/>
                <w:sz w:val="24"/>
              </w:rPr>
            </w:pPr>
            <w:r>
              <w:rPr>
                <w:rFonts w:hint="eastAsia"/>
                <w:sz w:val="24"/>
                <w:szCs w:val="21"/>
              </w:rPr>
              <w:t>本工程计划于2024年4月施工，2024年6月投入运营。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工艺流程和产排污环节</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工艺流程和产排污环节</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工艺流程和产排污环节</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r>
              <w:rPr>
                <w:rFonts w:hint="eastAsia" w:cs="宋体"/>
                <w:szCs w:val="24"/>
              </w:rPr>
              <w:t>工艺流程和产排污环节</w:t>
            </w: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both"/>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both"/>
              <w:rPr>
                <w:rFonts w:hint="eastAsia" w:cs="宋体"/>
                <w:szCs w:val="24"/>
              </w:rPr>
            </w:pPr>
          </w:p>
          <w:p>
            <w:pPr>
              <w:pStyle w:val="20"/>
              <w:adjustRightInd w:val="0"/>
              <w:snapToGrid w:val="0"/>
              <w:spacing w:before="0" w:beforeAutospacing="0" w:after="0" w:afterAutospacing="0"/>
              <w:jc w:val="both"/>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center"/>
              <w:rPr>
                <w:rFonts w:hint="eastAsia" w:cs="宋体"/>
                <w:szCs w:val="24"/>
              </w:rPr>
            </w:pPr>
          </w:p>
          <w:p>
            <w:pPr>
              <w:pStyle w:val="20"/>
              <w:adjustRightInd w:val="0"/>
              <w:snapToGrid w:val="0"/>
              <w:spacing w:before="0" w:beforeAutospacing="0" w:after="0" w:afterAutospacing="0"/>
              <w:jc w:val="both"/>
              <w:rPr>
                <w:rFonts w:cs="宋体"/>
                <w:szCs w:val="24"/>
              </w:rPr>
            </w:pPr>
          </w:p>
          <w:p>
            <w:pPr>
              <w:pStyle w:val="20"/>
              <w:adjustRightInd w:val="0"/>
              <w:snapToGrid w:val="0"/>
              <w:spacing w:before="0" w:beforeAutospacing="0" w:after="0" w:afterAutospacing="0"/>
              <w:jc w:val="both"/>
              <w:rPr>
                <w:rFonts w:cs="宋体"/>
                <w:szCs w:val="24"/>
              </w:rPr>
            </w:pPr>
          </w:p>
        </w:tc>
        <w:tc>
          <w:tcPr>
            <w:tcW w:w="8742" w:type="dxa"/>
            <w:noWrap w:val="0"/>
            <w:vAlign w:val="top"/>
          </w:tcPr>
          <w:p>
            <w:pPr>
              <w:keepNext/>
              <w:keepLines/>
              <w:wordWrap w:val="0"/>
              <w:spacing w:before="260" w:after="260"/>
              <w:outlineLvl w:val="1"/>
              <w:rPr>
                <w:b/>
                <w:sz w:val="32"/>
              </w:rPr>
            </w:pPr>
            <w:bookmarkStart w:id="48" w:name="_Toc109630664"/>
            <w:bookmarkStart w:id="49" w:name="_Toc109734366"/>
            <w:bookmarkStart w:id="50" w:name="_Toc111721051"/>
            <w:bookmarkStart w:id="51" w:name="_Toc110446469"/>
            <w:bookmarkStart w:id="52" w:name="_Toc109294462"/>
            <w:r>
              <w:rPr>
                <w:rFonts w:hint="eastAsia"/>
                <w:b/>
                <w:sz w:val="32"/>
              </w:rPr>
              <w:t>2</w:t>
            </w:r>
            <w:r>
              <w:rPr>
                <w:b/>
                <w:sz w:val="32"/>
              </w:rPr>
              <w:t>.2</w:t>
            </w:r>
            <w:r>
              <w:rPr>
                <w:rFonts w:hint="eastAsia"/>
                <w:b/>
                <w:sz w:val="32"/>
              </w:rPr>
              <w:t>工艺流程和产排污环节</w:t>
            </w:r>
            <w:bookmarkEnd w:id="48"/>
            <w:bookmarkEnd w:id="49"/>
            <w:bookmarkEnd w:id="50"/>
            <w:bookmarkEnd w:id="51"/>
            <w:bookmarkEnd w:id="52"/>
          </w:p>
          <w:p>
            <w:pPr>
              <w:keepNext/>
              <w:keepLines/>
              <w:wordWrap w:val="0"/>
              <w:spacing w:before="192" w:beforeLines="80" w:after="192" w:afterLines="80"/>
              <w:outlineLvl w:val="2"/>
              <w:rPr>
                <w:b/>
                <w:bCs/>
                <w:sz w:val="28"/>
                <w:szCs w:val="32"/>
              </w:rPr>
            </w:pPr>
            <w:bookmarkStart w:id="53" w:name="_Toc110446470"/>
            <w:bookmarkStart w:id="54" w:name="_Toc109630665"/>
            <w:bookmarkStart w:id="55" w:name="_Toc109734367"/>
            <w:bookmarkStart w:id="56" w:name="_Toc111721052"/>
            <w:bookmarkStart w:id="57" w:name="_Toc109294463"/>
            <w:r>
              <w:rPr>
                <w:b/>
                <w:bCs/>
                <w:sz w:val="28"/>
                <w:szCs w:val="32"/>
              </w:rPr>
              <w:t>2.2.1</w:t>
            </w:r>
            <w:bookmarkEnd w:id="53"/>
            <w:bookmarkEnd w:id="54"/>
            <w:bookmarkEnd w:id="55"/>
            <w:bookmarkEnd w:id="56"/>
            <w:bookmarkEnd w:id="57"/>
            <w:r>
              <w:rPr>
                <w:rFonts w:hint="eastAsia"/>
                <w:b/>
                <w:bCs/>
                <w:sz w:val="28"/>
                <w:szCs w:val="32"/>
              </w:rPr>
              <w:t>施工期</w:t>
            </w:r>
          </w:p>
          <w:p>
            <w:pPr>
              <w:pStyle w:val="23"/>
              <w:adjustRightInd w:val="0"/>
              <w:snapToGrid w:val="0"/>
              <w:ind w:left="0" w:leftChars="0" w:firstLine="500"/>
              <w:rPr>
                <w:rFonts w:ascii="Times New Roman" w:hAnsi="Times New Roman" w:eastAsia="宋体"/>
                <w:sz w:val="24"/>
                <w:szCs w:val="24"/>
              </w:rPr>
            </w:pPr>
            <w:r>
              <w:rPr>
                <w:rFonts w:ascii="Times New Roman" w:hAnsi="Times New Roman" w:eastAsia="宋体"/>
                <w:sz w:val="24"/>
                <w:szCs w:val="24"/>
              </w:rPr>
              <w:t>本项目占地范围内为紫霞大道土石方工程弃渣场，目前厂区现状除石料堆场外均为空地，项目施工期主要为场地平整、车间建设、设备采购安装、设备调试等。施工期间产生的主要污染物为：施工扬尘、施工机械排放的尾气、设备噪声、安装废料、施工人员产生的生活污水和生活垃圾，施工期工艺流程及产污情况见图2.2-1。</w:t>
            </w:r>
          </w:p>
          <w:p>
            <w:pPr>
              <w:adjustRightInd w:val="0"/>
              <w:snapToGrid w:val="0"/>
              <w:jc w:val="center"/>
            </w:pPr>
            <w:r>
              <w:rPr>
                <w:rFonts w:hint="eastAsia"/>
              </w:rPr>
              <w:object>
                <v:shape id="_x0000_i1025" o:spt="75" type="#_x0000_t75" style="height:270.9pt;width:235.6pt;" o:ole="t" filled="f" o:preferrelative="t" stroked="f" coordsize="21600,21600">
                  <v:path/>
                  <v:fill on="f" focussize="0,0"/>
                  <v:stroke on="f"/>
                  <v:imagedata r:id="rId21" o:title=""/>
                  <o:lock v:ext="edit" aspectratio="f"/>
                  <w10:wrap type="none"/>
                  <w10:anchorlock/>
                </v:shape>
                <o:OLEObject Type="Embed" ProgID="Visio.Drawing.11" ShapeID="_x0000_i1025" DrawAspect="Content" ObjectID="_1468075725" r:id="rId20">
                  <o:LockedField>false</o:LockedField>
                </o:OLEObject>
              </w:object>
            </w:r>
          </w:p>
          <w:p>
            <w:pPr>
              <w:pStyle w:val="72"/>
              <w:overflowPunct w:val="0"/>
              <w:spacing w:before="0" w:beforeLines="0" w:after="0" w:afterLines="0"/>
            </w:pPr>
            <w:r>
              <w:t>图</w:t>
            </w:r>
            <w:r>
              <w:rPr>
                <w:rFonts w:hint="eastAsia"/>
              </w:rPr>
              <w:t>2.2-1</w:t>
            </w:r>
            <w:r>
              <w:t xml:space="preserve"> 施工期流程及产污节点图</w:t>
            </w:r>
          </w:p>
          <w:p>
            <w:pPr>
              <w:adjustRightInd w:val="0"/>
              <w:snapToGrid w:val="0"/>
              <w:spacing w:line="360" w:lineRule="auto"/>
              <w:ind w:right="159" w:firstLine="482" w:firstLineChars="200"/>
              <w:rPr>
                <w:rFonts w:hint="eastAsia"/>
                <w:b/>
                <w:bCs/>
                <w:snapToGrid w:val="0"/>
                <w:kern w:val="0"/>
                <w:sz w:val="24"/>
              </w:rPr>
            </w:pPr>
            <w:r>
              <w:rPr>
                <w:rFonts w:hint="eastAsia"/>
                <w:b/>
                <w:bCs/>
                <w:snapToGrid w:val="0"/>
                <w:kern w:val="0"/>
                <w:sz w:val="24"/>
              </w:rPr>
              <w:t>1.2施工期工艺流程简述</w:t>
            </w:r>
          </w:p>
          <w:p>
            <w:pPr>
              <w:adjustRightInd w:val="0"/>
              <w:snapToGrid w:val="0"/>
              <w:spacing w:line="360" w:lineRule="auto"/>
              <w:ind w:firstLine="480" w:firstLineChars="200"/>
              <w:rPr>
                <w:rFonts w:hAnsi="宋体"/>
                <w:sz w:val="24"/>
              </w:rPr>
            </w:pPr>
            <w:r>
              <w:rPr>
                <w:rFonts w:hint="eastAsia" w:hAnsi="宋体"/>
                <w:sz w:val="24"/>
              </w:rPr>
              <w:t>根据现场踏勘，本项目厂址内有一处石料堆场，施工期基础工程完成后，平整后按照平面图纸进行施工，在厂区内设计位置进行车间搭建，建设封闭式车间，同时进行设备采购，待车间建设完成后进行设备安装，之后进行设备调试，经验收合格后，可交付使用。</w:t>
            </w:r>
          </w:p>
          <w:p>
            <w:pPr>
              <w:adjustRightInd w:val="0"/>
              <w:snapToGrid w:val="0"/>
              <w:spacing w:line="360" w:lineRule="auto"/>
              <w:ind w:firstLine="470" w:firstLineChars="196"/>
              <w:rPr>
                <w:bCs/>
                <w:sz w:val="24"/>
              </w:rPr>
            </w:pPr>
            <w:r>
              <w:rPr>
                <w:bCs/>
                <w:sz w:val="24"/>
              </w:rPr>
              <w:t>基础工程主要为场地平整、基础开挖</w:t>
            </w:r>
            <w:r>
              <w:rPr>
                <w:rFonts w:hint="eastAsia"/>
                <w:bCs/>
                <w:sz w:val="24"/>
              </w:rPr>
              <w:t>建设</w:t>
            </w:r>
            <w:r>
              <w:rPr>
                <w:bCs/>
                <w:sz w:val="24"/>
              </w:rPr>
              <w:t>等工程，基础开挖主要污染因子为扬尘污染、噪声污染、施工废水等；主体工程主要为</w:t>
            </w:r>
            <w:r>
              <w:rPr>
                <w:rFonts w:hint="eastAsia"/>
                <w:bCs/>
                <w:sz w:val="24"/>
              </w:rPr>
              <w:t>生产车间、办公区及及其他工程</w:t>
            </w:r>
            <w:r>
              <w:rPr>
                <w:bCs/>
                <w:sz w:val="24"/>
              </w:rPr>
              <w:t>开挖等工作，主要污染因子为扬尘污染、噪声污染、固废污染等；设备安装主要为</w:t>
            </w:r>
            <w:r>
              <w:rPr>
                <w:rFonts w:hint="eastAsia"/>
                <w:bCs/>
                <w:sz w:val="24"/>
              </w:rPr>
              <w:t>破碎机、滚筒筛、振动筛</w:t>
            </w:r>
            <w:r>
              <w:rPr>
                <w:bCs/>
                <w:sz w:val="24"/>
              </w:rPr>
              <w:t>、搅拌机、输送机等设备等安装等工程，主要污染物为噪声污染、固废污染等；工程验收后项目可投产运营，</w:t>
            </w:r>
            <w:r>
              <w:rPr>
                <w:sz w:val="24"/>
              </w:rPr>
              <w:t>施工期主要污染工序见</w:t>
            </w:r>
            <w:r>
              <w:rPr>
                <w:rFonts w:hint="eastAsia"/>
                <w:sz w:val="24"/>
              </w:rPr>
              <w:t>表2.2-1。</w:t>
            </w:r>
          </w:p>
          <w:p>
            <w:pPr>
              <w:widowControl/>
              <w:wordWrap w:val="0"/>
              <w:overflowPunct w:val="0"/>
              <w:autoSpaceDE w:val="0"/>
              <w:autoSpaceDN w:val="0"/>
              <w:adjustRightInd w:val="0"/>
              <w:snapToGrid w:val="0"/>
              <w:spacing w:after="144" w:afterLines="60"/>
              <w:jc w:val="center"/>
              <w:textAlignment w:val="baseline"/>
              <w:rPr>
                <w:rFonts w:cs="宋体"/>
                <w:b/>
                <w:szCs w:val="21"/>
              </w:rPr>
            </w:pPr>
            <w:r>
              <w:rPr>
                <w:rFonts w:cs="宋体"/>
                <w:b/>
                <w:szCs w:val="21"/>
              </w:rPr>
              <w:t>表</w:t>
            </w:r>
            <w:r>
              <w:rPr>
                <w:rFonts w:hint="eastAsia" w:cs="宋体"/>
                <w:b/>
                <w:szCs w:val="21"/>
              </w:rPr>
              <w:t>2.2-1</w:t>
            </w:r>
            <w:r>
              <w:rPr>
                <w:rFonts w:cs="宋体"/>
                <w:b/>
                <w:szCs w:val="21"/>
              </w:rPr>
              <w:t xml:space="preserve"> 施工期主要污染工序一览表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6"/>
              <w:gridCol w:w="3944"/>
              <w:gridCol w:w="2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noWrap w:val="0"/>
                  <w:vAlign w:val="center"/>
                </w:tcPr>
                <w:p>
                  <w:pPr>
                    <w:adjustRightInd w:val="0"/>
                    <w:snapToGrid w:val="0"/>
                    <w:jc w:val="center"/>
                    <w:rPr>
                      <w:b/>
                      <w:szCs w:val="21"/>
                    </w:rPr>
                  </w:pPr>
                  <w:r>
                    <w:rPr>
                      <w:b/>
                      <w:szCs w:val="21"/>
                    </w:rPr>
                    <w:t>分类</w:t>
                  </w:r>
                </w:p>
              </w:tc>
              <w:tc>
                <w:tcPr>
                  <w:tcW w:w="3944" w:type="dxa"/>
                  <w:noWrap w:val="0"/>
                  <w:vAlign w:val="center"/>
                </w:tcPr>
                <w:p>
                  <w:pPr>
                    <w:adjustRightInd w:val="0"/>
                    <w:snapToGrid w:val="0"/>
                    <w:jc w:val="center"/>
                    <w:rPr>
                      <w:b/>
                      <w:szCs w:val="21"/>
                    </w:rPr>
                  </w:pPr>
                  <w:r>
                    <w:rPr>
                      <w:b/>
                      <w:szCs w:val="21"/>
                    </w:rPr>
                    <w:t>污染工序</w:t>
                  </w:r>
                </w:p>
              </w:tc>
              <w:tc>
                <w:tcPr>
                  <w:tcW w:w="2724" w:type="dxa"/>
                  <w:noWrap w:val="0"/>
                  <w:vAlign w:val="center"/>
                </w:tcPr>
                <w:p>
                  <w:pPr>
                    <w:adjustRightInd w:val="0"/>
                    <w:snapToGrid w:val="0"/>
                    <w:jc w:val="center"/>
                    <w:rPr>
                      <w:b/>
                      <w:szCs w:val="21"/>
                    </w:rPr>
                  </w:pPr>
                  <w:r>
                    <w:rPr>
                      <w:b/>
                      <w:szCs w:val="21"/>
                    </w:rP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restart"/>
                  <w:noWrap w:val="0"/>
                  <w:vAlign w:val="center"/>
                </w:tcPr>
                <w:p>
                  <w:pPr>
                    <w:adjustRightInd w:val="0"/>
                    <w:snapToGrid w:val="0"/>
                    <w:jc w:val="center"/>
                    <w:rPr>
                      <w:szCs w:val="21"/>
                    </w:rPr>
                  </w:pPr>
                  <w:r>
                    <w:rPr>
                      <w:szCs w:val="21"/>
                    </w:rPr>
                    <w:t>大气污染物</w:t>
                  </w:r>
                </w:p>
              </w:tc>
              <w:tc>
                <w:tcPr>
                  <w:tcW w:w="3944" w:type="dxa"/>
                  <w:noWrap w:val="0"/>
                  <w:vAlign w:val="center"/>
                </w:tcPr>
                <w:p>
                  <w:pPr>
                    <w:adjustRightInd w:val="0"/>
                    <w:snapToGrid w:val="0"/>
                    <w:jc w:val="center"/>
                    <w:rPr>
                      <w:szCs w:val="21"/>
                    </w:rPr>
                  </w:pPr>
                  <w:r>
                    <w:rPr>
                      <w:rFonts w:hint="eastAsia"/>
                      <w:szCs w:val="21"/>
                    </w:rPr>
                    <w:t>场地平整、</w:t>
                  </w:r>
                  <w:r>
                    <w:rPr>
                      <w:szCs w:val="21"/>
                    </w:rPr>
                    <w:t>地基处理</w:t>
                  </w:r>
                </w:p>
              </w:tc>
              <w:tc>
                <w:tcPr>
                  <w:tcW w:w="2724" w:type="dxa"/>
                  <w:vMerge w:val="restart"/>
                  <w:noWrap w:val="0"/>
                  <w:vAlign w:val="center"/>
                </w:tcPr>
                <w:p>
                  <w:pPr>
                    <w:adjustRightInd w:val="0"/>
                    <w:snapToGrid w:val="0"/>
                    <w:jc w:val="center"/>
                    <w:rPr>
                      <w:rFonts w:hint="eastAsia"/>
                      <w:szCs w:val="21"/>
                    </w:rPr>
                  </w:pPr>
                  <w:r>
                    <w:rPr>
                      <w:szCs w:val="21"/>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continue"/>
                  <w:noWrap w:val="0"/>
                  <w:vAlign w:val="center"/>
                </w:tcPr>
                <w:p>
                  <w:pPr>
                    <w:adjustRightInd w:val="0"/>
                    <w:snapToGrid w:val="0"/>
                    <w:jc w:val="center"/>
                    <w:rPr>
                      <w:szCs w:val="21"/>
                    </w:rPr>
                  </w:pPr>
                </w:p>
              </w:tc>
              <w:tc>
                <w:tcPr>
                  <w:tcW w:w="3944" w:type="dxa"/>
                  <w:noWrap w:val="0"/>
                  <w:vAlign w:val="center"/>
                </w:tcPr>
                <w:p>
                  <w:pPr>
                    <w:adjustRightInd w:val="0"/>
                    <w:snapToGrid w:val="0"/>
                    <w:jc w:val="center"/>
                    <w:rPr>
                      <w:szCs w:val="21"/>
                    </w:rPr>
                  </w:pPr>
                  <w:r>
                    <w:rPr>
                      <w:szCs w:val="21"/>
                    </w:rPr>
                    <w:t>建筑工程</w:t>
                  </w:r>
                </w:p>
              </w:tc>
              <w:tc>
                <w:tcPr>
                  <w:tcW w:w="2724" w:type="dxa"/>
                  <w:vMerge w:val="continue"/>
                  <w:noWrap w:val="0"/>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restart"/>
                  <w:noWrap w:val="0"/>
                  <w:vAlign w:val="center"/>
                </w:tcPr>
                <w:p>
                  <w:pPr>
                    <w:adjustRightInd w:val="0"/>
                    <w:snapToGrid w:val="0"/>
                    <w:jc w:val="center"/>
                    <w:rPr>
                      <w:szCs w:val="21"/>
                    </w:rPr>
                  </w:pPr>
                  <w:r>
                    <w:rPr>
                      <w:szCs w:val="21"/>
                    </w:rPr>
                    <w:t>水污染物</w:t>
                  </w:r>
                </w:p>
              </w:tc>
              <w:tc>
                <w:tcPr>
                  <w:tcW w:w="3944" w:type="dxa"/>
                  <w:noWrap w:val="0"/>
                  <w:vAlign w:val="center"/>
                </w:tcPr>
                <w:p>
                  <w:pPr>
                    <w:adjustRightInd w:val="0"/>
                    <w:snapToGrid w:val="0"/>
                    <w:jc w:val="center"/>
                    <w:rPr>
                      <w:szCs w:val="21"/>
                    </w:rPr>
                  </w:pPr>
                  <w:r>
                    <w:rPr>
                      <w:szCs w:val="21"/>
                    </w:rPr>
                    <w:t>工作人员生活污水</w:t>
                  </w:r>
                </w:p>
              </w:tc>
              <w:tc>
                <w:tcPr>
                  <w:tcW w:w="2724" w:type="dxa"/>
                  <w:vMerge w:val="restart"/>
                  <w:noWrap w:val="0"/>
                  <w:vAlign w:val="center"/>
                </w:tcPr>
                <w:p>
                  <w:pPr>
                    <w:adjustRightInd w:val="0"/>
                    <w:snapToGrid w:val="0"/>
                    <w:jc w:val="center"/>
                    <w:rPr>
                      <w:szCs w:val="21"/>
                    </w:rPr>
                  </w:pPr>
                  <w:r>
                    <w:rPr>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continue"/>
                  <w:noWrap w:val="0"/>
                  <w:vAlign w:val="center"/>
                </w:tcPr>
                <w:p>
                  <w:pPr>
                    <w:adjustRightInd w:val="0"/>
                    <w:snapToGrid w:val="0"/>
                    <w:jc w:val="center"/>
                    <w:rPr>
                      <w:szCs w:val="21"/>
                    </w:rPr>
                  </w:pPr>
                </w:p>
              </w:tc>
              <w:tc>
                <w:tcPr>
                  <w:tcW w:w="3944" w:type="dxa"/>
                  <w:noWrap w:val="0"/>
                  <w:vAlign w:val="center"/>
                </w:tcPr>
                <w:p>
                  <w:pPr>
                    <w:adjustRightInd w:val="0"/>
                    <w:snapToGrid w:val="0"/>
                    <w:jc w:val="center"/>
                    <w:rPr>
                      <w:szCs w:val="21"/>
                    </w:rPr>
                  </w:pPr>
                  <w:r>
                    <w:rPr>
                      <w:szCs w:val="21"/>
                    </w:rPr>
                    <w:t>车辆冲洗废水</w:t>
                  </w:r>
                </w:p>
              </w:tc>
              <w:tc>
                <w:tcPr>
                  <w:tcW w:w="2724" w:type="dxa"/>
                  <w:vMerge w:val="continue"/>
                  <w:noWrap w:val="0"/>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restart"/>
                  <w:noWrap w:val="0"/>
                  <w:vAlign w:val="center"/>
                </w:tcPr>
                <w:p>
                  <w:pPr>
                    <w:adjustRightInd w:val="0"/>
                    <w:snapToGrid w:val="0"/>
                    <w:jc w:val="center"/>
                    <w:rPr>
                      <w:szCs w:val="21"/>
                    </w:rPr>
                  </w:pPr>
                  <w:r>
                    <w:rPr>
                      <w:szCs w:val="21"/>
                    </w:rPr>
                    <w:t>固体废物</w:t>
                  </w:r>
                </w:p>
              </w:tc>
              <w:tc>
                <w:tcPr>
                  <w:tcW w:w="3944" w:type="dxa"/>
                  <w:noWrap w:val="0"/>
                  <w:vAlign w:val="center"/>
                </w:tcPr>
                <w:p>
                  <w:pPr>
                    <w:adjustRightInd w:val="0"/>
                    <w:snapToGrid w:val="0"/>
                    <w:jc w:val="center"/>
                    <w:rPr>
                      <w:rFonts w:hint="eastAsia"/>
                      <w:szCs w:val="21"/>
                    </w:rPr>
                  </w:pPr>
                  <w:r>
                    <w:rPr>
                      <w:rFonts w:hint="eastAsia"/>
                      <w:szCs w:val="21"/>
                    </w:rPr>
                    <w:t>建筑垃圾</w:t>
                  </w:r>
                </w:p>
              </w:tc>
              <w:tc>
                <w:tcPr>
                  <w:tcW w:w="2724" w:type="dxa"/>
                  <w:noWrap w:val="0"/>
                  <w:vAlign w:val="center"/>
                </w:tcPr>
                <w:p>
                  <w:pPr>
                    <w:adjustRightInd w:val="0"/>
                    <w:snapToGrid w:val="0"/>
                    <w:jc w:val="center"/>
                    <w:rPr>
                      <w:szCs w:val="21"/>
                    </w:rPr>
                  </w:pPr>
                  <w:r>
                    <w:rPr>
                      <w:szCs w:val="21"/>
                    </w:rPr>
                    <w:t>固废（泥、砂）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continue"/>
                  <w:noWrap w:val="0"/>
                  <w:vAlign w:val="center"/>
                </w:tcPr>
                <w:p>
                  <w:pPr>
                    <w:adjustRightInd w:val="0"/>
                    <w:snapToGrid w:val="0"/>
                    <w:jc w:val="center"/>
                    <w:rPr>
                      <w:szCs w:val="21"/>
                    </w:rPr>
                  </w:pPr>
                </w:p>
              </w:tc>
              <w:tc>
                <w:tcPr>
                  <w:tcW w:w="3944" w:type="dxa"/>
                  <w:noWrap w:val="0"/>
                  <w:vAlign w:val="center"/>
                </w:tcPr>
                <w:p>
                  <w:pPr>
                    <w:adjustRightInd w:val="0"/>
                    <w:snapToGrid w:val="0"/>
                    <w:jc w:val="center"/>
                    <w:rPr>
                      <w:rFonts w:hint="eastAsia"/>
                      <w:szCs w:val="21"/>
                    </w:rPr>
                  </w:pPr>
                  <w:r>
                    <w:rPr>
                      <w:rFonts w:hint="eastAsia"/>
                      <w:szCs w:val="21"/>
                    </w:rPr>
                    <w:t>设备包装材料</w:t>
                  </w:r>
                </w:p>
              </w:tc>
              <w:tc>
                <w:tcPr>
                  <w:tcW w:w="2724" w:type="dxa"/>
                  <w:noWrap w:val="0"/>
                  <w:vAlign w:val="center"/>
                </w:tcPr>
                <w:p>
                  <w:pPr>
                    <w:adjustRightInd w:val="0"/>
                    <w:snapToGrid w:val="0"/>
                    <w:jc w:val="center"/>
                    <w:rPr>
                      <w:rFonts w:hint="eastAsia"/>
                      <w:szCs w:val="21"/>
                    </w:rPr>
                  </w:pPr>
                  <w:r>
                    <w:rPr>
                      <w:szCs w:val="21"/>
                    </w:rPr>
                    <w:t>固废</w:t>
                  </w:r>
                  <w:r>
                    <w:rPr>
                      <w:rFonts w:hint="eastAsia"/>
                      <w:szCs w:val="21"/>
                    </w:rPr>
                    <w:t>（纸箱、塑料、绳索等）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vMerge w:val="continue"/>
                  <w:noWrap w:val="0"/>
                  <w:vAlign w:val="center"/>
                </w:tcPr>
                <w:p>
                  <w:pPr>
                    <w:adjustRightInd w:val="0"/>
                    <w:snapToGrid w:val="0"/>
                    <w:jc w:val="center"/>
                    <w:rPr>
                      <w:szCs w:val="21"/>
                    </w:rPr>
                  </w:pPr>
                </w:p>
              </w:tc>
              <w:tc>
                <w:tcPr>
                  <w:tcW w:w="3944" w:type="dxa"/>
                  <w:noWrap w:val="0"/>
                  <w:vAlign w:val="center"/>
                </w:tcPr>
                <w:p>
                  <w:pPr>
                    <w:adjustRightInd w:val="0"/>
                    <w:snapToGrid w:val="0"/>
                    <w:jc w:val="center"/>
                    <w:rPr>
                      <w:szCs w:val="21"/>
                    </w:rPr>
                  </w:pPr>
                  <w:r>
                    <w:rPr>
                      <w:szCs w:val="21"/>
                    </w:rPr>
                    <w:t>工作人员</w:t>
                  </w:r>
                </w:p>
              </w:tc>
              <w:tc>
                <w:tcPr>
                  <w:tcW w:w="2724" w:type="dxa"/>
                  <w:noWrap w:val="0"/>
                  <w:vAlign w:val="center"/>
                </w:tcPr>
                <w:p>
                  <w:pPr>
                    <w:adjustRightInd w:val="0"/>
                    <w:snapToGrid w:val="0"/>
                    <w:jc w:val="center"/>
                    <w:rPr>
                      <w:szCs w:val="21"/>
                    </w:rPr>
                  </w:pPr>
                  <w:r>
                    <w:rPr>
                      <w:szCs w:val="21"/>
                    </w:rPr>
                    <w:t>固废（生活垃圾）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36" w:type="dxa"/>
                  <w:noWrap w:val="0"/>
                  <w:vAlign w:val="center"/>
                </w:tcPr>
                <w:p>
                  <w:pPr>
                    <w:adjustRightInd w:val="0"/>
                    <w:snapToGrid w:val="0"/>
                    <w:jc w:val="center"/>
                    <w:rPr>
                      <w:szCs w:val="21"/>
                    </w:rPr>
                  </w:pPr>
                  <w:r>
                    <w:rPr>
                      <w:szCs w:val="21"/>
                    </w:rPr>
                    <w:t>噪声</w:t>
                  </w:r>
                </w:p>
              </w:tc>
              <w:tc>
                <w:tcPr>
                  <w:tcW w:w="3944" w:type="dxa"/>
                  <w:noWrap w:val="0"/>
                  <w:vAlign w:val="center"/>
                </w:tcPr>
                <w:p>
                  <w:pPr>
                    <w:adjustRightInd w:val="0"/>
                    <w:snapToGrid w:val="0"/>
                    <w:jc w:val="center"/>
                    <w:rPr>
                      <w:szCs w:val="21"/>
                    </w:rPr>
                  </w:pPr>
                  <w:r>
                    <w:rPr>
                      <w:szCs w:val="21"/>
                    </w:rPr>
                    <w:t>施工噪声</w:t>
                  </w:r>
                </w:p>
              </w:tc>
              <w:tc>
                <w:tcPr>
                  <w:tcW w:w="2724" w:type="dxa"/>
                  <w:noWrap w:val="0"/>
                  <w:vAlign w:val="center"/>
                </w:tcPr>
                <w:p>
                  <w:pPr>
                    <w:adjustRightInd w:val="0"/>
                    <w:snapToGrid w:val="0"/>
                    <w:jc w:val="center"/>
                    <w:rPr>
                      <w:szCs w:val="21"/>
                    </w:rPr>
                  </w:pPr>
                  <w:r>
                    <w:rPr>
                      <w:szCs w:val="21"/>
                    </w:rPr>
                    <w:t>等效连续A声级dB（A）</w:t>
                  </w:r>
                </w:p>
              </w:tc>
            </w:tr>
          </w:tbl>
          <w:p>
            <w:pPr>
              <w:keepNext/>
              <w:keepLines/>
              <w:wordWrap w:val="0"/>
              <w:spacing w:before="192" w:beforeLines="80" w:after="192" w:afterLines="80"/>
              <w:outlineLvl w:val="2"/>
              <w:rPr>
                <w:b/>
                <w:bCs/>
                <w:sz w:val="28"/>
                <w:szCs w:val="32"/>
              </w:rPr>
            </w:pPr>
            <w:bookmarkStart w:id="58" w:name="_Toc109294464"/>
            <w:bookmarkStart w:id="59" w:name="_Toc110446471"/>
            <w:bookmarkStart w:id="60" w:name="_Toc111721053"/>
            <w:bookmarkStart w:id="61" w:name="_Toc109630667"/>
            <w:bookmarkStart w:id="62" w:name="_Toc109734368"/>
            <w:r>
              <w:rPr>
                <w:b/>
                <w:bCs/>
                <w:sz w:val="28"/>
                <w:szCs w:val="32"/>
              </w:rPr>
              <w:t>2.2.2</w:t>
            </w:r>
            <w:bookmarkEnd w:id="58"/>
            <w:bookmarkEnd w:id="59"/>
            <w:bookmarkEnd w:id="60"/>
            <w:bookmarkEnd w:id="61"/>
            <w:bookmarkEnd w:id="62"/>
            <w:r>
              <w:rPr>
                <w:rFonts w:hint="eastAsia"/>
                <w:b/>
                <w:bCs/>
                <w:sz w:val="28"/>
                <w:szCs w:val="32"/>
              </w:rPr>
              <w:t>运营期</w:t>
            </w:r>
          </w:p>
          <w:p>
            <w:pPr>
              <w:wordWrap w:val="0"/>
              <w:spacing w:line="360" w:lineRule="auto"/>
              <w:ind w:firstLine="482" w:firstLineChars="200"/>
              <w:rPr>
                <w:b/>
                <w:bCs/>
                <w:sz w:val="24"/>
              </w:rPr>
            </w:pPr>
            <w:r>
              <w:rPr>
                <w:rFonts w:hint="eastAsia"/>
                <w:b/>
                <w:bCs/>
                <w:sz w:val="24"/>
              </w:rPr>
              <w:t>1、工艺流程及产污节点</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本项目运营期产品有建筑用石加工，主要将废石进行筛分、破碎筛分制成产品，运营期工艺流程见图2.2-2。</w:t>
            </w:r>
          </w:p>
          <w:p>
            <w:pPr>
              <w:pStyle w:val="13"/>
              <w:adjustRightInd w:val="0"/>
              <w:snapToGrid w:val="0"/>
              <w:spacing w:after="0" w:line="360" w:lineRule="auto"/>
              <w:ind w:left="0" w:leftChars="0"/>
              <w:jc w:val="center"/>
              <w:rPr>
                <w:rFonts w:ascii="宋体" w:hAnsi="宋体"/>
                <w:bCs/>
                <w:color w:val="0000FF"/>
                <w:sz w:val="24"/>
              </w:rPr>
            </w:pPr>
            <w:r>
              <w:rPr>
                <w:rFonts w:hint="eastAsia" w:ascii="Times New Roman" w:hAnsi="Times New Roman" w:cs="Times New Roman"/>
                <w:bCs/>
                <w:color w:val="0000FF"/>
                <w:sz w:val="24"/>
              </w:rPr>
              <w:object>
                <v:shape id="_x0000_i1026" o:spt="75" type="#_x0000_t75" style="height:274.5pt;width:266.2pt;" o:ole="t" filled="f" o:preferrelative="t" stroked="f" coordsize="21600,21600">
                  <v:path/>
                  <v:fill on="f" focussize="0,0"/>
                  <v:stroke on="f"/>
                  <v:imagedata r:id="rId23" o:title=""/>
                  <o:lock v:ext="edit" aspectratio="f"/>
                  <w10:wrap type="none"/>
                  <w10:anchorlock/>
                </v:shape>
                <o:OLEObject Type="Embed" ProgID="Visio.Drawing.11" ShapeID="_x0000_i1026" DrawAspect="Content" ObjectID="_1468075726" r:id="rId22">
                  <o:LockedField>false</o:LockedField>
                </o:OLEObject>
              </w:object>
            </w:r>
          </w:p>
          <w:p>
            <w:pPr>
              <w:pStyle w:val="72"/>
              <w:overflowPunct w:val="0"/>
              <w:spacing w:before="0" w:beforeLines="0" w:after="144"/>
            </w:pPr>
            <w:r>
              <w:t>图</w:t>
            </w:r>
            <w:r>
              <w:rPr>
                <w:rFonts w:hint="eastAsia"/>
              </w:rPr>
              <w:t>2.2-2</w:t>
            </w:r>
            <w:r>
              <w:t xml:space="preserve">  项目运营期</w:t>
            </w:r>
            <w:r>
              <w:rPr>
                <w:rFonts w:hint="eastAsia"/>
              </w:rPr>
              <w:t>建筑用石加工</w:t>
            </w:r>
            <w:r>
              <w:t>工艺流程及产</w:t>
            </w:r>
            <w:r>
              <w:rPr>
                <w:rFonts w:hint="eastAsia"/>
              </w:rPr>
              <w:t>污</w:t>
            </w:r>
            <w:r>
              <w:t>节点</w:t>
            </w:r>
          </w:p>
          <w:p>
            <w:pPr>
              <w:wordWrap w:val="0"/>
              <w:spacing w:line="360" w:lineRule="auto"/>
              <w:ind w:firstLine="482" w:firstLineChars="200"/>
              <w:rPr>
                <w:b/>
                <w:bCs/>
                <w:sz w:val="24"/>
              </w:rPr>
            </w:pPr>
            <w:r>
              <w:rPr>
                <w:rFonts w:hint="eastAsia"/>
                <w:b/>
                <w:bCs/>
                <w:sz w:val="24"/>
              </w:rPr>
              <w:t>2、生产工艺简介</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（1）原料</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本项目加工生产原材料为紫霞湖大道修建的废石，废石暂存于原料</w:t>
            </w:r>
            <w:r>
              <w:rPr>
                <w:rFonts w:hint="eastAsia" w:ascii="Times New Roman" w:hAnsi="Times New Roman" w:cs="Times New Roman"/>
                <w:bCs/>
                <w:sz w:val="24"/>
                <w:lang w:eastAsia="zh-CN"/>
              </w:rPr>
              <w:t>堆场</w:t>
            </w:r>
            <w:r>
              <w:rPr>
                <w:rFonts w:hint="eastAsia" w:ascii="Times New Roman" w:hAnsi="Times New Roman" w:cs="Times New Roman"/>
                <w:bCs/>
                <w:sz w:val="24"/>
              </w:rPr>
              <w:t>内。此环节主要污染物为装卸粉尘和噪声。</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（2）喂料、破碎、筛分</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加工生产时采用装载机将废石运送至喂料机，块状废石进入破碎机进行破碎，破碎后通过皮带传送，破碎后的石料进入滚筒筛进行筛分，生产出的产品通过皮带输送至成品库等待外售，</w:t>
            </w:r>
            <w:r>
              <w:rPr>
                <w:rFonts w:hint="eastAsia" w:ascii="Times New Roman" w:hAnsi="Times New Roman" w:cs="Times New Roman"/>
                <w:bCs/>
                <w:sz w:val="24"/>
                <w:lang w:eastAsia="zh-CN"/>
              </w:rPr>
              <w:t>滚筒帅筛分出来的产品为机砂和粉砂，</w:t>
            </w:r>
            <w:r>
              <w:rPr>
                <w:rFonts w:hint="eastAsia" w:ascii="Times New Roman" w:hAnsi="Times New Roman" w:cs="Times New Roman"/>
                <w:bCs/>
                <w:sz w:val="24"/>
                <w:highlight w:val="none"/>
              </w:rPr>
              <w:t>振动筛筛分出的</w:t>
            </w:r>
            <w:r>
              <w:rPr>
                <w:rFonts w:hint="eastAsia" w:ascii="Times New Roman" w:hAnsi="Times New Roman" w:cs="Times New Roman"/>
                <w:bCs/>
                <w:sz w:val="24"/>
                <w:highlight w:val="none"/>
                <w:lang w:eastAsia="zh-CN"/>
              </w:rPr>
              <w:t>产品为</w:t>
            </w:r>
            <w:r>
              <w:rPr>
                <w:rFonts w:hint="eastAsia" w:ascii="Times New Roman" w:hAnsi="Times New Roman" w:cs="Times New Roman"/>
                <w:bCs/>
                <w:sz w:val="24"/>
                <w:highlight w:val="none"/>
                <w:lang w:val="en-US" w:eastAsia="zh-CN"/>
              </w:rPr>
              <w:t>1312卵石</w:t>
            </w:r>
            <w:r>
              <w:rPr>
                <w:rFonts w:hint="eastAsia" w:ascii="Times New Roman" w:hAnsi="Times New Roman" w:cs="Times New Roman"/>
                <w:bCs/>
                <w:sz w:val="24"/>
                <w:highlight w:val="none"/>
              </w:rPr>
              <w:t>，</w:t>
            </w:r>
            <w:r>
              <w:rPr>
                <w:rFonts w:hint="eastAsia" w:ascii="Times New Roman" w:hAnsi="Times New Roman" w:cs="Times New Roman"/>
                <w:bCs/>
                <w:sz w:val="24"/>
              </w:rPr>
              <w:t>在</w:t>
            </w:r>
            <w:bookmarkStart w:id="141" w:name="_GoBack"/>
            <w:bookmarkEnd w:id="141"/>
            <w:r>
              <w:rPr>
                <w:rFonts w:hint="eastAsia" w:ascii="Times New Roman" w:hAnsi="Times New Roman" w:cs="Times New Roman"/>
                <w:bCs/>
                <w:sz w:val="24"/>
              </w:rPr>
              <w:t>加工生产过程中主要会产生粉尘和噪声污染。此环节主要污染物为粉尘和设备噪声。</w:t>
            </w:r>
          </w:p>
          <w:p>
            <w:pPr>
              <w:pStyle w:val="13"/>
              <w:adjustRightInd w:val="0"/>
              <w:snapToGrid w:val="0"/>
              <w:spacing w:after="0" w:line="360" w:lineRule="auto"/>
              <w:ind w:left="0" w:leftChars="0" w:firstLine="480" w:firstLineChars="200"/>
              <w:rPr>
                <w:rFonts w:hint="eastAsia" w:ascii="Times New Roman" w:hAnsi="Times New Roman" w:cs="Times New Roman"/>
                <w:bCs/>
                <w:sz w:val="24"/>
              </w:rPr>
            </w:pPr>
            <w:r>
              <w:rPr>
                <w:rFonts w:hint="eastAsia" w:ascii="Times New Roman" w:hAnsi="Times New Roman" w:cs="Times New Roman"/>
                <w:bCs/>
                <w:sz w:val="24"/>
              </w:rPr>
              <w:t>（3）产品外售</w:t>
            </w:r>
          </w:p>
          <w:p>
            <w:pPr>
              <w:pStyle w:val="13"/>
              <w:adjustRightInd w:val="0"/>
              <w:snapToGrid w:val="0"/>
              <w:spacing w:after="0" w:line="360" w:lineRule="auto"/>
              <w:ind w:left="0" w:leftChars="0" w:firstLine="480" w:firstLineChars="200"/>
              <w:rPr>
                <w:rFonts w:ascii="Times New Roman" w:hAnsi="Times New Roman" w:cs="Times New Roman"/>
                <w:bCs/>
                <w:sz w:val="24"/>
              </w:rPr>
            </w:pPr>
            <w:r>
              <w:rPr>
                <w:rFonts w:hint="eastAsia" w:ascii="Times New Roman" w:hAnsi="Times New Roman" w:cs="Times New Roman"/>
                <w:bCs/>
                <w:sz w:val="24"/>
              </w:rPr>
              <w:t>经破碎、筛分的产品通过皮带输送至成品库等待外售。此环节主要产生粉尘、噪声等。</w:t>
            </w:r>
          </w:p>
          <w:p>
            <w:pPr>
              <w:pStyle w:val="13"/>
              <w:adjustRightInd w:val="0"/>
              <w:snapToGrid w:val="0"/>
              <w:spacing w:after="0" w:line="360" w:lineRule="auto"/>
              <w:ind w:left="0" w:leftChars="0" w:firstLine="480" w:firstLineChars="200"/>
              <w:rPr>
                <w:rFonts w:ascii="Times New Roman" w:hAnsi="Times New Roman" w:cs="Times New Roman"/>
                <w:bCs/>
                <w:sz w:val="24"/>
              </w:rPr>
            </w:pPr>
            <w:r>
              <w:rPr>
                <w:rFonts w:hint="eastAsia" w:ascii="Times New Roman" w:hAnsi="Times New Roman" w:cs="Times New Roman"/>
                <w:bCs/>
                <w:sz w:val="24"/>
              </w:rPr>
              <w:t>针对粉尘污染，项目通过建设封闭式成品库、封闭式生产车间等措施降低物料储存粉尘污染</w:t>
            </w:r>
            <w:r>
              <w:rPr>
                <w:rFonts w:hint="eastAsia" w:ascii="Times New Roman" w:hAnsi="Times New Roman" w:cs="Times New Roman"/>
                <w:bCs/>
                <w:sz w:val="24"/>
                <w:lang w:eastAsia="zh-CN"/>
              </w:rPr>
              <w:t>，原料堆场进场苫盖和洒水抑尘</w:t>
            </w:r>
            <w:r>
              <w:rPr>
                <w:rFonts w:hint="eastAsia" w:ascii="Times New Roman" w:hAnsi="Times New Roman" w:cs="Times New Roman"/>
                <w:bCs/>
                <w:sz w:val="24"/>
              </w:rPr>
              <w:t>；皮带输送机为安装廊道的封闭式传送带；破碎机破碎口、喂料口安装集气罩，本次环评要求将滚筒筛全封闭，在物料出口安装集气罩，收集废气全部汇入一套布袋除尘器处理，处理后废气由1根15m排气筒（DA001）排放。</w:t>
            </w:r>
          </w:p>
          <w:p>
            <w:pPr>
              <w:wordWrap w:val="0"/>
              <w:spacing w:line="360" w:lineRule="auto"/>
              <w:ind w:firstLine="482" w:firstLineChars="200"/>
              <w:rPr>
                <w:b/>
                <w:bCs/>
                <w:sz w:val="24"/>
              </w:rPr>
            </w:pPr>
            <w:r>
              <w:rPr>
                <w:rFonts w:hint="eastAsia"/>
                <w:b/>
                <w:bCs/>
                <w:sz w:val="24"/>
              </w:rPr>
              <w:t>3、污染物产生环节汇总</w:t>
            </w:r>
          </w:p>
          <w:p>
            <w:pPr>
              <w:wordWrap w:val="0"/>
              <w:autoSpaceDE w:val="0"/>
              <w:autoSpaceDN w:val="0"/>
              <w:spacing w:line="360" w:lineRule="auto"/>
              <w:ind w:firstLine="480" w:firstLineChars="200"/>
              <w:jc w:val="left"/>
              <w:rPr>
                <w:rFonts w:ascii="宋体" w:hAnsi="宋体" w:cs="宋体"/>
                <w:color w:val="000000"/>
                <w:kern w:val="0"/>
                <w:sz w:val="24"/>
                <w:szCs w:val="22"/>
              </w:rPr>
            </w:pPr>
            <w:r>
              <w:rPr>
                <w:rFonts w:hint="eastAsia" w:ascii="宋体" w:hAnsi="宋体" w:cs="宋体"/>
                <w:color w:val="000000"/>
                <w:kern w:val="0"/>
                <w:sz w:val="24"/>
                <w:szCs w:val="22"/>
              </w:rPr>
              <w:t>项目营运期各生产环节污染物产生情况详见下表。</w:t>
            </w:r>
          </w:p>
          <w:p>
            <w:pPr>
              <w:pStyle w:val="72"/>
              <w:overflowPunct w:val="0"/>
              <w:spacing w:before="0" w:beforeLines="0" w:after="0" w:afterLines="0" w:line="240" w:lineRule="auto"/>
              <w:rPr>
                <w:rFonts w:hint="eastAsia"/>
              </w:rPr>
            </w:pPr>
            <w:r>
              <w:rPr>
                <w:rFonts w:hint="eastAsia"/>
              </w:rPr>
              <w:t>表2.2-2  生产工艺污染产生环节分析</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10"/>
              <w:gridCol w:w="1327"/>
              <w:gridCol w:w="2970"/>
              <w:gridCol w:w="1898"/>
              <w:gridCol w:w="9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310" w:type="dxa"/>
                  <w:noWrap w:val="0"/>
                  <w:vAlign w:val="center"/>
                </w:tcPr>
                <w:p>
                  <w:pPr>
                    <w:pStyle w:val="55"/>
                    <w:rPr>
                      <w:b/>
                      <w:bCs/>
                    </w:rPr>
                  </w:pPr>
                  <w:r>
                    <w:rPr>
                      <w:b/>
                      <w:bCs/>
                    </w:rPr>
                    <w:t>生产工序</w:t>
                  </w:r>
                </w:p>
              </w:tc>
              <w:tc>
                <w:tcPr>
                  <w:tcW w:w="1327" w:type="dxa"/>
                  <w:noWrap w:val="0"/>
                  <w:vAlign w:val="center"/>
                </w:tcPr>
                <w:p>
                  <w:pPr>
                    <w:pStyle w:val="55"/>
                    <w:rPr>
                      <w:b/>
                      <w:bCs/>
                    </w:rPr>
                  </w:pPr>
                  <w:r>
                    <w:rPr>
                      <w:b/>
                      <w:bCs/>
                    </w:rPr>
                    <w:t>类别</w:t>
                  </w:r>
                </w:p>
              </w:tc>
              <w:tc>
                <w:tcPr>
                  <w:tcW w:w="2970" w:type="dxa"/>
                  <w:noWrap w:val="0"/>
                  <w:vAlign w:val="center"/>
                </w:tcPr>
                <w:p>
                  <w:pPr>
                    <w:pStyle w:val="55"/>
                    <w:rPr>
                      <w:b/>
                      <w:bCs/>
                    </w:rPr>
                  </w:pPr>
                  <w:r>
                    <w:rPr>
                      <w:b/>
                      <w:bCs/>
                    </w:rPr>
                    <w:t>符号及产物环节</w:t>
                  </w:r>
                </w:p>
              </w:tc>
              <w:tc>
                <w:tcPr>
                  <w:tcW w:w="1898" w:type="dxa"/>
                  <w:noWrap w:val="0"/>
                  <w:vAlign w:val="center"/>
                </w:tcPr>
                <w:p>
                  <w:pPr>
                    <w:pStyle w:val="55"/>
                    <w:rPr>
                      <w:b/>
                      <w:bCs/>
                    </w:rPr>
                  </w:pPr>
                  <w:r>
                    <w:rPr>
                      <w:b/>
                      <w:bCs/>
                    </w:rPr>
                    <w:t>污染物名称</w:t>
                  </w:r>
                </w:p>
              </w:tc>
              <w:tc>
                <w:tcPr>
                  <w:tcW w:w="990" w:type="dxa"/>
                  <w:noWrap w:val="0"/>
                  <w:vAlign w:val="center"/>
                </w:tcPr>
                <w:p>
                  <w:pPr>
                    <w:pStyle w:val="55"/>
                    <w:rPr>
                      <w:b/>
                      <w:bCs/>
                    </w:rPr>
                  </w:pPr>
                  <w:r>
                    <w:rPr>
                      <w:b/>
                      <w:bCs/>
                    </w:rPr>
                    <w:t>排放规律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68" w:hRule="atLeast"/>
                <w:jc w:val="center"/>
              </w:trPr>
              <w:tc>
                <w:tcPr>
                  <w:tcW w:w="1310" w:type="dxa"/>
                  <w:vMerge w:val="restart"/>
                  <w:noWrap w:val="0"/>
                  <w:vAlign w:val="center"/>
                </w:tcPr>
                <w:p>
                  <w:pPr>
                    <w:pStyle w:val="55"/>
                  </w:pPr>
                  <w:r>
                    <w:t>建筑用石生产</w:t>
                  </w:r>
                </w:p>
              </w:tc>
              <w:tc>
                <w:tcPr>
                  <w:tcW w:w="1327" w:type="dxa"/>
                  <w:vMerge w:val="restart"/>
                  <w:noWrap w:val="0"/>
                  <w:vAlign w:val="center"/>
                </w:tcPr>
                <w:p>
                  <w:pPr>
                    <w:pStyle w:val="55"/>
                  </w:pPr>
                  <w:r>
                    <w:t>废气</w:t>
                  </w:r>
                </w:p>
              </w:tc>
              <w:tc>
                <w:tcPr>
                  <w:tcW w:w="2970" w:type="dxa"/>
                  <w:noWrap w:val="0"/>
                  <w:vAlign w:val="center"/>
                </w:tcPr>
                <w:p>
                  <w:pPr>
                    <w:pStyle w:val="55"/>
                  </w:pPr>
                  <w:r>
                    <w:t>原料装卸粉尘（G1-1）</w:t>
                  </w:r>
                </w:p>
              </w:tc>
              <w:tc>
                <w:tcPr>
                  <w:tcW w:w="1898" w:type="dxa"/>
                  <w:noWrap w:val="0"/>
                  <w:vAlign w:val="center"/>
                </w:tcPr>
                <w:p>
                  <w:pPr>
                    <w:pStyle w:val="55"/>
                  </w:pPr>
                  <w:r>
                    <w:t>颗粒物</w:t>
                  </w:r>
                </w:p>
              </w:tc>
              <w:tc>
                <w:tcPr>
                  <w:tcW w:w="990" w:type="dxa"/>
                  <w:noWrap w:val="0"/>
                  <w:vAlign w:val="center"/>
                </w:tcPr>
                <w:p>
                  <w:pPr>
                    <w:pStyle w:val="55"/>
                  </w:pPr>
                  <w: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pStyle w:val="55"/>
                  </w:pPr>
                  <w:r>
                    <w:rPr>
                      <w:rFonts w:hint="eastAsia"/>
                      <w:lang w:eastAsia="zh-CN"/>
                    </w:rPr>
                    <w:t>产品</w:t>
                  </w:r>
                  <w:r>
                    <w:t>运输粉尘（G1-2）</w:t>
                  </w:r>
                </w:p>
              </w:tc>
              <w:tc>
                <w:tcPr>
                  <w:tcW w:w="1898" w:type="dxa"/>
                  <w:noWrap w:val="0"/>
                  <w:vAlign w:val="center"/>
                </w:tcPr>
                <w:p>
                  <w:pPr>
                    <w:pStyle w:val="55"/>
                  </w:pPr>
                  <w:r>
                    <w:t>颗粒物</w:t>
                  </w:r>
                </w:p>
              </w:tc>
              <w:tc>
                <w:tcPr>
                  <w:tcW w:w="990" w:type="dxa"/>
                  <w:noWrap w:val="0"/>
                  <w:vAlign w:val="center"/>
                </w:tcPr>
                <w:p>
                  <w:pPr>
                    <w:pStyle w:val="55"/>
                  </w:pPr>
                  <w:r>
                    <w:t>连续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喂料粉尘（G1-3）</w:t>
                  </w:r>
                </w:p>
              </w:tc>
              <w:tc>
                <w:tcPr>
                  <w:tcW w:w="1898" w:type="dxa"/>
                  <w:noWrap w:val="0"/>
                  <w:vAlign w:val="center"/>
                </w:tcPr>
                <w:p>
                  <w:pPr>
                    <w:jc w:val="center"/>
                    <w:rPr>
                      <w:szCs w:val="21"/>
                    </w:rPr>
                  </w:pPr>
                  <w:r>
                    <w:rPr>
                      <w:szCs w:val="21"/>
                    </w:rPr>
                    <w:t>颗粒物</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破碎机粉尘（G1-</w:t>
                  </w:r>
                  <w:r>
                    <w:rPr>
                      <w:rFonts w:hint="eastAsia"/>
                      <w:szCs w:val="21"/>
                      <w:lang w:val="en-US" w:eastAsia="zh-CN"/>
                    </w:rPr>
                    <w:t>4</w:t>
                  </w:r>
                  <w:r>
                    <w:rPr>
                      <w:szCs w:val="21"/>
                    </w:rPr>
                    <w:t>）</w:t>
                  </w:r>
                </w:p>
              </w:tc>
              <w:tc>
                <w:tcPr>
                  <w:tcW w:w="1898" w:type="dxa"/>
                  <w:noWrap w:val="0"/>
                  <w:vAlign w:val="center"/>
                </w:tcPr>
                <w:p>
                  <w:pPr>
                    <w:jc w:val="center"/>
                    <w:rPr>
                      <w:szCs w:val="21"/>
                    </w:rPr>
                  </w:pPr>
                  <w:r>
                    <w:rPr>
                      <w:szCs w:val="21"/>
                    </w:rPr>
                    <w:t>颗粒物</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rFonts w:hint="eastAsia"/>
                      <w:szCs w:val="21"/>
                    </w:rPr>
                  </w:pPr>
                  <w:r>
                    <w:rPr>
                      <w:rFonts w:hint="eastAsia"/>
                      <w:szCs w:val="21"/>
                    </w:rPr>
                    <w:t>皮带输送粉尘（G1-</w:t>
                  </w:r>
                  <w:r>
                    <w:rPr>
                      <w:rFonts w:hint="eastAsia"/>
                      <w:szCs w:val="21"/>
                      <w:lang w:val="en-US" w:eastAsia="zh-CN"/>
                    </w:rPr>
                    <w:t>5</w:t>
                  </w:r>
                  <w:r>
                    <w:rPr>
                      <w:rFonts w:hint="eastAsia"/>
                      <w:szCs w:val="21"/>
                    </w:rPr>
                    <w:t>）</w:t>
                  </w:r>
                </w:p>
              </w:tc>
              <w:tc>
                <w:tcPr>
                  <w:tcW w:w="1898" w:type="dxa"/>
                  <w:noWrap w:val="0"/>
                  <w:vAlign w:val="center"/>
                </w:tcPr>
                <w:p>
                  <w:pPr>
                    <w:jc w:val="center"/>
                    <w:rPr>
                      <w:szCs w:val="21"/>
                    </w:rPr>
                  </w:pPr>
                  <w:r>
                    <w:rPr>
                      <w:szCs w:val="21"/>
                    </w:rPr>
                    <w:t>颗粒物</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振动筛粉尘（G1-</w:t>
                  </w:r>
                  <w:r>
                    <w:rPr>
                      <w:rFonts w:hint="eastAsia"/>
                      <w:szCs w:val="21"/>
                      <w:lang w:val="en-US" w:eastAsia="zh-CN"/>
                    </w:rPr>
                    <w:t>6</w:t>
                  </w:r>
                  <w:r>
                    <w:rPr>
                      <w:szCs w:val="21"/>
                    </w:rPr>
                    <w:t>）</w:t>
                  </w:r>
                </w:p>
              </w:tc>
              <w:tc>
                <w:tcPr>
                  <w:tcW w:w="1898" w:type="dxa"/>
                  <w:noWrap w:val="0"/>
                  <w:vAlign w:val="center"/>
                </w:tcPr>
                <w:p>
                  <w:pPr>
                    <w:jc w:val="center"/>
                    <w:rPr>
                      <w:szCs w:val="21"/>
                    </w:rPr>
                  </w:pPr>
                  <w:r>
                    <w:rPr>
                      <w:szCs w:val="21"/>
                    </w:rPr>
                    <w:t>颗粒物</w:t>
                  </w:r>
                </w:p>
              </w:tc>
              <w:tc>
                <w:tcPr>
                  <w:tcW w:w="990" w:type="dxa"/>
                  <w:noWrap w:val="0"/>
                  <w:vAlign w:val="center"/>
                </w:tcPr>
                <w:p>
                  <w:pPr>
                    <w:jc w:val="center"/>
                    <w:rPr>
                      <w:szCs w:val="21"/>
                    </w:rPr>
                  </w:pPr>
                  <w:r>
                    <w:rPr>
                      <w:szCs w:val="21"/>
                    </w:rPr>
                    <w:t>连续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成品库粉尘（G1-</w:t>
                  </w:r>
                  <w:r>
                    <w:rPr>
                      <w:rFonts w:hint="eastAsia"/>
                      <w:szCs w:val="21"/>
                      <w:lang w:val="en-US" w:eastAsia="zh-CN"/>
                    </w:rPr>
                    <w:t>7</w:t>
                  </w:r>
                  <w:r>
                    <w:rPr>
                      <w:szCs w:val="21"/>
                    </w:rPr>
                    <w:t>）</w:t>
                  </w:r>
                </w:p>
              </w:tc>
              <w:tc>
                <w:tcPr>
                  <w:tcW w:w="1898" w:type="dxa"/>
                  <w:noWrap w:val="0"/>
                  <w:vAlign w:val="center"/>
                </w:tcPr>
                <w:p>
                  <w:pPr>
                    <w:jc w:val="center"/>
                    <w:rPr>
                      <w:szCs w:val="21"/>
                    </w:rPr>
                  </w:pPr>
                  <w:r>
                    <w:rPr>
                      <w:szCs w:val="21"/>
                    </w:rPr>
                    <w:t>颗粒物</w:t>
                  </w:r>
                </w:p>
              </w:tc>
              <w:tc>
                <w:tcPr>
                  <w:tcW w:w="990" w:type="dxa"/>
                  <w:noWrap w:val="0"/>
                  <w:vAlign w:val="center"/>
                </w:tcPr>
                <w:p>
                  <w:pPr>
                    <w:jc w:val="center"/>
                    <w:rPr>
                      <w:szCs w:val="21"/>
                    </w:rPr>
                  </w:pPr>
                  <w:r>
                    <w:rPr>
                      <w:szCs w:val="21"/>
                    </w:rPr>
                    <w:t>连续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rFonts w:hint="eastAsia"/>
                      <w:szCs w:val="21"/>
                    </w:rPr>
                    <w:t>汽车尾气</w:t>
                  </w:r>
                </w:p>
              </w:tc>
              <w:tc>
                <w:tcPr>
                  <w:tcW w:w="1898" w:type="dxa"/>
                  <w:noWrap w:val="0"/>
                  <w:vAlign w:val="center"/>
                </w:tcPr>
                <w:p>
                  <w:pPr>
                    <w:jc w:val="center"/>
                    <w:rPr>
                      <w:szCs w:val="21"/>
                    </w:rPr>
                  </w:pPr>
                  <w:r>
                    <w:rPr>
                      <w:color w:val="000000"/>
                      <w:kern w:val="0"/>
                    </w:rPr>
                    <w:t>CO、HC、NO</w:t>
                  </w:r>
                  <w:r>
                    <w:rPr>
                      <w:color w:val="000000"/>
                      <w:kern w:val="0"/>
                      <w:vertAlign w:val="subscript"/>
                    </w:rPr>
                    <w:t>X</w:t>
                  </w:r>
                </w:p>
              </w:tc>
              <w:tc>
                <w:tcPr>
                  <w:tcW w:w="990" w:type="dxa"/>
                  <w:noWrap w:val="0"/>
                  <w:vAlign w:val="center"/>
                </w:tcPr>
                <w:p>
                  <w:pPr>
                    <w:jc w:val="center"/>
                    <w:rPr>
                      <w:szCs w:val="21"/>
                    </w:rPr>
                  </w:pPr>
                  <w:r>
                    <w:rPr>
                      <w:szCs w:val="21"/>
                    </w:rPr>
                    <w:t>连续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restart"/>
                  <w:noWrap w:val="0"/>
                  <w:vAlign w:val="center"/>
                </w:tcPr>
                <w:p>
                  <w:pPr>
                    <w:pStyle w:val="55"/>
                  </w:pPr>
                  <w:r>
                    <w:t>噪声</w:t>
                  </w:r>
                </w:p>
              </w:tc>
              <w:tc>
                <w:tcPr>
                  <w:tcW w:w="2970" w:type="dxa"/>
                  <w:noWrap w:val="0"/>
                  <w:vAlign w:val="center"/>
                </w:tcPr>
                <w:p>
                  <w:pPr>
                    <w:jc w:val="center"/>
                    <w:rPr>
                      <w:szCs w:val="21"/>
                    </w:rPr>
                  </w:pPr>
                  <w:r>
                    <w:rPr>
                      <w:szCs w:val="21"/>
                    </w:rPr>
                    <w:t>装卸机械噪声（N1-1）</w:t>
                  </w:r>
                </w:p>
              </w:tc>
              <w:tc>
                <w:tcPr>
                  <w:tcW w:w="1898" w:type="dxa"/>
                  <w:noWrap w:val="0"/>
                  <w:vAlign w:val="center"/>
                </w:tcPr>
                <w:p>
                  <w:pPr>
                    <w:pStyle w:val="55"/>
                  </w:pPr>
                  <w:r>
                    <w:t>设备运行噪声</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喂料噪声（N1-2）</w:t>
                  </w:r>
                </w:p>
              </w:tc>
              <w:tc>
                <w:tcPr>
                  <w:tcW w:w="1898" w:type="dxa"/>
                  <w:noWrap w:val="0"/>
                  <w:vAlign w:val="center"/>
                </w:tcPr>
                <w:p>
                  <w:pPr>
                    <w:pStyle w:val="55"/>
                  </w:pPr>
                  <w:r>
                    <w:t>设备运行噪声</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破碎机噪声（N1-</w:t>
                  </w:r>
                  <w:r>
                    <w:rPr>
                      <w:rFonts w:hint="eastAsia"/>
                      <w:szCs w:val="21"/>
                      <w:lang w:val="en-US" w:eastAsia="zh-CN"/>
                    </w:rPr>
                    <w:t>3</w:t>
                  </w:r>
                  <w:r>
                    <w:rPr>
                      <w:szCs w:val="21"/>
                    </w:rPr>
                    <w:t>）</w:t>
                  </w:r>
                </w:p>
              </w:tc>
              <w:tc>
                <w:tcPr>
                  <w:tcW w:w="1898" w:type="dxa"/>
                  <w:noWrap w:val="0"/>
                  <w:vAlign w:val="center"/>
                </w:tcPr>
                <w:p>
                  <w:pPr>
                    <w:jc w:val="center"/>
                    <w:rPr>
                      <w:szCs w:val="21"/>
                    </w:rPr>
                  </w:pPr>
                  <w:r>
                    <w:rPr>
                      <w:szCs w:val="21"/>
                    </w:rPr>
                    <w:t>设备运行噪声</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rFonts w:hint="eastAsia"/>
                      <w:szCs w:val="21"/>
                    </w:rPr>
                    <w:t>皮带输送噪声（N1-</w:t>
                  </w:r>
                  <w:r>
                    <w:rPr>
                      <w:rFonts w:hint="eastAsia"/>
                      <w:szCs w:val="21"/>
                      <w:lang w:val="en-US" w:eastAsia="zh-CN"/>
                    </w:rPr>
                    <w:t>4</w:t>
                  </w:r>
                  <w:r>
                    <w:rPr>
                      <w:rFonts w:hint="eastAsia"/>
                      <w:szCs w:val="21"/>
                    </w:rPr>
                    <w:t>）</w:t>
                  </w:r>
                </w:p>
              </w:tc>
              <w:tc>
                <w:tcPr>
                  <w:tcW w:w="1898" w:type="dxa"/>
                  <w:noWrap w:val="0"/>
                  <w:vAlign w:val="center"/>
                </w:tcPr>
                <w:p>
                  <w:pPr>
                    <w:jc w:val="center"/>
                    <w:rPr>
                      <w:szCs w:val="21"/>
                    </w:rPr>
                  </w:pPr>
                  <w:r>
                    <w:rPr>
                      <w:szCs w:val="21"/>
                    </w:rPr>
                    <w:t>设备运行噪声</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02" w:hRule="atLeas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振动筛噪声（N1-</w:t>
                  </w:r>
                  <w:r>
                    <w:rPr>
                      <w:rFonts w:hint="eastAsia"/>
                      <w:szCs w:val="21"/>
                      <w:lang w:val="en-US" w:eastAsia="zh-CN"/>
                    </w:rPr>
                    <w:t>5</w:t>
                  </w:r>
                  <w:r>
                    <w:rPr>
                      <w:szCs w:val="21"/>
                    </w:rPr>
                    <w:t>）</w:t>
                  </w:r>
                </w:p>
              </w:tc>
              <w:tc>
                <w:tcPr>
                  <w:tcW w:w="1898" w:type="dxa"/>
                  <w:noWrap w:val="0"/>
                  <w:vAlign w:val="center"/>
                </w:tcPr>
                <w:p>
                  <w:pPr>
                    <w:jc w:val="center"/>
                    <w:rPr>
                      <w:szCs w:val="21"/>
                    </w:rPr>
                  </w:pPr>
                  <w:r>
                    <w:rPr>
                      <w:szCs w:val="21"/>
                    </w:rPr>
                    <w:t>设备运行噪声</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restart"/>
                  <w:noWrap w:val="0"/>
                  <w:vAlign w:val="center"/>
                </w:tcPr>
                <w:p>
                  <w:pPr>
                    <w:pStyle w:val="55"/>
                  </w:pPr>
                  <w:r>
                    <w:t>固废</w:t>
                  </w:r>
                </w:p>
              </w:tc>
              <w:tc>
                <w:tcPr>
                  <w:tcW w:w="2970" w:type="dxa"/>
                  <w:noWrap w:val="0"/>
                  <w:vAlign w:val="center"/>
                </w:tcPr>
                <w:p>
                  <w:pPr>
                    <w:jc w:val="center"/>
                    <w:rPr>
                      <w:szCs w:val="21"/>
                    </w:rPr>
                  </w:pPr>
                  <w:r>
                    <w:rPr>
                      <w:szCs w:val="21"/>
                    </w:rPr>
                    <w:t>除尘灰（S1-1）</w:t>
                  </w:r>
                </w:p>
              </w:tc>
              <w:tc>
                <w:tcPr>
                  <w:tcW w:w="1898" w:type="dxa"/>
                  <w:noWrap w:val="0"/>
                  <w:vAlign w:val="center"/>
                </w:tcPr>
                <w:p>
                  <w:pPr>
                    <w:jc w:val="center"/>
                    <w:rPr>
                      <w:szCs w:val="21"/>
                    </w:rPr>
                  </w:pPr>
                  <w:r>
                    <w:rPr>
                      <w:szCs w:val="21"/>
                    </w:rPr>
                    <w:t>固废</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废机油（S1-2）</w:t>
                  </w:r>
                </w:p>
              </w:tc>
              <w:tc>
                <w:tcPr>
                  <w:tcW w:w="1898" w:type="dxa"/>
                  <w:noWrap w:val="0"/>
                  <w:vAlign w:val="center"/>
                </w:tcPr>
                <w:p>
                  <w:pPr>
                    <w:jc w:val="center"/>
                    <w:rPr>
                      <w:szCs w:val="21"/>
                    </w:rPr>
                  </w:pPr>
                  <w:r>
                    <w:rPr>
                      <w:szCs w:val="21"/>
                    </w:rPr>
                    <w:t>危险废物</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vMerge w:val="continue"/>
                  <w:noWrap w:val="0"/>
                  <w:vAlign w:val="center"/>
                </w:tcPr>
                <w:p>
                  <w:pPr>
                    <w:pStyle w:val="55"/>
                  </w:pPr>
                </w:p>
              </w:tc>
              <w:tc>
                <w:tcPr>
                  <w:tcW w:w="2970" w:type="dxa"/>
                  <w:noWrap w:val="0"/>
                  <w:vAlign w:val="center"/>
                </w:tcPr>
                <w:p>
                  <w:pPr>
                    <w:jc w:val="center"/>
                    <w:rPr>
                      <w:szCs w:val="21"/>
                    </w:rPr>
                  </w:pPr>
                  <w:r>
                    <w:rPr>
                      <w:szCs w:val="21"/>
                    </w:rPr>
                    <w:t>生活垃圾</w:t>
                  </w:r>
                </w:p>
              </w:tc>
              <w:tc>
                <w:tcPr>
                  <w:tcW w:w="1898" w:type="dxa"/>
                  <w:noWrap w:val="0"/>
                  <w:vAlign w:val="center"/>
                </w:tcPr>
                <w:p>
                  <w:pPr>
                    <w:jc w:val="center"/>
                    <w:rPr>
                      <w:szCs w:val="21"/>
                    </w:rPr>
                  </w:pPr>
                  <w:r>
                    <w:rPr>
                      <w:szCs w:val="21"/>
                    </w:rPr>
                    <w:t>生活垃圾</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restart"/>
                  <w:noWrap w:val="0"/>
                  <w:vAlign w:val="center"/>
                </w:tcPr>
                <w:p>
                  <w:pPr>
                    <w:pStyle w:val="55"/>
                  </w:pPr>
                  <w:r>
                    <w:t>厂区</w:t>
                  </w:r>
                </w:p>
              </w:tc>
              <w:tc>
                <w:tcPr>
                  <w:tcW w:w="1327" w:type="dxa"/>
                  <w:noWrap w:val="0"/>
                  <w:vAlign w:val="center"/>
                </w:tcPr>
                <w:p>
                  <w:pPr>
                    <w:pStyle w:val="55"/>
                  </w:pPr>
                  <w:r>
                    <w:t>废水</w:t>
                  </w:r>
                </w:p>
              </w:tc>
              <w:tc>
                <w:tcPr>
                  <w:tcW w:w="2970" w:type="dxa"/>
                  <w:noWrap w:val="0"/>
                  <w:vAlign w:val="center"/>
                </w:tcPr>
                <w:p>
                  <w:pPr>
                    <w:pStyle w:val="55"/>
                  </w:pPr>
                  <w:r>
                    <w:t>车辆冲洗废水</w:t>
                  </w:r>
                </w:p>
              </w:tc>
              <w:tc>
                <w:tcPr>
                  <w:tcW w:w="1898" w:type="dxa"/>
                  <w:noWrap w:val="0"/>
                  <w:vAlign w:val="center"/>
                </w:tcPr>
                <w:p>
                  <w:pPr>
                    <w:jc w:val="center"/>
                    <w:rPr>
                      <w:szCs w:val="21"/>
                    </w:rPr>
                  </w:pPr>
                  <w:r>
                    <w:rPr>
                      <w:szCs w:val="21"/>
                    </w:rPr>
                    <w:t>SS</w:t>
                  </w:r>
                </w:p>
              </w:tc>
              <w:tc>
                <w:tcPr>
                  <w:tcW w:w="990" w:type="dxa"/>
                  <w:noWrap w:val="0"/>
                  <w:vAlign w:val="center"/>
                </w:tcPr>
                <w:p>
                  <w:pPr>
                    <w:jc w:val="center"/>
                    <w:rPr>
                      <w:szCs w:val="21"/>
                    </w:rPr>
                  </w:pPr>
                  <w:r>
                    <w:rPr>
                      <w:szCs w:val="21"/>
                    </w:rPr>
                    <w:t>间歇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10" w:type="dxa"/>
                  <w:vMerge w:val="continue"/>
                  <w:noWrap w:val="0"/>
                  <w:vAlign w:val="center"/>
                </w:tcPr>
                <w:p>
                  <w:pPr>
                    <w:pStyle w:val="55"/>
                  </w:pPr>
                </w:p>
              </w:tc>
              <w:tc>
                <w:tcPr>
                  <w:tcW w:w="1327" w:type="dxa"/>
                  <w:noWrap w:val="0"/>
                  <w:vAlign w:val="center"/>
                </w:tcPr>
                <w:p>
                  <w:pPr>
                    <w:pStyle w:val="55"/>
                  </w:pPr>
                  <w:r>
                    <w:t>生活废水</w:t>
                  </w:r>
                </w:p>
              </w:tc>
              <w:tc>
                <w:tcPr>
                  <w:tcW w:w="2970" w:type="dxa"/>
                  <w:noWrap w:val="0"/>
                  <w:vAlign w:val="center"/>
                </w:tcPr>
                <w:p>
                  <w:pPr>
                    <w:pStyle w:val="55"/>
                  </w:pPr>
                  <w:r>
                    <w:rPr>
                      <w:rFonts w:hint="eastAsia"/>
                    </w:rPr>
                    <w:t>生活废水</w:t>
                  </w:r>
                </w:p>
              </w:tc>
              <w:tc>
                <w:tcPr>
                  <w:tcW w:w="1898" w:type="dxa"/>
                  <w:noWrap w:val="0"/>
                  <w:vAlign w:val="center"/>
                </w:tcPr>
                <w:p>
                  <w:pPr>
                    <w:jc w:val="center"/>
                    <w:rPr>
                      <w:szCs w:val="21"/>
                    </w:rPr>
                  </w:pPr>
                  <w:r>
                    <w:rPr>
                      <w:szCs w:val="21"/>
                    </w:rPr>
                    <w:t>SS、CODcr、NH</w:t>
                  </w:r>
                  <w:r>
                    <w:rPr>
                      <w:szCs w:val="21"/>
                      <w:vertAlign w:val="subscript"/>
                    </w:rPr>
                    <w:t>3</w:t>
                  </w:r>
                  <w:r>
                    <w:rPr>
                      <w:szCs w:val="21"/>
                    </w:rPr>
                    <w:t>-N</w:t>
                  </w:r>
                </w:p>
              </w:tc>
              <w:tc>
                <w:tcPr>
                  <w:tcW w:w="990" w:type="dxa"/>
                  <w:noWrap w:val="0"/>
                  <w:vAlign w:val="center"/>
                </w:tcPr>
                <w:p>
                  <w:pPr>
                    <w:jc w:val="center"/>
                    <w:rPr>
                      <w:szCs w:val="21"/>
                    </w:rPr>
                  </w:pPr>
                  <w:r>
                    <w:rPr>
                      <w:szCs w:val="21"/>
                    </w:rPr>
                    <w:t>间歇</w:t>
                  </w:r>
                </w:p>
              </w:tc>
            </w:tr>
          </w:tbl>
          <w:p>
            <w:pPr>
              <w:keepNext/>
              <w:keepLines/>
              <w:wordWrap w:val="0"/>
              <w:spacing w:before="192" w:beforeLines="80" w:after="192" w:afterLines="80"/>
              <w:outlineLvl w:val="2"/>
              <w:rPr>
                <w:b/>
                <w:bCs/>
                <w:sz w:val="28"/>
                <w:szCs w:val="32"/>
              </w:rPr>
            </w:pPr>
            <w:r>
              <w:rPr>
                <w:rFonts w:hint="eastAsia"/>
                <w:b/>
                <w:bCs/>
                <w:sz w:val="28"/>
                <w:szCs w:val="32"/>
              </w:rPr>
              <w:t>2.2.3相关平衡</w:t>
            </w:r>
          </w:p>
          <w:p>
            <w:pPr>
              <w:keepNext/>
              <w:keepLines/>
              <w:wordWrap w:val="0"/>
              <w:spacing w:before="192" w:beforeLines="80" w:after="192" w:afterLines="80"/>
              <w:outlineLvl w:val="2"/>
              <w:rPr>
                <w:b/>
                <w:bCs/>
                <w:sz w:val="28"/>
                <w:szCs w:val="32"/>
              </w:rPr>
            </w:pPr>
            <w:r>
              <w:rPr>
                <w:rFonts w:hint="eastAsia"/>
                <w:b/>
                <w:bCs/>
                <w:sz w:val="28"/>
                <w:szCs w:val="32"/>
              </w:rPr>
              <w:t>1、水平衡</w:t>
            </w:r>
          </w:p>
          <w:p>
            <w:pPr>
              <w:wordWrap w:val="0"/>
              <w:spacing w:line="360" w:lineRule="auto"/>
              <w:ind w:firstLine="480" w:firstLineChars="200"/>
              <w:rPr>
                <w:rFonts w:hint="eastAsia"/>
                <w:sz w:val="24"/>
              </w:rPr>
            </w:pPr>
            <w:r>
              <w:rPr>
                <w:rFonts w:hint="eastAsia"/>
                <w:sz w:val="24"/>
              </w:rPr>
              <w:t>项目水平衡如下图所示：</w:t>
            </w:r>
          </w:p>
          <w:p>
            <w:pPr>
              <w:rPr>
                <w:rFonts w:hint="eastAsia"/>
                <w:sz w:val="24"/>
              </w:rPr>
            </w:pPr>
          </w:p>
          <w:p/>
          <w:p>
            <w:pPr>
              <w:pStyle w:val="57"/>
              <w:adjustRightInd w:val="0"/>
              <w:ind w:firstLine="0" w:firstLineChars="0"/>
              <w:jc w:val="center"/>
              <w:rPr>
                <w:rFonts w:hint="eastAsia" w:eastAsia="宋体"/>
                <w:color w:val="0000FF"/>
                <w:lang w:eastAsia="zh-CN"/>
              </w:rPr>
            </w:pPr>
            <w:r>
              <w:rPr>
                <w:rFonts w:hint="eastAsia" w:eastAsia="宋体"/>
                <w:color w:val="0000FF"/>
                <w:lang w:eastAsia="zh-CN"/>
              </w:rPr>
              <w:drawing>
                <wp:inline distT="0" distB="0" distL="114300" distR="114300">
                  <wp:extent cx="4483735" cy="4874895"/>
                  <wp:effectExtent l="0" t="0" r="0" b="0"/>
                  <wp:docPr id="2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wps"/>
                          <pic:cNvPicPr>
                            <a:picLocks noChangeAspect="1"/>
                          </pic:cNvPicPr>
                        </pic:nvPicPr>
                        <pic:blipFill>
                          <a:blip r:embed="rId24"/>
                          <a:stretch>
                            <a:fillRect/>
                          </a:stretch>
                        </pic:blipFill>
                        <pic:spPr>
                          <a:xfrm>
                            <a:off x="0" y="0"/>
                            <a:ext cx="4483735" cy="4874895"/>
                          </a:xfrm>
                          <a:prstGeom prst="rect">
                            <a:avLst/>
                          </a:prstGeom>
                        </pic:spPr>
                      </pic:pic>
                    </a:graphicData>
                  </a:graphic>
                </wp:inline>
              </w:drawing>
            </w:r>
          </w:p>
          <w:p>
            <w:pPr>
              <w:wordWrap w:val="0"/>
              <w:adjustRightInd w:val="0"/>
              <w:textAlignment w:val="baseline"/>
              <w:rPr>
                <w:rFonts w:hint="eastAsia"/>
                <w:szCs w:val="20"/>
              </w:rPr>
            </w:pPr>
          </w:p>
          <w:p>
            <w:pPr>
              <w:adjustRightInd w:val="0"/>
              <w:snapToGrid w:val="0"/>
              <w:jc w:val="center"/>
              <w:rPr>
                <w:rFonts w:hint="eastAsia" w:cs="宋体"/>
                <w:b/>
                <w:szCs w:val="21"/>
              </w:rPr>
            </w:pPr>
            <w:r>
              <w:rPr>
                <w:rFonts w:hint="eastAsia" w:cs="宋体"/>
                <w:b/>
                <w:szCs w:val="21"/>
              </w:rPr>
              <w:t>图2.2-3：水平衡图(m</w:t>
            </w:r>
            <w:r>
              <w:rPr>
                <w:rFonts w:hint="eastAsia" w:cs="宋体"/>
                <w:b/>
                <w:szCs w:val="21"/>
                <w:vertAlign w:val="superscript"/>
              </w:rPr>
              <w:t>3</w:t>
            </w:r>
            <w:r>
              <w:rPr>
                <w:rFonts w:hint="eastAsia" w:cs="宋体"/>
                <w:b/>
                <w:szCs w:val="21"/>
              </w:rPr>
              <w:t>/d)</w:t>
            </w:r>
          </w:p>
          <w:p>
            <w:pPr>
              <w:pStyle w:val="42"/>
              <w:rPr>
                <w:rFonts w:hint="eastAsia" w:cs="宋体"/>
                <w:b/>
                <w:szCs w:val="21"/>
              </w:rPr>
            </w:pPr>
          </w:p>
          <w:p>
            <w:pPr>
              <w:pStyle w:val="44"/>
              <w:ind w:left="0" w:leftChars="0" w:firstLine="0" w:firstLineChars="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2、物料平衡</w:t>
            </w:r>
          </w:p>
          <w:p>
            <w:pPr>
              <w:pStyle w:val="45"/>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项目物料平衡如下图所示：</w:t>
            </w:r>
          </w:p>
          <w:p>
            <w:pPr>
              <w:pStyle w:val="19"/>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4856480" cy="1856105"/>
                  <wp:effectExtent l="0" t="0" r="0" b="0"/>
                  <wp:docPr id="1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wps"/>
                          <pic:cNvPicPr>
                            <a:picLocks noChangeAspect="1"/>
                          </pic:cNvPicPr>
                        </pic:nvPicPr>
                        <pic:blipFill>
                          <a:blip r:embed="rId25"/>
                          <a:stretch>
                            <a:fillRect/>
                          </a:stretch>
                        </pic:blipFill>
                        <pic:spPr>
                          <a:xfrm>
                            <a:off x="0" y="0"/>
                            <a:ext cx="4856480" cy="1856105"/>
                          </a:xfrm>
                          <a:prstGeom prst="rect">
                            <a:avLst/>
                          </a:prstGeom>
                          <a:noFill/>
                          <a:ln>
                            <a:noFill/>
                          </a:ln>
                        </pic:spPr>
                      </pic:pic>
                    </a:graphicData>
                  </a:graphic>
                </wp:inline>
              </w:drawing>
            </w:r>
          </w:p>
          <w:p>
            <w:pPr>
              <w:rPr>
                <w:rFonts w:hint="eastAsia" w:ascii="Times New Roman" w:hAnsi="Times New Roman" w:eastAsia="宋体" w:cs="Times New Roman"/>
                <w:kern w:val="2"/>
                <w:sz w:val="24"/>
                <w:szCs w:val="24"/>
                <w:lang w:val="en-US" w:eastAsia="zh-CN" w:bidi="ar-SA"/>
              </w:rPr>
            </w:pPr>
          </w:p>
          <w:p>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宋体"/>
                <w:b/>
                <w:szCs w:val="21"/>
                <w:lang w:val="en-US" w:eastAsia="zh-CN"/>
              </w:rPr>
              <w:t>图2.2-4  物料平衡图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20"/>
              <w:adjustRightInd w:val="0"/>
              <w:snapToGrid w:val="0"/>
              <w:spacing w:before="0" w:beforeAutospacing="0" w:after="0" w:afterAutospacing="0"/>
              <w:jc w:val="center"/>
              <w:rPr>
                <w:rFonts w:cs="宋体"/>
                <w:szCs w:val="24"/>
              </w:rPr>
            </w:pPr>
            <w:r>
              <w:rPr>
                <w:rFonts w:hint="eastAsia" w:cs="宋体"/>
                <w:bCs/>
                <w:kern w:val="2"/>
                <w:szCs w:val="24"/>
              </w:rPr>
              <w:t>与项目有关的原有环境污染问题</w:t>
            </w:r>
          </w:p>
        </w:tc>
        <w:tc>
          <w:tcPr>
            <w:tcW w:w="8742" w:type="dxa"/>
            <w:noWrap w:val="0"/>
            <w:vAlign w:val="top"/>
          </w:tcPr>
          <w:p>
            <w:pPr>
              <w:keepNext/>
              <w:keepLines/>
              <w:wordWrap w:val="0"/>
              <w:spacing w:before="260" w:after="260"/>
              <w:outlineLvl w:val="1"/>
              <w:rPr>
                <w:b/>
                <w:sz w:val="32"/>
              </w:rPr>
            </w:pPr>
            <w:r>
              <w:rPr>
                <w:rFonts w:hint="eastAsia"/>
                <w:b/>
                <w:sz w:val="32"/>
              </w:rPr>
              <w:t>2.3与项目有关的原有环境污染问题</w:t>
            </w:r>
          </w:p>
          <w:p>
            <w:pPr>
              <w:pStyle w:val="13"/>
              <w:adjustRightInd w:val="0"/>
              <w:snapToGrid w:val="0"/>
              <w:spacing w:after="0" w:line="360" w:lineRule="auto"/>
              <w:ind w:left="0" w:leftChars="0" w:firstLine="480" w:firstLineChars="200"/>
              <w:rPr>
                <w:rFonts w:hint="default" w:ascii="Times New Roman" w:hAnsi="Times New Roman" w:eastAsia="宋体" w:cs="Times New Roman"/>
                <w:bCs/>
                <w:kern w:val="0"/>
                <w:sz w:val="24"/>
                <w:lang w:val="en-US" w:eastAsia="zh-CN"/>
              </w:rPr>
            </w:pPr>
            <w:r>
              <w:rPr>
                <w:rFonts w:hint="eastAsia" w:ascii="Times New Roman" w:hAnsi="Times New Roman" w:cs="Times New Roman"/>
                <w:bCs/>
                <w:kern w:val="0"/>
                <w:sz w:val="24"/>
              </w:rPr>
              <w:t>根据现场踏勘，本项目占地范围内为紫霞湖大道土石方工程弃渣场，目前厂区内堆放石料场一</w:t>
            </w:r>
            <w:r>
              <w:rPr>
                <w:rFonts w:hint="eastAsia" w:ascii="Times New Roman" w:hAnsi="Times New Roman" w:eastAsia="宋体" w:cs="Times New Roman"/>
                <w:bCs/>
                <w:kern w:val="0"/>
                <w:sz w:val="24"/>
              </w:rPr>
              <w:t>座，</w:t>
            </w:r>
            <w:r>
              <w:rPr>
                <w:rFonts w:hint="eastAsia" w:ascii="Times New Roman" w:hAnsi="Times New Roman" w:eastAsia="宋体" w:cs="Times New Roman"/>
                <w:bCs/>
                <w:kern w:val="0"/>
                <w:sz w:val="24"/>
                <w:lang w:eastAsia="zh-CN"/>
              </w:rPr>
              <w:t>石料场无覆盖、截排水等措施</w:t>
            </w:r>
            <w:r>
              <w:rPr>
                <w:rFonts w:hint="eastAsia" w:ascii="Times New Roman" w:hAnsi="Times New Roman" w:eastAsia="宋体" w:cs="Times New Roman"/>
                <w:bCs/>
                <w:kern w:val="0"/>
                <w:sz w:val="24"/>
              </w:rPr>
              <w:t>。</w:t>
            </w:r>
            <w:r>
              <w:rPr>
                <w:rFonts w:hint="eastAsia" w:ascii="Times New Roman" w:hAnsi="Times New Roman" w:eastAsia="宋体" w:cs="Times New Roman"/>
                <w:bCs/>
                <w:kern w:val="0"/>
                <w:sz w:val="24"/>
                <w:lang w:eastAsia="zh-CN"/>
              </w:rPr>
              <w:t>将会产生扬尘，污染周边环境，雨季将会造成水土流失。因此项目建设需要将石料场进场土工布苫盖，厂界外修建截洪沟，截洪沟末端接入紫霞湖大道雨水沟处需要修建缓冲池，防止雨水冲刷对紫霞湖大道雨水沟造成破坏。项目临时占用林地，根据林业部门要求，应在</w:t>
            </w:r>
            <w:r>
              <w:rPr>
                <w:rFonts w:hint="eastAsia" w:ascii="Times New Roman" w:hAnsi="Times New Roman" w:eastAsia="宋体" w:cs="Times New Roman"/>
                <w:bCs/>
                <w:kern w:val="0"/>
                <w:sz w:val="24"/>
                <w:lang w:val="en-US" w:eastAsia="zh-CN"/>
              </w:rPr>
              <w:t>2年内将林地恢复并归还林地。</w:t>
            </w:r>
          </w:p>
          <w:tbl>
            <w:tblPr>
              <w:tblStyle w:val="24"/>
              <w:tblW w:w="7200" w:type="dxa"/>
              <w:tblInd w:w="818" w:type="dxa"/>
              <w:tblLayout w:type="fixed"/>
              <w:tblCellMar>
                <w:top w:w="0" w:type="dxa"/>
                <w:left w:w="108" w:type="dxa"/>
                <w:bottom w:w="0" w:type="dxa"/>
                <w:right w:w="108" w:type="dxa"/>
              </w:tblCellMar>
            </w:tblPr>
            <w:tblGrid>
              <w:gridCol w:w="7200"/>
            </w:tblGrid>
            <w:tr>
              <w:tblPrEx>
                <w:tblCellMar>
                  <w:top w:w="0" w:type="dxa"/>
                  <w:left w:w="108" w:type="dxa"/>
                  <w:bottom w:w="0" w:type="dxa"/>
                  <w:right w:w="108" w:type="dxa"/>
                </w:tblCellMar>
              </w:tblPrEx>
              <w:tc>
                <w:tcPr>
                  <w:tcW w:w="7200" w:type="dxa"/>
                  <w:noWrap w:val="0"/>
                  <w:vAlign w:val="top"/>
                </w:tcPr>
                <w:p>
                  <w:pPr>
                    <w:pStyle w:val="13"/>
                    <w:adjustRightInd w:val="0"/>
                    <w:snapToGrid w:val="0"/>
                    <w:spacing w:after="0" w:line="240" w:lineRule="auto"/>
                    <w:ind w:left="0" w:leftChars="0"/>
                    <w:jc w:val="center"/>
                    <w:rPr>
                      <w:rFonts w:ascii="Times New Roman" w:hAnsi="Times New Roman" w:cs="Times New Roman"/>
                      <w:spacing w:val="5"/>
                      <w:sz w:val="24"/>
                    </w:rPr>
                  </w:pPr>
                  <w:r>
                    <w:rPr>
                      <w:rFonts w:hint="eastAsia" w:ascii="Times New Roman" w:hAnsi="Times New Roman" w:cs="Times New Roman"/>
                      <w:spacing w:val="5"/>
                      <w:sz w:val="24"/>
                    </w:rPr>
                    <w:drawing>
                      <wp:inline distT="0" distB="0" distL="114300" distR="114300">
                        <wp:extent cx="3425190" cy="2569845"/>
                        <wp:effectExtent l="0" t="0" r="3810" b="1905"/>
                        <wp:docPr id="11" name="图片 115" descr="微信图片_202403110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5" descr="微信图片_20240311084314"/>
                                <pic:cNvPicPr>
                                  <a:picLocks noChangeAspect="1"/>
                                </pic:cNvPicPr>
                              </pic:nvPicPr>
                              <pic:blipFill>
                                <a:blip r:embed="rId26"/>
                                <a:stretch>
                                  <a:fillRect/>
                                </a:stretch>
                              </pic:blipFill>
                              <pic:spPr>
                                <a:xfrm>
                                  <a:off x="0" y="0"/>
                                  <a:ext cx="3425190" cy="256984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7200" w:type="dxa"/>
                  <w:noWrap w:val="0"/>
                  <w:vAlign w:val="top"/>
                </w:tcPr>
                <w:p>
                  <w:pPr>
                    <w:pStyle w:val="13"/>
                    <w:adjustRightInd w:val="0"/>
                    <w:snapToGrid w:val="0"/>
                    <w:spacing w:after="0" w:line="240" w:lineRule="auto"/>
                    <w:ind w:left="0" w:leftChars="0"/>
                    <w:jc w:val="center"/>
                    <w:rPr>
                      <w:rFonts w:hint="eastAsia" w:ascii="Times New Roman" w:hAnsi="Times New Roman" w:cs="Times New Roman"/>
                      <w:b/>
                      <w:bCs/>
                      <w:spacing w:val="5"/>
                      <w:sz w:val="24"/>
                    </w:rPr>
                  </w:pPr>
                  <w:r>
                    <w:rPr>
                      <w:rFonts w:hint="eastAsia" w:ascii="Times New Roman" w:hAnsi="Times New Roman" w:cs="Times New Roman"/>
                      <w:b/>
                      <w:bCs/>
                      <w:spacing w:val="5"/>
                      <w:sz w:val="24"/>
                    </w:rPr>
                    <w:t>厂区内环境现状</w:t>
                  </w:r>
                </w:p>
              </w:tc>
            </w:tr>
            <w:tr>
              <w:tblPrEx>
                <w:tblCellMar>
                  <w:top w:w="0" w:type="dxa"/>
                  <w:left w:w="108" w:type="dxa"/>
                  <w:bottom w:w="0" w:type="dxa"/>
                  <w:right w:w="108" w:type="dxa"/>
                </w:tblCellMar>
              </w:tblPrEx>
              <w:tc>
                <w:tcPr>
                  <w:tcW w:w="7200" w:type="dxa"/>
                  <w:noWrap w:val="0"/>
                  <w:vAlign w:val="top"/>
                </w:tcPr>
                <w:p>
                  <w:pPr>
                    <w:pStyle w:val="13"/>
                    <w:adjustRightInd w:val="0"/>
                    <w:snapToGrid w:val="0"/>
                    <w:spacing w:after="0" w:line="240" w:lineRule="auto"/>
                    <w:ind w:left="0" w:leftChars="0"/>
                    <w:jc w:val="center"/>
                    <w:rPr>
                      <w:rFonts w:hint="eastAsia" w:ascii="Times New Roman" w:hAnsi="Times New Roman" w:cs="Times New Roman"/>
                      <w:b/>
                      <w:bCs/>
                      <w:spacing w:val="5"/>
                      <w:sz w:val="24"/>
                    </w:rPr>
                  </w:pPr>
                  <w:r>
                    <w:rPr>
                      <w:rFonts w:hint="eastAsia" w:ascii="Times New Roman" w:hAnsi="Times New Roman" w:cs="Times New Roman"/>
                      <w:b/>
                      <w:bCs/>
                      <w:spacing w:val="5"/>
                      <w:sz w:val="24"/>
                    </w:rPr>
                    <w:drawing>
                      <wp:inline distT="0" distB="0" distL="114300" distR="114300">
                        <wp:extent cx="3439160" cy="2580640"/>
                        <wp:effectExtent l="0" t="0" r="8890" b="10160"/>
                        <wp:docPr id="12" name="图片 118" descr="微信图片_2024031108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8" descr="微信图片_20240311084348"/>
                                <pic:cNvPicPr>
                                  <a:picLocks noChangeAspect="1"/>
                                </pic:cNvPicPr>
                              </pic:nvPicPr>
                              <pic:blipFill>
                                <a:blip r:embed="rId27"/>
                                <a:stretch>
                                  <a:fillRect/>
                                </a:stretch>
                              </pic:blipFill>
                              <pic:spPr>
                                <a:xfrm>
                                  <a:off x="0" y="0"/>
                                  <a:ext cx="3439160" cy="258064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7200" w:type="dxa"/>
                  <w:noWrap w:val="0"/>
                  <w:vAlign w:val="top"/>
                </w:tcPr>
                <w:p>
                  <w:pPr>
                    <w:pStyle w:val="13"/>
                    <w:adjustRightInd w:val="0"/>
                    <w:snapToGrid w:val="0"/>
                    <w:spacing w:after="0" w:line="240" w:lineRule="auto"/>
                    <w:ind w:left="0" w:leftChars="0"/>
                    <w:jc w:val="center"/>
                    <w:rPr>
                      <w:rFonts w:hint="eastAsia" w:ascii="Times New Roman" w:hAnsi="Times New Roman" w:cs="Times New Roman"/>
                      <w:b/>
                      <w:bCs/>
                      <w:spacing w:val="5"/>
                      <w:sz w:val="24"/>
                    </w:rPr>
                  </w:pPr>
                  <w:r>
                    <w:rPr>
                      <w:rFonts w:hint="eastAsia" w:ascii="Times New Roman" w:hAnsi="Times New Roman" w:cs="Times New Roman"/>
                      <w:b/>
                      <w:bCs/>
                      <w:spacing w:val="5"/>
                      <w:sz w:val="24"/>
                    </w:rPr>
                    <w:t>厂区内环境现状</w:t>
                  </w:r>
                </w:p>
              </w:tc>
            </w:tr>
          </w:tbl>
          <w:p>
            <w:pPr>
              <w:adjustRightInd w:val="0"/>
              <w:snapToGrid w:val="0"/>
              <w:rPr>
                <w:rFonts w:hint="eastAsia" w:ascii="宋体" w:hAnsi="宋体"/>
                <w:bCs/>
                <w:sz w:val="24"/>
              </w:rPr>
            </w:pPr>
          </w:p>
        </w:tc>
      </w:tr>
    </w:tbl>
    <w:p>
      <w:pPr>
        <w:pStyle w:val="20"/>
        <w:jc w:val="center"/>
        <w:rPr>
          <w:rFonts w:ascii="黑体" w:hAnsi="黑体" w:eastAsia="黑体"/>
          <w:snapToGrid w:val="0"/>
          <w:sz w:val="36"/>
          <w:szCs w:val="36"/>
        </w:rPr>
        <w:sectPr>
          <w:pgSz w:w="11906" w:h="16838"/>
          <w:pgMar w:top="1440" w:right="1083" w:bottom="1440" w:left="1083" w:header="851" w:footer="851" w:gutter="0"/>
          <w:pgNumType w:fmt="numberInDash"/>
          <w:cols w:space="720" w:num="1"/>
          <w:docGrid w:linePitch="312" w:charSpace="0"/>
        </w:sectPr>
      </w:pPr>
    </w:p>
    <w:p>
      <w:pPr>
        <w:pStyle w:val="2"/>
        <w:wordWrap w:val="0"/>
        <w:spacing w:line="260" w:lineRule="auto"/>
        <w:ind w:left="0" w:firstLine="0"/>
        <w:rPr>
          <w:rFonts w:hint="eastAsia"/>
          <w:color w:val="auto"/>
          <w:sz w:val="36"/>
        </w:rPr>
      </w:pPr>
      <w:bookmarkStart w:id="63" w:name="_Toc18451"/>
      <w:r>
        <w:rPr>
          <w:rFonts w:hint="eastAsia"/>
          <w:color w:val="auto"/>
          <w:sz w:val="36"/>
        </w:rPr>
        <w:t>三、区域环境质量现状、环境保护目标及评价标准</w:t>
      </w:r>
      <w:bookmarkEnd w:id="63"/>
    </w:p>
    <w:tbl>
      <w:tblPr>
        <w:tblStyle w:val="24"/>
        <w:tblW w:w="96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0" w:type="dxa"/>
            <w:noWrap w:val="0"/>
            <w:vAlign w:val="center"/>
          </w:tcPr>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 w:val="24"/>
              </w:rPr>
            </w:pPr>
            <w:r>
              <w:rPr>
                <w:rFonts w:hint="eastAsia" w:ascii="宋体" w:hAnsi="宋体" w:cs="宋体"/>
                <w:kern w:val="0"/>
                <w:sz w:val="24"/>
              </w:rPr>
              <w:t>区域</w:t>
            </w:r>
          </w:p>
          <w:p>
            <w:pPr>
              <w:adjustRightInd w:val="0"/>
              <w:snapToGrid w:val="0"/>
              <w:jc w:val="center"/>
              <w:rPr>
                <w:rFonts w:hint="eastAsia" w:ascii="宋体" w:hAnsi="宋体" w:cs="宋体"/>
                <w:kern w:val="0"/>
                <w:sz w:val="24"/>
              </w:rPr>
            </w:pPr>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质量</w:t>
            </w:r>
          </w:p>
          <w:p>
            <w:pPr>
              <w:adjustRightInd w:val="0"/>
              <w:snapToGrid w:val="0"/>
              <w:jc w:val="center"/>
              <w:rPr>
                <w:rFonts w:hint="eastAsia" w:ascii="宋体" w:hAnsi="宋体" w:cs="宋体"/>
                <w:kern w:val="0"/>
                <w:sz w:val="24"/>
              </w:rPr>
            </w:pPr>
            <w:r>
              <w:rPr>
                <w:rFonts w:hint="eastAsia" w:ascii="宋体" w:hAnsi="宋体" w:cs="宋体"/>
                <w:kern w:val="0"/>
                <w:sz w:val="24"/>
              </w:rPr>
              <w:t>现状</w:t>
            </w: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 w:val="24"/>
              </w:rPr>
            </w:pPr>
            <w:r>
              <w:rPr>
                <w:rFonts w:hint="eastAsia" w:ascii="宋体" w:hAnsi="宋体" w:cs="宋体"/>
                <w:kern w:val="0"/>
                <w:sz w:val="24"/>
              </w:rPr>
              <w:t>区域</w:t>
            </w:r>
          </w:p>
          <w:p>
            <w:pPr>
              <w:adjustRightInd w:val="0"/>
              <w:snapToGrid w:val="0"/>
              <w:jc w:val="center"/>
              <w:rPr>
                <w:rFonts w:hint="eastAsia" w:ascii="宋体" w:hAnsi="宋体" w:cs="宋体"/>
                <w:kern w:val="0"/>
                <w:sz w:val="24"/>
              </w:rPr>
            </w:pPr>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质量</w:t>
            </w:r>
          </w:p>
          <w:p>
            <w:pPr>
              <w:adjustRightInd w:val="0"/>
              <w:snapToGrid w:val="0"/>
              <w:jc w:val="center"/>
              <w:rPr>
                <w:rFonts w:hint="eastAsia" w:ascii="宋体" w:hAnsi="宋体" w:cs="宋体"/>
                <w:kern w:val="0"/>
                <w:szCs w:val="21"/>
              </w:rPr>
            </w:pPr>
            <w:r>
              <w:rPr>
                <w:rFonts w:hint="eastAsia" w:ascii="宋体" w:hAnsi="宋体" w:cs="宋体"/>
                <w:kern w:val="0"/>
                <w:sz w:val="24"/>
              </w:rPr>
              <w:t>现状</w:t>
            </w: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Cs w:val="21"/>
              </w:rPr>
            </w:pPr>
          </w:p>
          <w:p>
            <w:pPr>
              <w:adjustRightInd w:val="0"/>
              <w:snapToGrid w:val="0"/>
              <w:jc w:val="center"/>
              <w:rPr>
                <w:rFonts w:hint="eastAsia" w:ascii="宋体" w:hAnsi="宋体" w:cs="宋体"/>
                <w:kern w:val="0"/>
                <w:sz w:val="24"/>
              </w:rPr>
            </w:pPr>
            <w:r>
              <w:rPr>
                <w:rFonts w:hint="eastAsia" w:ascii="宋体" w:hAnsi="宋体" w:cs="宋体"/>
                <w:kern w:val="0"/>
                <w:sz w:val="24"/>
              </w:rPr>
              <w:t>区域</w:t>
            </w:r>
          </w:p>
          <w:p>
            <w:pPr>
              <w:adjustRightInd w:val="0"/>
              <w:snapToGrid w:val="0"/>
              <w:jc w:val="center"/>
              <w:rPr>
                <w:rFonts w:hint="eastAsia" w:ascii="宋体" w:hAnsi="宋体" w:cs="宋体"/>
                <w:kern w:val="0"/>
                <w:sz w:val="24"/>
              </w:rPr>
            </w:pPr>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质量</w:t>
            </w:r>
          </w:p>
          <w:p>
            <w:pPr>
              <w:adjustRightInd w:val="0"/>
              <w:snapToGrid w:val="0"/>
              <w:jc w:val="center"/>
              <w:rPr>
                <w:rFonts w:ascii="宋体" w:hAnsi="宋体" w:cs="宋体"/>
                <w:kern w:val="0"/>
                <w:szCs w:val="21"/>
              </w:rPr>
            </w:pPr>
            <w:r>
              <w:rPr>
                <w:rFonts w:hint="eastAsia" w:ascii="宋体" w:hAnsi="宋体" w:cs="宋体"/>
                <w:kern w:val="0"/>
                <w:sz w:val="24"/>
              </w:rPr>
              <w:t>现状</w:t>
            </w:r>
          </w:p>
        </w:tc>
        <w:tc>
          <w:tcPr>
            <w:tcW w:w="8851" w:type="dxa"/>
            <w:noWrap w:val="0"/>
            <w:vAlign w:val="center"/>
          </w:tcPr>
          <w:p>
            <w:pPr>
              <w:keepNext/>
              <w:keepLines/>
              <w:wordWrap w:val="0"/>
              <w:spacing w:before="260" w:after="260"/>
              <w:outlineLvl w:val="1"/>
              <w:rPr>
                <w:b/>
                <w:sz w:val="32"/>
              </w:rPr>
            </w:pPr>
            <w:bookmarkStart w:id="64" w:name="_Toc110446474"/>
            <w:bookmarkStart w:id="65" w:name="_Toc109734371"/>
            <w:bookmarkStart w:id="66" w:name="_Toc109294467"/>
            <w:bookmarkStart w:id="67" w:name="_Toc111721056"/>
            <w:bookmarkStart w:id="68" w:name="_Toc109630670"/>
            <w:r>
              <w:rPr>
                <w:rFonts w:hint="eastAsia"/>
                <w:b/>
                <w:sz w:val="32"/>
              </w:rPr>
              <w:t>3</w:t>
            </w:r>
            <w:r>
              <w:rPr>
                <w:b/>
                <w:sz w:val="32"/>
              </w:rPr>
              <w:t>.1</w:t>
            </w:r>
            <w:r>
              <w:rPr>
                <w:rFonts w:hint="eastAsia"/>
                <w:b/>
                <w:sz w:val="32"/>
              </w:rPr>
              <w:t>区域环境质量现状</w:t>
            </w:r>
            <w:bookmarkEnd w:id="64"/>
            <w:bookmarkEnd w:id="65"/>
            <w:bookmarkEnd w:id="66"/>
            <w:bookmarkEnd w:id="67"/>
            <w:bookmarkEnd w:id="68"/>
          </w:p>
          <w:p>
            <w:pPr>
              <w:keepNext/>
              <w:keepLines/>
              <w:wordWrap w:val="0"/>
              <w:spacing w:before="192" w:beforeLines="80" w:after="192" w:afterLines="80"/>
              <w:outlineLvl w:val="2"/>
              <w:rPr>
                <w:b/>
                <w:bCs/>
                <w:sz w:val="28"/>
                <w:szCs w:val="32"/>
              </w:rPr>
            </w:pPr>
            <w:bookmarkStart w:id="69" w:name="_Toc109630671"/>
            <w:bookmarkStart w:id="70" w:name="_Toc109294468"/>
            <w:bookmarkStart w:id="71" w:name="_Toc109734372"/>
            <w:bookmarkStart w:id="72" w:name="_Toc111721057"/>
            <w:bookmarkStart w:id="73" w:name="_Toc110446475"/>
            <w:r>
              <w:rPr>
                <w:b/>
                <w:bCs/>
                <w:sz w:val="28"/>
                <w:szCs w:val="32"/>
              </w:rPr>
              <w:t>3.1.1大气环境</w:t>
            </w:r>
            <w:bookmarkEnd w:id="69"/>
            <w:bookmarkEnd w:id="70"/>
            <w:bookmarkEnd w:id="71"/>
            <w:bookmarkEnd w:id="72"/>
            <w:bookmarkEnd w:id="73"/>
          </w:p>
          <w:p>
            <w:pPr>
              <w:wordWrap w:val="0"/>
              <w:spacing w:line="360" w:lineRule="auto"/>
              <w:ind w:firstLine="482" w:firstLineChars="200"/>
              <w:rPr>
                <w:b/>
                <w:bCs/>
                <w:sz w:val="24"/>
              </w:rPr>
            </w:pPr>
            <w:r>
              <w:rPr>
                <w:rFonts w:hint="eastAsia"/>
                <w:b/>
                <w:bCs/>
                <w:sz w:val="24"/>
              </w:rPr>
              <w:t>（1）区域达标判定</w:t>
            </w:r>
          </w:p>
          <w:p>
            <w:pPr>
              <w:wordWrap w:val="0"/>
              <w:spacing w:line="360" w:lineRule="auto"/>
              <w:ind w:firstLine="480" w:firstLineChars="200"/>
              <w:rPr>
                <w:sz w:val="24"/>
              </w:rPr>
            </w:pPr>
            <w:r>
              <w:rPr>
                <w:rFonts w:hint="eastAsia"/>
                <w:sz w:val="24"/>
              </w:rPr>
              <w:t>根据《环境影响评价技术导则大气环境》（</w:t>
            </w:r>
            <w:r>
              <w:rPr>
                <w:sz w:val="24"/>
              </w:rPr>
              <w:t>HJ2.2-2018</w:t>
            </w:r>
            <w:r>
              <w:rPr>
                <w:rFonts w:hint="eastAsia"/>
                <w:sz w:val="24"/>
              </w:rPr>
              <w:t>）“6.2.1项目所在区域达标判定，优先采用国家或地方生态环境主管部门公开发布的评价基准年环境质量公告或环境质量报告中的数据或结论”，项目位于花垣县，环评引用湘西州生态环境局公布的《环境质量简报》中花垣县2023年度大气常规监测数据进行达标分析。详见下表。</w:t>
            </w:r>
          </w:p>
          <w:p>
            <w:pPr>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表3.1-1：花垣县2023</w:t>
            </w:r>
            <w:r>
              <w:rPr>
                <w:rFonts w:cs="宋体"/>
                <w:b/>
                <w:szCs w:val="21"/>
              </w:rPr>
              <w:t>年环境空气年平均浓度及达标分析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616"/>
              <w:gridCol w:w="1283"/>
              <w:gridCol w:w="1431"/>
              <w:gridCol w:w="1145"/>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
                      <w:szCs w:val="22"/>
                    </w:rPr>
                  </w:pPr>
                  <w:r>
                    <w:rPr>
                      <w:b/>
                      <w:szCs w:val="22"/>
                    </w:rPr>
                    <w:t>污染物</w:t>
                  </w:r>
                </w:p>
              </w:tc>
              <w:tc>
                <w:tcPr>
                  <w:tcW w:w="1515" w:type="pct"/>
                  <w:noWrap w:val="0"/>
                  <w:vAlign w:val="center"/>
                </w:tcPr>
                <w:p>
                  <w:pPr>
                    <w:wordWrap w:val="0"/>
                    <w:snapToGrid w:val="0"/>
                    <w:jc w:val="center"/>
                    <w:rPr>
                      <w:b/>
                      <w:szCs w:val="22"/>
                    </w:rPr>
                  </w:pPr>
                  <w:r>
                    <w:rPr>
                      <w:b/>
                      <w:szCs w:val="22"/>
                    </w:rPr>
                    <w:t>年评价指标</w:t>
                  </w:r>
                </w:p>
              </w:tc>
              <w:tc>
                <w:tcPr>
                  <w:tcW w:w="743" w:type="pct"/>
                  <w:noWrap w:val="0"/>
                  <w:vAlign w:val="center"/>
                </w:tcPr>
                <w:p>
                  <w:pPr>
                    <w:wordWrap w:val="0"/>
                    <w:snapToGrid w:val="0"/>
                    <w:jc w:val="center"/>
                    <w:rPr>
                      <w:b/>
                      <w:szCs w:val="22"/>
                    </w:rPr>
                  </w:pPr>
                  <w:r>
                    <w:rPr>
                      <w:b/>
                      <w:szCs w:val="22"/>
                    </w:rPr>
                    <w:t>现状浓度/（µg/m</w:t>
                  </w:r>
                  <w:r>
                    <w:rPr>
                      <w:b/>
                      <w:szCs w:val="22"/>
                      <w:vertAlign w:val="superscript"/>
                    </w:rPr>
                    <w:t>3</w:t>
                  </w:r>
                  <w:r>
                    <w:rPr>
                      <w:b/>
                      <w:szCs w:val="22"/>
                    </w:rPr>
                    <w:t>）</w:t>
                  </w:r>
                </w:p>
              </w:tc>
              <w:tc>
                <w:tcPr>
                  <w:tcW w:w="829" w:type="pct"/>
                  <w:noWrap w:val="0"/>
                  <w:vAlign w:val="center"/>
                </w:tcPr>
                <w:p>
                  <w:pPr>
                    <w:wordWrap w:val="0"/>
                    <w:snapToGrid w:val="0"/>
                    <w:jc w:val="center"/>
                    <w:rPr>
                      <w:b/>
                      <w:szCs w:val="22"/>
                    </w:rPr>
                  </w:pPr>
                  <w:r>
                    <w:rPr>
                      <w:b/>
                      <w:szCs w:val="22"/>
                    </w:rPr>
                    <w:t>标准值/</w:t>
                  </w:r>
                </w:p>
                <w:p>
                  <w:pPr>
                    <w:wordWrap w:val="0"/>
                    <w:snapToGrid w:val="0"/>
                    <w:jc w:val="center"/>
                    <w:rPr>
                      <w:b/>
                      <w:szCs w:val="22"/>
                    </w:rPr>
                  </w:pPr>
                  <w:r>
                    <w:rPr>
                      <w:b/>
                      <w:szCs w:val="22"/>
                    </w:rPr>
                    <w:t>（µg/m</w:t>
                  </w:r>
                  <w:r>
                    <w:rPr>
                      <w:b/>
                      <w:szCs w:val="22"/>
                      <w:vertAlign w:val="superscript"/>
                    </w:rPr>
                    <w:t>3</w:t>
                  </w:r>
                  <w:r>
                    <w:rPr>
                      <w:b/>
                      <w:szCs w:val="22"/>
                    </w:rPr>
                    <w:t>）</w:t>
                  </w:r>
                </w:p>
              </w:tc>
              <w:tc>
                <w:tcPr>
                  <w:tcW w:w="664" w:type="pct"/>
                  <w:noWrap w:val="0"/>
                  <w:vAlign w:val="center"/>
                </w:tcPr>
                <w:p>
                  <w:pPr>
                    <w:wordWrap w:val="0"/>
                    <w:snapToGrid w:val="0"/>
                    <w:jc w:val="center"/>
                    <w:rPr>
                      <w:b/>
                      <w:szCs w:val="22"/>
                    </w:rPr>
                  </w:pPr>
                  <w:r>
                    <w:rPr>
                      <w:b/>
                      <w:szCs w:val="22"/>
                    </w:rPr>
                    <w:t>占标率</w:t>
                  </w:r>
                  <w:r>
                    <w:rPr>
                      <w:rFonts w:hint="eastAsia"/>
                      <w:b/>
                      <w:szCs w:val="22"/>
                    </w:rPr>
                    <w:t>（%）</w:t>
                  </w:r>
                </w:p>
              </w:tc>
              <w:tc>
                <w:tcPr>
                  <w:tcW w:w="671" w:type="pct"/>
                  <w:noWrap w:val="0"/>
                  <w:vAlign w:val="center"/>
                </w:tcPr>
                <w:p>
                  <w:pPr>
                    <w:wordWrap w:val="0"/>
                    <w:snapToGrid w:val="0"/>
                    <w:jc w:val="center"/>
                    <w:rPr>
                      <w:b/>
                      <w:szCs w:val="22"/>
                    </w:rPr>
                  </w:pPr>
                  <w:r>
                    <w:rPr>
                      <w:b/>
                      <w:szCs w:val="22"/>
                    </w:rPr>
                    <w:t>达标</w:t>
                  </w:r>
                  <w:r>
                    <w:rPr>
                      <w:rFonts w:hint="eastAsia"/>
                      <w:b/>
                      <w:szCs w:val="22"/>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SO</w:t>
                  </w:r>
                  <w:r>
                    <w:rPr>
                      <w:bCs/>
                      <w:szCs w:val="22"/>
                      <w:vertAlign w:val="subscript"/>
                    </w:rPr>
                    <w:t>2</w:t>
                  </w:r>
                </w:p>
              </w:tc>
              <w:tc>
                <w:tcPr>
                  <w:tcW w:w="1515" w:type="pct"/>
                  <w:noWrap w:val="0"/>
                  <w:vAlign w:val="center"/>
                </w:tcPr>
                <w:p>
                  <w:pPr>
                    <w:wordWrap w:val="0"/>
                    <w:snapToGrid w:val="0"/>
                    <w:jc w:val="center"/>
                    <w:rPr>
                      <w:bCs/>
                      <w:szCs w:val="22"/>
                    </w:rPr>
                  </w:pPr>
                  <w:r>
                    <w:rPr>
                      <w:bCs/>
                      <w:szCs w:val="22"/>
                    </w:rPr>
                    <w:t>年平均质量浓度</w:t>
                  </w:r>
                </w:p>
              </w:tc>
              <w:tc>
                <w:tcPr>
                  <w:tcW w:w="743" w:type="pct"/>
                  <w:noWrap w:val="0"/>
                  <w:vAlign w:val="center"/>
                </w:tcPr>
                <w:p>
                  <w:pPr>
                    <w:wordWrap w:val="0"/>
                    <w:snapToGrid w:val="0"/>
                    <w:jc w:val="center"/>
                    <w:rPr>
                      <w:bCs/>
                      <w:szCs w:val="22"/>
                    </w:rPr>
                  </w:pPr>
                  <w:r>
                    <w:rPr>
                      <w:rFonts w:hint="eastAsia"/>
                      <w:bCs/>
                      <w:szCs w:val="22"/>
                    </w:rPr>
                    <w:t>17</w:t>
                  </w:r>
                </w:p>
              </w:tc>
              <w:tc>
                <w:tcPr>
                  <w:tcW w:w="829" w:type="pct"/>
                  <w:noWrap w:val="0"/>
                  <w:vAlign w:val="center"/>
                </w:tcPr>
                <w:p>
                  <w:pPr>
                    <w:wordWrap w:val="0"/>
                    <w:snapToGrid w:val="0"/>
                    <w:jc w:val="center"/>
                    <w:rPr>
                      <w:bCs/>
                      <w:szCs w:val="22"/>
                    </w:rPr>
                  </w:pPr>
                  <w:r>
                    <w:rPr>
                      <w:rFonts w:hint="eastAsia"/>
                      <w:bCs/>
                      <w:szCs w:val="22"/>
                    </w:rPr>
                    <w:t>60</w:t>
                  </w:r>
                </w:p>
              </w:tc>
              <w:tc>
                <w:tcPr>
                  <w:tcW w:w="664" w:type="pct"/>
                  <w:noWrap w:val="0"/>
                  <w:vAlign w:val="center"/>
                </w:tcPr>
                <w:p>
                  <w:pPr>
                    <w:wordWrap w:val="0"/>
                    <w:snapToGrid w:val="0"/>
                    <w:jc w:val="center"/>
                    <w:rPr>
                      <w:rFonts w:cs="宋体"/>
                      <w:bCs/>
                      <w:szCs w:val="22"/>
                    </w:rPr>
                  </w:pPr>
                  <w:r>
                    <w:rPr>
                      <w:rFonts w:hint="eastAsia" w:cs="宋体"/>
                      <w:bCs/>
                      <w:szCs w:val="22"/>
                    </w:rPr>
                    <w:t>28.33</w:t>
                  </w:r>
                </w:p>
              </w:tc>
              <w:tc>
                <w:tcPr>
                  <w:tcW w:w="671" w:type="pct"/>
                  <w:noWrap w:val="0"/>
                  <w:vAlign w:val="center"/>
                </w:tcPr>
                <w:p>
                  <w:pPr>
                    <w:wordWrap w:val="0"/>
                    <w:snapToGrid w:val="0"/>
                    <w:jc w:val="center"/>
                    <w:rPr>
                      <w:bCs/>
                      <w:szCs w:val="22"/>
                    </w:rPr>
                  </w:pPr>
                  <w:r>
                    <w:rPr>
                      <w:bCs/>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NO</w:t>
                  </w:r>
                  <w:r>
                    <w:rPr>
                      <w:bCs/>
                      <w:szCs w:val="22"/>
                      <w:vertAlign w:val="subscript"/>
                    </w:rPr>
                    <w:t>2</w:t>
                  </w:r>
                </w:p>
              </w:tc>
              <w:tc>
                <w:tcPr>
                  <w:tcW w:w="1515" w:type="pct"/>
                  <w:noWrap w:val="0"/>
                  <w:vAlign w:val="center"/>
                </w:tcPr>
                <w:p>
                  <w:pPr>
                    <w:wordWrap w:val="0"/>
                    <w:snapToGrid w:val="0"/>
                    <w:jc w:val="center"/>
                    <w:rPr>
                      <w:bCs/>
                      <w:szCs w:val="22"/>
                    </w:rPr>
                  </w:pPr>
                  <w:r>
                    <w:rPr>
                      <w:bCs/>
                      <w:szCs w:val="22"/>
                    </w:rPr>
                    <w:t>年平均质量浓度</w:t>
                  </w:r>
                </w:p>
              </w:tc>
              <w:tc>
                <w:tcPr>
                  <w:tcW w:w="743" w:type="pct"/>
                  <w:noWrap w:val="0"/>
                  <w:vAlign w:val="center"/>
                </w:tcPr>
                <w:p>
                  <w:pPr>
                    <w:wordWrap w:val="0"/>
                    <w:snapToGrid w:val="0"/>
                    <w:jc w:val="center"/>
                    <w:rPr>
                      <w:bCs/>
                      <w:szCs w:val="22"/>
                    </w:rPr>
                  </w:pPr>
                  <w:r>
                    <w:rPr>
                      <w:rFonts w:hint="eastAsia"/>
                      <w:bCs/>
                      <w:szCs w:val="22"/>
                    </w:rPr>
                    <w:t>14</w:t>
                  </w:r>
                </w:p>
              </w:tc>
              <w:tc>
                <w:tcPr>
                  <w:tcW w:w="829" w:type="pct"/>
                  <w:noWrap w:val="0"/>
                  <w:vAlign w:val="center"/>
                </w:tcPr>
                <w:p>
                  <w:pPr>
                    <w:wordWrap w:val="0"/>
                    <w:snapToGrid w:val="0"/>
                    <w:jc w:val="center"/>
                    <w:rPr>
                      <w:bCs/>
                      <w:szCs w:val="22"/>
                    </w:rPr>
                  </w:pPr>
                  <w:r>
                    <w:rPr>
                      <w:rFonts w:hint="eastAsia"/>
                      <w:bCs/>
                      <w:szCs w:val="22"/>
                    </w:rPr>
                    <w:t>40</w:t>
                  </w:r>
                </w:p>
              </w:tc>
              <w:tc>
                <w:tcPr>
                  <w:tcW w:w="664" w:type="pct"/>
                  <w:noWrap w:val="0"/>
                  <w:vAlign w:val="center"/>
                </w:tcPr>
                <w:p>
                  <w:pPr>
                    <w:wordWrap w:val="0"/>
                    <w:snapToGrid w:val="0"/>
                    <w:jc w:val="center"/>
                    <w:rPr>
                      <w:rFonts w:cs="宋体"/>
                      <w:bCs/>
                      <w:szCs w:val="22"/>
                    </w:rPr>
                  </w:pPr>
                  <w:r>
                    <w:rPr>
                      <w:rFonts w:hint="eastAsia" w:cs="宋体"/>
                      <w:bCs/>
                      <w:szCs w:val="22"/>
                    </w:rPr>
                    <w:t>35</w:t>
                  </w:r>
                </w:p>
              </w:tc>
              <w:tc>
                <w:tcPr>
                  <w:tcW w:w="671" w:type="pct"/>
                  <w:noWrap w:val="0"/>
                  <w:vAlign w:val="center"/>
                </w:tcPr>
                <w:p>
                  <w:pPr>
                    <w:wordWrap w:val="0"/>
                    <w:snapToGrid w:val="0"/>
                    <w:jc w:val="center"/>
                    <w:rPr>
                      <w:bCs/>
                      <w:szCs w:val="22"/>
                    </w:rPr>
                  </w:pPr>
                  <w:r>
                    <w:rPr>
                      <w:bCs/>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PM</w:t>
                  </w:r>
                  <w:r>
                    <w:rPr>
                      <w:bCs/>
                      <w:szCs w:val="22"/>
                      <w:vertAlign w:val="subscript"/>
                    </w:rPr>
                    <w:t>10</w:t>
                  </w:r>
                </w:p>
              </w:tc>
              <w:tc>
                <w:tcPr>
                  <w:tcW w:w="1515" w:type="pct"/>
                  <w:noWrap w:val="0"/>
                  <w:vAlign w:val="center"/>
                </w:tcPr>
                <w:p>
                  <w:pPr>
                    <w:wordWrap w:val="0"/>
                    <w:snapToGrid w:val="0"/>
                    <w:jc w:val="center"/>
                    <w:rPr>
                      <w:bCs/>
                      <w:szCs w:val="22"/>
                    </w:rPr>
                  </w:pPr>
                  <w:r>
                    <w:rPr>
                      <w:bCs/>
                      <w:szCs w:val="22"/>
                    </w:rPr>
                    <w:t>年平均质量浓度</w:t>
                  </w:r>
                </w:p>
              </w:tc>
              <w:tc>
                <w:tcPr>
                  <w:tcW w:w="743" w:type="pct"/>
                  <w:noWrap w:val="0"/>
                  <w:vAlign w:val="center"/>
                </w:tcPr>
                <w:p>
                  <w:pPr>
                    <w:wordWrap w:val="0"/>
                    <w:snapToGrid w:val="0"/>
                    <w:jc w:val="center"/>
                    <w:rPr>
                      <w:bCs/>
                      <w:szCs w:val="22"/>
                    </w:rPr>
                  </w:pPr>
                  <w:r>
                    <w:rPr>
                      <w:rFonts w:hint="eastAsia"/>
                      <w:bCs/>
                      <w:szCs w:val="22"/>
                    </w:rPr>
                    <w:t>46</w:t>
                  </w:r>
                </w:p>
              </w:tc>
              <w:tc>
                <w:tcPr>
                  <w:tcW w:w="829" w:type="pct"/>
                  <w:noWrap w:val="0"/>
                  <w:vAlign w:val="center"/>
                </w:tcPr>
                <w:p>
                  <w:pPr>
                    <w:wordWrap w:val="0"/>
                    <w:snapToGrid w:val="0"/>
                    <w:jc w:val="center"/>
                    <w:rPr>
                      <w:bCs/>
                      <w:szCs w:val="22"/>
                    </w:rPr>
                  </w:pPr>
                  <w:r>
                    <w:rPr>
                      <w:rFonts w:hint="eastAsia"/>
                      <w:bCs/>
                      <w:szCs w:val="22"/>
                    </w:rPr>
                    <w:t>70</w:t>
                  </w:r>
                </w:p>
              </w:tc>
              <w:tc>
                <w:tcPr>
                  <w:tcW w:w="664" w:type="pct"/>
                  <w:noWrap w:val="0"/>
                  <w:vAlign w:val="center"/>
                </w:tcPr>
                <w:p>
                  <w:pPr>
                    <w:wordWrap w:val="0"/>
                    <w:snapToGrid w:val="0"/>
                    <w:jc w:val="center"/>
                    <w:rPr>
                      <w:rFonts w:cs="宋体"/>
                      <w:bCs/>
                      <w:szCs w:val="22"/>
                    </w:rPr>
                  </w:pPr>
                  <w:r>
                    <w:rPr>
                      <w:rFonts w:hint="eastAsia" w:cs="宋体"/>
                      <w:bCs/>
                      <w:szCs w:val="22"/>
                    </w:rPr>
                    <w:t>65.71</w:t>
                  </w:r>
                </w:p>
              </w:tc>
              <w:tc>
                <w:tcPr>
                  <w:tcW w:w="671" w:type="pct"/>
                  <w:noWrap w:val="0"/>
                  <w:vAlign w:val="center"/>
                </w:tcPr>
                <w:p>
                  <w:pPr>
                    <w:wordWrap w:val="0"/>
                    <w:snapToGrid w:val="0"/>
                    <w:jc w:val="center"/>
                    <w:rPr>
                      <w:bCs/>
                      <w:szCs w:val="22"/>
                    </w:rPr>
                  </w:pPr>
                  <w:r>
                    <w:rPr>
                      <w:bCs/>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PM</w:t>
                  </w:r>
                  <w:r>
                    <w:rPr>
                      <w:bCs/>
                      <w:szCs w:val="22"/>
                      <w:vertAlign w:val="subscript"/>
                    </w:rPr>
                    <w:t>2.5</w:t>
                  </w:r>
                </w:p>
              </w:tc>
              <w:tc>
                <w:tcPr>
                  <w:tcW w:w="1515" w:type="pct"/>
                  <w:noWrap w:val="0"/>
                  <w:vAlign w:val="center"/>
                </w:tcPr>
                <w:p>
                  <w:pPr>
                    <w:wordWrap w:val="0"/>
                    <w:snapToGrid w:val="0"/>
                    <w:jc w:val="center"/>
                    <w:rPr>
                      <w:bCs/>
                      <w:szCs w:val="22"/>
                    </w:rPr>
                  </w:pPr>
                  <w:r>
                    <w:rPr>
                      <w:bCs/>
                      <w:szCs w:val="22"/>
                    </w:rPr>
                    <w:t>年平均质量浓度</w:t>
                  </w:r>
                </w:p>
              </w:tc>
              <w:tc>
                <w:tcPr>
                  <w:tcW w:w="743" w:type="pct"/>
                  <w:noWrap w:val="0"/>
                  <w:vAlign w:val="center"/>
                </w:tcPr>
                <w:p>
                  <w:pPr>
                    <w:wordWrap w:val="0"/>
                    <w:snapToGrid w:val="0"/>
                    <w:jc w:val="center"/>
                    <w:rPr>
                      <w:bCs/>
                      <w:szCs w:val="22"/>
                    </w:rPr>
                  </w:pPr>
                  <w:r>
                    <w:rPr>
                      <w:rFonts w:hint="eastAsia"/>
                      <w:bCs/>
                      <w:szCs w:val="22"/>
                    </w:rPr>
                    <w:t>30</w:t>
                  </w:r>
                </w:p>
              </w:tc>
              <w:tc>
                <w:tcPr>
                  <w:tcW w:w="829" w:type="pct"/>
                  <w:noWrap w:val="0"/>
                  <w:vAlign w:val="center"/>
                </w:tcPr>
                <w:p>
                  <w:pPr>
                    <w:wordWrap w:val="0"/>
                    <w:snapToGrid w:val="0"/>
                    <w:jc w:val="center"/>
                    <w:rPr>
                      <w:bCs/>
                      <w:szCs w:val="22"/>
                    </w:rPr>
                  </w:pPr>
                  <w:r>
                    <w:rPr>
                      <w:rFonts w:hint="eastAsia"/>
                      <w:bCs/>
                      <w:szCs w:val="22"/>
                    </w:rPr>
                    <w:t>35</w:t>
                  </w:r>
                </w:p>
              </w:tc>
              <w:tc>
                <w:tcPr>
                  <w:tcW w:w="664" w:type="pct"/>
                  <w:noWrap w:val="0"/>
                  <w:vAlign w:val="center"/>
                </w:tcPr>
                <w:p>
                  <w:pPr>
                    <w:wordWrap w:val="0"/>
                    <w:snapToGrid w:val="0"/>
                    <w:jc w:val="center"/>
                    <w:rPr>
                      <w:rFonts w:cs="宋体"/>
                      <w:bCs/>
                      <w:szCs w:val="22"/>
                    </w:rPr>
                  </w:pPr>
                  <w:r>
                    <w:rPr>
                      <w:rFonts w:hint="eastAsia" w:cs="宋体"/>
                      <w:bCs/>
                      <w:szCs w:val="22"/>
                    </w:rPr>
                    <w:t>85.71</w:t>
                  </w:r>
                </w:p>
              </w:tc>
              <w:tc>
                <w:tcPr>
                  <w:tcW w:w="671" w:type="pct"/>
                  <w:noWrap w:val="0"/>
                  <w:vAlign w:val="center"/>
                </w:tcPr>
                <w:p>
                  <w:pPr>
                    <w:wordWrap w:val="0"/>
                    <w:snapToGrid w:val="0"/>
                    <w:jc w:val="center"/>
                    <w:rPr>
                      <w:bCs/>
                      <w:szCs w:val="22"/>
                    </w:rPr>
                  </w:pPr>
                  <w:r>
                    <w:rPr>
                      <w:bCs/>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O</w:t>
                  </w:r>
                  <w:r>
                    <w:rPr>
                      <w:bCs/>
                      <w:szCs w:val="22"/>
                      <w:vertAlign w:val="subscript"/>
                    </w:rPr>
                    <w:t>3</w:t>
                  </w:r>
                </w:p>
              </w:tc>
              <w:tc>
                <w:tcPr>
                  <w:tcW w:w="1515" w:type="pct"/>
                  <w:noWrap w:val="0"/>
                  <w:vAlign w:val="center"/>
                </w:tcPr>
                <w:p>
                  <w:pPr>
                    <w:wordWrap w:val="0"/>
                    <w:snapToGrid w:val="0"/>
                    <w:jc w:val="center"/>
                    <w:rPr>
                      <w:bCs/>
                      <w:szCs w:val="22"/>
                    </w:rPr>
                  </w:pPr>
                  <w:r>
                    <w:rPr>
                      <w:rFonts w:hint="eastAsia"/>
                      <w:bCs/>
                      <w:szCs w:val="22"/>
                    </w:rPr>
                    <w:t>日最大8小时平均第90百分位数浓度</w:t>
                  </w:r>
                </w:p>
              </w:tc>
              <w:tc>
                <w:tcPr>
                  <w:tcW w:w="743" w:type="pct"/>
                  <w:noWrap w:val="0"/>
                  <w:vAlign w:val="center"/>
                </w:tcPr>
                <w:p>
                  <w:pPr>
                    <w:wordWrap w:val="0"/>
                    <w:snapToGrid w:val="0"/>
                    <w:jc w:val="center"/>
                    <w:rPr>
                      <w:bCs/>
                      <w:szCs w:val="22"/>
                    </w:rPr>
                  </w:pPr>
                  <w:r>
                    <w:rPr>
                      <w:rFonts w:hint="eastAsia"/>
                      <w:bCs/>
                      <w:szCs w:val="22"/>
                    </w:rPr>
                    <w:t>107</w:t>
                  </w:r>
                </w:p>
              </w:tc>
              <w:tc>
                <w:tcPr>
                  <w:tcW w:w="829" w:type="pct"/>
                  <w:noWrap w:val="0"/>
                  <w:vAlign w:val="center"/>
                </w:tcPr>
                <w:p>
                  <w:pPr>
                    <w:wordWrap w:val="0"/>
                    <w:snapToGrid w:val="0"/>
                    <w:jc w:val="center"/>
                    <w:rPr>
                      <w:bCs/>
                      <w:szCs w:val="22"/>
                    </w:rPr>
                  </w:pPr>
                  <w:r>
                    <w:rPr>
                      <w:rFonts w:hint="eastAsia"/>
                      <w:bCs/>
                      <w:szCs w:val="22"/>
                    </w:rPr>
                    <w:t>160</w:t>
                  </w:r>
                </w:p>
              </w:tc>
              <w:tc>
                <w:tcPr>
                  <w:tcW w:w="664" w:type="pct"/>
                  <w:noWrap w:val="0"/>
                  <w:vAlign w:val="center"/>
                </w:tcPr>
                <w:p>
                  <w:pPr>
                    <w:wordWrap w:val="0"/>
                    <w:snapToGrid w:val="0"/>
                    <w:jc w:val="center"/>
                    <w:rPr>
                      <w:rFonts w:cs="宋体"/>
                      <w:bCs/>
                      <w:szCs w:val="22"/>
                    </w:rPr>
                  </w:pPr>
                  <w:r>
                    <w:rPr>
                      <w:rFonts w:hint="eastAsia" w:cs="宋体"/>
                      <w:bCs/>
                      <w:szCs w:val="22"/>
                    </w:rPr>
                    <w:t>66.88</w:t>
                  </w:r>
                </w:p>
              </w:tc>
              <w:tc>
                <w:tcPr>
                  <w:tcW w:w="671" w:type="pct"/>
                  <w:noWrap w:val="0"/>
                  <w:vAlign w:val="center"/>
                </w:tcPr>
                <w:p>
                  <w:pPr>
                    <w:wordWrap w:val="0"/>
                    <w:adjustRightInd w:val="0"/>
                    <w:snapToGrid w:val="0"/>
                    <w:jc w:val="center"/>
                    <w:rPr>
                      <w:bCs/>
                      <w:szCs w:val="22"/>
                    </w:rPr>
                  </w:pPr>
                  <w:r>
                    <w:rPr>
                      <w:bCs/>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noWrap w:val="0"/>
                  <w:vAlign w:val="center"/>
                </w:tcPr>
                <w:p>
                  <w:pPr>
                    <w:wordWrap w:val="0"/>
                    <w:snapToGrid w:val="0"/>
                    <w:jc w:val="center"/>
                    <w:rPr>
                      <w:bCs/>
                      <w:szCs w:val="22"/>
                    </w:rPr>
                  </w:pPr>
                  <w:r>
                    <w:rPr>
                      <w:bCs/>
                      <w:szCs w:val="22"/>
                    </w:rPr>
                    <w:t>C</w:t>
                  </w:r>
                  <w:r>
                    <w:rPr>
                      <w:rFonts w:hint="eastAsia"/>
                      <w:bCs/>
                      <w:szCs w:val="22"/>
                    </w:rPr>
                    <w:t>O</w:t>
                  </w:r>
                </w:p>
              </w:tc>
              <w:tc>
                <w:tcPr>
                  <w:tcW w:w="1515" w:type="pct"/>
                  <w:noWrap w:val="0"/>
                  <w:vAlign w:val="center"/>
                </w:tcPr>
                <w:p>
                  <w:pPr>
                    <w:wordWrap w:val="0"/>
                    <w:snapToGrid w:val="0"/>
                    <w:jc w:val="center"/>
                    <w:rPr>
                      <w:bCs/>
                      <w:szCs w:val="22"/>
                    </w:rPr>
                  </w:pPr>
                  <w:r>
                    <w:rPr>
                      <w:rFonts w:hint="eastAsia"/>
                      <w:bCs/>
                      <w:szCs w:val="22"/>
                    </w:rPr>
                    <w:t>24小时平均第95百分位数浓度</w:t>
                  </w:r>
                </w:p>
              </w:tc>
              <w:tc>
                <w:tcPr>
                  <w:tcW w:w="743" w:type="pct"/>
                  <w:noWrap w:val="0"/>
                  <w:vAlign w:val="center"/>
                </w:tcPr>
                <w:p>
                  <w:pPr>
                    <w:wordWrap w:val="0"/>
                    <w:snapToGrid w:val="0"/>
                    <w:jc w:val="center"/>
                    <w:rPr>
                      <w:bCs/>
                      <w:szCs w:val="22"/>
                    </w:rPr>
                  </w:pPr>
                  <w:r>
                    <w:rPr>
                      <w:rFonts w:hint="eastAsia"/>
                      <w:bCs/>
                      <w:szCs w:val="22"/>
                    </w:rPr>
                    <w:t>1400</w:t>
                  </w:r>
                </w:p>
              </w:tc>
              <w:tc>
                <w:tcPr>
                  <w:tcW w:w="829" w:type="pct"/>
                  <w:noWrap w:val="0"/>
                  <w:vAlign w:val="center"/>
                </w:tcPr>
                <w:p>
                  <w:pPr>
                    <w:wordWrap w:val="0"/>
                    <w:snapToGrid w:val="0"/>
                    <w:jc w:val="center"/>
                    <w:rPr>
                      <w:bCs/>
                      <w:szCs w:val="22"/>
                    </w:rPr>
                  </w:pPr>
                  <w:r>
                    <w:rPr>
                      <w:rFonts w:hint="eastAsia"/>
                      <w:bCs/>
                      <w:szCs w:val="22"/>
                    </w:rPr>
                    <w:t>4000</w:t>
                  </w:r>
                </w:p>
              </w:tc>
              <w:tc>
                <w:tcPr>
                  <w:tcW w:w="664" w:type="pct"/>
                  <w:noWrap w:val="0"/>
                  <w:vAlign w:val="center"/>
                </w:tcPr>
                <w:p>
                  <w:pPr>
                    <w:wordWrap w:val="0"/>
                    <w:snapToGrid w:val="0"/>
                    <w:jc w:val="center"/>
                    <w:rPr>
                      <w:rFonts w:cs="宋体"/>
                      <w:bCs/>
                      <w:szCs w:val="22"/>
                    </w:rPr>
                  </w:pPr>
                  <w:r>
                    <w:rPr>
                      <w:rFonts w:hint="eastAsia" w:cs="宋体"/>
                      <w:bCs/>
                      <w:szCs w:val="22"/>
                    </w:rPr>
                    <w:t>35</w:t>
                  </w:r>
                </w:p>
              </w:tc>
              <w:tc>
                <w:tcPr>
                  <w:tcW w:w="671" w:type="pct"/>
                  <w:noWrap w:val="0"/>
                  <w:vAlign w:val="center"/>
                </w:tcPr>
                <w:p>
                  <w:pPr>
                    <w:wordWrap w:val="0"/>
                    <w:snapToGrid w:val="0"/>
                    <w:jc w:val="center"/>
                    <w:rPr>
                      <w:bCs/>
                      <w:szCs w:val="22"/>
                    </w:rPr>
                  </w:pPr>
                  <w:r>
                    <w:rPr>
                      <w:bCs/>
                      <w:szCs w:val="22"/>
                    </w:rPr>
                    <w:t>达标</w:t>
                  </w:r>
                </w:p>
              </w:tc>
            </w:tr>
          </w:tbl>
          <w:p>
            <w:pPr>
              <w:wordWrap w:val="0"/>
              <w:spacing w:line="360" w:lineRule="auto"/>
              <w:ind w:firstLine="480" w:firstLineChars="200"/>
              <w:rPr>
                <w:rFonts w:hint="eastAsia"/>
                <w:sz w:val="24"/>
              </w:rPr>
            </w:pPr>
            <w:r>
              <w:rPr>
                <w:rFonts w:hint="eastAsia"/>
                <w:sz w:val="24"/>
              </w:rPr>
              <w:t>由上表可知，项目评价区SO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的年均浓度值、O</w:t>
            </w:r>
            <w:r>
              <w:rPr>
                <w:rFonts w:hint="eastAsia"/>
                <w:sz w:val="24"/>
                <w:vertAlign w:val="subscript"/>
              </w:rPr>
              <w:t>3</w:t>
            </w:r>
            <w:r>
              <w:rPr>
                <w:rFonts w:hint="eastAsia"/>
                <w:sz w:val="24"/>
              </w:rPr>
              <w:t>的日最大8小时第9</w:t>
            </w:r>
            <w:r>
              <w:rPr>
                <w:sz w:val="24"/>
              </w:rPr>
              <w:t>0</w:t>
            </w:r>
            <w:r>
              <w:rPr>
                <w:rFonts w:hint="eastAsia"/>
                <w:sz w:val="24"/>
              </w:rPr>
              <w:t>百分位数浓度、CO的24小时平均第95百分位数浓度均可满足《环境空气质量标准》（GB3095-2012）及修改单中二级标准限值，因此，项目所在区域花垣县为大气环境质量达标区。</w:t>
            </w:r>
          </w:p>
          <w:p>
            <w:pPr>
              <w:wordWrap w:val="0"/>
              <w:spacing w:line="360" w:lineRule="auto"/>
              <w:ind w:firstLine="482" w:firstLineChars="200"/>
              <w:rPr>
                <w:rFonts w:hint="eastAsia"/>
                <w:b/>
                <w:bCs/>
                <w:sz w:val="24"/>
              </w:rPr>
            </w:pPr>
            <w:r>
              <w:rPr>
                <w:rFonts w:hint="eastAsia"/>
                <w:b/>
                <w:bCs/>
                <w:sz w:val="24"/>
              </w:rPr>
              <w:t>（2）补充监测</w:t>
            </w:r>
          </w:p>
          <w:p>
            <w:pPr>
              <w:spacing w:line="360" w:lineRule="auto"/>
              <w:ind w:firstLine="480" w:firstLineChars="200"/>
              <w:rPr>
                <w:rFonts w:hint="default" w:eastAsia="宋体"/>
                <w:sz w:val="24"/>
                <w:lang w:val="en-US" w:eastAsia="zh-CN"/>
              </w:rPr>
            </w:pPr>
            <w:r>
              <w:rPr>
                <w:rFonts w:hint="eastAsia"/>
                <w:sz w:val="24"/>
              </w:rPr>
              <w:t>根据现场调查，建设项目5千米范围内有近3年内的现有监测数据。西北侧4.03km处为中国石油湖南销售分公司花垣县凉水井加油站改建项目，引用该项目监测因子TSP数据，监测时间为2022年4月22日至2022年4月24日。监测报告见附件10。</w:t>
            </w:r>
            <w:r>
              <w:rPr>
                <w:rFonts w:hint="eastAsia"/>
                <w:sz w:val="24"/>
                <w:u w:val="single"/>
                <w:lang w:eastAsia="zh-CN"/>
              </w:rPr>
              <w:t>根据现场调查和资料调查，项目</w:t>
            </w:r>
            <w:r>
              <w:rPr>
                <w:rFonts w:hint="eastAsia"/>
                <w:sz w:val="24"/>
                <w:u w:val="single"/>
                <w:lang w:val="en-US" w:eastAsia="zh-CN"/>
              </w:rPr>
              <w:t>5km范围内2022年至今无重工业企业建设，对区域环境影响较小，因此引用监测数据可行。</w:t>
            </w:r>
          </w:p>
          <w:p>
            <w:pPr>
              <w:wordWrap w:val="0"/>
              <w:spacing w:line="360" w:lineRule="auto"/>
              <w:ind w:firstLine="480" w:firstLineChars="200"/>
              <w:rPr>
                <w:rFonts w:hint="eastAsia"/>
                <w:sz w:val="24"/>
              </w:rPr>
            </w:pPr>
            <w:r>
              <w:rPr>
                <w:rFonts w:hint="eastAsia"/>
                <w:sz w:val="24"/>
              </w:rPr>
              <w:t>监测结果见下表。</w:t>
            </w:r>
          </w:p>
          <w:p>
            <w:pPr>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表3.1-4：引用监测报告监测数据汇总表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46"/>
              <w:gridCol w:w="1203"/>
              <w:gridCol w:w="2477"/>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47" w:type="pct"/>
                  <w:vMerge w:val="restart"/>
                  <w:noWrap w:val="0"/>
                  <w:vAlign w:val="center"/>
                </w:tcPr>
                <w:p>
                  <w:pPr>
                    <w:pStyle w:val="74"/>
                    <w:rPr>
                      <w:rFonts w:hint="eastAsia"/>
                      <w:color w:val="auto"/>
                    </w:rPr>
                  </w:pPr>
                  <w:r>
                    <w:rPr>
                      <w:rFonts w:hint="eastAsia"/>
                      <w:color w:val="auto"/>
                    </w:rPr>
                    <w:t>点位名称</w:t>
                  </w:r>
                </w:p>
              </w:tc>
              <w:tc>
                <w:tcPr>
                  <w:tcW w:w="954" w:type="pct"/>
                  <w:vMerge w:val="restart"/>
                  <w:noWrap w:val="0"/>
                  <w:vAlign w:val="center"/>
                </w:tcPr>
                <w:p>
                  <w:pPr>
                    <w:pStyle w:val="74"/>
                    <w:jc w:val="center"/>
                    <w:rPr>
                      <w:rFonts w:hint="eastAsia"/>
                      <w:color w:val="auto"/>
                    </w:rPr>
                  </w:pPr>
                  <w:r>
                    <w:rPr>
                      <w:rFonts w:hint="eastAsia"/>
                      <w:color w:val="auto"/>
                    </w:rPr>
                    <w:t>检测时间</w:t>
                  </w:r>
                </w:p>
              </w:tc>
              <w:tc>
                <w:tcPr>
                  <w:tcW w:w="698" w:type="pct"/>
                  <w:noWrap w:val="0"/>
                  <w:vAlign w:val="center"/>
                </w:tcPr>
                <w:p>
                  <w:pPr>
                    <w:pStyle w:val="74"/>
                    <w:rPr>
                      <w:rFonts w:hint="eastAsia"/>
                      <w:color w:val="auto"/>
                    </w:rPr>
                  </w:pPr>
                  <w:r>
                    <w:rPr>
                      <w:rFonts w:hint="eastAsia"/>
                      <w:color w:val="auto"/>
                    </w:rPr>
                    <w:t>检测结果</w:t>
                  </w:r>
                </w:p>
              </w:tc>
              <w:tc>
                <w:tcPr>
                  <w:tcW w:w="1436" w:type="pct"/>
                  <w:noWrap w:val="0"/>
                  <w:vAlign w:val="center"/>
                </w:tcPr>
                <w:p>
                  <w:pPr>
                    <w:pStyle w:val="74"/>
                    <w:rPr>
                      <w:color w:val="auto"/>
                    </w:rPr>
                  </w:pPr>
                  <w:r>
                    <w:rPr>
                      <w:rFonts w:hint="eastAsia"/>
                      <w:color w:val="auto"/>
                    </w:rPr>
                    <w:t>标准值（GB3095-2012）</w:t>
                  </w:r>
                </w:p>
              </w:tc>
              <w:tc>
                <w:tcPr>
                  <w:tcW w:w="762" w:type="pct"/>
                  <w:vMerge w:val="restart"/>
                  <w:noWrap w:val="0"/>
                  <w:vAlign w:val="center"/>
                </w:tcPr>
                <w:p>
                  <w:pPr>
                    <w:pStyle w:val="74"/>
                    <w:rPr>
                      <w:rFonts w:hint="eastAsia"/>
                      <w:color w:val="auto"/>
                    </w:rPr>
                  </w:pPr>
                  <w:r>
                    <w:rPr>
                      <w:rFonts w:hint="eastAsia"/>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7" w:type="pct"/>
                  <w:vMerge w:val="continue"/>
                  <w:noWrap w:val="0"/>
                  <w:vAlign w:val="center"/>
                </w:tcPr>
                <w:p>
                  <w:pPr>
                    <w:pStyle w:val="74"/>
                    <w:rPr>
                      <w:rFonts w:hint="eastAsia"/>
                      <w:color w:val="auto"/>
                    </w:rPr>
                  </w:pPr>
                </w:p>
              </w:tc>
              <w:tc>
                <w:tcPr>
                  <w:tcW w:w="954" w:type="pct"/>
                  <w:vMerge w:val="continue"/>
                  <w:noWrap w:val="0"/>
                  <w:vAlign w:val="center"/>
                </w:tcPr>
                <w:p>
                  <w:pPr>
                    <w:pStyle w:val="74"/>
                    <w:jc w:val="both"/>
                    <w:rPr>
                      <w:rFonts w:hint="eastAsia"/>
                      <w:color w:val="auto"/>
                    </w:rPr>
                  </w:pPr>
                </w:p>
              </w:tc>
              <w:tc>
                <w:tcPr>
                  <w:tcW w:w="698" w:type="pct"/>
                  <w:noWrap w:val="0"/>
                  <w:vAlign w:val="center"/>
                </w:tcPr>
                <w:p>
                  <w:pPr>
                    <w:pStyle w:val="74"/>
                    <w:rPr>
                      <w:color w:val="auto"/>
                    </w:rPr>
                  </w:pPr>
                  <w:r>
                    <w:rPr>
                      <w:rFonts w:hint="eastAsia"/>
                      <w:color w:val="auto"/>
                    </w:rPr>
                    <w:t>TSP</w:t>
                  </w:r>
                </w:p>
              </w:tc>
              <w:tc>
                <w:tcPr>
                  <w:tcW w:w="1436" w:type="pct"/>
                  <w:noWrap w:val="0"/>
                  <w:vAlign w:val="center"/>
                </w:tcPr>
                <w:p>
                  <w:pPr>
                    <w:pStyle w:val="74"/>
                    <w:rPr>
                      <w:color w:val="auto"/>
                    </w:rPr>
                  </w:pPr>
                  <w:r>
                    <w:rPr>
                      <w:rFonts w:hint="eastAsia"/>
                      <w:color w:val="auto"/>
                    </w:rPr>
                    <w:t>mg/m³</w:t>
                  </w:r>
                </w:p>
              </w:tc>
              <w:tc>
                <w:tcPr>
                  <w:tcW w:w="762" w:type="pct"/>
                  <w:vMerge w:val="continue"/>
                  <w:noWrap w:val="0"/>
                  <w:vAlign w:val="center"/>
                </w:tcPr>
                <w:p>
                  <w:pPr>
                    <w:pStyle w:val="7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vMerge w:val="restart"/>
                  <w:noWrap w:val="0"/>
                  <w:vAlign w:val="center"/>
                </w:tcPr>
                <w:p>
                  <w:pPr>
                    <w:pStyle w:val="74"/>
                    <w:rPr>
                      <w:color w:val="auto"/>
                    </w:rPr>
                  </w:pPr>
                  <w:r>
                    <w:rPr>
                      <w:rFonts w:hint="eastAsia"/>
                      <w:color w:val="auto"/>
                    </w:rPr>
                    <w:t>雷家冲居民点GI</w:t>
                  </w:r>
                </w:p>
              </w:tc>
              <w:tc>
                <w:tcPr>
                  <w:tcW w:w="954" w:type="pct"/>
                  <w:noWrap w:val="0"/>
                  <w:vAlign w:val="center"/>
                </w:tcPr>
                <w:p>
                  <w:pPr>
                    <w:pStyle w:val="74"/>
                    <w:rPr>
                      <w:color w:val="auto"/>
                    </w:rPr>
                  </w:pPr>
                  <w:r>
                    <w:rPr>
                      <w:rFonts w:hint="eastAsia"/>
                      <w:color w:val="auto"/>
                    </w:rPr>
                    <w:t>2022.04.22</w:t>
                  </w:r>
                </w:p>
              </w:tc>
              <w:tc>
                <w:tcPr>
                  <w:tcW w:w="698" w:type="pct"/>
                  <w:noWrap w:val="0"/>
                  <w:vAlign w:val="center"/>
                </w:tcPr>
                <w:p>
                  <w:pPr>
                    <w:pStyle w:val="74"/>
                    <w:rPr>
                      <w:color w:val="auto"/>
                    </w:rPr>
                  </w:pPr>
                  <w:r>
                    <w:rPr>
                      <w:rFonts w:hint="eastAsia"/>
                      <w:color w:val="auto"/>
                    </w:rPr>
                    <w:t>0.111</w:t>
                  </w:r>
                </w:p>
              </w:tc>
              <w:tc>
                <w:tcPr>
                  <w:tcW w:w="1436" w:type="pct"/>
                  <w:noWrap w:val="0"/>
                  <w:vAlign w:val="center"/>
                </w:tcPr>
                <w:p>
                  <w:pPr>
                    <w:pStyle w:val="74"/>
                    <w:rPr>
                      <w:color w:val="auto"/>
                    </w:rPr>
                  </w:pPr>
                  <w:r>
                    <w:rPr>
                      <w:rFonts w:hint="eastAsia"/>
                      <w:color w:val="auto"/>
                    </w:rPr>
                    <w:t>0.3</w:t>
                  </w:r>
                </w:p>
              </w:tc>
              <w:tc>
                <w:tcPr>
                  <w:tcW w:w="762" w:type="pct"/>
                  <w:noWrap w:val="0"/>
                  <w:vAlign w:val="center"/>
                </w:tcPr>
                <w:p>
                  <w:pPr>
                    <w:pStyle w:val="7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vMerge w:val="continue"/>
                  <w:noWrap w:val="0"/>
                  <w:vAlign w:val="center"/>
                </w:tcPr>
                <w:p>
                  <w:pPr>
                    <w:pStyle w:val="74"/>
                    <w:rPr>
                      <w:color w:val="auto"/>
                    </w:rPr>
                  </w:pPr>
                </w:p>
              </w:tc>
              <w:tc>
                <w:tcPr>
                  <w:tcW w:w="954" w:type="pct"/>
                  <w:noWrap w:val="0"/>
                  <w:vAlign w:val="center"/>
                </w:tcPr>
                <w:p>
                  <w:pPr>
                    <w:pStyle w:val="74"/>
                    <w:rPr>
                      <w:color w:val="auto"/>
                    </w:rPr>
                  </w:pPr>
                  <w:r>
                    <w:rPr>
                      <w:rFonts w:hint="eastAsia"/>
                      <w:color w:val="auto"/>
                    </w:rPr>
                    <w:t>2022.04.23</w:t>
                  </w:r>
                </w:p>
              </w:tc>
              <w:tc>
                <w:tcPr>
                  <w:tcW w:w="698" w:type="pct"/>
                  <w:noWrap w:val="0"/>
                  <w:vAlign w:val="center"/>
                </w:tcPr>
                <w:p>
                  <w:pPr>
                    <w:pStyle w:val="74"/>
                    <w:rPr>
                      <w:color w:val="auto"/>
                    </w:rPr>
                  </w:pPr>
                  <w:r>
                    <w:rPr>
                      <w:rFonts w:hint="eastAsia"/>
                      <w:color w:val="auto"/>
                    </w:rPr>
                    <w:t>0.115</w:t>
                  </w:r>
                </w:p>
              </w:tc>
              <w:tc>
                <w:tcPr>
                  <w:tcW w:w="1436" w:type="pct"/>
                  <w:noWrap w:val="0"/>
                  <w:vAlign w:val="center"/>
                </w:tcPr>
                <w:p>
                  <w:pPr>
                    <w:pStyle w:val="74"/>
                    <w:rPr>
                      <w:color w:val="auto"/>
                    </w:rPr>
                  </w:pPr>
                  <w:r>
                    <w:rPr>
                      <w:rFonts w:hint="eastAsia"/>
                      <w:color w:val="auto"/>
                    </w:rPr>
                    <w:t>0.3</w:t>
                  </w:r>
                </w:p>
              </w:tc>
              <w:tc>
                <w:tcPr>
                  <w:tcW w:w="762" w:type="pct"/>
                  <w:noWrap w:val="0"/>
                  <w:vAlign w:val="center"/>
                </w:tcPr>
                <w:p>
                  <w:pPr>
                    <w:pStyle w:val="74"/>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vMerge w:val="continue"/>
                  <w:noWrap w:val="0"/>
                  <w:vAlign w:val="center"/>
                </w:tcPr>
                <w:p>
                  <w:pPr>
                    <w:pStyle w:val="74"/>
                    <w:rPr>
                      <w:rFonts w:hint="eastAsia"/>
                      <w:color w:val="auto"/>
                    </w:rPr>
                  </w:pPr>
                </w:p>
              </w:tc>
              <w:tc>
                <w:tcPr>
                  <w:tcW w:w="954" w:type="pct"/>
                  <w:noWrap w:val="0"/>
                  <w:vAlign w:val="center"/>
                </w:tcPr>
                <w:p>
                  <w:pPr>
                    <w:pStyle w:val="74"/>
                    <w:rPr>
                      <w:color w:val="auto"/>
                    </w:rPr>
                  </w:pPr>
                  <w:r>
                    <w:rPr>
                      <w:rFonts w:hint="eastAsia"/>
                      <w:color w:val="auto"/>
                    </w:rPr>
                    <w:t>2022.04.24</w:t>
                  </w:r>
                </w:p>
              </w:tc>
              <w:tc>
                <w:tcPr>
                  <w:tcW w:w="698" w:type="pct"/>
                  <w:noWrap w:val="0"/>
                  <w:vAlign w:val="center"/>
                </w:tcPr>
                <w:p>
                  <w:pPr>
                    <w:pStyle w:val="74"/>
                    <w:rPr>
                      <w:color w:val="auto"/>
                    </w:rPr>
                  </w:pPr>
                  <w:r>
                    <w:rPr>
                      <w:rFonts w:hint="eastAsia"/>
                      <w:color w:val="auto"/>
                    </w:rPr>
                    <w:t>0.112</w:t>
                  </w:r>
                </w:p>
              </w:tc>
              <w:tc>
                <w:tcPr>
                  <w:tcW w:w="1436" w:type="pct"/>
                  <w:noWrap w:val="0"/>
                  <w:vAlign w:val="center"/>
                </w:tcPr>
                <w:p>
                  <w:pPr>
                    <w:pStyle w:val="74"/>
                    <w:rPr>
                      <w:color w:val="auto"/>
                    </w:rPr>
                  </w:pPr>
                  <w:r>
                    <w:rPr>
                      <w:rFonts w:hint="eastAsia"/>
                      <w:color w:val="auto"/>
                    </w:rPr>
                    <w:t>0.3</w:t>
                  </w:r>
                </w:p>
              </w:tc>
              <w:tc>
                <w:tcPr>
                  <w:tcW w:w="762" w:type="pct"/>
                  <w:noWrap w:val="0"/>
                  <w:vAlign w:val="center"/>
                </w:tcPr>
                <w:p>
                  <w:pPr>
                    <w:pStyle w:val="74"/>
                    <w:rPr>
                      <w:color w:val="auto"/>
                    </w:rPr>
                  </w:pPr>
                  <w:r>
                    <w:rPr>
                      <w:rFonts w:hint="eastAsia"/>
                      <w:color w:val="auto"/>
                    </w:rPr>
                    <w:t>达标</w:t>
                  </w:r>
                </w:p>
              </w:tc>
            </w:tr>
          </w:tbl>
          <w:p>
            <w:pPr>
              <w:wordWrap w:val="0"/>
              <w:spacing w:line="360" w:lineRule="auto"/>
              <w:ind w:firstLine="480" w:firstLineChars="200"/>
              <w:rPr>
                <w:rFonts w:hint="eastAsia"/>
                <w:sz w:val="24"/>
              </w:rPr>
            </w:pPr>
            <w:r>
              <w:rPr>
                <w:rFonts w:hint="eastAsia"/>
                <w:sz w:val="24"/>
              </w:rPr>
              <w:t>根据表3.1-4，区域TSP满足《环境空气质量标准》（GB3095-2012）及修改单中二级标准限值。</w:t>
            </w:r>
          </w:p>
          <w:p>
            <w:pPr>
              <w:keepNext/>
              <w:keepLines/>
              <w:wordWrap w:val="0"/>
              <w:spacing w:before="192" w:beforeLines="80" w:after="192" w:afterLines="80"/>
              <w:outlineLvl w:val="2"/>
              <w:rPr>
                <w:b/>
                <w:bCs/>
                <w:sz w:val="28"/>
                <w:szCs w:val="32"/>
              </w:rPr>
            </w:pPr>
            <w:bookmarkStart w:id="74" w:name="_Toc111721058"/>
            <w:bookmarkStart w:id="75" w:name="_Toc109630672"/>
            <w:bookmarkStart w:id="76" w:name="_Toc109734373"/>
            <w:bookmarkStart w:id="77" w:name="_Toc109294469"/>
            <w:bookmarkStart w:id="78" w:name="_Toc110446476"/>
            <w:r>
              <w:rPr>
                <w:rFonts w:hint="eastAsia"/>
                <w:b/>
                <w:bCs/>
                <w:sz w:val="28"/>
                <w:szCs w:val="32"/>
              </w:rPr>
              <w:t>3</w:t>
            </w:r>
            <w:r>
              <w:rPr>
                <w:b/>
                <w:bCs/>
                <w:sz w:val="28"/>
                <w:szCs w:val="32"/>
              </w:rPr>
              <w:t>.1.2</w:t>
            </w:r>
            <w:r>
              <w:rPr>
                <w:rFonts w:hint="eastAsia"/>
                <w:b/>
                <w:bCs/>
                <w:sz w:val="28"/>
                <w:szCs w:val="32"/>
              </w:rPr>
              <w:t>地表水</w:t>
            </w:r>
            <w:bookmarkEnd w:id="74"/>
            <w:bookmarkEnd w:id="75"/>
            <w:bookmarkEnd w:id="76"/>
            <w:bookmarkEnd w:id="77"/>
            <w:bookmarkEnd w:id="78"/>
          </w:p>
          <w:p>
            <w:pPr>
              <w:keepNext/>
              <w:keepLines/>
              <w:wordWrap w:val="0"/>
              <w:spacing w:before="200" w:after="200"/>
              <w:outlineLvl w:val="3"/>
              <w:rPr>
                <w:b/>
                <w:sz w:val="24"/>
              </w:rPr>
            </w:pPr>
            <w:r>
              <w:rPr>
                <w:rFonts w:hint="eastAsia"/>
                <w:b/>
                <w:sz w:val="24"/>
              </w:rPr>
              <w:t>3.1.2.1常规监测断面达标分析</w:t>
            </w:r>
          </w:p>
          <w:p>
            <w:pPr>
              <w:wordWrap w:val="0"/>
              <w:spacing w:line="360" w:lineRule="auto"/>
              <w:ind w:firstLine="480" w:firstLineChars="200"/>
              <w:rPr>
                <w:rFonts w:hint="eastAsia"/>
                <w:sz w:val="24"/>
              </w:rPr>
            </w:pPr>
            <w:r>
              <w:rPr>
                <w:rFonts w:hint="eastAsia"/>
                <w:sz w:val="24"/>
                <w:u w:val="single"/>
              </w:rPr>
              <w:t>项目生活废水经化粪池处理后用于周边</w:t>
            </w:r>
            <w:r>
              <w:rPr>
                <w:rFonts w:hint="eastAsia"/>
                <w:sz w:val="24"/>
                <w:u w:val="single"/>
                <w:lang w:eastAsia="zh-CN"/>
              </w:rPr>
              <w:t>农肥</w:t>
            </w:r>
            <w:r>
              <w:rPr>
                <w:rFonts w:hint="eastAsia"/>
                <w:sz w:val="24"/>
                <w:u w:val="single"/>
              </w:rPr>
              <w:t>，生产废水经废水池沉淀后回用。根据项目地形图，项目周边地表水为东</w:t>
            </w:r>
            <w:r>
              <w:rPr>
                <w:rFonts w:hint="eastAsia"/>
                <w:sz w:val="24"/>
                <w:u w:val="single"/>
                <w:lang w:eastAsia="zh-CN"/>
              </w:rPr>
              <w:t>南</w:t>
            </w:r>
            <w:r>
              <w:rPr>
                <w:rFonts w:hint="eastAsia"/>
                <w:sz w:val="24"/>
                <w:u w:val="single"/>
              </w:rPr>
              <w:t>侧</w:t>
            </w:r>
            <w:r>
              <w:rPr>
                <w:rFonts w:hint="eastAsia"/>
                <w:sz w:val="24"/>
                <w:u w:val="single"/>
                <w:lang w:val="en-US" w:eastAsia="zh-CN"/>
              </w:rPr>
              <w:t>1.79</w:t>
            </w:r>
            <w:r>
              <w:rPr>
                <w:rFonts w:hint="eastAsia"/>
                <w:sz w:val="24"/>
                <w:u w:val="single"/>
              </w:rPr>
              <w:t>km兄弟河，兄弟河汇入花垣河，汇入口位于项目东北侧6.72km处，本次环评收集了《湘西州环境质量简报》花垣县地表水常规监控断面水质监测数据。川心城监测断面位于兄弟河进入花垣河汇入口</w:t>
            </w:r>
            <w:r>
              <w:rPr>
                <w:rFonts w:hint="eastAsia"/>
                <w:sz w:val="24"/>
                <w:u w:val="single"/>
                <w:lang w:eastAsia="zh-CN"/>
              </w:rPr>
              <w:t>下</w:t>
            </w:r>
            <w:r>
              <w:rPr>
                <w:rFonts w:hint="eastAsia"/>
                <w:sz w:val="24"/>
                <w:u w:val="single"/>
              </w:rPr>
              <w:t>游</w:t>
            </w:r>
            <w:r>
              <w:rPr>
                <w:rFonts w:hint="eastAsia"/>
                <w:sz w:val="24"/>
                <w:u w:val="single"/>
                <w:lang w:val="en-US" w:eastAsia="zh-CN"/>
              </w:rPr>
              <w:t>0.70</w:t>
            </w:r>
            <w:r>
              <w:rPr>
                <w:rFonts w:hint="eastAsia"/>
                <w:sz w:val="24"/>
                <w:u w:val="single"/>
              </w:rPr>
              <w:t>km,狮子桥坝下监测断面位于兄弟河进入花垣河汇入口下游7.4km，</w:t>
            </w:r>
            <w:r>
              <w:rPr>
                <w:sz w:val="24"/>
                <w:u w:val="single"/>
              </w:rPr>
              <w:t>下寨河电站</w:t>
            </w:r>
            <w:r>
              <w:rPr>
                <w:rFonts w:hint="eastAsia"/>
                <w:sz w:val="24"/>
                <w:u w:val="single"/>
              </w:rPr>
              <w:t>（</w:t>
            </w:r>
            <w:r>
              <w:rPr>
                <w:sz w:val="24"/>
                <w:u w:val="single"/>
              </w:rPr>
              <w:t>佳民</w:t>
            </w:r>
            <w:r>
              <w:rPr>
                <w:rFonts w:hint="eastAsia"/>
                <w:sz w:val="24"/>
                <w:u w:val="single"/>
              </w:rPr>
              <w:t>）监测断面位于项目地东南侧1.78km。</w:t>
            </w:r>
          </w:p>
          <w:p>
            <w:pPr>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表3.1-5：区域地表水常规监控断面一览表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958"/>
              <w:gridCol w:w="893"/>
              <w:gridCol w:w="1138"/>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noWrap w:val="0"/>
                  <w:vAlign w:val="center"/>
                </w:tcPr>
                <w:p>
                  <w:pPr>
                    <w:pStyle w:val="74"/>
                    <w:rPr>
                      <w:color w:val="auto"/>
                    </w:rPr>
                  </w:pPr>
                  <w:r>
                    <w:rPr>
                      <w:color w:val="auto"/>
                    </w:rPr>
                    <w:t>断面名称</w:t>
                  </w:r>
                </w:p>
              </w:tc>
              <w:tc>
                <w:tcPr>
                  <w:tcW w:w="1135" w:type="pct"/>
                  <w:noWrap w:val="0"/>
                  <w:vAlign w:val="center"/>
                </w:tcPr>
                <w:p>
                  <w:pPr>
                    <w:pStyle w:val="74"/>
                    <w:rPr>
                      <w:color w:val="auto"/>
                    </w:rPr>
                  </w:pPr>
                  <w:r>
                    <w:rPr>
                      <w:color w:val="auto"/>
                    </w:rPr>
                    <w:t>断</w:t>
                  </w:r>
                  <w:r>
                    <w:rPr>
                      <w:color w:val="auto"/>
                    </w:rPr>
                    <w:cr/>
                  </w:r>
                  <w:r>
                    <w:rPr>
                      <w:color w:val="auto"/>
                    </w:rPr>
                    <w:t>坐标</w:t>
                  </w:r>
                </w:p>
              </w:tc>
              <w:tc>
                <w:tcPr>
                  <w:tcW w:w="518" w:type="pct"/>
                  <w:noWrap w:val="0"/>
                  <w:vAlign w:val="center"/>
                </w:tcPr>
                <w:p>
                  <w:pPr>
                    <w:pStyle w:val="74"/>
                    <w:rPr>
                      <w:color w:val="auto"/>
                    </w:rPr>
                  </w:pPr>
                  <w:r>
                    <w:rPr>
                      <w:color w:val="auto"/>
                    </w:rPr>
                    <w:t>级别</w:t>
                  </w:r>
                </w:p>
              </w:tc>
              <w:tc>
                <w:tcPr>
                  <w:tcW w:w="660" w:type="pct"/>
                  <w:noWrap w:val="0"/>
                  <w:vAlign w:val="center"/>
                </w:tcPr>
                <w:p>
                  <w:pPr>
                    <w:pStyle w:val="74"/>
                    <w:rPr>
                      <w:color w:val="auto"/>
                    </w:rPr>
                  </w:pPr>
                  <w:r>
                    <w:rPr>
                      <w:color w:val="auto"/>
                    </w:rPr>
                    <w:t>水质控制标准</w:t>
                  </w:r>
                </w:p>
              </w:tc>
              <w:tc>
                <w:tcPr>
                  <w:tcW w:w="1538" w:type="pct"/>
                  <w:noWrap w:val="0"/>
                  <w:vAlign w:val="center"/>
                </w:tcPr>
                <w:p>
                  <w:pPr>
                    <w:pStyle w:val="74"/>
                    <w:rPr>
                      <w:color w:val="auto"/>
                    </w:rPr>
                  </w:pPr>
                  <w:r>
                    <w:rPr>
                      <w:color w:val="auto"/>
                    </w:rPr>
                    <w:t>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noWrap w:val="0"/>
                  <w:vAlign w:val="center"/>
                </w:tcPr>
                <w:p>
                  <w:pPr>
                    <w:pStyle w:val="74"/>
                    <w:rPr>
                      <w:color w:val="auto"/>
                    </w:rPr>
                  </w:pPr>
                  <w:r>
                    <w:rPr>
                      <w:color w:val="auto"/>
                    </w:rPr>
                    <w:t>川心城</w:t>
                  </w:r>
                </w:p>
              </w:tc>
              <w:tc>
                <w:tcPr>
                  <w:tcW w:w="1135" w:type="pct"/>
                  <w:noWrap w:val="0"/>
                  <w:vAlign w:val="center"/>
                </w:tcPr>
                <w:p>
                  <w:pPr>
                    <w:pStyle w:val="74"/>
                    <w:rPr>
                      <w:color w:val="auto"/>
                    </w:rPr>
                  </w:pPr>
                  <w:r>
                    <w:rPr>
                      <w:rFonts w:hint="default" w:ascii="Times New Roman" w:hAnsi="Times New Roman" w:cs="Times New Roman"/>
                      <w:color w:val="auto"/>
                    </w:rPr>
                    <w:t>E109°29′31.251″、N</w:t>
                  </w:r>
                  <w:r>
                    <w:rPr>
                      <w:rFonts w:hint="default" w:ascii="Times New Roman" w:hAnsi="Times New Roman" w:eastAsia="宋体" w:cs="Times New Roman"/>
                      <w:color w:val="auto"/>
                    </w:rPr>
                    <w:t>28°36′5.107″</w:t>
                  </w:r>
                </w:p>
              </w:tc>
              <w:tc>
                <w:tcPr>
                  <w:tcW w:w="518" w:type="pct"/>
                  <w:noWrap w:val="0"/>
                  <w:vAlign w:val="center"/>
                </w:tcPr>
                <w:p>
                  <w:pPr>
                    <w:pStyle w:val="74"/>
                    <w:rPr>
                      <w:color w:val="auto"/>
                    </w:rPr>
                  </w:pPr>
                  <w:r>
                    <w:rPr>
                      <w:rFonts w:hint="eastAsia"/>
                      <w:color w:val="auto"/>
                    </w:rPr>
                    <w:t>省</w:t>
                  </w:r>
                  <w:r>
                    <w:rPr>
                      <w:color w:val="auto"/>
                    </w:rPr>
                    <w:t>控</w:t>
                  </w:r>
                </w:p>
              </w:tc>
              <w:tc>
                <w:tcPr>
                  <w:tcW w:w="660" w:type="pct"/>
                  <w:noWrap w:val="0"/>
                  <w:vAlign w:val="center"/>
                </w:tcPr>
                <w:p>
                  <w:pPr>
                    <w:pStyle w:val="74"/>
                    <w:rPr>
                      <w:color w:val="auto"/>
                    </w:rPr>
                  </w:pPr>
                  <w:r>
                    <w:rPr>
                      <w:rFonts w:hint="eastAsia" w:ascii="仿宋" w:hAnsi="仿宋" w:eastAsia="仿宋" w:cs="仿宋"/>
                      <w:color w:val="auto"/>
                      <w:szCs w:val="22"/>
                    </w:rPr>
                    <w:t>Ⅱ类</w:t>
                  </w:r>
                </w:p>
              </w:tc>
              <w:tc>
                <w:tcPr>
                  <w:tcW w:w="1538" w:type="pct"/>
                  <w:noWrap w:val="0"/>
                  <w:vAlign w:val="center"/>
                </w:tcPr>
                <w:p>
                  <w:pPr>
                    <w:pStyle w:val="74"/>
                    <w:rPr>
                      <w:color w:val="auto"/>
                    </w:rPr>
                  </w:pPr>
                  <w:r>
                    <w:rPr>
                      <w:rFonts w:hint="eastAsia"/>
                      <w:color w:val="auto"/>
                    </w:rPr>
                    <w:t>兄弟河进入花垣河汇入口</w:t>
                  </w:r>
                  <w:r>
                    <w:rPr>
                      <w:rFonts w:hint="eastAsia"/>
                      <w:color w:val="auto"/>
                      <w:lang w:eastAsia="zh-CN"/>
                    </w:rPr>
                    <w:t>下</w:t>
                  </w:r>
                  <w:r>
                    <w:rPr>
                      <w:rFonts w:hint="eastAsia"/>
                      <w:color w:val="auto"/>
                    </w:rPr>
                    <w:t>游0.</w:t>
                  </w:r>
                  <w:r>
                    <w:rPr>
                      <w:rFonts w:hint="eastAsia"/>
                      <w:color w:val="auto"/>
                      <w:lang w:val="en-US" w:eastAsia="zh-CN"/>
                    </w:rPr>
                    <w:t>70</w:t>
                  </w:r>
                  <w:r>
                    <w:rPr>
                      <w:rFonts w:hint="eastAsia"/>
                      <w:color w:val="auto"/>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noWrap w:val="0"/>
                  <w:vAlign w:val="center"/>
                </w:tcPr>
                <w:p>
                  <w:pPr>
                    <w:pStyle w:val="74"/>
                    <w:rPr>
                      <w:color w:val="auto"/>
                    </w:rPr>
                  </w:pPr>
                  <w:r>
                    <w:rPr>
                      <w:rFonts w:hint="eastAsia"/>
                      <w:color w:val="auto"/>
                    </w:rPr>
                    <w:t>狮子桥坝下</w:t>
                  </w:r>
                </w:p>
              </w:tc>
              <w:tc>
                <w:tcPr>
                  <w:tcW w:w="1135" w:type="pct"/>
                  <w:noWrap w:val="0"/>
                  <w:vAlign w:val="center"/>
                </w:tcPr>
                <w:p>
                  <w:pPr>
                    <w:pStyle w:val="74"/>
                    <w:rPr>
                      <w:color w:val="auto"/>
                    </w:rPr>
                  </w:pPr>
                  <w:r>
                    <w:rPr>
                      <w:color w:val="auto"/>
                    </w:rPr>
                    <w:t>E109°33′0.088″、N28°37′32.989″</w:t>
                  </w:r>
                </w:p>
              </w:tc>
              <w:tc>
                <w:tcPr>
                  <w:tcW w:w="518" w:type="pct"/>
                  <w:noWrap w:val="0"/>
                  <w:vAlign w:val="center"/>
                </w:tcPr>
                <w:p>
                  <w:pPr>
                    <w:pStyle w:val="74"/>
                    <w:rPr>
                      <w:rFonts w:hint="eastAsia"/>
                      <w:color w:val="auto"/>
                    </w:rPr>
                  </w:pPr>
                  <w:r>
                    <w:rPr>
                      <w:rFonts w:hint="eastAsia"/>
                      <w:color w:val="auto"/>
                    </w:rPr>
                    <w:t>国</w:t>
                  </w:r>
                  <w:r>
                    <w:rPr>
                      <w:color w:val="auto"/>
                    </w:rPr>
                    <w:t>控</w:t>
                  </w:r>
                </w:p>
              </w:tc>
              <w:tc>
                <w:tcPr>
                  <w:tcW w:w="660" w:type="pct"/>
                  <w:noWrap w:val="0"/>
                  <w:vAlign w:val="center"/>
                </w:tcPr>
                <w:p>
                  <w:pPr>
                    <w:pStyle w:val="74"/>
                    <w:rPr>
                      <w:rFonts w:hint="eastAsia" w:eastAsia="仿宋"/>
                      <w:color w:val="auto"/>
                      <w:szCs w:val="22"/>
                    </w:rPr>
                  </w:pPr>
                  <w:r>
                    <w:rPr>
                      <w:rFonts w:hint="eastAsia" w:ascii="仿宋" w:hAnsi="仿宋" w:eastAsia="仿宋" w:cs="仿宋"/>
                      <w:color w:val="auto"/>
                      <w:szCs w:val="22"/>
                    </w:rPr>
                    <w:t>Ⅱ类</w:t>
                  </w:r>
                </w:p>
              </w:tc>
              <w:tc>
                <w:tcPr>
                  <w:tcW w:w="1538" w:type="pct"/>
                  <w:noWrap w:val="0"/>
                  <w:vAlign w:val="center"/>
                </w:tcPr>
                <w:p>
                  <w:pPr>
                    <w:pStyle w:val="74"/>
                    <w:rPr>
                      <w:rFonts w:hint="eastAsia"/>
                      <w:color w:val="auto"/>
                    </w:rPr>
                  </w:pPr>
                  <w:r>
                    <w:rPr>
                      <w:rFonts w:hint="eastAsia"/>
                      <w:color w:val="auto"/>
                    </w:rPr>
                    <w:t>兄弟河进入花垣河汇入口下游7.4km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7" w:type="pct"/>
                  <w:noWrap w:val="0"/>
                  <w:vAlign w:val="center"/>
                </w:tcPr>
                <w:p>
                  <w:pPr>
                    <w:pStyle w:val="74"/>
                    <w:rPr>
                      <w:rFonts w:hint="eastAsia"/>
                      <w:color w:val="auto"/>
                    </w:rPr>
                  </w:pPr>
                  <w:r>
                    <w:rPr>
                      <w:color w:val="auto"/>
                    </w:rPr>
                    <w:t>下寨河电站(佳民)</w:t>
                  </w:r>
                </w:p>
              </w:tc>
              <w:tc>
                <w:tcPr>
                  <w:tcW w:w="1135" w:type="pct"/>
                  <w:noWrap w:val="0"/>
                  <w:vAlign w:val="center"/>
                </w:tcPr>
                <w:p>
                  <w:pPr>
                    <w:pStyle w:val="74"/>
                    <w:rPr>
                      <w:color w:val="auto"/>
                    </w:rPr>
                  </w:pPr>
                  <w:r>
                    <w:rPr>
                      <w:color w:val="auto"/>
                    </w:rPr>
                    <w:t>E109°28′46.879″</w:t>
                  </w:r>
                  <w:r>
                    <w:rPr>
                      <w:rFonts w:hint="eastAsia"/>
                      <w:color w:val="auto"/>
                    </w:rPr>
                    <w:t>、</w:t>
                  </w:r>
                  <w:r>
                    <w:rPr>
                      <w:color w:val="auto"/>
                    </w:rPr>
                    <w:t>N28°31′44.578″</w:t>
                  </w:r>
                </w:p>
              </w:tc>
              <w:tc>
                <w:tcPr>
                  <w:tcW w:w="518" w:type="pct"/>
                  <w:noWrap w:val="0"/>
                  <w:vAlign w:val="center"/>
                </w:tcPr>
                <w:p>
                  <w:pPr>
                    <w:pStyle w:val="74"/>
                    <w:rPr>
                      <w:rFonts w:hint="eastAsia"/>
                      <w:color w:val="auto"/>
                    </w:rPr>
                  </w:pPr>
                  <w:r>
                    <w:rPr>
                      <w:rFonts w:hint="eastAsia"/>
                      <w:color w:val="auto"/>
                    </w:rPr>
                    <w:t>省控</w:t>
                  </w:r>
                </w:p>
              </w:tc>
              <w:tc>
                <w:tcPr>
                  <w:tcW w:w="660" w:type="pct"/>
                  <w:noWrap w:val="0"/>
                  <w:vAlign w:val="center"/>
                </w:tcPr>
                <w:p>
                  <w:pPr>
                    <w:pStyle w:val="74"/>
                    <w:rPr>
                      <w:rFonts w:hint="eastAsia" w:ascii="仿宋" w:hAnsi="仿宋" w:eastAsia="仿宋" w:cs="仿宋"/>
                      <w:color w:val="auto"/>
                      <w:szCs w:val="22"/>
                    </w:rPr>
                  </w:pPr>
                  <w:r>
                    <w:rPr>
                      <w:rFonts w:hint="eastAsia" w:ascii="仿宋" w:hAnsi="仿宋" w:eastAsia="仿宋" w:cs="仿宋"/>
                      <w:color w:val="auto"/>
                      <w:szCs w:val="22"/>
                    </w:rPr>
                    <w:t>Ⅱ类</w:t>
                  </w:r>
                </w:p>
              </w:tc>
              <w:tc>
                <w:tcPr>
                  <w:tcW w:w="1538" w:type="pct"/>
                  <w:noWrap w:val="0"/>
                  <w:vAlign w:val="center"/>
                </w:tcPr>
                <w:p>
                  <w:pPr>
                    <w:pStyle w:val="74"/>
                    <w:rPr>
                      <w:color w:val="auto"/>
                    </w:rPr>
                  </w:pPr>
                  <w:r>
                    <w:rPr>
                      <w:rFonts w:hint="eastAsia"/>
                      <w:color w:val="auto"/>
                    </w:rPr>
                    <w:t>项目东南侧1.78km</w:t>
                  </w:r>
                </w:p>
              </w:tc>
            </w:tr>
          </w:tbl>
          <w:p>
            <w:pPr>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cs="宋体"/>
                <w:b/>
                <w:szCs w:val="21"/>
              </w:rPr>
              <w:t>表</w:t>
            </w:r>
            <w:r>
              <w:rPr>
                <w:rFonts w:hint="eastAsia" w:cs="宋体"/>
                <w:b/>
                <w:szCs w:val="21"/>
              </w:rPr>
              <w:t>3.1-6：2023年花垣县地表水常规监测断面监测数据(单位：mg/L,pH无量纲）</w:t>
            </w:r>
          </w:p>
          <w:tbl>
            <w:tblPr>
              <w:tblStyle w:val="24"/>
              <w:tblW w:w="5000" w:type="pct"/>
              <w:jc w:val="center"/>
              <w:tblLayout w:type="fixed"/>
              <w:tblCellMar>
                <w:top w:w="0" w:type="dxa"/>
                <w:left w:w="57" w:type="dxa"/>
                <w:bottom w:w="0" w:type="dxa"/>
                <w:right w:w="57" w:type="dxa"/>
              </w:tblCellMar>
            </w:tblPr>
            <w:tblGrid>
              <w:gridCol w:w="2196"/>
              <w:gridCol w:w="1522"/>
              <w:gridCol w:w="1292"/>
              <w:gridCol w:w="1915"/>
              <w:gridCol w:w="951"/>
              <w:gridCol w:w="759"/>
            </w:tblGrid>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测站名称</w:t>
                  </w:r>
                </w:p>
              </w:tc>
              <w:tc>
                <w:tcPr>
                  <w:tcW w:w="4554" w:type="dxa"/>
                  <w:gridSpan w:val="3"/>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rPr>
                      <w:color w:val="000000"/>
                      <w:szCs w:val="21"/>
                    </w:rPr>
                  </w:pPr>
                  <w:r>
                    <w:rPr>
                      <w:color w:val="000000"/>
                      <w:szCs w:val="21"/>
                      <w:lang w:bidi="ar"/>
                    </w:rPr>
                    <w:t>湘西土家族苗族自治州</w:t>
                  </w:r>
                </w:p>
              </w:tc>
              <w:tc>
                <w:tcPr>
                  <w:tcW w:w="916" w:type="dxa"/>
                  <w:tcBorders>
                    <w:top w:val="single" w:color="000000" w:sz="8" w:space="0"/>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rFonts w:hint="eastAsia"/>
                      <w:color w:val="000000"/>
                      <w:szCs w:val="21"/>
                      <w:lang w:bidi="ar"/>
                    </w:rPr>
                    <w:t>Ⅱ</w:t>
                  </w:r>
                  <w:r>
                    <w:rPr>
                      <w:color w:val="000000"/>
                      <w:szCs w:val="21"/>
                      <w:lang w:bidi="ar"/>
                    </w:rPr>
                    <w:t>类水标准</w:t>
                  </w:r>
                  <w:r>
                    <w:rPr>
                      <w:rFonts w:hint="eastAsia"/>
                      <w:color w:val="000000"/>
                      <w:szCs w:val="21"/>
                      <w:lang w:bidi="ar"/>
                    </w:rPr>
                    <w:t>值</w:t>
                  </w:r>
                </w:p>
              </w:tc>
              <w:tc>
                <w:tcPr>
                  <w:tcW w:w="731" w:type="dxa"/>
                  <w:tcBorders>
                    <w:top w:val="single" w:color="000000" w:sz="8" w:space="0"/>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达标</w:t>
                  </w:r>
                  <w:r>
                    <w:rPr>
                      <w:rFonts w:hint="eastAsia"/>
                      <w:color w:val="000000"/>
                      <w:szCs w:val="21"/>
                      <w:lang w:bidi="ar"/>
                    </w:rPr>
                    <w:t>情况</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河流名称</w:t>
                  </w:r>
                </w:p>
              </w:tc>
              <w:tc>
                <w:tcPr>
                  <w:tcW w:w="2710" w:type="dxa"/>
                  <w:gridSpan w:val="2"/>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rPr>
                      <w:color w:val="000000"/>
                      <w:szCs w:val="21"/>
                    </w:rPr>
                  </w:pPr>
                  <w:r>
                    <w:rPr>
                      <w:color w:val="000000"/>
                      <w:szCs w:val="21"/>
                      <w:lang w:bidi="ar"/>
                    </w:rPr>
                    <w:t>酉水</w:t>
                  </w:r>
                </w:p>
              </w:tc>
              <w:tc>
                <w:tcPr>
                  <w:tcW w:w="1844" w:type="dxa"/>
                  <w:tcBorders>
                    <w:top w:val="single" w:color="000000" w:sz="4" w:space="0"/>
                    <w:left w:val="single" w:color="auto" w:sz="4" w:space="0"/>
                    <w:bottom w:val="single" w:color="000000" w:sz="4" w:space="0"/>
                    <w:right w:val="single" w:color="auto" w:sz="4" w:space="0"/>
                  </w:tcBorders>
                  <w:noWrap/>
                  <w:vAlign w:val="center"/>
                </w:tcPr>
                <w:p>
                  <w:pPr>
                    <w:widowControl/>
                    <w:wordWrap w:val="0"/>
                    <w:jc w:val="center"/>
                    <w:textAlignment w:val="center"/>
                  </w:pPr>
                  <w:r>
                    <w:t>兄弟河</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断面名称</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lang w:bidi="ar"/>
                    </w:rPr>
                  </w:pPr>
                  <w:r>
                    <w:t>川心城</w:t>
                  </w:r>
                </w:p>
              </w:tc>
              <w:tc>
                <w:tcPr>
                  <w:tcW w:w="1245" w:type="dxa"/>
                  <w:tcBorders>
                    <w:top w:val="nil"/>
                    <w:left w:val="single" w:color="000000" w:sz="8" w:space="0"/>
                    <w:bottom w:val="single" w:color="000000" w:sz="8" w:space="0"/>
                    <w:right w:val="single" w:color="auto" w:sz="4" w:space="0"/>
                  </w:tcBorders>
                  <w:noWrap/>
                  <w:vAlign w:val="center"/>
                </w:tcPr>
                <w:p>
                  <w:pPr>
                    <w:widowControl/>
                    <w:wordWrap w:val="0"/>
                    <w:jc w:val="center"/>
                    <w:textAlignment w:val="center"/>
                    <w:rPr>
                      <w:color w:val="000000"/>
                      <w:szCs w:val="21"/>
                    </w:rPr>
                  </w:pPr>
                  <w:r>
                    <w:rPr>
                      <w:rFonts w:hint="eastAsia"/>
                    </w:rPr>
                    <w:t>狮子桥坝下</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rPr>
                  </w:pPr>
                  <w:r>
                    <w:t>下寨河电站(佳民)</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采样时间</w:t>
                  </w:r>
                </w:p>
              </w:tc>
              <w:tc>
                <w:tcPr>
                  <w:tcW w:w="4554" w:type="dxa"/>
                  <w:gridSpan w:val="3"/>
                  <w:tcBorders>
                    <w:top w:val="single" w:color="000000" w:sz="4" w:space="0"/>
                    <w:left w:val="single" w:color="000000" w:sz="4" w:space="0"/>
                    <w:bottom w:val="single" w:color="000000" w:sz="4" w:space="0"/>
                    <w:right w:val="single" w:color="auto" w:sz="4" w:space="0"/>
                  </w:tcBorders>
                  <w:noWrap/>
                  <w:vAlign w:val="center"/>
                </w:tcPr>
                <w:p>
                  <w:pPr>
                    <w:widowControl/>
                    <w:wordWrap w:val="0"/>
                    <w:jc w:val="center"/>
                    <w:textAlignment w:val="center"/>
                  </w:pPr>
                  <w:r>
                    <w:t>202</w:t>
                  </w:r>
                  <w:r>
                    <w:rPr>
                      <w:rFonts w:hint="eastAsia"/>
                    </w:rPr>
                    <w:t>3</w:t>
                  </w:r>
                  <w:r>
                    <w:t>年</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pH</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8</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7</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7</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6~9</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溶解氧</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7.8</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8.0</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7.2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w:t>
                  </w:r>
                  <w:r>
                    <w:rPr>
                      <w:rFonts w:hint="eastAsia"/>
                      <w:color w:val="000000"/>
                      <w:szCs w:val="21"/>
                      <w:lang w:bidi="ar"/>
                    </w:rPr>
                    <w:t>6</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高锰酸盐指数</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1.8</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1.6</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1.5</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w:t>
                  </w:r>
                  <w:r>
                    <w:rPr>
                      <w:rFonts w:hint="eastAsia"/>
                      <w:color w:val="000000"/>
                      <w:szCs w:val="21"/>
                      <w:lang w:bidi="ar"/>
                    </w:rPr>
                    <w:t>4</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化学需氧量</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7.0</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8.2</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7.8</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r>
                    <w:rPr>
                      <w:rFonts w:hint="eastAsia"/>
                      <w:color w:val="000000"/>
                      <w:szCs w:val="21"/>
                      <w:lang w:bidi="ar"/>
                    </w:rPr>
                    <w:t>15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五日生化需氧量</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1.5</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1.6</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1.6</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w:t>
                  </w:r>
                  <w:r>
                    <w:rPr>
                      <w:rFonts w:hint="eastAsia"/>
                      <w:color w:val="000000"/>
                      <w:szCs w:val="21"/>
                      <w:lang w:bidi="ar"/>
                    </w:rPr>
                    <w:t>3</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氨氮</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0.38</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0.41</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0.06</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r>
                    <w:rPr>
                      <w:rFonts w:hint="eastAsia"/>
                      <w:color w:val="000000"/>
                      <w:szCs w:val="21"/>
                      <w:lang w:bidi="ar"/>
                    </w:rPr>
                    <w:t>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总磷</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0.032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0.034</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0.011</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w:t>
                  </w:r>
                  <w:r>
                    <w:rPr>
                      <w:rFonts w:hint="eastAsia"/>
                      <w:color w:val="000000"/>
                      <w:szCs w:val="21"/>
                      <w:lang w:bidi="ar"/>
                    </w:rPr>
                    <w:t>0.1</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铜</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0.001</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0.001</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0.001</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≤1.0</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锌</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0.025</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0.021</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0.004</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≤1.0</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氟化物</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0.113</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0.119</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0.076</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≤1.0</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硒</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0.0004</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0.0008</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≤0.01</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砷</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0.0005</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0.0007</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汞</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0.00002</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≤0.000</w:t>
                  </w:r>
                  <w:r>
                    <w:rPr>
                      <w:rFonts w:hint="eastAsia"/>
                      <w:color w:val="000000"/>
                      <w:szCs w:val="21"/>
                      <w:lang w:bidi="ar"/>
                    </w:rPr>
                    <w:t>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镉</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0.00062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0.00062</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0.00007</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六价铬</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0.002</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铅</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0.001</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0.001</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0.0003</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≤0.0</w:t>
                  </w:r>
                  <w:r>
                    <w:rPr>
                      <w:rFonts w:hint="eastAsia"/>
                      <w:color w:val="000000"/>
                      <w:szCs w:val="21"/>
                      <w:lang w:bidi="ar"/>
                    </w:rPr>
                    <w:t>1</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氰化物</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0.0005</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0.001</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w:t>
                  </w:r>
                  <w:r>
                    <w:rPr>
                      <w:rFonts w:hint="eastAsia"/>
                      <w:color w:val="000000"/>
                      <w:szCs w:val="21"/>
                      <w:lang w:bidi="ar"/>
                    </w:rPr>
                    <w:t>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挥发酚</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0.0002</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≤0.00</w:t>
                  </w:r>
                  <w:r>
                    <w:rPr>
                      <w:rFonts w:hint="eastAsia"/>
                      <w:color w:val="000000"/>
                      <w:szCs w:val="21"/>
                      <w:lang w:bidi="ar"/>
                    </w:rPr>
                    <w:t>2</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石油类</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0.005</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0.005</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≤0.05</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23"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阴离子表面活性剂</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0.02</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0.03</w:t>
                  </w:r>
                </w:p>
              </w:tc>
              <w:tc>
                <w:tcPr>
                  <w:tcW w:w="1844"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pPr>
                  <w:r>
                    <w:t>0.0002</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color w:val="000000"/>
                      <w:szCs w:val="21"/>
                      <w:lang w:bidi="ar"/>
                    </w:rPr>
                    <w:t>≤0.2</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r>
              <w:tblPrEx>
                <w:tblCellMar>
                  <w:top w:w="0" w:type="dxa"/>
                  <w:left w:w="57" w:type="dxa"/>
                  <w:bottom w:w="0" w:type="dxa"/>
                  <w:right w:w="57" w:type="dxa"/>
                </w:tblCellMar>
              </w:tblPrEx>
              <w:trPr>
                <w:trHeight w:val="90" w:hRule="atLeast"/>
                <w:jc w:val="center"/>
              </w:trPr>
              <w:tc>
                <w:tcPr>
                  <w:tcW w:w="2114" w:type="dxa"/>
                  <w:tcBorders>
                    <w:top w:val="single" w:color="000000" w:sz="4" w:space="0"/>
                    <w:left w:val="single" w:color="000000" w:sz="4" w:space="0"/>
                    <w:bottom w:val="single" w:color="000000" w:sz="4" w:space="0"/>
                    <w:right w:val="single" w:color="000000" w:sz="4" w:space="0"/>
                  </w:tcBorders>
                  <w:noWrap/>
                  <w:vAlign w:val="center"/>
                </w:tcPr>
                <w:p>
                  <w:pPr>
                    <w:widowControl/>
                    <w:wordWrap w:val="0"/>
                    <w:jc w:val="center"/>
                    <w:textAlignment w:val="center"/>
                    <w:rPr>
                      <w:color w:val="000000"/>
                      <w:szCs w:val="21"/>
                    </w:rPr>
                  </w:pPr>
                  <w:r>
                    <w:rPr>
                      <w:color w:val="000000"/>
                      <w:szCs w:val="21"/>
                      <w:lang w:bidi="ar"/>
                    </w:rPr>
                    <w:t>硫化物</w:t>
                  </w:r>
                </w:p>
              </w:tc>
              <w:tc>
                <w:tcPr>
                  <w:tcW w:w="14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0.005</w:t>
                  </w:r>
                </w:p>
              </w:tc>
              <w:tc>
                <w:tcPr>
                  <w:tcW w:w="1245" w:type="dxa"/>
                  <w:tcBorders>
                    <w:top w:val="nil"/>
                    <w:left w:val="single" w:color="000000" w:sz="8" w:space="0"/>
                    <w:bottom w:val="single" w:color="000000" w:sz="8" w:space="0"/>
                    <w:right w:val="single" w:color="auto" w:sz="4" w:space="0"/>
                  </w:tcBorders>
                  <w:noWrap/>
                  <w:vAlign w:val="center"/>
                </w:tcPr>
                <w:p>
                  <w:pPr>
                    <w:widowControl/>
                    <w:jc w:val="center"/>
                    <w:textAlignment w:val="center"/>
                    <w:rPr>
                      <w:color w:val="000000"/>
                      <w:szCs w:val="21"/>
                      <w:lang w:bidi="ar"/>
                    </w:rPr>
                  </w:pPr>
                  <w:r>
                    <w:rPr>
                      <w:rFonts w:eastAsia="仿宋_GB2312"/>
                      <w:color w:val="000000"/>
                      <w:kern w:val="0"/>
                      <w:szCs w:val="21"/>
                      <w:lang w:bidi="ar"/>
                    </w:rPr>
                    <w:t>0.005</w:t>
                  </w:r>
                </w:p>
              </w:tc>
              <w:tc>
                <w:tcPr>
                  <w:tcW w:w="1844" w:type="dxa"/>
                  <w:tcBorders>
                    <w:top w:val="nil"/>
                    <w:left w:val="single" w:color="auto" w:sz="4" w:space="0"/>
                    <w:bottom w:val="single" w:color="000000" w:sz="8" w:space="0"/>
                    <w:right w:val="single" w:color="auto" w:sz="4" w:space="0"/>
                  </w:tcBorders>
                  <w:noWrap/>
                  <w:vAlign w:val="center"/>
                </w:tcPr>
                <w:p>
                  <w:pPr>
                    <w:widowControl/>
                    <w:jc w:val="center"/>
                    <w:textAlignment w:val="center"/>
                    <w:rPr>
                      <w:rFonts w:eastAsia="仿宋_GB2312"/>
                      <w:color w:val="000000"/>
                      <w:kern w:val="0"/>
                      <w:szCs w:val="21"/>
                      <w:lang w:bidi="ar"/>
                    </w:rPr>
                  </w:pPr>
                  <w:r>
                    <w:rPr>
                      <w:rFonts w:ascii="仿宋_GB2312" w:hAnsi="Calibri" w:eastAsia="仿宋_GB2312" w:cs="仿宋_GB2312"/>
                      <w:color w:val="000000"/>
                      <w:kern w:val="0"/>
                      <w:szCs w:val="21"/>
                      <w:lang w:bidi="ar"/>
                    </w:rPr>
                    <w:t>0.01</w:t>
                  </w:r>
                </w:p>
              </w:tc>
              <w:tc>
                <w:tcPr>
                  <w:tcW w:w="916"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rFonts w:hint="eastAsia"/>
                      <w:color w:val="000000"/>
                      <w:szCs w:val="21"/>
                      <w:lang w:bidi="ar"/>
                    </w:rPr>
                  </w:pPr>
                  <w:r>
                    <w:rPr>
                      <w:color w:val="000000"/>
                      <w:szCs w:val="21"/>
                      <w:lang w:bidi="ar"/>
                    </w:rPr>
                    <w:t>≤0.</w:t>
                  </w:r>
                  <w:r>
                    <w:rPr>
                      <w:rFonts w:hint="eastAsia"/>
                      <w:color w:val="000000"/>
                      <w:szCs w:val="21"/>
                      <w:lang w:bidi="ar"/>
                    </w:rPr>
                    <w:t>1</w:t>
                  </w:r>
                </w:p>
              </w:tc>
              <w:tc>
                <w:tcPr>
                  <w:tcW w:w="731" w:type="dxa"/>
                  <w:tcBorders>
                    <w:top w:val="nil"/>
                    <w:left w:val="single" w:color="auto" w:sz="4" w:space="0"/>
                    <w:bottom w:val="single" w:color="000000" w:sz="8" w:space="0"/>
                    <w:right w:val="single" w:color="auto" w:sz="4" w:space="0"/>
                  </w:tcBorders>
                  <w:noWrap/>
                  <w:vAlign w:val="center"/>
                </w:tcPr>
                <w:p>
                  <w:pPr>
                    <w:widowControl/>
                    <w:wordWrap w:val="0"/>
                    <w:jc w:val="center"/>
                    <w:textAlignment w:val="center"/>
                    <w:rPr>
                      <w:color w:val="000000"/>
                      <w:szCs w:val="21"/>
                      <w:lang w:bidi="ar"/>
                    </w:rPr>
                  </w:pPr>
                  <w:r>
                    <w:rPr>
                      <w:rFonts w:hint="eastAsia"/>
                      <w:color w:val="000000"/>
                      <w:szCs w:val="21"/>
                      <w:lang w:bidi="ar"/>
                    </w:rPr>
                    <w:t>达标</w:t>
                  </w:r>
                </w:p>
              </w:tc>
            </w:tr>
          </w:tbl>
          <w:p>
            <w:pPr>
              <w:wordWrap w:val="0"/>
              <w:spacing w:line="360" w:lineRule="auto"/>
              <w:ind w:firstLine="480" w:firstLineChars="200"/>
              <w:rPr>
                <w:sz w:val="24"/>
              </w:rPr>
            </w:pPr>
            <w:r>
              <w:rPr>
                <w:sz w:val="24"/>
              </w:rPr>
              <w:t>由</w:t>
            </w:r>
            <w:r>
              <w:rPr>
                <w:rFonts w:hint="eastAsia"/>
                <w:sz w:val="24"/>
              </w:rPr>
              <w:t>上表</w:t>
            </w:r>
            <w:r>
              <w:rPr>
                <w:sz w:val="24"/>
              </w:rPr>
              <w:t>可知，</w:t>
            </w:r>
            <w:r>
              <w:rPr>
                <w:rFonts w:hint="eastAsia"/>
                <w:sz w:val="24"/>
              </w:rPr>
              <w:t>2023年川心城、狮子桥坝下、</w:t>
            </w:r>
            <w:r>
              <w:rPr>
                <w:sz w:val="24"/>
              </w:rPr>
              <w:t>下寨河电站</w:t>
            </w:r>
            <w:r>
              <w:rPr>
                <w:rFonts w:hint="eastAsia"/>
                <w:sz w:val="24"/>
              </w:rPr>
              <w:t>（</w:t>
            </w:r>
            <w:r>
              <w:rPr>
                <w:sz w:val="24"/>
              </w:rPr>
              <w:t>佳民</w:t>
            </w:r>
            <w:r>
              <w:rPr>
                <w:rFonts w:hint="eastAsia"/>
                <w:sz w:val="24"/>
              </w:rPr>
              <w:t>）</w:t>
            </w:r>
            <w:r>
              <w:rPr>
                <w:sz w:val="24"/>
              </w:rPr>
              <w:t>常规监测断面各项监测指标能达到《地表水环境质量标准》（GB3838-2002）</w:t>
            </w:r>
            <w:r>
              <w:rPr>
                <w:rFonts w:hint="eastAsia" w:ascii="仿宋" w:hAnsi="仿宋" w:eastAsia="仿宋" w:cs="仿宋"/>
                <w:sz w:val="24"/>
              </w:rPr>
              <w:t>Ⅱ</w:t>
            </w:r>
            <w:r>
              <w:rPr>
                <w:sz w:val="24"/>
              </w:rPr>
              <w:t>类标准要求</w:t>
            </w:r>
            <w:r>
              <w:rPr>
                <w:rFonts w:hint="eastAsia"/>
                <w:sz w:val="24"/>
              </w:rPr>
              <w:t>，</w:t>
            </w:r>
            <w:r>
              <w:rPr>
                <w:sz w:val="24"/>
              </w:rPr>
              <w:t>总体而言，</w:t>
            </w:r>
            <w:r>
              <w:rPr>
                <w:rFonts w:hint="eastAsia"/>
                <w:sz w:val="24"/>
              </w:rPr>
              <w:t>兄弟河和花垣河</w:t>
            </w:r>
            <w:r>
              <w:rPr>
                <w:sz w:val="24"/>
              </w:rPr>
              <w:t>水质现状较好。</w:t>
            </w:r>
          </w:p>
          <w:p>
            <w:pPr>
              <w:keepNext/>
              <w:keepLines/>
              <w:wordWrap w:val="0"/>
              <w:spacing w:before="192" w:beforeLines="80" w:after="192" w:afterLines="80"/>
              <w:outlineLvl w:val="2"/>
              <w:rPr>
                <w:b/>
                <w:bCs/>
                <w:sz w:val="28"/>
                <w:szCs w:val="32"/>
              </w:rPr>
            </w:pPr>
            <w:bookmarkStart w:id="79" w:name="_Toc111721059"/>
            <w:bookmarkStart w:id="80" w:name="_Toc109734374"/>
            <w:bookmarkStart w:id="81" w:name="_Toc109630673"/>
            <w:bookmarkStart w:id="82" w:name="_Toc110446477"/>
            <w:bookmarkStart w:id="83" w:name="_Toc109294470"/>
            <w:r>
              <w:rPr>
                <w:rFonts w:hint="eastAsia"/>
                <w:b/>
                <w:bCs/>
                <w:sz w:val="28"/>
                <w:szCs w:val="32"/>
              </w:rPr>
              <w:t>3</w:t>
            </w:r>
            <w:r>
              <w:rPr>
                <w:b/>
                <w:bCs/>
                <w:sz w:val="28"/>
                <w:szCs w:val="32"/>
              </w:rPr>
              <w:t>.1.3</w:t>
            </w:r>
            <w:r>
              <w:rPr>
                <w:rFonts w:hint="eastAsia"/>
                <w:b/>
                <w:bCs/>
                <w:sz w:val="28"/>
                <w:szCs w:val="32"/>
              </w:rPr>
              <w:t>声环境</w:t>
            </w:r>
            <w:bookmarkEnd w:id="79"/>
            <w:bookmarkEnd w:id="80"/>
            <w:bookmarkEnd w:id="81"/>
            <w:bookmarkEnd w:id="82"/>
            <w:bookmarkEnd w:id="83"/>
          </w:p>
          <w:p>
            <w:pPr>
              <w:wordWrap w:val="0"/>
              <w:spacing w:line="360" w:lineRule="auto"/>
              <w:ind w:firstLine="480" w:firstLineChars="200"/>
              <w:rPr>
                <w:rFonts w:hint="eastAsia"/>
                <w:sz w:val="24"/>
                <w:szCs w:val="22"/>
              </w:rPr>
            </w:pPr>
            <w:bookmarkStart w:id="84" w:name="_Toc110446478"/>
            <w:bookmarkStart w:id="85" w:name="_Toc109630674"/>
            <w:bookmarkStart w:id="86" w:name="_Toc111721060"/>
            <w:bookmarkStart w:id="87" w:name="_Toc109734375"/>
            <w:bookmarkStart w:id="88" w:name="_Toc109294471"/>
            <w:r>
              <w:rPr>
                <w:rFonts w:hint="eastAsia"/>
                <w:sz w:val="24"/>
                <w:szCs w:val="22"/>
              </w:rPr>
              <w:t>根据《建设项目环境影响报告表编制技术指南》（污染影响类）（试行）可知，厂界外周边50米范围内存在声环境保护目标的建设项目，应监测保护目标声环境质量现状并评价达标情况。</w:t>
            </w:r>
          </w:p>
          <w:p>
            <w:pPr>
              <w:wordWrap w:val="0"/>
              <w:spacing w:line="360" w:lineRule="auto"/>
              <w:ind w:firstLine="480" w:firstLineChars="200"/>
              <w:rPr>
                <w:rFonts w:hint="eastAsia"/>
                <w:sz w:val="24"/>
                <w:szCs w:val="22"/>
              </w:rPr>
            </w:pPr>
            <w:r>
              <w:rPr>
                <w:rFonts w:hint="eastAsia"/>
                <w:sz w:val="24"/>
                <w:szCs w:val="22"/>
              </w:rPr>
              <w:t>本项目周边50m范围内无环境保护目标，故本项目不进行声环境质量现状评价。</w:t>
            </w:r>
          </w:p>
          <w:p>
            <w:pPr>
              <w:keepNext/>
              <w:keepLines/>
              <w:wordWrap w:val="0"/>
              <w:spacing w:before="192" w:beforeLines="80" w:after="192" w:afterLines="80"/>
              <w:outlineLvl w:val="2"/>
              <w:rPr>
                <w:b/>
                <w:bCs/>
                <w:sz w:val="28"/>
                <w:szCs w:val="32"/>
              </w:rPr>
            </w:pPr>
            <w:r>
              <w:rPr>
                <w:rFonts w:hint="eastAsia"/>
                <w:b/>
                <w:bCs/>
                <w:sz w:val="28"/>
                <w:szCs w:val="32"/>
              </w:rPr>
              <w:t>3.1.4地下水、土壤环境</w:t>
            </w:r>
          </w:p>
          <w:p>
            <w:pPr>
              <w:wordWrap w:val="0"/>
              <w:spacing w:line="360" w:lineRule="auto"/>
              <w:ind w:firstLine="480" w:firstLineChars="200"/>
              <w:rPr>
                <w:rFonts w:hint="eastAsia"/>
                <w:sz w:val="24"/>
                <w:szCs w:val="22"/>
              </w:rPr>
            </w:pPr>
            <w:r>
              <w:rPr>
                <w:rFonts w:hint="eastAsia"/>
                <w:sz w:val="24"/>
                <w:szCs w:val="22"/>
              </w:rPr>
              <w:t>根据《建设项目环境影响报告表编制技术指南》（污染影响类）（试行）可知：原则上不开展环境质量现状调查。建设项目存在土壤、地下水环境污染途径的，应结合污染源、保护目标分布情况开展现状调查以留作背景值。</w:t>
            </w:r>
          </w:p>
          <w:p>
            <w:pPr>
              <w:wordWrap w:val="0"/>
              <w:spacing w:line="360" w:lineRule="auto"/>
              <w:ind w:firstLine="480" w:firstLineChars="200"/>
              <w:rPr>
                <w:rFonts w:hint="eastAsia"/>
                <w:sz w:val="24"/>
                <w:szCs w:val="22"/>
                <w:u w:val="single"/>
              </w:rPr>
            </w:pPr>
            <w:r>
              <w:rPr>
                <w:rFonts w:hint="eastAsia"/>
                <w:sz w:val="24"/>
                <w:szCs w:val="22"/>
                <w:u w:val="single"/>
                <w:lang w:eastAsia="zh-CN"/>
              </w:rPr>
              <w:t>经现场调查，项目周边居民用水来源于花垣县城镇供水，</w:t>
            </w:r>
            <w:r>
              <w:rPr>
                <w:rFonts w:hint="eastAsia"/>
                <w:sz w:val="24"/>
                <w:szCs w:val="22"/>
                <w:u w:val="single"/>
              </w:rPr>
              <w:t>周边500米范围内无地下水集中式饮用水水源和热水、矿泉水、温泉等特殊地下水资源等地下水环境保护目标。故不对土壤环境、地下水环境进行环境质量现状调查。</w:t>
            </w:r>
          </w:p>
          <w:p>
            <w:pPr>
              <w:keepNext/>
              <w:keepLines/>
              <w:wordWrap w:val="0"/>
              <w:spacing w:before="192" w:beforeLines="80" w:after="192" w:afterLines="80"/>
              <w:outlineLvl w:val="2"/>
              <w:rPr>
                <w:rFonts w:hint="eastAsia"/>
                <w:b/>
                <w:bCs/>
                <w:sz w:val="28"/>
                <w:szCs w:val="32"/>
              </w:rPr>
            </w:pPr>
            <w:r>
              <w:rPr>
                <w:rFonts w:hint="eastAsia"/>
                <w:b/>
                <w:bCs/>
                <w:sz w:val="28"/>
                <w:szCs w:val="32"/>
              </w:rPr>
              <w:t>3.1.5生态环境</w:t>
            </w:r>
            <w:bookmarkEnd w:id="84"/>
            <w:bookmarkEnd w:id="85"/>
            <w:bookmarkEnd w:id="86"/>
            <w:bookmarkEnd w:id="87"/>
            <w:bookmarkEnd w:id="88"/>
          </w:p>
          <w:p>
            <w:pPr>
              <w:adjustRightInd w:val="0"/>
              <w:snapToGrid w:val="0"/>
              <w:spacing w:before="120" w:beforeLines="50" w:line="360" w:lineRule="auto"/>
              <w:ind w:firstLine="480" w:firstLineChars="200"/>
              <w:jc w:val="left"/>
              <w:rPr>
                <w:sz w:val="24"/>
              </w:rPr>
            </w:pPr>
            <w:bookmarkStart w:id="89" w:name="_Toc109294472"/>
            <w:bookmarkStart w:id="90" w:name="_Toc111721061"/>
            <w:bookmarkStart w:id="91" w:name="_Toc109734376"/>
            <w:bookmarkStart w:id="92" w:name="_Toc110446479"/>
            <w:bookmarkStart w:id="93" w:name="_Toc109630675"/>
            <w:r>
              <w:rPr>
                <w:sz w:val="24"/>
              </w:rPr>
              <w:t>项目地位于</w:t>
            </w:r>
            <w:r>
              <w:rPr>
                <w:rFonts w:hint="eastAsia"/>
                <w:sz w:val="24"/>
              </w:rPr>
              <w:t>花垣县花垣镇境内，项目场内道路与紫霞湖大道衔接，交通便利</w:t>
            </w:r>
            <w:r>
              <w:rPr>
                <w:sz w:val="24"/>
              </w:rPr>
              <w:t>，</w:t>
            </w:r>
            <w:r>
              <w:rPr>
                <w:rFonts w:hint="eastAsia"/>
                <w:sz w:val="24"/>
              </w:rPr>
              <w:t>场地现状为打砂场，附近的环境多以灌木草丛参杂相伴，</w:t>
            </w:r>
            <w:r>
              <w:rPr>
                <w:sz w:val="24"/>
              </w:rPr>
              <w:t>项目用地现状以山地为主，受人类活动的影响，区域内主要植被为自然生长的灌木、杂草，评价区内无大型动物，动物以林地生态系统常见动物为主。根据调查，本项目评价范围内尚未发现国家重点保护珍稀动植物。该区域生态系统结构简单。</w:t>
            </w:r>
          </w:p>
          <w:p>
            <w:pPr>
              <w:keepNext/>
              <w:keepLines/>
              <w:wordWrap w:val="0"/>
              <w:spacing w:before="192" w:beforeLines="80" w:after="192" w:afterLines="80"/>
              <w:outlineLvl w:val="2"/>
              <w:rPr>
                <w:rFonts w:hint="eastAsia"/>
                <w:b/>
                <w:bCs/>
                <w:sz w:val="28"/>
                <w:szCs w:val="32"/>
              </w:rPr>
            </w:pPr>
            <w:r>
              <w:rPr>
                <w:rFonts w:hint="eastAsia"/>
                <w:b/>
                <w:bCs/>
                <w:sz w:val="28"/>
                <w:szCs w:val="32"/>
              </w:rPr>
              <w:t>3.1.6电磁辐射</w:t>
            </w:r>
            <w:bookmarkEnd w:id="89"/>
            <w:bookmarkEnd w:id="90"/>
            <w:bookmarkEnd w:id="91"/>
            <w:bookmarkEnd w:id="92"/>
            <w:bookmarkEnd w:id="93"/>
          </w:p>
          <w:p>
            <w:pPr>
              <w:adjustRightInd w:val="0"/>
              <w:snapToGrid w:val="0"/>
              <w:spacing w:before="120" w:beforeLines="50" w:line="360" w:lineRule="auto"/>
              <w:ind w:firstLine="480" w:firstLineChars="200"/>
              <w:jc w:val="left"/>
              <w:rPr>
                <w:rFonts w:ascii="宋体" w:hAnsi="宋体" w:cs="宋体"/>
                <w:kern w:val="0"/>
                <w:szCs w:val="21"/>
              </w:rPr>
            </w:pPr>
            <w:r>
              <w:rPr>
                <w:sz w:val="24"/>
              </w:rPr>
              <w:t>本项目不涉及电磁辐射设备，不进行电磁辐射影响评价，因此无需进行电磁辐射环境现状调查</w:t>
            </w:r>
            <w:r>
              <w:rPr>
                <w:rFonts w:hint="eastAsia"/>
                <w:sz w:val="24"/>
              </w:rPr>
              <w:t>。</w:t>
            </w:r>
          </w:p>
        </w:tc>
      </w:tr>
    </w:tbl>
    <w:p>
      <w:pPr>
        <w:adjustRightInd w:val="0"/>
        <w:snapToGrid w:val="0"/>
        <w:rPr>
          <w:rFonts w:hint="eastAsia" w:ascii="宋体" w:hAnsi="宋体" w:cs="宋体"/>
          <w:kern w:val="0"/>
          <w:sz w:val="24"/>
        </w:rPr>
        <w:sectPr>
          <w:pgSz w:w="11907" w:h="16840"/>
          <w:pgMar w:top="1440" w:right="1083" w:bottom="1440" w:left="1083" w:header="851" w:footer="851" w:gutter="0"/>
          <w:pgNumType w:fmt="numberInDash"/>
          <w:cols w:space="720" w:num="1"/>
          <w:docGrid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4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699" w:type="dxa"/>
            <w:noWrap w:val="0"/>
            <w:vAlign w:val="center"/>
          </w:tcPr>
          <w:p>
            <w:pPr>
              <w:adjustRightInd w:val="0"/>
              <w:snapToGrid w:val="0"/>
              <w:rPr>
                <w:rFonts w:hint="eastAsia" w:ascii="宋体" w:hAnsi="宋体" w:cs="宋体"/>
                <w:kern w:val="0"/>
                <w:sz w:val="24"/>
              </w:rPr>
            </w:pPr>
          </w:p>
          <w:p>
            <w:pPr>
              <w:adjustRightInd w:val="0"/>
              <w:snapToGrid w:val="0"/>
              <w:jc w:val="center"/>
              <w:rPr>
                <w:rFonts w:hint="eastAsia" w:ascii="宋体" w:hAnsi="宋体" w:cs="宋体"/>
                <w:kern w:val="0"/>
                <w:sz w:val="24"/>
              </w:rPr>
            </w:pPr>
            <w:r>
              <w:rPr>
                <w:rFonts w:hint="eastAsia" w:ascii="宋体" w:hAnsi="宋体" w:cs="宋体"/>
                <w:kern w:val="0"/>
                <w:sz w:val="24"/>
              </w:rPr>
              <w:t>环境</w:t>
            </w:r>
          </w:p>
          <w:p>
            <w:pPr>
              <w:adjustRightInd w:val="0"/>
              <w:snapToGrid w:val="0"/>
              <w:jc w:val="center"/>
              <w:rPr>
                <w:rFonts w:hint="eastAsia" w:ascii="宋体" w:hAnsi="宋体" w:cs="宋体"/>
                <w:kern w:val="0"/>
                <w:sz w:val="24"/>
              </w:rPr>
            </w:pPr>
            <w:r>
              <w:rPr>
                <w:rFonts w:hint="eastAsia" w:ascii="宋体" w:hAnsi="宋体" w:cs="宋体"/>
                <w:kern w:val="0"/>
                <w:sz w:val="24"/>
              </w:rPr>
              <w:t>保护</w:t>
            </w:r>
          </w:p>
          <w:p>
            <w:pPr>
              <w:adjustRightInd w:val="0"/>
              <w:snapToGrid w:val="0"/>
              <w:jc w:val="center"/>
              <w:rPr>
                <w:rFonts w:hint="eastAsia" w:ascii="宋体" w:hAnsi="宋体" w:cs="宋体"/>
                <w:kern w:val="0"/>
                <w:sz w:val="24"/>
              </w:rPr>
            </w:pPr>
            <w:r>
              <w:rPr>
                <w:rFonts w:hint="eastAsia" w:ascii="宋体" w:hAnsi="宋体" w:cs="宋体"/>
                <w:kern w:val="0"/>
                <w:sz w:val="24"/>
              </w:rPr>
              <w:t>目标</w:t>
            </w:r>
          </w:p>
          <w:p>
            <w:pPr>
              <w:adjustRightInd w:val="0"/>
              <w:snapToGrid w:val="0"/>
              <w:rPr>
                <w:rFonts w:hint="eastAsia" w:ascii="宋体" w:hAnsi="宋体" w:cs="宋体"/>
                <w:kern w:val="0"/>
                <w:szCs w:val="21"/>
              </w:rPr>
            </w:pPr>
          </w:p>
          <w:p>
            <w:pPr>
              <w:adjustRightInd w:val="0"/>
              <w:snapToGrid w:val="0"/>
              <w:rPr>
                <w:rFonts w:hint="eastAsia" w:ascii="宋体" w:hAnsi="宋体" w:cs="宋体"/>
                <w:kern w:val="0"/>
                <w:szCs w:val="21"/>
              </w:rPr>
            </w:pPr>
          </w:p>
        </w:tc>
        <w:tc>
          <w:tcPr>
            <w:tcW w:w="12529" w:type="dxa"/>
            <w:noWrap w:val="0"/>
            <w:vAlign w:val="center"/>
          </w:tcPr>
          <w:p>
            <w:pPr>
              <w:keepNext/>
              <w:keepLines/>
              <w:wordWrap w:val="0"/>
              <w:spacing w:before="260" w:after="260"/>
              <w:outlineLvl w:val="1"/>
              <w:rPr>
                <w:b/>
                <w:sz w:val="32"/>
              </w:rPr>
            </w:pPr>
            <w:r>
              <w:rPr>
                <w:rFonts w:hint="eastAsia"/>
                <w:b/>
                <w:sz w:val="32"/>
              </w:rPr>
              <w:t>3.2环境保护目标</w:t>
            </w:r>
          </w:p>
          <w:p>
            <w:pPr>
              <w:pStyle w:val="13"/>
              <w:adjustRightInd w:val="0"/>
              <w:snapToGrid w:val="0"/>
              <w:spacing w:after="0" w:line="360" w:lineRule="auto"/>
              <w:ind w:left="0" w:leftChars="0" w:firstLine="480" w:firstLineChars="200"/>
              <w:jc w:val="left"/>
              <w:rPr>
                <w:rFonts w:hint="eastAsia" w:ascii="Times New Roman" w:hAnsi="Times New Roman" w:eastAsia="宋体" w:cs="Times New Roman"/>
                <w:sz w:val="24"/>
                <w:lang w:val="en-US" w:eastAsia="zh-CN"/>
              </w:rPr>
            </w:pPr>
            <w:r>
              <w:rPr>
                <w:rFonts w:hint="eastAsia" w:ascii="Times New Roman" w:hAnsi="Times New Roman" w:cs="Times New Roman"/>
                <w:sz w:val="24"/>
                <w:szCs w:val="21"/>
              </w:rPr>
              <w:t>本项目均位于</w:t>
            </w:r>
            <w:r>
              <w:rPr>
                <w:rFonts w:hint="eastAsia" w:ascii="宋体" w:hAnsi="宋体" w:cs="宋体"/>
                <w:sz w:val="24"/>
              </w:rPr>
              <w:t>花垣县花垣镇</w:t>
            </w:r>
            <w:r>
              <w:rPr>
                <w:rFonts w:hint="eastAsia" w:ascii="Times New Roman" w:hAnsi="Times New Roman" w:cs="Times New Roman"/>
                <w:sz w:val="24"/>
              </w:rPr>
              <w:t>，根据《建设项目环境影响报告表编制技术指南（污染影响类）（试行）》（环办环评[2020]33号），大气环境保护目标为厂界外500m范围内的自然保护区、风景名胜区、居住区、文化区和农村地区中人群较集中的区域；声环境保护目标为厂界外50m范围内的声环境保护目标；地下水保护目标为厂界外500m范围内的地下水集中式饮用水水源和热水、矿泉水、温泉等特殊地下水资源。</w:t>
            </w:r>
            <w:r>
              <w:rPr>
                <w:rFonts w:hint="eastAsia" w:ascii="Times New Roman" w:hAnsi="Times New Roman" w:cs="Times New Roman"/>
                <w:sz w:val="24"/>
                <w:u w:val="single"/>
                <w:lang w:eastAsia="zh-CN"/>
              </w:rPr>
              <w:t>据现场调查，项目</w:t>
            </w:r>
            <w:r>
              <w:rPr>
                <w:rFonts w:hint="eastAsia" w:ascii="Times New Roman" w:hAnsi="Times New Roman" w:cs="Times New Roman"/>
                <w:sz w:val="24"/>
                <w:u w:val="single"/>
                <w:lang w:val="en-US" w:eastAsia="zh-CN"/>
              </w:rPr>
              <w:t>500m范围内主要环境保护目标位流当居民点，无</w:t>
            </w:r>
            <w:r>
              <w:rPr>
                <w:rFonts w:hint="eastAsia" w:ascii="Times New Roman" w:hAnsi="Times New Roman" w:cs="Times New Roman"/>
                <w:sz w:val="24"/>
                <w:u w:val="single"/>
              </w:rPr>
              <w:t>地下水集中式饮用水水源和热水、矿泉水、温泉等特殊地下水资源</w:t>
            </w:r>
            <w:r>
              <w:rPr>
                <w:rFonts w:hint="eastAsia" w:ascii="Times New Roman" w:hAnsi="Times New Roman" w:cs="Times New Roman"/>
                <w:sz w:val="24"/>
                <w:u w:val="single"/>
                <w:lang w:eastAsia="zh-CN"/>
              </w:rPr>
              <w:t>和</w:t>
            </w:r>
            <w:r>
              <w:rPr>
                <w:rFonts w:hint="eastAsia" w:ascii="Times New Roman" w:hAnsi="Times New Roman" w:cs="Times New Roman"/>
                <w:sz w:val="24"/>
                <w:u w:val="single"/>
              </w:rPr>
              <w:t>自然保护区、风景名胜区、居住区、文化区</w:t>
            </w:r>
            <w:r>
              <w:rPr>
                <w:rFonts w:hint="eastAsia" w:ascii="Times New Roman" w:hAnsi="Times New Roman" w:cs="Times New Roman"/>
                <w:sz w:val="24"/>
                <w:u w:val="single"/>
                <w:lang w:eastAsia="zh-CN"/>
              </w:rPr>
              <w:t>。</w:t>
            </w:r>
          </w:p>
          <w:p>
            <w:pPr>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表3.2-1  项目主要环境保护目标一览表</w:t>
            </w:r>
          </w:p>
          <w:tbl>
            <w:tblPr>
              <w:tblStyle w:val="24"/>
              <w:tblpPr w:leftFromText="180" w:rightFromText="180" w:vertAnchor="text" w:horzAnchor="page" w:tblpX="35" w:tblpY="39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64"/>
              <w:gridCol w:w="771"/>
              <w:gridCol w:w="1035"/>
              <w:gridCol w:w="1485"/>
              <w:gridCol w:w="1515"/>
              <w:gridCol w:w="915"/>
              <w:gridCol w:w="840"/>
              <w:gridCol w:w="840"/>
              <w:gridCol w:w="1031"/>
              <w:gridCol w:w="832"/>
              <w:gridCol w:w="1854"/>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64" w:type="dxa"/>
                  <w:vMerge w:val="restart"/>
                  <w:noWrap w:val="0"/>
                  <w:vAlign w:val="center"/>
                </w:tcPr>
                <w:p>
                  <w:pPr>
                    <w:pStyle w:val="69"/>
                    <w:rPr>
                      <w:rFonts w:hAnsi="Times New Roman"/>
                      <w:b w:val="0"/>
                    </w:rPr>
                  </w:pPr>
                  <w:r>
                    <w:rPr>
                      <w:rFonts w:hAnsi="Times New Roman"/>
                      <w:b w:val="0"/>
                    </w:rPr>
                    <w:t>编号</w:t>
                  </w:r>
                </w:p>
              </w:tc>
              <w:tc>
                <w:tcPr>
                  <w:tcW w:w="771" w:type="dxa"/>
                  <w:vMerge w:val="restart"/>
                  <w:noWrap w:val="0"/>
                  <w:vAlign w:val="center"/>
                </w:tcPr>
                <w:p>
                  <w:pPr>
                    <w:pStyle w:val="69"/>
                    <w:rPr>
                      <w:rFonts w:hAnsi="Times New Roman"/>
                      <w:b w:val="0"/>
                    </w:rPr>
                  </w:pPr>
                  <w:r>
                    <w:rPr>
                      <w:rFonts w:hAnsi="Times New Roman"/>
                      <w:b w:val="0"/>
                    </w:rPr>
                    <w:t>环境要素</w:t>
                  </w:r>
                </w:p>
              </w:tc>
              <w:tc>
                <w:tcPr>
                  <w:tcW w:w="1035" w:type="dxa"/>
                  <w:vMerge w:val="restart"/>
                  <w:noWrap w:val="0"/>
                  <w:vAlign w:val="center"/>
                </w:tcPr>
                <w:p>
                  <w:pPr>
                    <w:pStyle w:val="69"/>
                    <w:rPr>
                      <w:rFonts w:hAnsi="Times New Roman"/>
                      <w:b w:val="0"/>
                    </w:rPr>
                  </w:pPr>
                  <w:r>
                    <w:rPr>
                      <w:rFonts w:hAnsi="Times New Roman"/>
                      <w:b w:val="0"/>
                    </w:rPr>
                    <w:t>环境保护目标</w:t>
                  </w:r>
                </w:p>
              </w:tc>
              <w:tc>
                <w:tcPr>
                  <w:tcW w:w="3000" w:type="dxa"/>
                  <w:gridSpan w:val="2"/>
                  <w:tcBorders>
                    <w:bottom w:val="nil"/>
                  </w:tcBorders>
                  <w:noWrap w:val="0"/>
                  <w:vAlign w:val="center"/>
                </w:tcPr>
                <w:p>
                  <w:pPr>
                    <w:pStyle w:val="69"/>
                    <w:rPr>
                      <w:rFonts w:hAnsi="Times New Roman"/>
                      <w:b w:val="0"/>
                    </w:rPr>
                  </w:pPr>
                  <w:r>
                    <w:rPr>
                      <w:rFonts w:hAnsi="Times New Roman"/>
                      <w:b w:val="0"/>
                    </w:rPr>
                    <w:t>坐标</w:t>
                  </w:r>
                </w:p>
              </w:tc>
              <w:tc>
                <w:tcPr>
                  <w:tcW w:w="915" w:type="dxa"/>
                  <w:vMerge w:val="restart"/>
                  <w:noWrap w:val="0"/>
                  <w:vAlign w:val="center"/>
                </w:tcPr>
                <w:p>
                  <w:pPr>
                    <w:pStyle w:val="69"/>
                    <w:rPr>
                      <w:rFonts w:hAnsi="Times New Roman"/>
                      <w:b w:val="0"/>
                    </w:rPr>
                  </w:pPr>
                  <w:r>
                    <w:rPr>
                      <w:rFonts w:hAnsi="Times New Roman"/>
                      <w:b w:val="0"/>
                    </w:rPr>
                    <w:t>保护对象</w:t>
                  </w:r>
                </w:p>
              </w:tc>
              <w:tc>
                <w:tcPr>
                  <w:tcW w:w="840" w:type="dxa"/>
                  <w:vMerge w:val="restart"/>
                  <w:noWrap w:val="0"/>
                  <w:vAlign w:val="center"/>
                </w:tcPr>
                <w:p>
                  <w:pPr>
                    <w:pStyle w:val="69"/>
                    <w:rPr>
                      <w:rFonts w:hAnsi="Times New Roman"/>
                      <w:b w:val="0"/>
                    </w:rPr>
                  </w:pPr>
                  <w:r>
                    <w:rPr>
                      <w:rFonts w:hAnsi="Times New Roman"/>
                      <w:b w:val="0"/>
                    </w:rPr>
                    <w:t>保护内容</w:t>
                  </w:r>
                </w:p>
              </w:tc>
              <w:tc>
                <w:tcPr>
                  <w:tcW w:w="840" w:type="dxa"/>
                  <w:vMerge w:val="restart"/>
                  <w:tcBorders>
                    <w:bottom w:val="single" w:color="auto" w:sz="4" w:space="0"/>
                  </w:tcBorders>
                  <w:noWrap w:val="0"/>
                  <w:vAlign w:val="center"/>
                </w:tcPr>
                <w:p>
                  <w:pPr>
                    <w:pStyle w:val="69"/>
                    <w:rPr>
                      <w:rFonts w:hAnsi="Times New Roman"/>
                      <w:b w:val="0"/>
                    </w:rPr>
                  </w:pPr>
                  <w:r>
                    <w:rPr>
                      <w:rFonts w:hAnsi="Times New Roman"/>
                      <w:b w:val="0"/>
                    </w:rPr>
                    <w:t>环境功能区</w:t>
                  </w:r>
                </w:p>
              </w:tc>
              <w:tc>
                <w:tcPr>
                  <w:tcW w:w="1031" w:type="dxa"/>
                  <w:vMerge w:val="restart"/>
                  <w:tcBorders>
                    <w:bottom w:val="single" w:color="auto" w:sz="4" w:space="0"/>
                  </w:tcBorders>
                  <w:noWrap w:val="0"/>
                  <w:vAlign w:val="center"/>
                </w:tcPr>
                <w:p>
                  <w:pPr>
                    <w:pStyle w:val="69"/>
                    <w:rPr>
                      <w:rFonts w:hAnsi="Times New Roman"/>
                      <w:b w:val="0"/>
                    </w:rPr>
                  </w:pPr>
                  <w:r>
                    <w:rPr>
                      <w:rFonts w:hAnsi="Times New Roman"/>
                      <w:b w:val="0"/>
                    </w:rPr>
                    <w:t>与厂址位置</w:t>
                  </w:r>
                </w:p>
              </w:tc>
              <w:tc>
                <w:tcPr>
                  <w:tcW w:w="832" w:type="dxa"/>
                  <w:vMerge w:val="restart"/>
                  <w:noWrap w:val="0"/>
                  <w:vAlign w:val="center"/>
                </w:tcPr>
                <w:p>
                  <w:pPr>
                    <w:pStyle w:val="69"/>
                    <w:rPr>
                      <w:rFonts w:hAnsi="Times New Roman"/>
                      <w:b w:val="0"/>
                    </w:rPr>
                  </w:pPr>
                  <w:r>
                    <w:rPr>
                      <w:rFonts w:hAnsi="Times New Roman"/>
                      <w:b w:val="0"/>
                    </w:rPr>
                    <w:t>有无山体阻隔</w:t>
                  </w:r>
                </w:p>
              </w:tc>
              <w:tc>
                <w:tcPr>
                  <w:tcW w:w="1854" w:type="dxa"/>
                  <w:vMerge w:val="restart"/>
                  <w:noWrap w:val="0"/>
                  <w:vAlign w:val="center"/>
                </w:tcPr>
                <w:p>
                  <w:pPr>
                    <w:pStyle w:val="69"/>
                    <w:rPr>
                      <w:rFonts w:hAnsi="Times New Roman"/>
                      <w:b w:val="0"/>
                    </w:rPr>
                  </w:pPr>
                  <w:r>
                    <w:rPr>
                      <w:rFonts w:hAnsi="Times New Roman"/>
                      <w:b w:val="0"/>
                    </w:rPr>
                    <w:t>规模</w:t>
                  </w:r>
                </w:p>
              </w:tc>
              <w:tc>
                <w:tcPr>
                  <w:tcW w:w="2393" w:type="dxa"/>
                  <w:vMerge w:val="restart"/>
                  <w:noWrap w:val="0"/>
                  <w:vAlign w:val="center"/>
                </w:tcPr>
                <w:p>
                  <w:pPr>
                    <w:pStyle w:val="69"/>
                    <w:rPr>
                      <w:rFonts w:hAnsi="Times New Roman"/>
                      <w:b w:val="0"/>
                    </w:rPr>
                  </w:pPr>
                  <w:r>
                    <w:rPr>
                      <w:rFonts w:hAnsi="Times New Roman"/>
                      <w:b w:val="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64" w:type="dxa"/>
                  <w:vMerge w:val="continue"/>
                  <w:noWrap w:val="0"/>
                  <w:vAlign w:val="center"/>
                </w:tcPr>
                <w:p>
                  <w:pPr>
                    <w:pStyle w:val="69"/>
                    <w:rPr>
                      <w:rFonts w:hAnsi="Times New Roman"/>
                      <w:b w:val="0"/>
                    </w:rPr>
                  </w:pPr>
                </w:p>
              </w:tc>
              <w:tc>
                <w:tcPr>
                  <w:tcW w:w="771" w:type="dxa"/>
                  <w:vMerge w:val="continue"/>
                  <w:noWrap w:val="0"/>
                  <w:vAlign w:val="center"/>
                </w:tcPr>
                <w:p>
                  <w:pPr>
                    <w:pStyle w:val="69"/>
                    <w:rPr>
                      <w:rFonts w:hAnsi="Times New Roman"/>
                      <w:b w:val="0"/>
                    </w:rPr>
                  </w:pPr>
                </w:p>
              </w:tc>
              <w:tc>
                <w:tcPr>
                  <w:tcW w:w="1035" w:type="dxa"/>
                  <w:vMerge w:val="continue"/>
                  <w:noWrap w:val="0"/>
                  <w:vAlign w:val="center"/>
                </w:tcPr>
                <w:p>
                  <w:pPr>
                    <w:pStyle w:val="69"/>
                    <w:rPr>
                      <w:rFonts w:hAnsi="Times New Roman"/>
                      <w:b w:val="0"/>
                    </w:rPr>
                  </w:pPr>
                </w:p>
              </w:tc>
              <w:tc>
                <w:tcPr>
                  <w:tcW w:w="1485" w:type="dxa"/>
                  <w:noWrap w:val="0"/>
                  <w:vAlign w:val="center"/>
                </w:tcPr>
                <w:p>
                  <w:pPr>
                    <w:pStyle w:val="69"/>
                    <w:rPr>
                      <w:rFonts w:hAnsi="Times New Roman"/>
                      <w:b w:val="0"/>
                    </w:rPr>
                  </w:pPr>
                  <w:r>
                    <w:rPr>
                      <w:rFonts w:hAnsi="Times New Roman"/>
                      <w:b w:val="0"/>
                    </w:rPr>
                    <w:t>经度</w:t>
                  </w:r>
                </w:p>
              </w:tc>
              <w:tc>
                <w:tcPr>
                  <w:tcW w:w="1515" w:type="dxa"/>
                  <w:noWrap w:val="0"/>
                  <w:vAlign w:val="center"/>
                </w:tcPr>
                <w:p>
                  <w:pPr>
                    <w:pStyle w:val="69"/>
                    <w:rPr>
                      <w:rFonts w:hAnsi="Times New Roman"/>
                      <w:b w:val="0"/>
                    </w:rPr>
                  </w:pPr>
                  <w:r>
                    <w:rPr>
                      <w:rFonts w:hAnsi="Times New Roman"/>
                      <w:b w:val="0"/>
                    </w:rPr>
                    <w:t>纬度</w:t>
                  </w:r>
                </w:p>
              </w:tc>
              <w:tc>
                <w:tcPr>
                  <w:tcW w:w="915" w:type="dxa"/>
                  <w:vMerge w:val="continue"/>
                  <w:noWrap w:val="0"/>
                  <w:vAlign w:val="center"/>
                </w:tcPr>
                <w:p>
                  <w:pPr>
                    <w:pStyle w:val="69"/>
                    <w:rPr>
                      <w:rFonts w:hAnsi="Times New Roman"/>
                      <w:b w:val="0"/>
                    </w:rPr>
                  </w:pPr>
                </w:p>
              </w:tc>
              <w:tc>
                <w:tcPr>
                  <w:tcW w:w="840" w:type="dxa"/>
                  <w:vMerge w:val="continue"/>
                  <w:noWrap w:val="0"/>
                  <w:vAlign w:val="center"/>
                </w:tcPr>
                <w:p>
                  <w:pPr>
                    <w:pStyle w:val="69"/>
                    <w:rPr>
                      <w:rFonts w:hAnsi="Times New Roman"/>
                      <w:b w:val="0"/>
                    </w:rPr>
                  </w:pPr>
                </w:p>
              </w:tc>
              <w:tc>
                <w:tcPr>
                  <w:tcW w:w="840" w:type="dxa"/>
                  <w:vMerge w:val="continue"/>
                  <w:noWrap w:val="0"/>
                  <w:vAlign w:val="center"/>
                </w:tcPr>
                <w:p>
                  <w:pPr>
                    <w:pStyle w:val="69"/>
                    <w:rPr>
                      <w:rFonts w:hAnsi="Times New Roman"/>
                      <w:b w:val="0"/>
                    </w:rPr>
                  </w:pPr>
                </w:p>
              </w:tc>
              <w:tc>
                <w:tcPr>
                  <w:tcW w:w="1031" w:type="dxa"/>
                  <w:vMerge w:val="continue"/>
                  <w:noWrap w:val="0"/>
                  <w:vAlign w:val="center"/>
                </w:tcPr>
                <w:p>
                  <w:pPr>
                    <w:pStyle w:val="69"/>
                    <w:rPr>
                      <w:rFonts w:hAnsi="Times New Roman"/>
                      <w:b w:val="0"/>
                    </w:rPr>
                  </w:pPr>
                </w:p>
              </w:tc>
              <w:tc>
                <w:tcPr>
                  <w:tcW w:w="832" w:type="dxa"/>
                  <w:vMerge w:val="continue"/>
                  <w:noWrap w:val="0"/>
                  <w:vAlign w:val="center"/>
                </w:tcPr>
                <w:p>
                  <w:pPr>
                    <w:pStyle w:val="69"/>
                    <w:rPr>
                      <w:rFonts w:hAnsi="Times New Roman"/>
                      <w:b w:val="0"/>
                    </w:rPr>
                  </w:pPr>
                </w:p>
              </w:tc>
              <w:tc>
                <w:tcPr>
                  <w:tcW w:w="1854" w:type="dxa"/>
                  <w:vMerge w:val="continue"/>
                  <w:noWrap w:val="0"/>
                  <w:vAlign w:val="center"/>
                </w:tcPr>
                <w:p>
                  <w:pPr>
                    <w:pStyle w:val="69"/>
                    <w:rPr>
                      <w:rFonts w:hAnsi="Times New Roman"/>
                      <w:b w:val="0"/>
                    </w:rPr>
                  </w:pPr>
                </w:p>
              </w:tc>
              <w:tc>
                <w:tcPr>
                  <w:tcW w:w="2393" w:type="dxa"/>
                  <w:vMerge w:val="continue"/>
                  <w:noWrap w:val="0"/>
                  <w:vAlign w:val="center"/>
                </w:tcPr>
                <w:p>
                  <w:pPr>
                    <w:pStyle w:val="69"/>
                    <w:rPr>
                      <w:rFonts w:hAnsi="Times New Roman"/>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64" w:type="dxa"/>
                  <w:noWrap w:val="0"/>
                  <w:vAlign w:val="center"/>
                </w:tcPr>
                <w:p>
                  <w:pPr>
                    <w:pStyle w:val="69"/>
                    <w:rPr>
                      <w:rFonts w:hAnsi="Times New Roman"/>
                      <w:b w:val="0"/>
                    </w:rPr>
                  </w:pPr>
                  <w:r>
                    <w:rPr>
                      <w:rFonts w:hAnsi="Times New Roman"/>
                      <w:b w:val="0"/>
                    </w:rPr>
                    <w:t>1</w:t>
                  </w:r>
                </w:p>
              </w:tc>
              <w:tc>
                <w:tcPr>
                  <w:tcW w:w="771" w:type="dxa"/>
                  <w:noWrap w:val="0"/>
                  <w:vAlign w:val="center"/>
                </w:tcPr>
                <w:p>
                  <w:pPr>
                    <w:pStyle w:val="69"/>
                    <w:rPr>
                      <w:rFonts w:hAnsi="Times New Roman"/>
                      <w:b w:val="0"/>
                    </w:rPr>
                  </w:pPr>
                  <w:r>
                    <w:rPr>
                      <w:rFonts w:hAnsi="Times New Roman"/>
                      <w:b w:val="0"/>
                    </w:rPr>
                    <w:t>大气</w:t>
                  </w:r>
                </w:p>
                <w:p>
                  <w:pPr>
                    <w:pStyle w:val="69"/>
                    <w:rPr>
                      <w:rFonts w:hAnsi="Times New Roman"/>
                      <w:b w:val="0"/>
                    </w:rPr>
                  </w:pPr>
                  <w:r>
                    <w:rPr>
                      <w:rFonts w:hAnsi="Times New Roman"/>
                      <w:b w:val="0"/>
                    </w:rPr>
                    <w:t>环境</w:t>
                  </w:r>
                </w:p>
              </w:tc>
              <w:tc>
                <w:tcPr>
                  <w:tcW w:w="1035" w:type="dxa"/>
                  <w:noWrap w:val="0"/>
                  <w:vAlign w:val="center"/>
                </w:tcPr>
                <w:p>
                  <w:pPr>
                    <w:pStyle w:val="69"/>
                    <w:rPr>
                      <w:rFonts w:hAnsi="Times New Roman"/>
                      <w:b w:val="0"/>
                      <w:szCs w:val="20"/>
                    </w:rPr>
                  </w:pPr>
                  <w:r>
                    <w:rPr>
                      <w:rFonts w:hint="eastAsia" w:hAnsi="Times New Roman"/>
                      <w:b w:val="0"/>
                      <w:szCs w:val="20"/>
                    </w:rPr>
                    <w:t>流当</w:t>
                  </w:r>
                  <w:r>
                    <w:rPr>
                      <w:rFonts w:hAnsi="Times New Roman"/>
                      <w:b w:val="0"/>
                      <w:szCs w:val="20"/>
                    </w:rPr>
                    <w:t>居民点</w:t>
                  </w:r>
                </w:p>
              </w:tc>
              <w:tc>
                <w:tcPr>
                  <w:tcW w:w="1485" w:type="dxa"/>
                  <w:noWrap w:val="0"/>
                  <w:vAlign w:val="center"/>
                </w:tcPr>
                <w:p>
                  <w:pPr>
                    <w:pStyle w:val="69"/>
                    <w:rPr>
                      <w:rFonts w:hAnsi="Times New Roman"/>
                      <w:b w:val="0"/>
                      <w:szCs w:val="21"/>
                    </w:rPr>
                  </w:pPr>
                  <w:r>
                    <w:rPr>
                      <w:rFonts w:hAnsi="Times New Roman"/>
                      <w:b w:val="0"/>
                      <w:szCs w:val="21"/>
                    </w:rPr>
                    <w:t>109°27′53.061″</w:t>
                  </w:r>
                </w:p>
              </w:tc>
              <w:tc>
                <w:tcPr>
                  <w:tcW w:w="1515" w:type="dxa"/>
                  <w:noWrap w:val="0"/>
                  <w:vAlign w:val="center"/>
                </w:tcPr>
                <w:p>
                  <w:pPr>
                    <w:pStyle w:val="69"/>
                    <w:rPr>
                      <w:rFonts w:hAnsi="Times New Roman"/>
                      <w:b w:val="0"/>
                      <w:szCs w:val="21"/>
                    </w:rPr>
                  </w:pPr>
                  <w:r>
                    <w:rPr>
                      <w:rFonts w:hAnsi="Times New Roman"/>
                      <w:b w:val="0"/>
                      <w:szCs w:val="21"/>
                    </w:rPr>
                    <w:t>28°32′22.243″</w:t>
                  </w:r>
                </w:p>
              </w:tc>
              <w:tc>
                <w:tcPr>
                  <w:tcW w:w="915" w:type="dxa"/>
                  <w:noWrap w:val="0"/>
                  <w:vAlign w:val="center"/>
                </w:tcPr>
                <w:p>
                  <w:pPr>
                    <w:pStyle w:val="69"/>
                    <w:rPr>
                      <w:rFonts w:hAnsi="Times New Roman"/>
                      <w:b w:val="0"/>
                      <w:szCs w:val="20"/>
                    </w:rPr>
                  </w:pPr>
                  <w:r>
                    <w:rPr>
                      <w:rFonts w:hAnsi="Times New Roman"/>
                      <w:b w:val="0"/>
                      <w:szCs w:val="20"/>
                    </w:rPr>
                    <w:t>居住区</w:t>
                  </w:r>
                </w:p>
              </w:tc>
              <w:tc>
                <w:tcPr>
                  <w:tcW w:w="840" w:type="dxa"/>
                  <w:noWrap w:val="0"/>
                  <w:vAlign w:val="center"/>
                </w:tcPr>
                <w:p>
                  <w:pPr>
                    <w:pStyle w:val="69"/>
                    <w:rPr>
                      <w:rFonts w:hAnsi="Times New Roman"/>
                      <w:b w:val="0"/>
                      <w:szCs w:val="20"/>
                    </w:rPr>
                  </w:pPr>
                  <w:r>
                    <w:rPr>
                      <w:rFonts w:hAnsi="Times New Roman"/>
                      <w:b w:val="0"/>
                      <w:szCs w:val="20"/>
                    </w:rPr>
                    <w:t>人群</w:t>
                  </w:r>
                </w:p>
              </w:tc>
              <w:tc>
                <w:tcPr>
                  <w:tcW w:w="840" w:type="dxa"/>
                  <w:noWrap w:val="0"/>
                  <w:vAlign w:val="center"/>
                </w:tcPr>
                <w:p>
                  <w:pPr>
                    <w:pStyle w:val="69"/>
                    <w:rPr>
                      <w:rFonts w:hAnsi="Times New Roman"/>
                      <w:b w:val="0"/>
                      <w:szCs w:val="20"/>
                    </w:rPr>
                  </w:pPr>
                  <w:r>
                    <w:rPr>
                      <w:rFonts w:hAnsi="Times New Roman"/>
                      <w:b w:val="0"/>
                      <w:szCs w:val="20"/>
                    </w:rPr>
                    <w:t>二类区</w:t>
                  </w:r>
                </w:p>
              </w:tc>
              <w:tc>
                <w:tcPr>
                  <w:tcW w:w="1031" w:type="dxa"/>
                  <w:noWrap w:val="0"/>
                  <w:vAlign w:val="center"/>
                </w:tcPr>
                <w:p>
                  <w:pPr>
                    <w:pStyle w:val="69"/>
                    <w:rPr>
                      <w:rFonts w:hAnsi="Times New Roman"/>
                      <w:b w:val="0"/>
                      <w:szCs w:val="20"/>
                    </w:rPr>
                  </w:pPr>
                  <w:r>
                    <w:rPr>
                      <w:rFonts w:hint="eastAsia" w:hAnsi="Times New Roman"/>
                      <w:b w:val="0"/>
                      <w:szCs w:val="20"/>
                    </w:rPr>
                    <w:t>NE</w:t>
                  </w:r>
                  <w:r>
                    <w:rPr>
                      <w:rFonts w:hAnsi="Times New Roman"/>
                      <w:b w:val="0"/>
                      <w:szCs w:val="20"/>
                    </w:rPr>
                    <w:t>，1</w:t>
                  </w:r>
                  <w:r>
                    <w:rPr>
                      <w:rFonts w:hint="eastAsia" w:hAnsi="Times New Roman"/>
                      <w:b w:val="0"/>
                      <w:szCs w:val="20"/>
                    </w:rPr>
                    <w:t>0</w:t>
                  </w:r>
                  <w:r>
                    <w:rPr>
                      <w:rFonts w:hAnsi="Times New Roman"/>
                      <w:b w:val="0"/>
                      <w:szCs w:val="20"/>
                    </w:rPr>
                    <w:t>0m</w:t>
                  </w:r>
                </w:p>
              </w:tc>
              <w:tc>
                <w:tcPr>
                  <w:tcW w:w="832" w:type="dxa"/>
                  <w:noWrap w:val="0"/>
                  <w:vAlign w:val="center"/>
                </w:tcPr>
                <w:p>
                  <w:pPr>
                    <w:pStyle w:val="69"/>
                    <w:rPr>
                      <w:rFonts w:hAnsi="Times New Roman"/>
                      <w:b w:val="0"/>
                      <w:szCs w:val="20"/>
                    </w:rPr>
                  </w:pPr>
                  <w:r>
                    <w:rPr>
                      <w:rFonts w:hAnsi="Times New Roman"/>
                      <w:b w:val="0"/>
                      <w:szCs w:val="20"/>
                    </w:rPr>
                    <w:t>无</w:t>
                  </w:r>
                </w:p>
              </w:tc>
              <w:tc>
                <w:tcPr>
                  <w:tcW w:w="1854" w:type="dxa"/>
                  <w:noWrap w:val="0"/>
                  <w:vAlign w:val="center"/>
                </w:tcPr>
                <w:p>
                  <w:pPr>
                    <w:pStyle w:val="69"/>
                    <w:rPr>
                      <w:rFonts w:hAnsi="Times New Roman"/>
                      <w:b w:val="0"/>
                      <w:szCs w:val="20"/>
                    </w:rPr>
                  </w:pPr>
                  <w:r>
                    <w:rPr>
                      <w:rFonts w:hint="eastAsia" w:hAnsi="Times New Roman"/>
                      <w:b w:val="0"/>
                      <w:szCs w:val="20"/>
                    </w:rPr>
                    <w:t>25</w:t>
                  </w:r>
                  <w:r>
                    <w:rPr>
                      <w:rFonts w:hAnsi="Times New Roman"/>
                      <w:b w:val="0"/>
                      <w:szCs w:val="20"/>
                    </w:rPr>
                    <w:t>户居民，约</w:t>
                  </w:r>
                  <w:r>
                    <w:rPr>
                      <w:rFonts w:hint="eastAsia" w:hAnsi="Times New Roman"/>
                      <w:b w:val="0"/>
                      <w:szCs w:val="20"/>
                    </w:rPr>
                    <w:t>80</w:t>
                  </w:r>
                  <w:r>
                    <w:rPr>
                      <w:rFonts w:hAnsi="Times New Roman"/>
                      <w:b w:val="0"/>
                      <w:szCs w:val="20"/>
                    </w:rPr>
                    <w:t>人</w:t>
                  </w:r>
                </w:p>
              </w:tc>
              <w:tc>
                <w:tcPr>
                  <w:tcW w:w="2393" w:type="dxa"/>
                  <w:noWrap w:val="0"/>
                  <w:vAlign w:val="center"/>
                </w:tcPr>
                <w:p>
                  <w:pPr>
                    <w:pStyle w:val="69"/>
                    <w:jc w:val="both"/>
                    <w:rPr>
                      <w:rFonts w:hAnsi="Times New Roman"/>
                      <w:b w:val="0"/>
                      <w:szCs w:val="20"/>
                    </w:rPr>
                  </w:pPr>
                  <w:r>
                    <w:rPr>
                      <w:rFonts w:hAnsi="Times New Roman"/>
                      <w:b w:val="0"/>
                      <w:szCs w:val="20"/>
                    </w:rPr>
                    <w:t>《环境空气质量标准》（GB3095-2012）修改单二级标准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6" w:hRule="atLeast"/>
              </w:trPr>
              <w:tc>
                <w:tcPr>
                  <w:tcW w:w="364" w:type="dxa"/>
                  <w:noWrap w:val="0"/>
                  <w:vAlign w:val="center"/>
                </w:tcPr>
                <w:p>
                  <w:pPr>
                    <w:pStyle w:val="69"/>
                    <w:rPr>
                      <w:rFonts w:hAnsi="Times New Roman"/>
                      <w:b w:val="0"/>
                    </w:rPr>
                  </w:pPr>
                  <w:r>
                    <w:rPr>
                      <w:rFonts w:hAnsi="Times New Roman"/>
                      <w:b w:val="0"/>
                    </w:rPr>
                    <w:t>1</w:t>
                  </w:r>
                </w:p>
              </w:tc>
              <w:tc>
                <w:tcPr>
                  <w:tcW w:w="771" w:type="dxa"/>
                  <w:vMerge w:val="restart"/>
                  <w:noWrap w:val="0"/>
                  <w:vAlign w:val="center"/>
                </w:tcPr>
                <w:p>
                  <w:pPr>
                    <w:pStyle w:val="69"/>
                    <w:rPr>
                      <w:rFonts w:hAnsi="Times New Roman"/>
                      <w:b w:val="0"/>
                    </w:rPr>
                  </w:pPr>
                  <w:r>
                    <w:rPr>
                      <w:rFonts w:hAnsi="Times New Roman"/>
                      <w:b w:val="0"/>
                    </w:rPr>
                    <w:t>地表水</w:t>
                  </w:r>
                </w:p>
              </w:tc>
              <w:tc>
                <w:tcPr>
                  <w:tcW w:w="1035" w:type="dxa"/>
                  <w:noWrap w:val="0"/>
                  <w:vAlign w:val="center"/>
                </w:tcPr>
                <w:p>
                  <w:pPr>
                    <w:pStyle w:val="69"/>
                    <w:rPr>
                      <w:rFonts w:hAnsi="Times New Roman"/>
                      <w:b w:val="0"/>
                    </w:rPr>
                  </w:pPr>
                  <w:r>
                    <w:rPr>
                      <w:rFonts w:hAnsi="Times New Roman"/>
                      <w:b w:val="0"/>
                    </w:rPr>
                    <w:t>兄弟河</w:t>
                  </w:r>
                </w:p>
              </w:tc>
              <w:tc>
                <w:tcPr>
                  <w:tcW w:w="1485" w:type="dxa"/>
                  <w:noWrap w:val="0"/>
                  <w:vAlign w:val="center"/>
                </w:tcPr>
                <w:p>
                  <w:pPr>
                    <w:pStyle w:val="69"/>
                    <w:rPr>
                      <w:rFonts w:hAnsi="Times New Roman"/>
                      <w:b w:val="0"/>
                      <w:szCs w:val="21"/>
                    </w:rPr>
                  </w:pPr>
                  <w:r>
                    <w:rPr>
                      <w:rFonts w:hint="default" w:ascii="Times New Roman" w:hAnsi="Times New Roman" w:cs="Times New Roman"/>
                      <w:b w:val="0"/>
                      <w:szCs w:val="21"/>
                    </w:rPr>
                    <w:t>109°28′47.64</w:t>
                  </w:r>
                  <w:r>
                    <w:rPr>
                      <w:rFonts w:hint="default" w:ascii="Times New Roman" w:hAnsi="Times New Roman" w:cs="Times New Roman"/>
                      <w:b w:val="0"/>
                      <w:szCs w:val="21"/>
                      <w:lang w:val="en-US" w:eastAsia="zh-CN"/>
                    </w:rPr>
                    <w:t>6</w:t>
                  </w:r>
                  <w:r>
                    <w:rPr>
                      <w:rFonts w:hint="default" w:ascii="Times New Roman" w:hAnsi="Times New Roman" w:cs="Times New Roman"/>
                      <w:b w:val="0"/>
                      <w:szCs w:val="21"/>
                    </w:rPr>
                    <w:t>″</w:t>
                  </w:r>
                </w:p>
              </w:tc>
              <w:tc>
                <w:tcPr>
                  <w:tcW w:w="1515" w:type="dxa"/>
                  <w:noWrap w:val="0"/>
                  <w:vAlign w:val="center"/>
                </w:tcPr>
                <w:p>
                  <w:pPr>
                    <w:pStyle w:val="69"/>
                    <w:rPr>
                      <w:rFonts w:hAnsi="Times New Roman"/>
                      <w:b w:val="0"/>
                      <w:szCs w:val="21"/>
                    </w:rPr>
                  </w:pPr>
                  <w:r>
                    <w:rPr>
                      <w:rFonts w:hint="default" w:ascii="Times New Roman" w:hAnsi="Times New Roman" w:cs="Times New Roman"/>
                      <w:b w:val="0"/>
                      <w:szCs w:val="21"/>
                    </w:rPr>
                    <w:t>28°31′44.922″</w:t>
                  </w:r>
                </w:p>
              </w:tc>
              <w:tc>
                <w:tcPr>
                  <w:tcW w:w="915" w:type="dxa"/>
                  <w:noWrap w:val="0"/>
                  <w:vAlign w:val="center"/>
                </w:tcPr>
                <w:p>
                  <w:pPr>
                    <w:pStyle w:val="69"/>
                    <w:rPr>
                      <w:rFonts w:hAnsi="Times New Roman"/>
                      <w:b w:val="0"/>
                      <w:szCs w:val="20"/>
                    </w:rPr>
                  </w:pPr>
                  <w:r>
                    <w:rPr>
                      <w:rFonts w:hAnsi="Times New Roman"/>
                      <w:b w:val="0"/>
                      <w:szCs w:val="20"/>
                    </w:rPr>
                    <w:t>地表水</w:t>
                  </w:r>
                </w:p>
              </w:tc>
              <w:tc>
                <w:tcPr>
                  <w:tcW w:w="840" w:type="dxa"/>
                  <w:noWrap w:val="0"/>
                  <w:vAlign w:val="center"/>
                </w:tcPr>
                <w:p>
                  <w:pPr>
                    <w:pStyle w:val="69"/>
                    <w:rPr>
                      <w:rFonts w:hAnsi="Times New Roman"/>
                      <w:b w:val="0"/>
                      <w:szCs w:val="20"/>
                    </w:rPr>
                  </w:pPr>
                  <w:r>
                    <w:rPr>
                      <w:rFonts w:hAnsi="Times New Roman"/>
                      <w:b w:val="0"/>
                      <w:szCs w:val="20"/>
                    </w:rPr>
                    <w:t>地表水</w:t>
                  </w:r>
                </w:p>
              </w:tc>
              <w:tc>
                <w:tcPr>
                  <w:tcW w:w="840" w:type="dxa"/>
                  <w:noWrap w:val="0"/>
                  <w:vAlign w:val="center"/>
                </w:tcPr>
                <w:p>
                  <w:pPr>
                    <w:pStyle w:val="69"/>
                    <w:rPr>
                      <w:rFonts w:hAnsi="Times New Roman"/>
                      <w:b w:val="0"/>
                      <w:szCs w:val="20"/>
                    </w:rPr>
                  </w:pPr>
                  <w:r>
                    <w:rPr>
                      <w:rFonts w:hAnsi="Times New Roman" w:eastAsia="仿宋"/>
                      <w:b w:val="0"/>
                    </w:rPr>
                    <w:t>Ⅱ</w:t>
                  </w:r>
                  <w:r>
                    <w:rPr>
                      <w:rFonts w:hAnsi="Times New Roman"/>
                      <w:b w:val="0"/>
                    </w:rPr>
                    <w:t>类</w:t>
                  </w:r>
                </w:p>
              </w:tc>
              <w:tc>
                <w:tcPr>
                  <w:tcW w:w="1031" w:type="dxa"/>
                  <w:noWrap w:val="0"/>
                  <w:vAlign w:val="center"/>
                </w:tcPr>
                <w:p>
                  <w:pPr>
                    <w:pStyle w:val="69"/>
                    <w:rPr>
                      <w:rFonts w:hAnsi="Times New Roman"/>
                      <w:b w:val="0"/>
                      <w:szCs w:val="20"/>
                    </w:rPr>
                  </w:pPr>
                  <w:r>
                    <w:rPr>
                      <w:rFonts w:hint="eastAsia" w:hAnsi="Times New Roman"/>
                      <w:b w:val="0"/>
                      <w:szCs w:val="20"/>
                      <w:lang w:val="en-US" w:eastAsia="zh-CN"/>
                    </w:rPr>
                    <w:t>S</w:t>
                  </w:r>
                  <w:r>
                    <w:rPr>
                      <w:rFonts w:hAnsi="Times New Roman"/>
                      <w:b w:val="0"/>
                      <w:szCs w:val="20"/>
                    </w:rPr>
                    <w:t>E，</w:t>
                  </w:r>
                  <w:r>
                    <w:rPr>
                      <w:rFonts w:hint="eastAsia" w:hAnsi="Times New Roman"/>
                      <w:b w:val="0"/>
                      <w:szCs w:val="20"/>
                      <w:lang w:val="en-US" w:eastAsia="zh-CN"/>
                    </w:rPr>
                    <w:t>1.79</w:t>
                  </w:r>
                  <w:r>
                    <w:rPr>
                      <w:rFonts w:hAnsi="Times New Roman"/>
                      <w:b w:val="0"/>
                      <w:szCs w:val="20"/>
                    </w:rPr>
                    <w:t>km</w:t>
                  </w:r>
                </w:p>
              </w:tc>
              <w:tc>
                <w:tcPr>
                  <w:tcW w:w="832" w:type="dxa"/>
                  <w:noWrap w:val="0"/>
                  <w:vAlign w:val="center"/>
                </w:tcPr>
                <w:p>
                  <w:pPr>
                    <w:pStyle w:val="69"/>
                    <w:rPr>
                      <w:rFonts w:hAnsi="Times New Roman"/>
                      <w:b w:val="0"/>
                      <w:szCs w:val="20"/>
                    </w:rPr>
                  </w:pPr>
                  <w:r>
                    <w:rPr>
                      <w:rFonts w:hAnsi="Times New Roman"/>
                      <w:b w:val="0"/>
                      <w:szCs w:val="20"/>
                    </w:rPr>
                    <w:t>有</w:t>
                  </w:r>
                </w:p>
              </w:tc>
              <w:tc>
                <w:tcPr>
                  <w:tcW w:w="1854" w:type="dxa"/>
                  <w:noWrap w:val="0"/>
                  <w:vAlign w:val="center"/>
                </w:tcPr>
                <w:p>
                  <w:pPr>
                    <w:pStyle w:val="69"/>
                    <w:rPr>
                      <w:rFonts w:hAnsi="Times New Roman"/>
                      <w:b w:val="0"/>
                      <w:highlight w:val="yellow"/>
                    </w:rPr>
                  </w:pPr>
                  <w:r>
                    <w:rPr>
                      <w:rFonts w:hAnsi="Times New Roman"/>
                      <w:b w:val="0"/>
                    </w:rPr>
                    <w:t>小河，流量</w:t>
                  </w:r>
                  <w:r>
                    <w:rPr>
                      <w:rFonts w:hint="eastAsia" w:hAnsi="Times New Roman"/>
                      <w:b w:val="0"/>
                    </w:rPr>
                    <w:t>32</w:t>
                  </w:r>
                  <w:r>
                    <w:rPr>
                      <w:rFonts w:hAnsi="Times New Roman"/>
                      <w:b w:val="0"/>
                    </w:rPr>
                    <w:t>m</w:t>
                  </w:r>
                  <w:r>
                    <w:rPr>
                      <w:rFonts w:hAnsi="Times New Roman"/>
                      <w:b w:val="0"/>
                      <w:vertAlign w:val="superscript"/>
                    </w:rPr>
                    <w:t>3</w:t>
                  </w:r>
                  <w:r>
                    <w:rPr>
                      <w:rFonts w:hAnsi="Times New Roman"/>
                      <w:b w:val="0"/>
                    </w:rPr>
                    <w:t>/s</w:t>
                  </w:r>
                </w:p>
              </w:tc>
              <w:tc>
                <w:tcPr>
                  <w:tcW w:w="2393" w:type="dxa"/>
                  <w:vMerge w:val="restart"/>
                  <w:noWrap w:val="0"/>
                  <w:vAlign w:val="center"/>
                </w:tcPr>
                <w:p>
                  <w:pPr>
                    <w:pStyle w:val="69"/>
                    <w:jc w:val="both"/>
                    <w:rPr>
                      <w:rFonts w:hAnsi="Times New Roman"/>
                      <w:b w:val="0"/>
                      <w:szCs w:val="20"/>
                    </w:rPr>
                  </w:pPr>
                  <w:r>
                    <w:rPr>
                      <w:rFonts w:hAnsi="Times New Roman"/>
                      <w:b w:val="0"/>
                    </w:rPr>
                    <w:t>《地表水环境质量标准》（GB3838-2002）</w:t>
                  </w:r>
                  <w:r>
                    <w:rPr>
                      <w:rFonts w:hAnsi="Times New Roman" w:eastAsia="仿宋"/>
                      <w:b w:val="0"/>
                    </w:rPr>
                    <w:t>Ⅱ</w:t>
                  </w:r>
                  <w:r>
                    <w:rPr>
                      <w:rFonts w:hAnsi="Times New Roman"/>
                      <w:b w:val="0"/>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7" w:hRule="atLeast"/>
              </w:trPr>
              <w:tc>
                <w:tcPr>
                  <w:tcW w:w="364" w:type="dxa"/>
                  <w:noWrap w:val="0"/>
                  <w:vAlign w:val="center"/>
                </w:tcPr>
                <w:p>
                  <w:pPr>
                    <w:pStyle w:val="69"/>
                    <w:rPr>
                      <w:rFonts w:hAnsi="Times New Roman"/>
                      <w:b w:val="0"/>
                    </w:rPr>
                  </w:pPr>
                  <w:r>
                    <w:rPr>
                      <w:rFonts w:hAnsi="Times New Roman"/>
                      <w:b w:val="0"/>
                    </w:rPr>
                    <w:t>2</w:t>
                  </w:r>
                </w:p>
              </w:tc>
              <w:tc>
                <w:tcPr>
                  <w:tcW w:w="771" w:type="dxa"/>
                  <w:vMerge w:val="continue"/>
                  <w:noWrap w:val="0"/>
                  <w:vAlign w:val="center"/>
                </w:tcPr>
                <w:p>
                  <w:pPr>
                    <w:pStyle w:val="69"/>
                    <w:rPr>
                      <w:rFonts w:hAnsi="Times New Roman"/>
                      <w:b w:val="0"/>
                    </w:rPr>
                  </w:pPr>
                </w:p>
              </w:tc>
              <w:tc>
                <w:tcPr>
                  <w:tcW w:w="1035" w:type="dxa"/>
                  <w:noWrap w:val="0"/>
                  <w:vAlign w:val="center"/>
                </w:tcPr>
                <w:p>
                  <w:pPr>
                    <w:pStyle w:val="69"/>
                    <w:rPr>
                      <w:rFonts w:hAnsi="Times New Roman"/>
                      <w:b w:val="0"/>
                    </w:rPr>
                  </w:pPr>
                  <w:r>
                    <w:rPr>
                      <w:rFonts w:hAnsi="Times New Roman"/>
                      <w:b w:val="0"/>
                    </w:rPr>
                    <w:t>花垣河</w:t>
                  </w:r>
                </w:p>
              </w:tc>
              <w:tc>
                <w:tcPr>
                  <w:tcW w:w="1485" w:type="dxa"/>
                  <w:noWrap w:val="0"/>
                  <w:vAlign w:val="center"/>
                </w:tcPr>
                <w:p>
                  <w:pPr>
                    <w:pStyle w:val="69"/>
                    <w:rPr>
                      <w:rFonts w:hAnsi="Times New Roman"/>
                      <w:b w:val="0"/>
                      <w:szCs w:val="21"/>
                    </w:rPr>
                  </w:pPr>
                  <w:r>
                    <w:rPr>
                      <w:rFonts w:hAnsi="Times New Roman"/>
                      <w:b w:val="0"/>
                      <w:szCs w:val="21"/>
                    </w:rPr>
                    <w:t>109°27′41.176″</w:t>
                  </w:r>
                </w:p>
              </w:tc>
              <w:tc>
                <w:tcPr>
                  <w:tcW w:w="1515" w:type="dxa"/>
                  <w:noWrap w:val="0"/>
                  <w:vAlign w:val="center"/>
                </w:tcPr>
                <w:p>
                  <w:pPr>
                    <w:pStyle w:val="69"/>
                    <w:rPr>
                      <w:rFonts w:hAnsi="Times New Roman"/>
                      <w:b w:val="0"/>
                      <w:szCs w:val="21"/>
                    </w:rPr>
                  </w:pPr>
                  <w:r>
                    <w:rPr>
                      <w:rFonts w:hAnsi="Times New Roman"/>
                      <w:b w:val="0"/>
                      <w:szCs w:val="21"/>
                    </w:rPr>
                    <w:t>28°35′46.022″</w:t>
                  </w:r>
                </w:p>
              </w:tc>
              <w:tc>
                <w:tcPr>
                  <w:tcW w:w="915" w:type="dxa"/>
                  <w:noWrap w:val="0"/>
                  <w:vAlign w:val="center"/>
                </w:tcPr>
                <w:p>
                  <w:pPr>
                    <w:pStyle w:val="69"/>
                    <w:rPr>
                      <w:rFonts w:hAnsi="Times New Roman"/>
                      <w:b w:val="0"/>
                      <w:szCs w:val="20"/>
                    </w:rPr>
                  </w:pPr>
                  <w:r>
                    <w:rPr>
                      <w:rFonts w:hAnsi="Times New Roman"/>
                      <w:b w:val="0"/>
                      <w:szCs w:val="20"/>
                    </w:rPr>
                    <w:t>地表水</w:t>
                  </w:r>
                </w:p>
              </w:tc>
              <w:tc>
                <w:tcPr>
                  <w:tcW w:w="840" w:type="dxa"/>
                  <w:noWrap w:val="0"/>
                  <w:vAlign w:val="center"/>
                </w:tcPr>
                <w:p>
                  <w:pPr>
                    <w:pStyle w:val="69"/>
                    <w:rPr>
                      <w:rFonts w:hAnsi="Times New Roman"/>
                      <w:b w:val="0"/>
                      <w:szCs w:val="20"/>
                    </w:rPr>
                  </w:pPr>
                  <w:r>
                    <w:rPr>
                      <w:rFonts w:hAnsi="Times New Roman"/>
                      <w:b w:val="0"/>
                      <w:szCs w:val="20"/>
                    </w:rPr>
                    <w:t>地表水</w:t>
                  </w:r>
                </w:p>
              </w:tc>
              <w:tc>
                <w:tcPr>
                  <w:tcW w:w="840" w:type="dxa"/>
                  <w:noWrap w:val="0"/>
                  <w:vAlign w:val="center"/>
                </w:tcPr>
                <w:p>
                  <w:pPr>
                    <w:pStyle w:val="69"/>
                    <w:rPr>
                      <w:rFonts w:hAnsi="Times New Roman"/>
                      <w:b w:val="0"/>
                    </w:rPr>
                  </w:pPr>
                  <w:r>
                    <w:rPr>
                      <w:rFonts w:hAnsi="Times New Roman" w:eastAsia="仿宋"/>
                      <w:b w:val="0"/>
                    </w:rPr>
                    <w:t>Ⅱ</w:t>
                  </w:r>
                  <w:r>
                    <w:rPr>
                      <w:rFonts w:hAnsi="Times New Roman"/>
                      <w:b w:val="0"/>
                    </w:rPr>
                    <w:t>类</w:t>
                  </w:r>
                </w:p>
              </w:tc>
              <w:tc>
                <w:tcPr>
                  <w:tcW w:w="1031" w:type="dxa"/>
                  <w:noWrap w:val="0"/>
                  <w:vAlign w:val="center"/>
                </w:tcPr>
                <w:p>
                  <w:pPr>
                    <w:pStyle w:val="69"/>
                    <w:rPr>
                      <w:rFonts w:hAnsi="Times New Roman"/>
                      <w:b w:val="0"/>
                      <w:szCs w:val="20"/>
                    </w:rPr>
                  </w:pPr>
                  <w:r>
                    <w:rPr>
                      <w:rFonts w:hAnsi="Times New Roman"/>
                      <w:b w:val="0"/>
                      <w:szCs w:val="20"/>
                    </w:rPr>
                    <w:t>N，</w:t>
                  </w:r>
                  <w:r>
                    <w:rPr>
                      <w:rFonts w:hint="eastAsia" w:hAnsi="Times New Roman"/>
                      <w:b w:val="0"/>
                      <w:szCs w:val="20"/>
                    </w:rPr>
                    <w:t>6.34</w:t>
                  </w:r>
                  <w:r>
                    <w:rPr>
                      <w:rFonts w:hAnsi="Times New Roman"/>
                      <w:b w:val="0"/>
                      <w:szCs w:val="20"/>
                    </w:rPr>
                    <w:t>km</w:t>
                  </w:r>
                </w:p>
              </w:tc>
              <w:tc>
                <w:tcPr>
                  <w:tcW w:w="832" w:type="dxa"/>
                  <w:noWrap w:val="0"/>
                  <w:vAlign w:val="center"/>
                </w:tcPr>
                <w:p>
                  <w:pPr>
                    <w:pStyle w:val="69"/>
                    <w:rPr>
                      <w:rFonts w:hAnsi="Times New Roman"/>
                      <w:b w:val="0"/>
                      <w:szCs w:val="20"/>
                    </w:rPr>
                  </w:pPr>
                  <w:r>
                    <w:rPr>
                      <w:rFonts w:hAnsi="Times New Roman"/>
                      <w:b w:val="0"/>
                      <w:szCs w:val="20"/>
                    </w:rPr>
                    <w:t>有</w:t>
                  </w:r>
                </w:p>
              </w:tc>
              <w:tc>
                <w:tcPr>
                  <w:tcW w:w="1854" w:type="dxa"/>
                  <w:noWrap w:val="0"/>
                  <w:vAlign w:val="center"/>
                </w:tcPr>
                <w:p>
                  <w:pPr>
                    <w:pStyle w:val="69"/>
                    <w:rPr>
                      <w:rFonts w:hAnsi="Times New Roman"/>
                      <w:b w:val="0"/>
                      <w:highlight w:val="yellow"/>
                    </w:rPr>
                  </w:pPr>
                  <w:r>
                    <w:rPr>
                      <w:rFonts w:hAnsi="Times New Roman"/>
                      <w:b w:val="0"/>
                    </w:rPr>
                    <w:t>中河</w:t>
                  </w:r>
                  <w:r>
                    <w:rPr>
                      <w:rFonts w:hint="eastAsia" w:hAnsi="Times New Roman"/>
                      <w:b w:val="0"/>
                    </w:rPr>
                    <w:t>，平均</w:t>
                  </w:r>
                  <w:r>
                    <w:rPr>
                      <w:rFonts w:hAnsi="Times New Roman"/>
                      <w:b w:val="0"/>
                    </w:rPr>
                    <w:t>76 m³/s</w:t>
                  </w:r>
                </w:p>
              </w:tc>
              <w:tc>
                <w:tcPr>
                  <w:tcW w:w="2393" w:type="dxa"/>
                  <w:vMerge w:val="continue"/>
                  <w:noWrap w:val="0"/>
                  <w:vAlign w:val="center"/>
                </w:tcPr>
                <w:p>
                  <w:pPr>
                    <w:pStyle w:val="69"/>
                    <w:jc w:val="both"/>
                    <w:rPr>
                      <w:rFonts w:hAnsi="Times New Roman"/>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7" w:hRule="atLeast"/>
              </w:trPr>
              <w:tc>
                <w:tcPr>
                  <w:tcW w:w="364" w:type="dxa"/>
                  <w:noWrap w:val="0"/>
                  <w:vAlign w:val="center"/>
                </w:tcPr>
                <w:p>
                  <w:pPr>
                    <w:pStyle w:val="69"/>
                    <w:rPr>
                      <w:rFonts w:hint="eastAsia" w:hAnsi="Times New Roman" w:eastAsia="宋体"/>
                      <w:b w:val="0"/>
                      <w:lang w:val="en-US" w:eastAsia="zh-CN"/>
                    </w:rPr>
                  </w:pPr>
                  <w:r>
                    <w:rPr>
                      <w:rFonts w:hint="eastAsia" w:hAnsi="Times New Roman"/>
                      <w:b w:val="0"/>
                      <w:lang w:val="en-US" w:eastAsia="zh-CN"/>
                    </w:rPr>
                    <w:t>3</w:t>
                  </w:r>
                </w:p>
              </w:tc>
              <w:tc>
                <w:tcPr>
                  <w:tcW w:w="771" w:type="dxa"/>
                  <w:vMerge w:val="continue"/>
                  <w:noWrap w:val="0"/>
                  <w:vAlign w:val="center"/>
                </w:tcPr>
                <w:p>
                  <w:pPr>
                    <w:pStyle w:val="69"/>
                    <w:rPr>
                      <w:rFonts w:hAnsi="Times New Roman"/>
                      <w:b w:val="0"/>
                    </w:rPr>
                  </w:pPr>
                </w:p>
              </w:tc>
              <w:tc>
                <w:tcPr>
                  <w:tcW w:w="1035" w:type="dxa"/>
                  <w:noWrap w:val="0"/>
                  <w:vAlign w:val="center"/>
                </w:tcPr>
                <w:p>
                  <w:pPr>
                    <w:pStyle w:val="69"/>
                    <w:rPr>
                      <w:rFonts w:hint="eastAsia" w:hAnsi="Times New Roman" w:eastAsia="宋体"/>
                      <w:b w:val="0"/>
                      <w:lang w:eastAsia="zh-CN"/>
                    </w:rPr>
                  </w:pPr>
                  <w:r>
                    <w:rPr>
                      <w:rFonts w:hint="eastAsia" w:hAnsi="Times New Roman"/>
                      <w:b w:val="0"/>
                      <w:lang w:eastAsia="zh-CN"/>
                    </w:rPr>
                    <w:t>下寨河饮用水水源保护区</w:t>
                  </w:r>
                </w:p>
              </w:tc>
              <w:tc>
                <w:tcPr>
                  <w:tcW w:w="1485" w:type="dxa"/>
                  <w:noWrap w:val="0"/>
                  <w:vAlign w:val="center"/>
                </w:tcPr>
                <w:p>
                  <w:pPr>
                    <w:pStyle w:val="69"/>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109°28′9.168″</w:t>
                  </w:r>
                </w:p>
              </w:tc>
              <w:tc>
                <w:tcPr>
                  <w:tcW w:w="1515" w:type="dxa"/>
                  <w:noWrap w:val="0"/>
                  <w:vAlign w:val="center"/>
                </w:tcPr>
                <w:p>
                  <w:pPr>
                    <w:pStyle w:val="69"/>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28°32′25.804″</w:t>
                  </w:r>
                </w:p>
              </w:tc>
              <w:tc>
                <w:tcPr>
                  <w:tcW w:w="915" w:type="dxa"/>
                  <w:noWrap w:val="0"/>
                  <w:vAlign w:val="center"/>
                </w:tcPr>
                <w:p>
                  <w:pPr>
                    <w:pStyle w:val="69"/>
                    <w:rPr>
                      <w:rFonts w:hint="eastAsia" w:ascii="Times New Roman" w:hAnsi="Times New Roman" w:eastAsia="宋体" w:cs="Times New Roman"/>
                      <w:b w:val="0"/>
                      <w:bCs/>
                      <w:szCs w:val="21"/>
                      <w:lang w:eastAsia="zh-CN"/>
                    </w:rPr>
                  </w:pPr>
                  <w:r>
                    <w:rPr>
                      <w:rFonts w:hint="eastAsia" w:ascii="Times New Roman" w:hAnsi="Times New Roman" w:eastAsia="宋体" w:cs="Times New Roman"/>
                      <w:b w:val="0"/>
                      <w:bCs/>
                      <w:szCs w:val="21"/>
                      <w:lang w:eastAsia="zh-CN"/>
                    </w:rPr>
                    <w:t>饮用水水源</w:t>
                  </w:r>
                </w:p>
              </w:tc>
              <w:tc>
                <w:tcPr>
                  <w:tcW w:w="840" w:type="dxa"/>
                  <w:noWrap w:val="0"/>
                  <w:vAlign w:val="center"/>
                </w:tcPr>
                <w:p>
                  <w:pPr>
                    <w:pStyle w:val="69"/>
                    <w:rPr>
                      <w:rFonts w:hAnsi="Times New Roman"/>
                      <w:b w:val="0"/>
                      <w:szCs w:val="20"/>
                    </w:rPr>
                  </w:pPr>
                  <w:r>
                    <w:rPr>
                      <w:rFonts w:hint="eastAsia" w:ascii="Times New Roman" w:hAnsi="Times New Roman" w:eastAsia="宋体" w:cs="Times New Roman"/>
                      <w:b w:val="0"/>
                      <w:bCs/>
                      <w:szCs w:val="21"/>
                      <w:lang w:eastAsia="zh-CN"/>
                    </w:rPr>
                    <w:t>饮用水水源</w:t>
                  </w:r>
                </w:p>
              </w:tc>
              <w:tc>
                <w:tcPr>
                  <w:tcW w:w="840" w:type="dxa"/>
                  <w:noWrap w:val="0"/>
                  <w:vAlign w:val="center"/>
                </w:tcPr>
                <w:p>
                  <w:pPr>
                    <w:pStyle w:val="69"/>
                    <w:rPr>
                      <w:rFonts w:hAnsi="Times New Roman" w:eastAsia="仿宋"/>
                      <w:b w:val="0"/>
                    </w:rPr>
                  </w:pPr>
                  <w:r>
                    <w:rPr>
                      <w:rFonts w:hAnsi="Times New Roman" w:eastAsia="仿宋"/>
                      <w:b w:val="0"/>
                    </w:rPr>
                    <w:t>Ⅱ</w:t>
                  </w:r>
                  <w:r>
                    <w:rPr>
                      <w:rFonts w:hAnsi="Times New Roman"/>
                      <w:b w:val="0"/>
                    </w:rPr>
                    <w:t>类</w:t>
                  </w:r>
                </w:p>
              </w:tc>
              <w:tc>
                <w:tcPr>
                  <w:tcW w:w="1031" w:type="dxa"/>
                  <w:noWrap w:val="0"/>
                  <w:vAlign w:val="center"/>
                </w:tcPr>
                <w:p>
                  <w:pPr>
                    <w:pStyle w:val="69"/>
                    <w:rPr>
                      <w:rFonts w:hint="default" w:hAnsi="Times New Roman" w:eastAsia="宋体"/>
                      <w:b w:val="0"/>
                      <w:szCs w:val="20"/>
                      <w:lang w:val="en-US" w:eastAsia="zh-CN"/>
                    </w:rPr>
                  </w:pPr>
                  <w:r>
                    <w:rPr>
                      <w:rFonts w:hint="eastAsia" w:hAnsi="Times New Roman"/>
                      <w:b w:val="0"/>
                      <w:szCs w:val="20"/>
                      <w:lang w:val="en-US" w:eastAsia="zh-CN"/>
                    </w:rPr>
                    <w:t>NE，525m</w:t>
                  </w:r>
                </w:p>
              </w:tc>
              <w:tc>
                <w:tcPr>
                  <w:tcW w:w="832" w:type="dxa"/>
                  <w:noWrap w:val="0"/>
                  <w:vAlign w:val="center"/>
                </w:tcPr>
                <w:p>
                  <w:pPr>
                    <w:pStyle w:val="69"/>
                    <w:rPr>
                      <w:rFonts w:hint="eastAsia" w:hAnsi="Times New Roman" w:eastAsia="宋体"/>
                      <w:b w:val="0"/>
                      <w:szCs w:val="20"/>
                      <w:lang w:eastAsia="zh-CN"/>
                    </w:rPr>
                  </w:pPr>
                  <w:r>
                    <w:rPr>
                      <w:rFonts w:hint="eastAsia" w:hAnsi="Times New Roman"/>
                      <w:b w:val="0"/>
                      <w:szCs w:val="20"/>
                      <w:lang w:eastAsia="zh-CN"/>
                    </w:rPr>
                    <w:t>有</w:t>
                  </w:r>
                </w:p>
              </w:tc>
              <w:tc>
                <w:tcPr>
                  <w:tcW w:w="1854" w:type="dxa"/>
                  <w:noWrap w:val="0"/>
                  <w:vAlign w:val="center"/>
                </w:tcPr>
                <w:p>
                  <w:pPr>
                    <w:pStyle w:val="69"/>
                    <w:rPr>
                      <w:rFonts w:hint="eastAsia" w:hAnsi="Times New Roman"/>
                      <w:b w:val="0"/>
                    </w:rPr>
                  </w:pPr>
                  <w:r>
                    <w:rPr>
                      <w:rFonts w:hint="eastAsia" w:hAnsi="Times New Roman"/>
                      <w:b w:val="0"/>
                    </w:rPr>
                    <w:t>县级以上地表水</w:t>
                  </w:r>
                </w:p>
                <w:p>
                  <w:pPr>
                    <w:pStyle w:val="69"/>
                    <w:rPr>
                      <w:rFonts w:hAnsi="Times New Roman"/>
                      <w:b w:val="0"/>
                    </w:rPr>
                  </w:pPr>
                  <w:r>
                    <w:rPr>
                      <w:rFonts w:hint="eastAsia" w:hAnsi="Times New Roman"/>
                      <w:b w:val="0"/>
                    </w:rPr>
                    <w:t>集中式饮用水水源保护区</w:t>
                  </w:r>
                </w:p>
              </w:tc>
              <w:tc>
                <w:tcPr>
                  <w:tcW w:w="2393" w:type="dxa"/>
                  <w:vMerge w:val="continue"/>
                  <w:noWrap w:val="0"/>
                  <w:vAlign w:val="center"/>
                </w:tcPr>
                <w:p>
                  <w:pPr>
                    <w:pStyle w:val="69"/>
                    <w:jc w:val="both"/>
                    <w:rPr>
                      <w:rFonts w:hAnsi="Times New Roman"/>
                      <w:b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64" w:type="dxa"/>
                  <w:noWrap w:val="0"/>
                  <w:vAlign w:val="center"/>
                </w:tcPr>
                <w:p>
                  <w:pPr>
                    <w:pStyle w:val="69"/>
                    <w:rPr>
                      <w:rFonts w:hAnsi="Times New Roman"/>
                      <w:b w:val="0"/>
                      <w:szCs w:val="20"/>
                    </w:rPr>
                  </w:pPr>
                  <w:r>
                    <w:rPr>
                      <w:rFonts w:hAnsi="Times New Roman"/>
                      <w:b w:val="0"/>
                      <w:szCs w:val="20"/>
                    </w:rPr>
                    <w:t>1</w:t>
                  </w:r>
                </w:p>
              </w:tc>
              <w:tc>
                <w:tcPr>
                  <w:tcW w:w="771" w:type="dxa"/>
                  <w:noWrap w:val="0"/>
                  <w:vAlign w:val="center"/>
                </w:tcPr>
                <w:p>
                  <w:pPr>
                    <w:pStyle w:val="69"/>
                    <w:rPr>
                      <w:rFonts w:hAnsi="Times New Roman"/>
                      <w:b w:val="0"/>
                      <w:szCs w:val="20"/>
                    </w:rPr>
                  </w:pPr>
                  <w:r>
                    <w:rPr>
                      <w:rFonts w:hAnsi="Times New Roman"/>
                      <w:b w:val="0"/>
                      <w:szCs w:val="20"/>
                    </w:rPr>
                    <w:t>生态环境</w:t>
                  </w:r>
                </w:p>
              </w:tc>
              <w:tc>
                <w:tcPr>
                  <w:tcW w:w="12740" w:type="dxa"/>
                  <w:gridSpan w:val="10"/>
                  <w:noWrap w:val="0"/>
                  <w:vAlign w:val="center"/>
                </w:tcPr>
                <w:p>
                  <w:pPr>
                    <w:pStyle w:val="69"/>
                    <w:rPr>
                      <w:rFonts w:hAnsi="Times New Roman"/>
                      <w:b w:val="0"/>
                      <w:szCs w:val="20"/>
                    </w:rPr>
                  </w:pPr>
                  <w:r>
                    <w:rPr>
                      <w:rFonts w:hAnsi="Times New Roman"/>
                      <w:b w:val="0"/>
                      <w:szCs w:val="20"/>
                    </w:rPr>
                    <w:t>保持项目周边村庄、植被等其他景观、生态的生态系统完整性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3875" w:type="dxa"/>
                  <w:gridSpan w:val="12"/>
                  <w:noWrap w:val="0"/>
                  <w:vAlign w:val="center"/>
                </w:tcPr>
                <w:p>
                  <w:pPr>
                    <w:pStyle w:val="69"/>
                    <w:rPr>
                      <w:rFonts w:hAnsi="Times New Roman"/>
                      <w:b w:val="0"/>
                      <w:szCs w:val="20"/>
                    </w:rPr>
                  </w:pPr>
                  <w:r>
                    <w:rPr>
                      <w:rFonts w:hAnsi="Times New Roman"/>
                      <w:b w:val="0"/>
                      <w:szCs w:val="20"/>
                    </w:rPr>
                    <w:t>注：①大气</w:t>
                  </w:r>
                  <w:r>
                    <w:rPr>
                      <w:rFonts w:hint="eastAsia" w:hAnsi="Times New Roman"/>
                      <w:b w:val="0"/>
                      <w:szCs w:val="20"/>
                      <w:lang w:eastAsia="zh-CN"/>
                    </w:rPr>
                    <w:t>和地下水</w:t>
                  </w:r>
                  <w:r>
                    <w:rPr>
                      <w:rFonts w:hAnsi="Times New Roman"/>
                      <w:b w:val="0"/>
                      <w:szCs w:val="20"/>
                    </w:rPr>
                    <w:t>环境敏感目标为厂界外500m范围敏感目标，各点坐标为距离项目厂界最近敏感点坐标。②声环境敏感目标为厂界外50m范围敏感目标。</w:t>
                  </w:r>
                </w:p>
              </w:tc>
            </w:tr>
          </w:tbl>
          <w:p>
            <w:pPr>
              <w:adjustRightInd w:val="0"/>
              <w:snapToGrid w:val="0"/>
              <w:spacing w:line="360" w:lineRule="auto"/>
              <w:rPr>
                <w:rFonts w:ascii="宋体" w:hAnsi="宋体" w:cs="宋体"/>
                <w:kern w:val="0"/>
                <w:szCs w:val="21"/>
              </w:rPr>
            </w:pPr>
          </w:p>
        </w:tc>
      </w:tr>
    </w:tbl>
    <w:p>
      <w:pPr>
        <w:sectPr>
          <w:pgSz w:w="16840" w:h="11907" w:orient="landscape"/>
          <w:pgMar w:top="1440" w:right="1080" w:bottom="1440" w:left="1080" w:header="851" w:footer="851" w:gutter="0"/>
          <w:pgNumType w:fmt="numberInDash"/>
          <w:cols w:space="720" w:num="1"/>
          <w:docGrid w:linePitch="312" w:charSpace="0"/>
        </w:sectPr>
      </w:pPr>
    </w:p>
    <w:p/>
    <w:tbl>
      <w:tblPr>
        <w:tblStyle w:val="24"/>
        <w:tblW w:w="96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00" w:type="dxa"/>
            <w:noWrap w:val="0"/>
            <w:tcMar>
              <w:left w:w="28" w:type="dxa"/>
              <w:right w:w="28" w:type="dxa"/>
            </w:tcMar>
            <w:vAlign w:val="center"/>
          </w:tcPr>
          <w:p>
            <w:pPr>
              <w:adjustRightInd w:val="0"/>
              <w:snapToGrid w:val="0"/>
              <w:rPr>
                <w:rFonts w:hint="eastAsia" w:ascii="宋体" w:hAnsi="宋体" w:cs="宋体"/>
                <w:kern w:val="0"/>
                <w:sz w:val="24"/>
              </w:rPr>
            </w:pP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r>
              <w:rPr>
                <w:rFonts w:hint="eastAsia" w:ascii="宋体" w:hAnsi="宋体" w:cs="宋体"/>
                <w:kern w:val="0"/>
                <w:sz w:val="24"/>
              </w:rPr>
              <w:t>污染</w:t>
            </w:r>
          </w:p>
          <w:p>
            <w:pPr>
              <w:adjustRightInd w:val="0"/>
              <w:snapToGrid w:val="0"/>
              <w:jc w:val="center"/>
              <w:rPr>
                <w:rFonts w:hint="eastAsia" w:ascii="宋体" w:hAnsi="宋体" w:cs="宋体"/>
                <w:kern w:val="0"/>
                <w:sz w:val="24"/>
              </w:rPr>
            </w:pPr>
            <w:r>
              <w:rPr>
                <w:rFonts w:hint="eastAsia" w:ascii="宋体" w:hAnsi="宋体" w:cs="宋体"/>
                <w:kern w:val="0"/>
                <w:sz w:val="24"/>
              </w:rPr>
              <w:t>物排</w:t>
            </w:r>
          </w:p>
          <w:p>
            <w:pPr>
              <w:adjustRightInd w:val="0"/>
              <w:snapToGrid w:val="0"/>
              <w:jc w:val="center"/>
              <w:rPr>
                <w:rFonts w:hint="eastAsia" w:ascii="宋体" w:hAnsi="宋体" w:cs="宋体"/>
                <w:kern w:val="0"/>
                <w:sz w:val="24"/>
              </w:rPr>
            </w:pPr>
            <w:r>
              <w:rPr>
                <w:rFonts w:hint="eastAsia" w:ascii="宋体" w:hAnsi="宋体" w:cs="宋体"/>
                <w:kern w:val="0"/>
                <w:sz w:val="24"/>
              </w:rPr>
              <w:t>放控</w:t>
            </w:r>
          </w:p>
          <w:p>
            <w:pPr>
              <w:adjustRightInd w:val="0"/>
              <w:snapToGrid w:val="0"/>
              <w:jc w:val="center"/>
              <w:rPr>
                <w:rFonts w:hint="eastAsia" w:ascii="宋体" w:hAnsi="宋体" w:cs="宋体"/>
                <w:kern w:val="0"/>
                <w:sz w:val="24"/>
              </w:rPr>
            </w:pPr>
            <w:r>
              <w:rPr>
                <w:rFonts w:hint="eastAsia" w:ascii="宋体" w:hAnsi="宋体" w:cs="宋体"/>
                <w:kern w:val="0"/>
                <w:sz w:val="24"/>
              </w:rPr>
              <w:t>制标</w:t>
            </w:r>
          </w:p>
          <w:p>
            <w:pPr>
              <w:adjustRightInd w:val="0"/>
              <w:snapToGrid w:val="0"/>
              <w:jc w:val="center"/>
              <w:rPr>
                <w:rFonts w:ascii="宋体" w:hAnsi="宋体" w:cs="宋体"/>
                <w:kern w:val="0"/>
                <w:szCs w:val="21"/>
              </w:rPr>
            </w:pPr>
            <w:r>
              <w:rPr>
                <w:rFonts w:hint="eastAsia" w:ascii="宋体" w:hAnsi="宋体" w:cs="宋体"/>
                <w:kern w:val="0"/>
                <w:sz w:val="24"/>
              </w:rPr>
              <w:t>准</w:t>
            </w:r>
          </w:p>
        </w:tc>
        <w:tc>
          <w:tcPr>
            <w:tcW w:w="8851" w:type="dxa"/>
            <w:noWrap w:val="0"/>
            <w:vAlign w:val="center"/>
          </w:tcPr>
          <w:p>
            <w:pPr>
              <w:keepNext/>
              <w:keepLines/>
              <w:wordWrap w:val="0"/>
              <w:spacing w:before="260" w:after="260"/>
              <w:outlineLvl w:val="1"/>
              <w:rPr>
                <w:b/>
                <w:sz w:val="32"/>
              </w:rPr>
            </w:pPr>
            <w:bookmarkStart w:id="94" w:name="_Toc110446481"/>
            <w:bookmarkStart w:id="95" w:name="_Toc111721063"/>
            <w:bookmarkStart w:id="96" w:name="_Toc109734378"/>
            <w:bookmarkStart w:id="97" w:name="_Toc109294474"/>
            <w:bookmarkStart w:id="98" w:name="_Toc109630677"/>
            <w:r>
              <w:rPr>
                <w:rFonts w:hint="eastAsia"/>
                <w:b/>
                <w:sz w:val="32"/>
              </w:rPr>
              <w:t>3</w:t>
            </w:r>
            <w:r>
              <w:rPr>
                <w:b/>
                <w:sz w:val="32"/>
              </w:rPr>
              <w:t>.3</w:t>
            </w:r>
            <w:r>
              <w:rPr>
                <w:rFonts w:hint="eastAsia"/>
                <w:b/>
                <w:sz w:val="32"/>
              </w:rPr>
              <w:t>污染物排放控制标准</w:t>
            </w:r>
            <w:bookmarkEnd w:id="94"/>
            <w:bookmarkEnd w:id="95"/>
            <w:bookmarkEnd w:id="96"/>
            <w:bookmarkEnd w:id="97"/>
            <w:bookmarkEnd w:id="98"/>
          </w:p>
          <w:p>
            <w:pPr>
              <w:keepNext/>
              <w:keepLines/>
              <w:wordWrap w:val="0"/>
              <w:spacing w:before="192" w:beforeLines="80" w:after="192" w:afterLines="80"/>
              <w:outlineLvl w:val="2"/>
              <w:rPr>
                <w:b/>
                <w:bCs/>
                <w:sz w:val="28"/>
                <w:szCs w:val="32"/>
              </w:rPr>
            </w:pPr>
            <w:bookmarkStart w:id="99" w:name="_Toc109734379"/>
            <w:bookmarkStart w:id="100" w:name="_Toc110446482"/>
            <w:bookmarkStart w:id="101" w:name="_Toc109294475"/>
            <w:bookmarkStart w:id="102" w:name="_Toc111721064"/>
            <w:bookmarkStart w:id="103" w:name="_Toc109630678"/>
            <w:r>
              <w:rPr>
                <w:rFonts w:hint="eastAsia"/>
                <w:b/>
                <w:bCs/>
                <w:sz w:val="28"/>
                <w:szCs w:val="32"/>
              </w:rPr>
              <w:t>3</w:t>
            </w:r>
            <w:r>
              <w:rPr>
                <w:b/>
                <w:bCs/>
                <w:sz w:val="28"/>
                <w:szCs w:val="32"/>
              </w:rPr>
              <w:t>.3.1</w:t>
            </w:r>
            <w:r>
              <w:rPr>
                <w:rFonts w:hint="eastAsia"/>
                <w:b/>
                <w:bCs/>
                <w:sz w:val="28"/>
                <w:szCs w:val="32"/>
              </w:rPr>
              <w:t>废气排放标准</w:t>
            </w:r>
            <w:bookmarkEnd w:id="99"/>
            <w:bookmarkEnd w:id="100"/>
            <w:bookmarkEnd w:id="101"/>
            <w:bookmarkEnd w:id="102"/>
            <w:bookmarkEnd w:id="103"/>
          </w:p>
          <w:p>
            <w:pPr>
              <w:spacing w:line="360" w:lineRule="auto"/>
              <w:ind w:firstLine="480" w:firstLineChars="200"/>
              <w:rPr>
                <w:bCs/>
                <w:sz w:val="24"/>
              </w:rPr>
            </w:pPr>
            <w:r>
              <w:rPr>
                <w:bCs/>
                <w:sz w:val="24"/>
              </w:rPr>
              <w:t>（1）施工期废气</w:t>
            </w:r>
          </w:p>
          <w:p>
            <w:pPr>
              <w:spacing w:line="360" w:lineRule="auto"/>
              <w:ind w:firstLine="480" w:firstLineChars="200"/>
              <w:rPr>
                <w:bCs/>
                <w:sz w:val="24"/>
              </w:rPr>
            </w:pPr>
            <w:r>
              <w:rPr>
                <w:rFonts w:hAnsi="宋体"/>
                <w:bCs/>
                <w:sz w:val="24"/>
              </w:rPr>
              <w:t>施工期废气排放执行《大气污染物综合排放标准》（</w:t>
            </w:r>
            <w:r>
              <w:rPr>
                <w:bCs/>
                <w:sz w:val="24"/>
              </w:rPr>
              <w:t>GB16297-1996</w:t>
            </w:r>
            <w:r>
              <w:rPr>
                <w:rFonts w:hAnsi="宋体"/>
                <w:bCs/>
                <w:sz w:val="24"/>
              </w:rPr>
              <w:t>）无组织排放监控浓度限值，见表</w:t>
            </w:r>
            <w:r>
              <w:rPr>
                <w:rFonts w:hint="eastAsia" w:hAnsi="宋体"/>
                <w:bCs/>
                <w:sz w:val="24"/>
              </w:rPr>
              <w:t>3.3-1</w:t>
            </w:r>
            <w:r>
              <w:rPr>
                <w:rFonts w:hAnsi="宋体"/>
                <w:bCs/>
                <w:sz w:val="24"/>
              </w:rPr>
              <w:t>。</w:t>
            </w:r>
          </w:p>
          <w:p>
            <w:pPr>
              <w:pStyle w:val="72"/>
              <w:widowControl/>
              <w:overflowPunct w:val="0"/>
              <w:spacing w:before="144" w:after="144" w:line="240" w:lineRule="auto"/>
              <w:rPr>
                <w:rFonts w:hint="eastAsia"/>
              </w:rPr>
            </w:pPr>
            <w:r>
              <w:rPr>
                <w:rFonts w:hint="eastAsia"/>
              </w:rPr>
              <w:t>表3.3-1   施工期大气污染物排放标准</w:t>
            </w:r>
          </w:p>
          <w:tbl>
            <w:tblPr>
              <w:tblStyle w:val="2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3729"/>
              <w:gridCol w:w="3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noWrap w:val="0"/>
                  <w:vAlign w:val="center"/>
                </w:tcPr>
                <w:p>
                  <w:pPr>
                    <w:jc w:val="center"/>
                  </w:pPr>
                  <w:r>
                    <w:rPr>
                      <w:rFonts w:hAnsi="宋体"/>
                      <w:szCs w:val="21"/>
                    </w:rPr>
                    <w:t>污染物</w:t>
                  </w:r>
                </w:p>
              </w:tc>
              <w:tc>
                <w:tcPr>
                  <w:tcW w:w="3480" w:type="dxa"/>
                  <w:noWrap w:val="0"/>
                  <w:vAlign w:val="center"/>
                </w:tcPr>
                <w:p>
                  <w:pPr>
                    <w:jc w:val="center"/>
                  </w:pPr>
                  <w:r>
                    <w:rPr>
                      <w:rFonts w:hAnsi="宋体"/>
                      <w:szCs w:val="21"/>
                    </w:rPr>
                    <w:t>无组织排放监控浓度限值（</w:t>
                  </w:r>
                  <w:r>
                    <w:rPr>
                      <w:szCs w:val="21"/>
                    </w:rPr>
                    <w:t>mg/m</w:t>
                  </w:r>
                  <w:r>
                    <w:rPr>
                      <w:szCs w:val="21"/>
                      <w:vertAlign w:val="superscript"/>
                    </w:rPr>
                    <w:t>3</w:t>
                  </w:r>
                  <w:r>
                    <w:rPr>
                      <w:rFonts w:hAnsi="宋体"/>
                      <w:szCs w:val="21"/>
                    </w:rPr>
                    <w:t>）</w:t>
                  </w:r>
                </w:p>
              </w:tc>
              <w:tc>
                <w:tcPr>
                  <w:tcW w:w="3494" w:type="dxa"/>
                  <w:noWrap w:val="0"/>
                  <w:vAlign w:val="center"/>
                </w:tcPr>
                <w:p>
                  <w:pPr>
                    <w:jc w:val="center"/>
                  </w:pPr>
                  <w:r>
                    <w:rPr>
                      <w:rFonts w:hAnsi="宋体"/>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noWrap w:val="0"/>
                  <w:vAlign w:val="center"/>
                </w:tcPr>
                <w:p>
                  <w:pPr>
                    <w:jc w:val="center"/>
                  </w:pPr>
                  <w:r>
                    <w:rPr>
                      <w:rFonts w:hAnsi="宋体"/>
                      <w:szCs w:val="21"/>
                    </w:rPr>
                    <w:t>粉尘</w:t>
                  </w:r>
                </w:p>
              </w:tc>
              <w:tc>
                <w:tcPr>
                  <w:tcW w:w="3480" w:type="dxa"/>
                  <w:noWrap w:val="0"/>
                  <w:vAlign w:val="center"/>
                </w:tcPr>
                <w:p>
                  <w:pPr>
                    <w:jc w:val="center"/>
                  </w:pPr>
                  <w:r>
                    <w:rPr>
                      <w:szCs w:val="21"/>
                    </w:rPr>
                    <w:t>1.0</w:t>
                  </w:r>
                </w:p>
              </w:tc>
              <w:tc>
                <w:tcPr>
                  <w:tcW w:w="3494" w:type="dxa"/>
                  <w:noWrap w:val="0"/>
                  <w:vAlign w:val="center"/>
                </w:tcPr>
                <w:p>
                  <w:pPr>
                    <w:jc w:val="center"/>
                  </w:pPr>
                  <w:r>
                    <w:rPr>
                      <w:rFonts w:hAnsi="宋体"/>
                      <w:szCs w:val="21"/>
                    </w:rPr>
                    <w:t>《大气污染物综合排放标准》（</w:t>
                  </w:r>
                  <w:r>
                    <w:rPr>
                      <w:szCs w:val="21"/>
                    </w:rPr>
                    <w:t>GB16297-1996</w:t>
                  </w:r>
                  <w:r>
                    <w:rPr>
                      <w:rFonts w:hAnsi="宋体"/>
                      <w:szCs w:val="21"/>
                    </w:rPr>
                    <w:t>）</w:t>
                  </w:r>
                </w:p>
              </w:tc>
            </w:tr>
          </w:tbl>
          <w:p>
            <w:pPr>
              <w:adjustRightInd w:val="0"/>
              <w:snapToGrid w:val="0"/>
              <w:spacing w:before="120" w:beforeLines="50" w:line="360" w:lineRule="auto"/>
              <w:ind w:firstLine="480" w:firstLineChars="200"/>
              <w:contextualSpacing/>
              <w:rPr>
                <w:sz w:val="24"/>
              </w:rPr>
            </w:pPr>
            <w:r>
              <w:rPr>
                <w:sz w:val="24"/>
              </w:rPr>
              <w:t>（2）运营期废气</w:t>
            </w:r>
          </w:p>
          <w:p>
            <w:pPr>
              <w:pStyle w:val="13"/>
              <w:adjustRightInd w:val="0"/>
              <w:snapToGrid w:val="0"/>
              <w:spacing w:after="0" w:line="360" w:lineRule="auto"/>
              <w:ind w:left="0" w:leftChars="0" w:firstLine="480" w:firstLineChars="200"/>
              <w:rPr>
                <w:rFonts w:hint="eastAsia"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建筑用石生产</w:t>
            </w:r>
            <w:r>
              <w:rPr>
                <w:rFonts w:ascii="Times New Roman" w:hAnsi="Times New Roman" w:cs="Times New Roman"/>
                <w:sz w:val="24"/>
              </w:rPr>
              <w:t>加工过程中产生的废气执行《大气污染物综合排放标准（GB16297-1996）》表2</w:t>
            </w:r>
            <w:r>
              <w:rPr>
                <w:rFonts w:hint="eastAsia" w:ascii="Times New Roman" w:hAnsi="Times New Roman" w:cs="Times New Roman"/>
                <w:sz w:val="24"/>
              </w:rPr>
              <w:t>新污染源大气污染物排放限值，具体见表3.3-2。</w:t>
            </w:r>
          </w:p>
          <w:p>
            <w:pPr>
              <w:pStyle w:val="72"/>
              <w:widowControl/>
              <w:overflowPunct w:val="0"/>
              <w:spacing w:before="144" w:after="144" w:line="240" w:lineRule="auto"/>
            </w:pPr>
            <w:r>
              <w:t>表</w:t>
            </w:r>
            <w:r>
              <w:rPr>
                <w:rFonts w:hint="eastAsia"/>
              </w:rPr>
              <w:t xml:space="preserve">3.3-2 </w:t>
            </w:r>
            <w:r>
              <w:t>大气污染物综合排放标准</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915"/>
              <w:gridCol w:w="1554"/>
              <w:gridCol w:w="1525"/>
              <w:gridCol w:w="1100"/>
              <w:gridCol w:w="25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0" w:type="dxa"/>
                  <w:vMerge w:val="restart"/>
                  <w:noWrap w:val="0"/>
                  <w:vAlign w:val="center"/>
                </w:tcPr>
                <w:p>
                  <w:pPr>
                    <w:adjustRightInd w:val="0"/>
                    <w:snapToGrid w:val="0"/>
                    <w:jc w:val="center"/>
                    <w:rPr>
                      <w:b/>
                      <w:bCs/>
                      <w:szCs w:val="21"/>
                    </w:rPr>
                  </w:pPr>
                  <w:r>
                    <w:rPr>
                      <w:rFonts w:hint="eastAsia"/>
                      <w:b/>
                      <w:szCs w:val="21"/>
                    </w:rPr>
                    <w:t>污染工序</w:t>
                  </w:r>
                </w:p>
              </w:tc>
              <w:tc>
                <w:tcPr>
                  <w:tcW w:w="915" w:type="dxa"/>
                  <w:vMerge w:val="restart"/>
                  <w:noWrap w:val="0"/>
                  <w:vAlign w:val="center"/>
                </w:tcPr>
                <w:p>
                  <w:pPr>
                    <w:adjustRightInd w:val="0"/>
                    <w:snapToGrid w:val="0"/>
                    <w:jc w:val="center"/>
                    <w:rPr>
                      <w:b/>
                      <w:bCs/>
                      <w:szCs w:val="21"/>
                    </w:rPr>
                  </w:pPr>
                  <w:r>
                    <w:rPr>
                      <w:b/>
                      <w:szCs w:val="21"/>
                    </w:rPr>
                    <w:t>污染物</w:t>
                  </w:r>
                </w:p>
              </w:tc>
              <w:tc>
                <w:tcPr>
                  <w:tcW w:w="4179" w:type="dxa"/>
                  <w:gridSpan w:val="3"/>
                  <w:noWrap w:val="0"/>
                  <w:vAlign w:val="center"/>
                </w:tcPr>
                <w:p>
                  <w:pPr>
                    <w:adjustRightInd w:val="0"/>
                    <w:snapToGrid w:val="0"/>
                    <w:jc w:val="center"/>
                    <w:rPr>
                      <w:rFonts w:hint="eastAsia"/>
                      <w:b/>
                      <w:szCs w:val="21"/>
                    </w:rPr>
                  </w:pPr>
                  <w:r>
                    <w:rPr>
                      <w:rFonts w:hint="eastAsia"/>
                      <w:b/>
                      <w:szCs w:val="21"/>
                    </w:rPr>
                    <w:t>有组织废气控制浓度</w:t>
                  </w:r>
                </w:p>
              </w:tc>
              <w:tc>
                <w:tcPr>
                  <w:tcW w:w="2520" w:type="dxa"/>
                  <w:noWrap w:val="0"/>
                  <w:vAlign w:val="center"/>
                </w:tcPr>
                <w:p>
                  <w:pPr>
                    <w:adjustRightInd w:val="0"/>
                    <w:snapToGrid w:val="0"/>
                    <w:jc w:val="center"/>
                    <w:rPr>
                      <w:rFonts w:hint="eastAsia"/>
                      <w:b/>
                      <w:szCs w:val="21"/>
                    </w:rPr>
                  </w:pPr>
                  <w:r>
                    <w:rPr>
                      <w:rFonts w:hint="eastAsia"/>
                      <w:b/>
                      <w:szCs w:val="21"/>
                    </w:rPr>
                    <w:t>无组织监控浓度（</w:t>
                  </w:r>
                  <w:r>
                    <w:rPr>
                      <w:b/>
                      <w:szCs w:val="21"/>
                    </w:rPr>
                    <w:t>mg/m</w:t>
                  </w:r>
                  <w:r>
                    <w:rPr>
                      <w:b/>
                      <w:szCs w:val="21"/>
                      <w:vertAlign w:val="superscript"/>
                    </w:rPr>
                    <w:t>3</w:t>
                  </w:r>
                  <w:r>
                    <w:rPr>
                      <w:rFonts w:hint="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0" w:type="dxa"/>
                  <w:vMerge w:val="continue"/>
                  <w:noWrap w:val="0"/>
                  <w:vAlign w:val="center"/>
                </w:tcPr>
                <w:p>
                  <w:pPr>
                    <w:adjustRightInd w:val="0"/>
                    <w:snapToGrid w:val="0"/>
                    <w:jc w:val="center"/>
                    <w:rPr>
                      <w:b/>
                      <w:bCs/>
                      <w:szCs w:val="21"/>
                    </w:rPr>
                  </w:pPr>
                </w:p>
              </w:tc>
              <w:tc>
                <w:tcPr>
                  <w:tcW w:w="915" w:type="dxa"/>
                  <w:vMerge w:val="continue"/>
                  <w:noWrap w:val="0"/>
                  <w:vAlign w:val="center"/>
                </w:tcPr>
                <w:p>
                  <w:pPr>
                    <w:adjustRightInd w:val="0"/>
                    <w:snapToGrid w:val="0"/>
                    <w:jc w:val="center"/>
                    <w:rPr>
                      <w:b/>
                      <w:bCs/>
                      <w:szCs w:val="21"/>
                    </w:rPr>
                  </w:pPr>
                </w:p>
              </w:tc>
              <w:tc>
                <w:tcPr>
                  <w:tcW w:w="1554" w:type="dxa"/>
                  <w:noWrap w:val="0"/>
                  <w:vAlign w:val="center"/>
                </w:tcPr>
                <w:p>
                  <w:pPr>
                    <w:adjustRightInd w:val="0"/>
                    <w:snapToGrid w:val="0"/>
                    <w:jc w:val="center"/>
                    <w:rPr>
                      <w:rFonts w:hint="eastAsia"/>
                      <w:bCs/>
                      <w:szCs w:val="21"/>
                    </w:rPr>
                  </w:pPr>
                  <w:r>
                    <w:rPr>
                      <w:bCs/>
                      <w:szCs w:val="21"/>
                    </w:rPr>
                    <w:t>最高允许排放浓度</w:t>
                  </w:r>
                  <w:r>
                    <w:rPr>
                      <w:rFonts w:hint="eastAsia"/>
                      <w:bCs/>
                      <w:szCs w:val="21"/>
                    </w:rPr>
                    <w:t>（</w:t>
                  </w:r>
                  <w:r>
                    <w:rPr>
                      <w:bCs/>
                      <w:szCs w:val="21"/>
                    </w:rPr>
                    <w:t>mg/m</w:t>
                  </w:r>
                  <w:r>
                    <w:rPr>
                      <w:bCs/>
                      <w:szCs w:val="21"/>
                      <w:vertAlign w:val="superscript"/>
                    </w:rPr>
                    <w:t>3</w:t>
                  </w:r>
                  <w:r>
                    <w:rPr>
                      <w:rFonts w:hint="eastAsia"/>
                      <w:bCs/>
                      <w:szCs w:val="21"/>
                    </w:rPr>
                    <w:t>）</w:t>
                  </w:r>
                </w:p>
              </w:tc>
              <w:tc>
                <w:tcPr>
                  <w:tcW w:w="1525" w:type="dxa"/>
                  <w:noWrap w:val="0"/>
                  <w:vAlign w:val="center"/>
                </w:tcPr>
                <w:p>
                  <w:pPr>
                    <w:adjustRightInd w:val="0"/>
                    <w:snapToGrid w:val="0"/>
                    <w:jc w:val="center"/>
                    <w:rPr>
                      <w:rFonts w:hint="eastAsia"/>
                      <w:bCs/>
                      <w:szCs w:val="21"/>
                    </w:rPr>
                  </w:pPr>
                  <w:r>
                    <w:rPr>
                      <w:bCs/>
                      <w:szCs w:val="21"/>
                    </w:rPr>
                    <w:t>最高允许排放速率</w:t>
                  </w:r>
                  <w:r>
                    <w:rPr>
                      <w:rFonts w:hint="eastAsia"/>
                      <w:bCs/>
                      <w:szCs w:val="21"/>
                    </w:rPr>
                    <w:t>（</w:t>
                  </w:r>
                  <w:r>
                    <w:rPr>
                      <w:bCs/>
                      <w:szCs w:val="21"/>
                    </w:rPr>
                    <w:t>kg/h</w:t>
                  </w:r>
                  <w:r>
                    <w:rPr>
                      <w:rFonts w:hint="eastAsia"/>
                      <w:bCs/>
                      <w:szCs w:val="21"/>
                    </w:rPr>
                    <w:t>）</w:t>
                  </w:r>
                </w:p>
              </w:tc>
              <w:tc>
                <w:tcPr>
                  <w:tcW w:w="1100" w:type="dxa"/>
                  <w:noWrap w:val="0"/>
                  <w:vAlign w:val="center"/>
                </w:tcPr>
                <w:p>
                  <w:pPr>
                    <w:adjustRightInd w:val="0"/>
                    <w:snapToGrid w:val="0"/>
                    <w:jc w:val="center"/>
                    <w:rPr>
                      <w:rFonts w:hint="eastAsia"/>
                      <w:bCs/>
                      <w:szCs w:val="21"/>
                    </w:rPr>
                  </w:pPr>
                  <w:r>
                    <w:rPr>
                      <w:bCs/>
                      <w:szCs w:val="21"/>
                    </w:rPr>
                    <w:t>排气筒高度</w:t>
                  </w:r>
                  <w:r>
                    <w:rPr>
                      <w:rFonts w:hint="eastAsia"/>
                      <w:bCs/>
                      <w:szCs w:val="21"/>
                    </w:rPr>
                    <w:t>（m）</w:t>
                  </w:r>
                </w:p>
              </w:tc>
              <w:tc>
                <w:tcPr>
                  <w:tcW w:w="2520" w:type="dxa"/>
                  <w:noWrap w:val="0"/>
                  <w:vAlign w:val="center"/>
                </w:tcPr>
                <w:p>
                  <w:pPr>
                    <w:adjustRightInd w:val="0"/>
                    <w:snapToGrid w:val="0"/>
                    <w:jc w:val="center"/>
                    <w:rPr>
                      <w:rFonts w:hint="eastAsia"/>
                      <w:bCs/>
                      <w:szCs w:val="21"/>
                    </w:rPr>
                  </w:pPr>
                  <w:r>
                    <w:rPr>
                      <w:rFonts w:hint="eastAsia"/>
                      <w:bCs/>
                      <w:szCs w:val="21"/>
                    </w:rPr>
                    <w:t>周界外浓度最高点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0" w:type="dxa"/>
                  <w:noWrap w:val="0"/>
                  <w:vAlign w:val="center"/>
                </w:tcPr>
                <w:p>
                  <w:pPr>
                    <w:adjustRightInd w:val="0"/>
                    <w:snapToGrid w:val="0"/>
                    <w:jc w:val="center"/>
                    <w:rPr>
                      <w:szCs w:val="21"/>
                    </w:rPr>
                  </w:pPr>
                  <w:r>
                    <w:rPr>
                      <w:rFonts w:hint="eastAsia"/>
                      <w:bCs/>
                      <w:szCs w:val="21"/>
                    </w:rPr>
                    <w:t>生产加工</w:t>
                  </w:r>
                </w:p>
              </w:tc>
              <w:tc>
                <w:tcPr>
                  <w:tcW w:w="915" w:type="dxa"/>
                  <w:noWrap w:val="0"/>
                  <w:vAlign w:val="center"/>
                </w:tcPr>
                <w:p>
                  <w:pPr>
                    <w:adjustRightInd w:val="0"/>
                    <w:snapToGrid w:val="0"/>
                    <w:jc w:val="center"/>
                    <w:rPr>
                      <w:szCs w:val="21"/>
                    </w:rPr>
                  </w:pPr>
                  <w:r>
                    <w:rPr>
                      <w:bCs/>
                      <w:szCs w:val="21"/>
                    </w:rPr>
                    <w:t>颗粒物</w:t>
                  </w:r>
                </w:p>
              </w:tc>
              <w:tc>
                <w:tcPr>
                  <w:tcW w:w="1554" w:type="dxa"/>
                  <w:noWrap w:val="0"/>
                  <w:vAlign w:val="center"/>
                </w:tcPr>
                <w:p>
                  <w:pPr>
                    <w:adjustRightInd w:val="0"/>
                    <w:snapToGrid w:val="0"/>
                    <w:jc w:val="center"/>
                    <w:rPr>
                      <w:szCs w:val="21"/>
                    </w:rPr>
                  </w:pPr>
                  <w:r>
                    <w:rPr>
                      <w:bCs/>
                      <w:szCs w:val="21"/>
                    </w:rPr>
                    <w:t>120</w:t>
                  </w:r>
                </w:p>
              </w:tc>
              <w:tc>
                <w:tcPr>
                  <w:tcW w:w="1525" w:type="dxa"/>
                  <w:noWrap w:val="0"/>
                  <w:vAlign w:val="center"/>
                </w:tcPr>
                <w:p>
                  <w:pPr>
                    <w:adjustRightInd w:val="0"/>
                    <w:snapToGrid w:val="0"/>
                    <w:jc w:val="center"/>
                    <w:rPr>
                      <w:szCs w:val="21"/>
                    </w:rPr>
                  </w:pPr>
                  <w:r>
                    <w:rPr>
                      <w:rFonts w:hint="eastAsia"/>
                      <w:bCs/>
                      <w:szCs w:val="21"/>
                    </w:rPr>
                    <w:t>3.5</w:t>
                  </w:r>
                </w:p>
              </w:tc>
              <w:tc>
                <w:tcPr>
                  <w:tcW w:w="1100" w:type="dxa"/>
                  <w:noWrap w:val="0"/>
                  <w:vAlign w:val="center"/>
                </w:tcPr>
                <w:p>
                  <w:pPr>
                    <w:adjustRightInd w:val="0"/>
                    <w:snapToGrid w:val="0"/>
                    <w:jc w:val="center"/>
                    <w:rPr>
                      <w:szCs w:val="21"/>
                    </w:rPr>
                  </w:pPr>
                  <w:r>
                    <w:rPr>
                      <w:rFonts w:hint="eastAsia"/>
                      <w:bCs/>
                      <w:szCs w:val="21"/>
                    </w:rPr>
                    <w:t>15</w:t>
                  </w:r>
                  <w:r>
                    <w:rPr>
                      <w:bCs/>
                      <w:szCs w:val="21"/>
                    </w:rPr>
                    <w:t>m</w:t>
                  </w:r>
                </w:p>
              </w:tc>
              <w:tc>
                <w:tcPr>
                  <w:tcW w:w="2520" w:type="dxa"/>
                  <w:noWrap w:val="0"/>
                  <w:vAlign w:val="center"/>
                </w:tcPr>
                <w:p>
                  <w:pPr>
                    <w:adjustRightInd w:val="0"/>
                    <w:snapToGrid w:val="0"/>
                    <w:jc w:val="center"/>
                    <w:rPr>
                      <w:bCs/>
                      <w:szCs w:val="21"/>
                    </w:rPr>
                  </w:pPr>
                  <w:r>
                    <w:rPr>
                      <w:rFonts w:hint="eastAsia"/>
                      <w:bCs/>
                      <w:szCs w:val="21"/>
                    </w:rPr>
                    <w:t>1.0</w:t>
                  </w:r>
                </w:p>
              </w:tc>
            </w:tr>
          </w:tbl>
          <w:p>
            <w:pPr>
              <w:keepNext/>
              <w:keepLines/>
              <w:wordWrap w:val="0"/>
              <w:spacing w:before="192" w:beforeLines="80" w:after="192" w:afterLines="80"/>
              <w:outlineLvl w:val="2"/>
              <w:rPr>
                <w:rFonts w:hint="eastAsia"/>
                <w:b/>
                <w:bCs/>
                <w:sz w:val="28"/>
                <w:szCs w:val="32"/>
              </w:rPr>
            </w:pPr>
            <w:r>
              <w:rPr>
                <w:rFonts w:hint="eastAsia"/>
                <w:b/>
                <w:bCs/>
                <w:sz w:val="28"/>
                <w:szCs w:val="32"/>
              </w:rPr>
              <w:t>3.3.2废水排放标准</w:t>
            </w:r>
          </w:p>
          <w:p>
            <w:pPr>
              <w:pStyle w:val="13"/>
              <w:adjustRightInd w:val="0"/>
              <w:snapToGrid w:val="0"/>
              <w:spacing w:after="0" w:line="360" w:lineRule="auto"/>
              <w:ind w:left="0" w:leftChars="0" w:firstLine="480" w:firstLineChars="200"/>
              <w:rPr>
                <w:rFonts w:hint="eastAsia" w:ascii="Times New Roman" w:hAnsi="Times New Roman" w:cs="Times New Roman"/>
                <w:sz w:val="24"/>
              </w:rPr>
            </w:pPr>
            <w:r>
              <w:rPr>
                <w:rFonts w:hint="eastAsia" w:ascii="Times New Roman" w:hAnsi="Times New Roman" w:cs="Times New Roman"/>
                <w:sz w:val="24"/>
              </w:rPr>
              <w:t>本项目运营期车辆冲洗废水经收集沉淀后全部回用，生活废水经化粪池处理后定期委托当地农户清掏农肥，项目无废水排外。</w:t>
            </w:r>
          </w:p>
          <w:p>
            <w:pPr>
              <w:keepNext/>
              <w:keepLines/>
              <w:wordWrap w:val="0"/>
              <w:spacing w:before="192" w:beforeLines="80" w:after="192" w:afterLines="80"/>
              <w:outlineLvl w:val="2"/>
              <w:rPr>
                <w:rFonts w:hint="eastAsia"/>
                <w:b/>
                <w:bCs/>
                <w:sz w:val="28"/>
                <w:szCs w:val="32"/>
              </w:rPr>
            </w:pPr>
            <w:r>
              <w:rPr>
                <w:rFonts w:hint="eastAsia"/>
                <w:b/>
                <w:bCs/>
                <w:sz w:val="28"/>
                <w:szCs w:val="32"/>
              </w:rPr>
              <w:t>3.3.3噪声排放标准</w:t>
            </w:r>
          </w:p>
          <w:p>
            <w:pPr>
              <w:spacing w:line="360" w:lineRule="auto"/>
              <w:ind w:firstLine="480" w:firstLineChars="200"/>
              <w:rPr>
                <w:snapToGrid w:val="0"/>
                <w:kern w:val="0"/>
                <w:sz w:val="24"/>
              </w:rPr>
            </w:pPr>
            <w:r>
              <w:rPr>
                <w:snapToGrid w:val="0"/>
                <w:kern w:val="0"/>
                <w:sz w:val="24"/>
              </w:rPr>
              <w:t>（1）施工期噪声</w:t>
            </w:r>
          </w:p>
          <w:p>
            <w:pPr>
              <w:spacing w:line="360" w:lineRule="auto"/>
              <w:ind w:firstLine="480" w:firstLineChars="200"/>
              <w:rPr>
                <w:snapToGrid w:val="0"/>
                <w:kern w:val="0"/>
                <w:sz w:val="24"/>
              </w:rPr>
            </w:pPr>
            <w:r>
              <w:rPr>
                <w:rFonts w:hAnsi="宋体"/>
                <w:snapToGrid w:val="0"/>
                <w:kern w:val="0"/>
                <w:sz w:val="24"/>
              </w:rPr>
              <w:t>项目施工期噪声执行《建筑施工场界环境噪声排放标准》</w:t>
            </w:r>
            <w:r>
              <w:rPr>
                <w:snapToGrid w:val="0"/>
                <w:kern w:val="0"/>
                <w:sz w:val="24"/>
              </w:rPr>
              <w:t>(GB12523-2011)</w:t>
            </w:r>
            <w:r>
              <w:rPr>
                <w:rFonts w:hAnsi="宋体"/>
                <w:snapToGrid w:val="0"/>
                <w:kern w:val="0"/>
                <w:sz w:val="24"/>
              </w:rPr>
              <w:t>，见表</w:t>
            </w:r>
            <w:r>
              <w:rPr>
                <w:rFonts w:hint="eastAsia"/>
                <w:snapToGrid w:val="0"/>
                <w:kern w:val="0"/>
                <w:sz w:val="24"/>
              </w:rPr>
              <w:t>3.3-3</w:t>
            </w:r>
            <w:r>
              <w:rPr>
                <w:rFonts w:hAnsi="宋体"/>
                <w:snapToGrid w:val="0"/>
                <w:kern w:val="0"/>
                <w:sz w:val="24"/>
              </w:rPr>
              <w:t>。</w:t>
            </w:r>
          </w:p>
          <w:p>
            <w:pPr>
              <w:spacing w:line="360" w:lineRule="auto"/>
              <w:jc w:val="center"/>
              <w:rPr>
                <w:b/>
                <w:bCs/>
                <w:sz w:val="24"/>
              </w:rPr>
            </w:pPr>
            <w:r>
              <w:rPr>
                <w:rFonts w:hAnsi="宋体"/>
                <w:b/>
                <w:bCs/>
                <w:sz w:val="24"/>
              </w:rPr>
              <w:t>表</w:t>
            </w:r>
            <w:r>
              <w:rPr>
                <w:rFonts w:hint="eastAsia"/>
                <w:b/>
                <w:bCs/>
                <w:sz w:val="24"/>
              </w:rPr>
              <w:t>3.3-3</w:t>
            </w:r>
            <w:r>
              <w:rPr>
                <w:b/>
                <w:bCs/>
                <w:sz w:val="24"/>
              </w:rPr>
              <w:t xml:space="preserve">  </w:t>
            </w:r>
            <w:r>
              <w:rPr>
                <w:rFonts w:hAnsi="宋体"/>
                <w:b/>
                <w:bCs/>
                <w:sz w:val="24"/>
              </w:rPr>
              <w:t>建筑施工场界环境噪声排放标准</w:t>
            </w:r>
            <w:r>
              <w:rPr>
                <w:b/>
                <w:bCs/>
                <w:sz w:val="24"/>
              </w:rPr>
              <w:t>dB</w:t>
            </w:r>
            <w:r>
              <w:rPr>
                <w:rFonts w:hAnsi="宋体"/>
                <w:b/>
                <w:bCs/>
                <w:sz w:val="24"/>
              </w:rPr>
              <w:t>（</w:t>
            </w:r>
            <w:r>
              <w:rPr>
                <w:b/>
                <w:bCs/>
                <w:sz w:val="24"/>
              </w:rPr>
              <w:t>A</w:t>
            </w:r>
            <w:r>
              <w:rPr>
                <w:rFonts w:hAnsi="宋体"/>
                <w:b/>
                <w:bCs/>
                <w:sz w:val="24"/>
              </w:rPr>
              <w:t>）</w:t>
            </w:r>
          </w:p>
          <w:tbl>
            <w:tblPr>
              <w:tblStyle w:val="2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4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800" w:type="dxa"/>
                  <w:noWrap w:val="0"/>
                  <w:vAlign w:val="center"/>
                </w:tcPr>
                <w:p>
                  <w:pPr>
                    <w:jc w:val="center"/>
                    <w:rPr>
                      <w:szCs w:val="21"/>
                    </w:rPr>
                  </w:pPr>
                  <w:r>
                    <w:rPr>
                      <w:rFonts w:hAnsi="宋体"/>
                    </w:rPr>
                    <w:t>昼间</w:t>
                  </w:r>
                </w:p>
              </w:tc>
              <w:tc>
                <w:tcPr>
                  <w:tcW w:w="3801" w:type="dxa"/>
                  <w:noWrap w:val="0"/>
                  <w:vAlign w:val="center"/>
                </w:tcPr>
                <w:p>
                  <w:pPr>
                    <w:jc w:val="center"/>
                    <w:rPr>
                      <w:szCs w:val="21"/>
                    </w:rPr>
                  </w:pPr>
                  <w:r>
                    <w:rPr>
                      <w:rFonts w:hAnsi="宋体"/>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0" w:type="dxa"/>
                  <w:noWrap w:val="0"/>
                  <w:vAlign w:val="center"/>
                </w:tcPr>
                <w:p>
                  <w:pPr>
                    <w:jc w:val="center"/>
                    <w:rPr>
                      <w:szCs w:val="21"/>
                    </w:rPr>
                  </w:pPr>
                  <w:r>
                    <w:t>70</w:t>
                  </w:r>
                </w:p>
              </w:tc>
              <w:tc>
                <w:tcPr>
                  <w:tcW w:w="3801" w:type="dxa"/>
                  <w:noWrap w:val="0"/>
                  <w:vAlign w:val="center"/>
                </w:tcPr>
                <w:p>
                  <w:pPr>
                    <w:jc w:val="center"/>
                    <w:rPr>
                      <w:szCs w:val="21"/>
                    </w:rPr>
                  </w:pPr>
                  <w:r>
                    <w:t>55</w:t>
                  </w:r>
                </w:p>
              </w:tc>
            </w:tr>
          </w:tbl>
          <w:p>
            <w:pPr>
              <w:adjustRightInd w:val="0"/>
              <w:snapToGrid w:val="0"/>
              <w:spacing w:before="120" w:beforeLines="50" w:line="360" w:lineRule="auto"/>
              <w:ind w:firstLine="480" w:firstLineChars="200"/>
              <w:rPr>
                <w:sz w:val="24"/>
              </w:rPr>
            </w:pPr>
            <w:r>
              <w:rPr>
                <w:sz w:val="24"/>
              </w:rPr>
              <w:t>（2）运营期噪声</w:t>
            </w:r>
          </w:p>
          <w:p>
            <w:pPr>
              <w:adjustRightInd w:val="0"/>
              <w:snapToGrid w:val="0"/>
              <w:spacing w:line="360" w:lineRule="auto"/>
              <w:ind w:firstLine="480" w:firstLineChars="200"/>
              <w:rPr>
                <w:sz w:val="24"/>
              </w:rPr>
            </w:pPr>
            <w:r>
              <w:rPr>
                <w:rFonts w:hint="eastAsia"/>
                <w:sz w:val="24"/>
              </w:rPr>
              <w:t>厂界西侧、南侧及北侧噪声</w:t>
            </w:r>
            <w:r>
              <w:rPr>
                <w:sz w:val="24"/>
              </w:rPr>
              <w:t>执行《工业企业厂界环境噪声排放标准》(GB12348-2008) 中</w:t>
            </w:r>
            <w:r>
              <w:rPr>
                <w:rFonts w:hint="eastAsia"/>
                <w:sz w:val="24"/>
              </w:rPr>
              <w:t>2</w:t>
            </w:r>
            <w:r>
              <w:rPr>
                <w:sz w:val="24"/>
              </w:rPr>
              <w:t>类限值</w:t>
            </w:r>
            <w:r>
              <w:rPr>
                <w:rFonts w:hint="eastAsia"/>
                <w:sz w:val="24"/>
              </w:rPr>
              <w:t>，东侧执行4类标准，具体</w:t>
            </w:r>
            <w:r>
              <w:rPr>
                <w:sz w:val="24"/>
              </w:rPr>
              <w:t>见表</w:t>
            </w:r>
            <w:r>
              <w:rPr>
                <w:rFonts w:hint="eastAsia"/>
                <w:sz w:val="24"/>
              </w:rPr>
              <w:t>3.3-4</w:t>
            </w:r>
            <w:r>
              <w:rPr>
                <w:sz w:val="24"/>
              </w:rPr>
              <w:t>。</w:t>
            </w:r>
          </w:p>
          <w:p>
            <w:pPr>
              <w:spacing w:line="360" w:lineRule="auto"/>
              <w:jc w:val="center"/>
              <w:rPr>
                <w:rFonts w:hAnsi="宋体"/>
                <w:b/>
                <w:bCs/>
                <w:sz w:val="24"/>
              </w:rPr>
            </w:pPr>
            <w:r>
              <w:rPr>
                <w:rFonts w:hAnsi="宋体"/>
                <w:b/>
                <w:bCs/>
                <w:sz w:val="24"/>
              </w:rPr>
              <w:t>表</w:t>
            </w:r>
            <w:r>
              <w:rPr>
                <w:rFonts w:hint="eastAsia" w:hAnsi="宋体"/>
                <w:b/>
                <w:bCs/>
                <w:sz w:val="24"/>
              </w:rPr>
              <w:t>3.3-4</w:t>
            </w:r>
            <w:r>
              <w:rPr>
                <w:rFonts w:hAnsi="宋体"/>
                <w:b/>
                <w:bCs/>
                <w:sz w:val="24"/>
              </w:rPr>
              <w:t xml:space="preserve"> 工业企业厂界环境噪声排放标准等效声级Leq（dB）</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3660"/>
              <w:gridCol w:w="31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1809" w:type="dxa"/>
                  <w:noWrap w:val="0"/>
                  <w:vAlign w:val="center"/>
                </w:tcPr>
                <w:p>
                  <w:pPr>
                    <w:adjustRightInd w:val="0"/>
                    <w:snapToGrid w:val="0"/>
                    <w:jc w:val="center"/>
                    <w:rPr>
                      <w:szCs w:val="21"/>
                    </w:rPr>
                  </w:pPr>
                  <w:r>
                    <w:rPr>
                      <w:szCs w:val="21"/>
                    </w:rPr>
                    <w:t>功能区</w:t>
                  </w:r>
                </w:p>
              </w:tc>
              <w:tc>
                <w:tcPr>
                  <w:tcW w:w="3660" w:type="dxa"/>
                  <w:noWrap w:val="0"/>
                  <w:vAlign w:val="center"/>
                </w:tcPr>
                <w:p>
                  <w:pPr>
                    <w:adjustRightInd w:val="0"/>
                    <w:snapToGrid w:val="0"/>
                    <w:jc w:val="center"/>
                    <w:rPr>
                      <w:szCs w:val="21"/>
                    </w:rPr>
                  </w:pPr>
                  <w:r>
                    <w:rPr>
                      <w:szCs w:val="21"/>
                    </w:rPr>
                    <w:t>昼间</w:t>
                  </w:r>
                </w:p>
              </w:tc>
              <w:tc>
                <w:tcPr>
                  <w:tcW w:w="3149" w:type="dxa"/>
                  <w:noWrap w:val="0"/>
                  <w:vAlign w:val="center"/>
                </w:tcPr>
                <w:p>
                  <w:pPr>
                    <w:adjustRightInd w:val="0"/>
                    <w:snapToGrid w:val="0"/>
                    <w:jc w:val="center"/>
                    <w:rPr>
                      <w:szCs w:val="21"/>
                    </w:rPr>
                  </w:pPr>
                  <w:r>
                    <w:rPr>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1809" w:type="dxa"/>
                  <w:noWrap w:val="0"/>
                  <w:vAlign w:val="center"/>
                </w:tcPr>
                <w:p>
                  <w:pPr>
                    <w:adjustRightInd w:val="0"/>
                    <w:snapToGrid w:val="0"/>
                    <w:jc w:val="center"/>
                    <w:rPr>
                      <w:szCs w:val="21"/>
                    </w:rPr>
                  </w:pPr>
                  <w:r>
                    <w:rPr>
                      <w:rFonts w:hint="eastAsia"/>
                      <w:szCs w:val="21"/>
                    </w:rPr>
                    <w:t>2</w:t>
                  </w:r>
                  <w:r>
                    <w:rPr>
                      <w:szCs w:val="21"/>
                    </w:rPr>
                    <w:t>类</w:t>
                  </w:r>
                </w:p>
              </w:tc>
              <w:tc>
                <w:tcPr>
                  <w:tcW w:w="3660" w:type="dxa"/>
                  <w:noWrap w:val="0"/>
                  <w:vAlign w:val="center"/>
                </w:tcPr>
                <w:p>
                  <w:pPr>
                    <w:adjustRightInd w:val="0"/>
                    <w:snapToGrid w:val="0"/>
                    <w:jc w:val="center"/>
                    <w:rPr>
                      <w:szCs w:val="21"/>
                    </w:rPr>
                  </w:pPr>
                  <w:r>
                    <w:rPr>
                      <w:szCs w:val="21"/>
                    </w:rPr>
                    <w:t>6</w:t>
                  </w:r>
                  <w:r>
                    <w:rPr>
                      <w:rFonts w:hint="eastAsia"/>
                      <w:szCs w:val="21"/>
                    </w:rPr>
                    <w:t>0</w:t>
                  </w:r>
                </w:p>
              </w:tc>
              <w:tc>
                <w:tcPr>
                  <w:tcW w:w="3149" w:type="dxa"/>
                  <w:noWrap w:val="0"/>
                  <w:vAlign w:val="center"/>
                </w:tcPr>
                <w:p>
                  <w:pPr>
                    <w:adjustRightInd w:val="0"/>
                    <w:snapToGrid w:val="0"/>
                    <w:jc w:val="center"/>
                    <w:rPr>
                      <w:szCs w:val="21"/>
                    </w:rPr>
                  </w:pPr>
                  <w:r>
                    <w:rPr>
                      <w:szCs w:val="21"/>
                    </w:rPr>
                    <w:t>5</w:t>
                  </w: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1809" w:type="dxa"/>
                  <w:noWrap w:val="0"/>
                  <w:vAlign w:val="center"/>
                </w:tcPr>
                <w:p>
                  <w:pPr>
                    <w:adjustRightInd w:val="0"/>
                    <w:snapToGrid w:val="0"/>
                    <w:jc w:val="center"/>
                    <w:rPr>
                      <w:szCs w:val="21"/>
                    </w:rPr>
                  </w:pPr>
                  <w:r>
                    <w:rPr>
                      <w:rFonts w:hint="eastAsia"/>
                      <w:szCs w:val="21"/>
                    </w:rPr>
                    <w:t>4类</w:t>
                  </w:r>
                </w:p>
              </w:tc>
              <w:tc>
                <w:tcPr>
                  <w:tcW w:w="3660" w:type="dxa"/>
                  <w:noWrap w:val="0"/>
                  <w:vAlign w:val="center"/>
                </w:tcPr>
                <w:p>
                  <w:pPr>
                    <w:adjustRightInd w:val="0"/>
                    <w:snapToGrid w:val="0"/>
                    <w:jc w:val="center"/>
                    <w:rPr>
                      <w:szCs w:val="21"/>
                    </w:rPr>
                  </w:pPr>
                  <w:r>
                    <w:rPr>
                      <w:rFonts w:hint="eastAsia"/>
                      <w:szCs w:val="21"/>
                    </w:rPr>
                    <w:t>70</w:t>
                  </w:r>
                </w:p>
              </w:tc>
              <w:tc>
                <w:tcPr>
                  <w:tcW w:w="3149" w:type="dxa"/>
                  <w:noWrap w:val="0"/>
                  <w:vAlign w:val="center"/>
                </w:tcPr>
                <w:p>
                  <w:pPr>
                    <w:adjustRightInd w:val="0"/>
                    <w:snapToGrid w:val="0"/>
                    <w:jc w:val="center"/>
                    <w:rPr>
                      <w:szCs w:val="21"/>
                    </w:rPr>
                  </w:pPr>
                  <w:r>
                    <w:rPr>
                      <w:rFonts w:hint="eastAsia"/>
                      <w:szCs w:val="21"/>
                    </w:rPr>
                    <w:t>55</w:t>
                  </w:r>
                </w:p>
              </w:tc>
            </w:tr>
          </w:tbl>
          <w:p>
            <w:pPr>
              <w:keepNext/>
              <w:keepLines/>
              <w:wordWrap w:val="0"/>
              <w:spacing w:before="192" w:beforeLines="80" w:after="192" w:afterLines="80"/>
              <w:outlineLvl w:val="2"/>
              <w:rPr>
                <w:b/>
                <w:bCs/>
                <w:sz w:val="28"/>
                <w:szCs w:val="32"/>
              </w:rPr>
            </w:pPr>
            <w:bookmarkStart w:id="104" w:name="_Toc109630681"/>
            <w:bookmarkStart w:id="105" w:name="_Toc110446485"/>
            <w:bookmarkStart w:id="106" w:name="_Toc109734382"/>
            <w:bookmarkStart w:id="107" w:name="_Toc109294478"/>
            <w:bookmarkStart w:id="108" w:name="_Toc111721067"/>
            <w:r>
              <w:rPr>
                <w:rFonts w:hint="eastAsia"/>
                <w:b/>
                <w:bCs/>
                <w:sz w:val="28"/>
                <w:szCs w:val="32"/>
              </w:rPr>
              <w:t>3</w:t>
            </w:r>
            <w:r>
              <w:rPr>
                <w:b/>
                <w:bCs/>
                <w:sz w:val="28"/>
                <w:szCs w:val="32"/>
              </w:rPr>
              <w:t>.3.4</w:t>
            </w:r>
            <w:r>
              <w:rPr>
                <w:rFonts w:hint="eastAsia"/>
                <w:b/>
                <w:bCs/>
                <w:sz w:val="28"/>
                <w:szCs w:val="32"/>
              </w:rPr>
              <w:t>固体废物控制标准</w:t>
            </w:r>
            <w:bookmarkEnd w:id="104"/>
            <w:bookmarkEnd w:id="105"/>
            <w:bookmarkEnd w:id="106"/>
            <w:bookmarkEnd w:id="107"/>
            <w:bookmarkEnd w:id="108"/>
          </w:p>
          <w:p>
            <w:pPr>
              <w:keepNext/>
              <w:suppressLineNumbers/>
              <w:tabs>
                <w:tab w:val="left" w:pos="5142"/>
              </w:tabs>
              <w:wordWrap w:val="0"/>
              <w:adjustRightInd w:val="0"/>
              <w:snapToGrid w:val="0"/>
              <w:spacing w:line="360" w:lineRule="auto"/>
              <w:ind w:firstLine="480" w:firstLineChars="200"/>
              <w:contextualSpacing/>
              <w:jc w:val="left"/>
              <w:rPr>
                <w:rFonts w:ascii="宋体" w:hAnsi="宋体" w:cs="宋体"/>
                <w:kern w:val="0"/>
                <w:szCs w:val="21"/>
              </w:rPr>
            </w:pPr>
            <w:r>
              <w:rPr>
                <w:rFonts w:hint="eastAsia"/>
                <w:sz w:val="24"/>
              </w:rPr>
              <w:t>生活垃圾固废储存及处置执行《生活垃圾焚烧污染控制标准》（GB18485-2014），一般工业固体废物</w:t>
            </w:r>
            <w:r>
              <w:rPr>
                <w:sz w:val="24"/>
              </w:rPr>
              <w:t>执行</w:t>
            </w:r>
            <w:r>
              <w:rPr>
                <w:rFonts w:hint="eastAsia"/>
                <w:sz w:val="24"/>
              </w:rPr>
              <w:t>《一般工业固体废物贮存和填埋污染控制标准》（GB18599-2020），危险废物执行《危险废物贮存污染控制标准》（GB18597-2023）</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r>
              <w:rPr>
                <w:rFonts w:hint="eastAsia" w:ascii="宋体" w:hAnsi="宋体" w:cs="宋体"/>
                <w:kern w:val="0"/>
                <w:sz w:val="24"/>
              </w:rPr>
              <w:t>总量</w:t>
            </w:r>
          </w:p>
          <w:p>
            <w:pPr>
              <w:adjustRightInd w:val="0"/>
              <w:snapToGrid w:val="0"/>
              <w:jc w:val="center"/>
              <w:rPr>
                <w:rFonts w:hint="eastAsia" w:ascii="宋体" w:hAnsi="宋体" w:cs="宋体"/>
                <w:kern w:val="0"/>
                <w:sz w:val="24"/>
              </w:rPr>
            </w:pPr>
            <w:r>
              <w:rPr>
                <w:rFonts w:hint="eastAsia" w:ascii="宋体" w:hAnsi="宋体" w:cs="宋体"/>
                <w:kern w:val="0"/>
                <w:sz w:val="24"/>
              </w:rPr>
              <w:t>控制</w:t>
            </w:r>
          </w:p>
          <w:p>
            <w:pPr>
              <w:adjustRightInd w:val="0"/>
              <w:snapToGrid w:val="0"/>
              <w:jc w:val="center"/>
              <w:rPr>
                <w:rFonts w:hint="eastAsia" w:ascii="宋体" w:hAnsi="宋体" w:cs="宋体"/>
                <w:kern w:val="0"/>
                <w:sz w:val="24"/>
              </w:rPr>
            </w:pPr>
            <w:r>
              <w:rPr>
                <w:rFonts w:hint="eastAsia" w:ascii="宋体" w:hAnsi="宋体" w:cs="宋体"/>
                <w:kern w:val="0"/>
                <w:sz w:val="24"/>
              </w:rPr>
              <w:t>指标</w:t>
            </w:r>
          </w:p>
          <w:p>
            <w:pPr>
              <w:adjustRightInd w:val="0"/>
              <w:snapToGrid w:val="0"/>
              <w:jc w:val="center"/>
              <w:rPr>
                <w:rFonts w:hint="eastAsia" w:ascii="宋体" w:hAnsi="宋体" w:cs="宋体"/>
                <w:kern w:val="0"/>
                <w:sz w:val="24"/>
              </w:rPr>
            </w:pPr>
          </w:p>
          <w:p>
            <w:pPr>
              <w:adjustRightInd w:val="0"/>
              <w:snapToGrid w:val="0"/>
              <w:jc w:val="center"/>
              <w:rPr>
                <w:rFonts w:hint="eastAsia" w:ascii="宋体" w:hAnsi="宋体" w:cs="宋体"/>
                <w:kern w:val="0"/>
                <w:sz w:val="24"/>
              </w:rPr>
            </w:pPr>
          </w:p>
          <w:p>
            <w:pPr>
              <w:pStyle w:val="22"/>
              <w:ind w:firstLine="240"/>
              <w:rPr>
                <w:rFonts w:hint="eastAsia" w:ascii="宋体" w:hAnsi="宋体" w:cs="宋体"/>
                <w:sz w:val="24"/>
                <w:szCs w:val="24"/>
              </w:rPr>
            </w:pPr>
          </w:p>
          <w:p>
            <w:pPr>
              <w:pStyle w:val="22"/>
              <w:ind w:firstLine="240"/>
              <w:rPr>
                <w:rFonts w:hint="eastAsia" w:ascii="宋体" w:hAnsi="宋体" w:cs="宋体"/>
                <w:sz w:val="24"/>
                <w:szCs w:val="24"/>
              </w:rPr>
            </w:pPr>
          </w:p>
          <w:p>
            <w:pPr>
              <w:pStyle w:val="22"/>
              <w:ind w:firstLine="240"/>
              <w:rPr>
                <w:rFonts w:hint="eastAsia" w:ascii="宋体" w:hAnsi="宋体" w:cs="宋体"/>
                <w:sz w:val="24"/>
                <w:szCs w:val="24"/>
              </w:rPr>
            </w:pPr>
          </w:p>
          <w:p>
            <w:pPr>
              <w:adjustRightInd w:val="0"/>
              <w:snapToGrid w:val="0"/>
              <w:rPr>
                <w:rFonts w:ascii="宋体" w:hAnsi="宋体" w:cs="宋体"/>
                <w:kern w:val="0"/>
                <w:szCs w:val="21"/>
              </w:rPr>
            </w:pPr>
          </w:p>
        </w:tc>
        <w:tc>
          <w:tcPr>
            <w:tcW w:w="8851" w:type="dxa"/>
            <w:noWrap w:val="0"/>
            <w:vAlign w:val="center"/>
          </w:tcPr>
          <w:p>
            <w:pPr>
              <w:keepNext/>
              <w:keepLines/>
              <w:wordWrap w:val="0"/>
              <w:spacing w:before="192" w:beforeLines="80" w:after="192" w:afterLines="80"/>
              <w:outlineLvl w:val="2"/>
              <w:rPr>
                <w:rFonts w:hint="eastAsia"/>
                <w:b/>
                <w:bCs/>
                <w:sz w:val="28"/>
                <w:szCs w:val="32"/>
              </w:rPr>
            </w:pPr>
            <w:bookmarkStart w:id="109" w:name="_Toc109630682"/>
            <w:bookmarkStart w:id="110" w:name="_Toc109734383"/>
            <w:bookmarkStart w:id="111" w:name="_Toc110446486"/>
            <w:bookmarkStart w:id="112" w:name="_Toc111721068"/>
            <w:r>
              <w:rPr>
                <w:rFonts w:hint="eastAsia"/>
                <w:b/>
                <w:bCs/>
                <w:sz w:val="28"/>
                <w:szCs w:val="32"/>
              </w:rPr>
              <w:t>3.4总量控制指标</w:t>
            </w:r>
            <w:bookmarkEnd w:id="109"/>
            <w:bookmarkEnd w:id="110"/>
            <w:bookmarkEnd w:id="111"/>
            <w:bookmarkEnd w:id="112"/>
          </w:p>
          <w:p>
            <w:pPr>
              <w:keepNext/>
              <w:suppressLineNumbers/>
              <w:tabs>
                <w:tab w:val="left" w:pos="5142"/>
              </w:tabs>
              <w:wordWrap w:val="0"/>
              <w:adjustRightInd w:val="0"/>
              <w:snapToGrid w:val="0"/>
              <w:spacing w:line="360" w:lineRule="auto"/>
              <w:ind w:firstLine="480" w:firstLineChars="200"/>
              <w:contextualSpacing/>
              <w:rPr>
                <w:rFonts w:hint="eastAsia"/>
                <w:sz w:val="24"/>
              </w:rPr>
            </w:pPr>
            <w:r>
              <w:rPr>
                <w:rFonts w:hint="eastAsia"/>
                <w:sz w:val="24"/>
              </w:rPr>
              <w:t>根据《固定污染源排污许可分类管理名录（2019版）》，本项目建筑用石生产为（行业代码3039其他建筑材料制造）简化管理。项目废气污染因子为颗粒物，不设置总量控制指标。运营过程中产生的车辆冲洗废水经沉淀后全部回用于车辆冲洗，不外排，生活污水经化粪池处理后定期委托当地农户清掏至农田施肥，本项目不设置废水总量控制指标。</w:t>
            </w:r>
          </w:p>
          <w:p>
            <w:pPr>
              <w:keepNext/>
              <w:suppressLineNumbers/>
              <w:tabs>
                <w:tab w:val="left" w:pos="5142"/>
              </w:tabs>
              <w:wordWrap w:val="0"/>
              <w:adjustRightInd w:val="0"/>
              <w:snapToGrid w:val="0"/>
              <w:spacing w:line="360" w:lineRule="auto"/>
              <w:ind w:firstLine="480" w:firstLineChars="200"/>
              <w:contextualSpacing/>
              <w:jc w:val="left"/>
              <w:rPr>
                <w:rFonts w:hint="eastAsia"/>
                <w:sz w:val="24"/>
              </w:rPr>
            </w:pPr>
            <w:r>
              <w:rPr>
                <w:rFonts w:hint="eastAsia"/>
                <w:sz w:val="24"/>
              </w:rPr>
              <w:t>综上分析，本项目不设置总量控制指标。</w:t>
            </w:r>
          </w:p>
        </w:tc>
      </w:tr>
    </w:tbl>
    <w:p>
      <w:pPr>
        <w:pStyle w:val="20"/>
        <w:jc w:val="center"/>
        <w:outlineLvl w:val="0"/>
        <w:rPr>
          <w:rFonts w:hint="eastAsia" w:ascii="黑体" w:hAnsi="黑体" w:eastAsia="黑体"/>
          <w:snapToGrid w:val="0"/>
          <w:sz w:val="30"/>
          <w:szCs w:val="30"/>
        </w:rPr>
        <w:sectPr>
          <w:pgSz w:w="11907" w:h="16840"/>
          <w:pgMar w:top="1440" w:right="1080" w:bottom="1440" w:left="1080" w:header="851" w:footer="851" w:gutter="0"/>
          <w:pgNumType w:fmt="numberInDash"/>
          <w:cols w:space="720" w:num="1"/>
          <w:docGrid w:linePitch="312" w:charSpace="0"/>
        </w:sectPr>
      </w:pPr>
    </w:p>
    <w:p>
      <w:pPr>
        <w:pStyle w:val="2"/>
        <w:wordWrap w:val="0"/>
        <w:spacing w:line="260" w:lineRule="auto"/>
        <w:ind w:left="0" w:firstLine="0"/>
        <w:rPr>
          <w:rFonts w:hint="eastAsia"/>
          <w:color w:val="auto"/>
          <w:sz w:val="36"/>
        </w:rPr>
      </w:pPr>
      <w:bookmarkStart w:id="113" w:name="_Toc30365"/>
      <w:r>
        <w:rPr>
          <w:rFonts w:hint="eastAsia"/>
          <w:color w:val="auto"/>
          <w:sz w:val="36"/>
        </w:rPr>
        <w:t>四、主要环境影响和保护措施</w:t>
      </w:r>
      <w:bookmarkEnd w:id="11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8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both"/>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w:t>
            </w: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20"/>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w:t>
            </w: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center"/>
              <w:rPr>
                <w:rFonts w:hint="eastAsia" w:cs="宋体"/>
                <w:kern w:val="2"/>
                <w:sz w:val="21"/>
                <w:szCs w:val="21"/>
              </w:rPr>
            </w:pPr>
          </w:p>
          <w:p>
            <w:pPr>
              <w:pStyle w:val="20"/>
              <w:adjustRightInd w:val="0"/>
              <w:snapToGrid w:val="0"/>
              <w:spacing w:before="0" w:beforeAutospacing="0" w:after="0" w:afterAutospacing="0"/>
              <w:jc w:val="both"/>
              <w:rPr>
                <w:rFonts w:hint="eastAsia" w:cs="宋体"/>
                <w:bCs/>
                <w:kern w:val="2"/>
                <w:sz w:val="21"/>
                <w:szCs w:val="21"/>
              </w:rPr>
            </w:pPr>
          </w:p>
        </w:tc>
        <w:tc>
          <w:tcPr>
            <w:tcW w:w="8840" w:type="dxa"/>
            <w:noWrap w:val="0"/>
            <w:vAlign w:val="center"/>
          </w:tcPr>
          <w:p>
            <w:pPr>
              <w:pStyle w:val="3"/>
              <w:wordWrap w:val="0"/>
              <w:spacing w:line="240" w:lineRule="auto"/>
              <w:ind w:firstLine="0" w:firstLineChars="0"/>
              <w:rPr>
                <w:rFonts w:hint="eastAsia" w:ascii="Times New Roman" w:hAnsi="Times New Roman" w:eastAsia="宋体"/>
                <w:bCs w:val="0"/>
                <w:szCs w:val="24"/>
              </w:rPr>
            </w:pPr>
            <w:r>
              <w:rPr>
                <w:rFonts w:hint="eastAsia" w:ascii="Times New Roman" w:hAnsi="Times New Roman" w:eastAsia="宋体"/>
                <w:bCs w:val="0"/>
                <w:szCs w:val="24"/>
              </w:rPr>
              <w:t>4.1施工期环境保护措施</w:t>
            </w:r>
          </w:p>
          <w:p>
            <w:pPr>
              <w:wordWrap w:val="0"/>
              <w:spacing w:line="360" w:lineRule="auto"/>
              <w:ind w:firstLine="480" w:firstLineChars="200"/>
              <w:rPr>
                <w:rFonts w:hint="eastAsia"/>
                <w:sz w:val="24"/>
              </w:rPr>
            </w:pPr>
            <w:r>
              <w:rPr>
                <w:rFonts w:hint="eastAsia"/>
                <w:sz w:val="24"/>
              </w:rPr>
              <w:t>施工期主要污染物为废气、废水、噪声和固体废物。项目施工期污染防治措施如下：</w:t>
            </w:r>
          </w:p>
          <w:p>
            <w:pPr>
              <w:keepNext/>
              <w:keepLines/>
              <w:wordWrap w:val="0"/>
              <w:spacing w:before="192" w:beforeLines="80" w:after="192" w:afterLines="80"/>
              <w:outlineLvl w:val="2"/>
              <w:rPr>
                <w:b/>
                <w:bCs/>
                <w:sz w:val="28"/>
                <w:szCs w:val="32"/>
              </w:rPr>
            </w:pPr>
            <w:r>
              <w:rPr>
                <w:rFonts w:hint="eastAsia"/>
                <w:b/>
                <w:bCs/>
                <w:sz w:val="28"/>
                <w:szCs w:val="32"/>
              </w:rPr>
              <w:t>4.1.1</w:t>
            </w:r>
            <w:r>
              <w:rPr>
                <w:b/>
                <w:bCs/>
                <w:sz w:val="28"/>
                <w:szCs w:val="32"/>
              </w:rPr>
              <w:t>施工期废</w:t>
            </w:r>
            <w:r>
              <w:rPr>
                <w:rFonts w:hint="eastAsia"/>
                <w:b/>
                <w:bCs/>
                <w:sz w:val="28"/>
                <w:szCs w:val="32"/>
              </w:rPr>
              <w:t>气</w:t>
            </w:r>
            <w:r>
              <w:rPr>
                <w:b/>
                <w:bCs/>
                <w:sz w:val="28"/>
                <w:szCs w:val="32"/>
              </w:rPr>
              <w:t>污染防治措施</w:t>
            </w:r>
          </w:p>
          <w:p>
            <w:pPr>
              <w:widowControl/>
              <w:wordWrap w:val="0"/>
              <w:spacing w:line="360" w:lineRule="auto"/>
              <w:ind w:firstLine="480" w:firstLineChars="200"/>
              <w:jc w:val="left"/>
              <w:rPr>
                <w:sz w:val="24"/>
              </w:rPr>
            </w:pPr>
            <w:r>
              <w:rPr>
                <w:rFonts w:hint="eastAsia"/>
                <w:bCs/>
                <w:kern w:val="0"/>
                <w:sz w:val="24"/>
              </w:rPr>
              <w:t>项目施工期主要扬尘来自场地平整、车间建设等主体工程建设时产生的粉尘污染，同时运输车辆行驶也会产生道路扬尘，施工机器运输车辆产生的汽车尾气等；</w:t>
            </w:r>
            <w:r>
              <w:rPr>
                <w:rFonts w:hint="eastAsia"/>
                <w:sz w:val="24"/>
                <w:szCs w:val="21"/>
              </w:rPr>
              <w:t>产生的废气若不采取措施将会对周边环境造成一定的影响。因此</w:t>
            </w:r>
            <w:r>
              <w:rPr>
                <w:rFonts w:hint="eastAsia" w:ascii="宋体" w:hAnsi="宋体" w:cs="宋体"/>
                <w:color w:val="000000"/>
                <w:kern w:val="0"/>
                <w:sz w:val="24"/>
                <w:lang w:bidi="ar"/>
              </w:rPr>
              <w:t>施工时应当采取下列措施：</w:t>
            </w:r>
          </w:p>
          <w:p>
            <w:pPr>
              <w:wordWrap w:val="0"/>
              <w:spacing w:line="360" w:lineRule="auto"/>
              <w:ind w:firstLine="480" w:firstLineChars="200"/>
              <w:rPr>
                <w:sz w:val="24"/>
              </w:rPr>
            </w:pPr>
            <w:r>
              <w:rPr>
                <w:sz w:val="24"/>
              </w:rPr>
              <w:t>（1）施工扬尘防治措施</w:t>
            </w:r>
          </w:p>
          <w:p>
            <w:pPr>
              <w:widowControl/>
              <w:wordWrap w:val="0"/>
              <w:spacing w:line="360" w:lineRule="auto"/>
              <w:ind w:firstLine="480" w:firstLineChars="200"/>
              <w:rPr>
                <w:sz w:val="24"/>
              </w:rPr>
            </w:pPr>
            <w:r>
              <w:rPr>
                <w:rFonts w:hint="eastAsia"/>
                <w:sz w:val="24"/>
              </w:rPr>
              <w:t>①</w:t>
            </w:r>
            <w:r>
              <w:rPr>
                <w:sz w:val="24"/>
                <w:szCs w:val="20"/>
              </w:rPr>
              <w:t>根据</w:t>
            </w:r>
            <w:r>
              <w:rPr>
                <w:rFonts w:hint="eastAsia"/>
                <w:sz w:val="24"/>
                <w:szCs w:val="20"/>
              </w:rPr>
              <w:t>《湘西州大气污染防治攻坚行动方案》</w:t>
            </w:r>
            <w:r>
              <w:rPr>
                <w:sz w:val="24"/>
                <w:szCs w:val="20"/>
              </w:rPr>
              <w:t>，</w:t>
            </w:r>
            <w:r>
              <w:rPr>
                <w:sz w:val="24"/>
              </w:rPr>
              <w:t>施工场地“六个百分百”</w:t>
            </w:r>
            <w:r>
              <w:rPr>
                <w:rFonts w:hint="eastAsia"/>
                <w:sz w:val="24"/>
              </w:rPr>
              <w:t>（施工工地周围100%围挡、物料堆放100%覆盖、出入</w:t>
            </w:r>
            <w:r>
              <w:rPr>
                <w:rFonts w:hint="eastAsia"/>
                <w:sz w:val="24"/>
                <w:lang w:eastAsia="zh-CN"/>
              </w:rPr>
              <w:t>车辆</w:t>
            </w:r>
            <w:r>
              <w:rPr>
                <w:rFonts w:hint="eastAsia"/>
                <w:sz w:val="24"/>
              </w:rPr>
              <w:t>100%清洗、施工现场地面100%地面硬化、洒水清扫保洁100%、渣土运输</w:t>
            </w:r>
            <w:r>
              <w:rPr>
                <w:rFonts w:hint="eastAsia"/>
                <w:sz w:val="24"/>
                <w:lang w:eastAsia="zh-CN"/>
              </w:rPr>
              <w:t>车辆</w:t>
            </w:r>
            <w:r>
              <w:rPr>
                <w:rFonts w:hint="eastAsia"/>
                <w:sz w:val="24"/>
              </w:rPr>
              <w:t>100%密闭运输）</w:t>
            </w:r>
            <w:r>
              <w:rPr>
                <w:sz w:val="24"/>
              </w:rPr>
              <w:t>相关标准中相关规定控制施工期粉尘</w:t>
            </w:r>
            <w:r>
              <w:rPr>
                <w:rFonts w:hint="eastAsia"/>
                <w:sz w:val="24"/>
              </w:rPr>
              <w:t>。</w:t>
            </w:r>
          </w:p>
          <w:p>
            <w:pPr>
              <w:widowControl/>
              <w:wordWrap w:val="0"/>
              <w:spacing w:line="360" w:lineRule="auto"/>
              <w:ind w:firstLine="480" w:firstLineChars="200"/>
              <w:rPr>
                <w:rFonts w:hint="eastAsia"/>
                <w:sz w:val="24"/>
              </w:rPr>
            </w:pPr>
            <w:r>
              <w:rPr>
                <w:rFonts w:hint="eastAsia"/>
                <w:sz w:val="24"/>
              </w:rPr>
              <w:t>②建设工程开工前，按照标准在施工现场周边设置围挡，并对围挡进行维护；</w:t>
            </w:r>
          </w:p>
          <w:p>
            <w:pPr>
              <w:widowControl/>
              <w:wordWrap w:val="0"/>
              <w:spacing w:line="360" w:lineRule="auto"/>
              <w:ind w:firstLine="480" w:firstLineChars="200"/>
              <w:rPr>
                <w:sz w:val="24"/>
              </w:rPr>
            </w:pPr>
            <w:r>
              <w:rPr>
                <w:rFonts w:hint="eastAsia"/>
                <w:sz w:val="24"/>
              </w:rPr>
              <w:t>③在施工现场出入口公示施工现场负责人、环保监督员、扬尘污染主要控制 措施、举报电话等信息；</w:t>
            </w:r>
          </w:p>
          <w:p>
            <w:pPr>
              <w:widowControl/>
              <w:wordWrap w:val="0"/>
              <w:spacing w:line="360" w:lineRule="auto"/>
              <w:ind w:firstLine="480" w:firstLineChars="200"/>
              <w:rPr>
                <w:sz w:val="24"/>
              </w:rPr>
            </w:pPr>
            <w:r>
              <w:rPr>
                <w:rFonts w:hint="eastAsia"/>
                <w:sz w:val="24"/>
              </w:rPr>
              <w:t xml:space="preserve">④施工现场出口处应当设置车辆冲洗设施，施工车辆冲洗干净后方可上路行 驶； </w:t>
            </w:r>
          </w:p>
          <w:p>
            <w:pPr>
              <w:tabs>
                <w:tab w:val="left" w:pos="1620"/>
              </w:tabs>
              <w:adjustRightInd w:val="0"/>
              <w:snapToGrid w:val="0"/>
              <w:spacing w:line="360" w:lineRule="auto"/>
              <w:ind w:firstLine="480" w:firstLineChars="200"/>
              <w:rPr>
                <w:bCs/>
                <w:kern w:val="0"/>
                <w:sz w:val="24"/>
              </w:rPr>
            </w:pPr>
            <w:r>
              <w:rPr>
                <w:rFonts w:hint="eastAsia"/>
                <w:sz w:val="24"/>
              </w:rPr>
              <w:t xml:space="preserve"> ⑤</w:t>
            </w:r>
            <w:r>
              <w:rPr>
                <w:bCs/>
                <w:kern w:val="0"/>
                <w:sz w:val="24"/>
              </w:rPr>
              <w:t>在施工期间加强施工作业管理，施工现场路面要压实，经常洒水；限制运输车辆的行驶速度，而且对运输土方等易产生扬尘的车辆要加盖苫布，完全密闭运输；苫布边缘至少要遮住槽帮上沿以下15cm，保证物料不露出、不遗撤外漏。</w:t>
            </w:r>
          </w:p>
          <w:p>
            <w:pPr>
              <w:tabs>
                <w:tab w:val="left" w:pos="1620"/>
              </w:tabs>
              <w:adjustRightInd w:val="0"/>
              <w:snapToGrid w:val="0"/>
              <w:spacing w:line="360" w:lineRule="auto"/>
              <w:ind w:firstLine="480" w:firstLineChars="200"/>
              <w:rPr>
                <w:sz w:val="24"/>
              </w:rPr>
            </w:pPr>
            <w:r>
              <w:rPr>
                <w:rFonts w:hint="eastAsia"/>
                <w:sz w:val="24"/>
              </w:rPr>
              <w:t>⑥及时对施工现场进行清理和平整，不得从高处向下倾倒或者抛洒各类物料 和建筑垃圾。</w:t>
            </w:r>
          </w:p>
          <w:p>
            <w:pPr>
              <w:widowControl/>
              <w:wordWrap w:val="0"/>
              <w:spacing w:line="360" w:lineRule="auto"/>
              <w:ind w:firstLine="480" w:firstLineChars="200"/>
              <w:jc w:val="left"/>
              <w:rPr>
                <w:sz w:val="24"/>
              </w:rPr>
            </w:pPr>
            <w:r>
              <w:rPr>
                <w:rFonts w:hint="eastAsia" w:ascii="宋体" w:hAnsi="宋体" w:cs="宋体"/>
                <w:color w:val="000000"/>
                <w:kern w:val="0"/>
                <w:sz w:val="24"/>
                <w:lang w:bidi="ar"/>
              </w:rPr>
              <w:t>（</w:t>
            </w:r>
            <w:r>
              <w:rPr>
                <w:color w:val="000000"/>
                <w:kern w:val="0"/>
                <w:sz w:val="24"/>
                <w:lang w:bidi="ar"/>
              </w:rPr>
              <w:t>2</w:t>
            </w:r>
            <w:r>
              <w:rPr>
                <w:rFonts w:hint="eastAsia" w:ascii="宋体" w:hAnsi="宋体" w:cs="宋体"/>
                <w:color w:val="000000"/>
                <w:kern w:val="0"/>
                <w:sz w:val="24"/>
                <w:lang w:bidi="ar"/>
              </w:rPr>
              <w:t xml:space="preserve">）车辆废气防治措施 </w:t>
            </w:r>
          </w:p>
          <w:p>
            <w:pPr>
              <w:widowControl/>
              <w:wordWrap w:val="0"/>
              <w:spacing w:line="360" w:lineRule="auto"/>
              <w:ind w:firstLine="480" w:firstLineChars="200"/>
              <w:rPr>
                <w:sz w:val="24"/>
              </w:rPr>
            </w:pPr>
            <w:r>
              <w:rPr>
                <w:rFonts w:hint="eastAsia" w:ascii="宋体" w:hAnsi="宋体" w:cs="宋体"/>
                <w:color w:val="000000"/>
                <w:kern w:val="0"/>
                <w:sz w:val="24"/>
                <w:lang w:bidi="ar"/>
              </w:rPr>
              <w:t>针对汽车燃油废气，施工单位应选用符合国家有关标准的施工机械和运输工具，使其排放的废气符合国家有关标准，以控制施工区大气环境污染。</w:t>
            </w:r>
          </w:p>
          <w:p>
            <w:pPr>
              <w:wordWrap w:val="0"/>
              <w:spacing w:line="360" w:lineRule="auto"/>
              <w:ind w:firstLine="480" w:firstLineChars="200"/>
              <w:rPr>
                <w:rFonts w:hint="eastAsia"/>
                <w:sz w:val="24"/>
              </w:rPr>
            </w:pPr>
            <w:r>
              <w:rPr>
                <w:rFonts w:hint="eastAsia"/>
                <w:sz w:val="24"/>
              </w:rPr>
              <w:t>在采取以上措施后，施工期废气对</w:t>
            </w:r>
            <w:r>
              <w:rPr>
                <w:rFonts w:hint="eastAsia"/>
                <w:sz w:val="24"/>
                <w:lang w:eastAsia="zh-CN"/>
              </w:rPr>
              <w:t>周边</w:t>
            </w:r>
            <w:r>
              <w:rPr>
                <w:rFonts w:hint="eastAsia"/>
                <w:sz w:val="24"/>
              </w:rPr>
              <w:t>环境影响较小。</w:t>
            </w:r>
          </w:p>
          <w:p>
            <w:pPr>
              <w:keepNext/>
              <w:keepLines/>
              <w:wordWrap w:val="0"/>
              <w:spacing w:before="192" w:beforeLines="80" w:after="192" w:afterLines="80"/>
              <w:outlineLvl w:val="2"/>
              <w:rPr>
                <w:b/>
                <w:bCs/>
                <w:sz w:val="28"/>
                <w:szCs w:val="32"/>
              </w:rPr>
            </w:pPr>
            <w:r>
              <w:rPr>
                <w:rFonts w:hint="eastAsia"/>
                <w:b/>
                <w:bCs/>
                <w:sz w:val="28"/>
                <w:szCs w:val="32"/>
              </w:rPr>
              <w:t>4.1.2</w:t>
            </w:r>
            <w:r>
              <w:rPr>
                <w:b/>
                <w:bCs/>
                <w:sz w:val="28"/>
                <w:szCs w:val="32"/>
              </w:rPr>
              <w:t>施工期废水污染防治措施</w:t>
            </w:r>
          </w:p>
          <w:p>
            <w:pPr>
              <w:widowControl/>
              <w:wordWrap w:val="0"/>
              <w:spacing w:line="360" w:lineRule="auto"/>
              <w:ind w:firstLine="480" w:firstLineChars="200"/>
              <w:rPr>
                <w:sz w:val="24"/>
              </w:rPr>
            </w:pPr>
            <w:r>
              <w:rPr>
                <w:rFonts w:hint="eastAsia"/>
                <w:sz w:val="24"/>
                <w:szCs w:val="21"/>
              </w:rPr>
              <w:t>项目施工期主要废水为施工人员生活污水，车辆、设备冲洗废水。若不采取措施治理，将会最周边水环境造成影响。因此</w:t>
            </w:r>
            <w:r>
              <w:rPr>
                <w:rFonts w:hint="eastAsia" w:ascii="宋体" w:hAnsi="宋体" w:cs="宋体"/>
                <w:color w:val="000000"/>
                <w:kern w:val="0"/>
                <w:sz w:val="24"/>
                <w:lang w:bidi="ar"/>
              </w:rPr>
              <w:t>施工时应当采取下列措施：</w:t>
            </w:r>
          </w:p>
          <w:p>
            <w:pPr>
              <w:widowControl/>
              <w:wordWrap w:val="0"/>
              <w:spacing w:line="360" w:lineRule="auto"/>
              <w:ind w:firstLine="480" w:firstLineChars="200"/>
              <w:rPr>
                <w:sz w:val="24"/>
                <w:szCs w:val="21"/>
              </w:rPr>
            </w:pPr>
            <w:r>
              <w:rPr>
                <w:rFonts w:hint="eastAsia"/>
                <w:sz w:val="24"/>
                <w:szCs w:val="21"/>
              </w:rPr>
              <w:t>（1）</w:t>
            </w:r>
            <w:r>
              <w:rPr>
                <w:rFonts w:hint="eastAsia"/>
                <w:sz w:val="24"/>
                <w:szCs w:val="21"/>
                <w:lang w:eastAsia="zh-CN"/>
              </w:rPr>
              <w:t>车辆冲洗</w:t>
            </w:r>
            <w:r>
              <w:rPr>
                <w:rFonts w:hint="eastAsia"/>
                <w:sz w:val="24"/>
                <w:szCs w:val="21"/>
              </w:rPr>
              <w:t>废水：施工期车辆冲洗活动产生的废水，主要污染物为</w:t>
            </w:r>
            <w:r>
              <w:rPr>
                <w:sz w:val="24"/>
                <w:szCs w:val="21"/>
              </w:rPr>
              <w:t>SS</w:t>
            </w:r>
            <w:r>
              <w:rPr>
                <w:rFonts w:hint="eastAsia"/>
                <w:sz w:val="24"/>
                <w:szCs w:val="21"/>
              </w:rPr>
              <w:t xml:space="preserve">和石油类，厂区施工期间设置的临时隔油池、沉淀池，建筑废水经临时隔油池、沉淀池处理后用于抑尘。 </w:t>
            </w:r>
          </w:p>
          <w:p>
            <w:pPr>
              <w:widowControl/>
              <w:wordWrap w:val="0"/>
              <w:spacing w:line="360" w:lineRule="auto"/>
              <w:ind w:firstLine="480" w:firstLineChars="200"/>
              <w:jc w:val="left"/>
              <w:rPr>
                <w:rFonts w:hint="eastAsia"/>
                <w:sz w:val="24"/>
                <w:szCs w:val="21"/>
              </w:rPr>
            </w:pPr>
            <w:r>
              <w:rPr>
                <w:rFonts w:hint="eastAsia"/>
                <w:sz w:val="24"/>
                <w:szCs w:val="21"/>
              </w:rPr>
              <w:t>（2）生活污水：施工期间会产生生活污水，主要是施工人员生活过程中产生废水，生活污水经化粪池处理后用作农肥。</w:t>
            </w:r>
          </w:p>
          <w:p>
            <w:pPr>
              <w:widowControl/>
              <w:wordWrap w:val="0"/>
              <w:spacing w:line="360" w:lineRule="auto"/>
              <w:ind w:firstLine="480" w:firstLineChars="200"/>
              <w:jc w:val="left"/>
              <w:rPr>
                <w:rFonts w:hint="eastAsia"/>
                <w:sz w:val="24"/>
                <w:szCs w:val="21"/>
              </w:rPr>
            </w:pPr>
            <w:r>
              <w:rPr>
                <w:rFonts w:hint="eastAsia"/>
                <w:sz w:val="24"/>
                <w:szCs w:val="21"/>
              </w:rPr>
              <w:t>在采取以上措施后，施工期项目建设周边环境影响较小。</w:t>
            </w:r>
          </w:p>
          <w:p>
            <w:pPr>
              <w:keepNext/>
              <w:keepLines/>
              <w:wordWrap w:val="0"/>
              <w:spacing w:before="192" w:beforeLines="80" w:after="192" w:afterLines="80"/>
              <w:outlineLvl w:val="2"/>
              <w:rPr>
                <w:b/>
                <w:bCs/>
                <w:sz w:val="28"/>
                <w:szCs w:val="32"/>
              </w:rPr>
            </w:pPr>
            <w:r>
              <w:rPr>
                <w:rFonts w:hint="eastAsia"/>
                <w:b/>
                <w:bCs/>
                <w:sz w:val="28"/>
                <w:szCs w:val="32"/>
              </w:rPr>
              <w:t>4.1.3</w:t>
            </w:r>
            <w:r>
              <w:rPr>
                <w:b/>
                <w:bCs/>
                <w:sz w:val="28"/>
                <w:szCs w:val="32"/>
              </w:rPr>
              <w:t>施工期噪声污染防治措施</w:t>
            </w:r>
          </w:p>
          <w:p>
            <w:pPr>
              <w:widowControl/>
              <w:wordWrap w:val="0"/>
              <w:spacing w:line="360" w:lineRule="auto"/>
              <w:ind w:firstLine="480" w:firstLineChars="200"/>
              <w:jc w:val="left"/>
              <w:rPr>
                <w:sz w:val="24"/>
              </w:rPr>
            </w:pPr>
            <w:r>
              <w:rPr>
                <w:rFonts w:hint="eastAsia"/>
                <w:sz w:val="24"/>
                <w:szCs w:val="21"/>
              </w:rPr>
              <w:t>项目施工期噪声主要为机械噪声、施工作业噪声和施工车辆噪声，该噪声源一般在80dB（A）~105dB（A）之间。若不采取措施将会对周边居民造成影响。因此</w:t>
            </w:r>
            <w:r>
              <w:rPr>
                <w:rFonts w:hint="eastAsia" w:ascii="宋体" w:hAnsi="宋体" w:cs="宋体"/>
                <w:color w:val="000000"/>
                <w:kern w:val="0"/>
                <w:sz w:val="24"/>
                <w:lang w:bidi="ar"/>
              </w:rPr>
              <w:t>施工时应当采取下列措施：</w:t>
            </w:r>
          </w:p>
          <w:p>
            <w:pPr>
              <w:wordWrap w:val="0"/>
              <w:spacing w:line="360" w:lineRule="auto"/>
              <w:ind w:firstLine="480" w:firstLineChars="200"/>
              <w:rPr>
                <w:sz w:val="24"/>
                <w:szCs w:val="20"/>
              </w:rPr>
            </w:pPr>
            <w:r>
              <w:rPr>
                <w:rFonts w:hint="eastAsia" w:ascii="宋体" w:hAnsi="宋体"/>
                <w:sz w:val="24"/>
                <w:szCs w:val="20"/>
              </w:rPr>
              <w:t>①</w:t>
            </w:r>
            <w:r>
              <w:rPr>
                <w:sz w:val="24"/>
                <w:szCs w:val="20"/>
              </w:rPr>
              <w:t>降低施工设备噪声：要定期对机械设备进行维护和保养，使其一直保持良好的状态，减轻因设备运行状态不佳而造成的噪声污染；对动力机械、设备加强定期检修、养护；按规定操作机械设备，模板、支架装卸过程中，尽量减少碰撞声音；</w:t>
            </w:r>
          </w:p>
          <w:p>
            <w:pPr>
              <w:wordWrap w:val="0"/>
              <w:spacing w:line="360" w:lineRule="auto"/>
              <w:ind w:firstLine="480" w:firstLineChars="200"/>
              <w:rPr>
                <w:sz w:val="24"/>
                <w:szCs w:val="20"/>
              </w:rPr>
            </w:pPr>
            <w:r>
              <w:rPr>
                <w:rFonts w:hint="eastAsia" w:ascii="宋体" w:hAnsi="宋体"/>
                <w:sz w:val="24"/>
                <w:szCs w:val="20"/>
              </w:rPr>
              <w:t>②</w:t>
            </w:r>
            <w:r>
              <w:rPr>
                <w:sz w:val="24"/>
                <w:szCs w:val="20"/>
              </w:rPr>
              <w:t>合理安排施工时间：尽可能避免大量高噪声设备同时施工，高噪声设备施工尽量安排在日间，禁止中午12:00-14:00和夜间22:00-6:00施工；</w:t>
            </w:r>
          </w:p>
          <w:p>
            <w:pPr>
              <w:wordWrap w:val="0"/>
              <w:spacing w:line="360" w:lineRule="auto"/>
              <w:ind w:firstLine="480" w:firstLineChars="200"/>
              <w:rPr>
                <w:sz w:val="24"/>
                <w:szCs w:val="20"/>
              </w:rPr>
            </w:pPr>
            <w:r>
              <w:rPr>
                <w:rFonts w:hint="eastAsia" w:ascii="宋体" w:hAnsi="宋体"/>
                <w:sz w:val="24"/>
                <w:szCs w:val="20"/>
              </w:rPr>
              <w:t>③</w:t>
            </w:r>
            <w:r>
              <w:rPr>
                <w:sz w:val="24"/>
                <w:szCs w:val="20"/>
              </w:rPr>
              <w:t>合理布局施工现场：高噪声设备分散布置，避免局部声级过高，靠近敏感点一侧进行施工时建议可设置临时声屏障；</w:t>
            </w:r>
          </w:p>
          <w:p>
            <w:pPr>
              <w:wordWrap w:val="0"/>
              <w:spacing w:line="360" w:lineRule="auto"/>
              <w:ind w:firstLine="480" w:firstLineChars="200"/>
              <w:rPr>
                <w:sz w:val="24"/>
              </w:rPr>
            </w:pPr>
            <w:r>
              <w:rPr>
                <w:rFonts w:hint="eastAsia" w:ascii="宋体" w:hAnsi="宋体"/>
                <w:sz w:val="24"/>
                <w:szCs w:val="20"/>
              </w:rPr>
              <w:t>④</w:t>
            </w:r>
            <w:r>
              <w:rPr>
                <w:sz w:val="24"/>
              </w:rPr>
              <w:t>建设管理部门应加强对施工场地的噪声管理，施工企业也应对施工噪声进行自律，文明施工，避免因施工噪声产生纠纷。</w:t>
            </w:r>
          </w:p>
          <w:p>
            <w:pPr>
              <w:wordWrap w:val="0"/>
              <w:spacing w:line="360" w:lineRule="auto"/>
              <w:ind w:firstLine="480" w:firstLineChars="200"/>
              <w:rPr>
                <w:sz w:val="24"/>
                <w:szCs w:val="20"/>
              </w:rPr>
            </w:pPr>
            <w:r>
              <w:rPr>
                <w:rFonts w:hint="eastAsia"/>
                <w:sz w:val="24"/>
                <w:szCs w:val="20"/>
              </w:rPr>
              <w:t>采取上述的环保措施后，施工活动对周围环境的正常运行造成影响较小。</w:t>
            </w:r>
          </w:p>
          <w:p>
            <w:pPr>
              <w:keepNext/>
              <w:keepLines/>
              <w:wordWrap w:val="0"/>
              <w:spacing w:before="192" w:beforeLines="80" w:after="192" w:afterLines="80"/>
              <w:outlineLvl w:val="2"/>
              <w:rPr>
                <w:b/>
                <w:bCs/>
                <w:sz w:val="28"/>
                <w:szCs w:val="32"/>
              </w:rPr>
            </w:pPr>
            <w:r>
              <w:rPr>
                <w:rFonts w:hint="eastAsia"/>
                <w:b/>
                <w:bCs/>
                <w:sz w:val="28"/>
                <w:szCs w:val="32"/>
              </w:rPr>
              <w:t>4.1.4</w:t>
            </w:r>
            <w:r>
              <w:rPr>
                <w:b/>
                <w:bCs/>
                <w:sz w:val="28"/>
                <w:szCs w:val="32"/>
              </w:rPr>
              <w:t>施工期固体废物污染防治措施</w:t>
            </w:r>
          </w:p>
          <w:p>
            <w:pPr>
              <w:widowControl/>
              <w:wordWrap w:val="0"/>
              <w:spacing w:line="360" w:lineRule="auto"/>
              <w:ind w:firstLine="480" w:firstLineChars="200"/>
              <w:jc w:val="left"/>
              <w:rPr>
                <w:sz w:val="24"/>
              </w:rPr>
            </w:pPr>
            <w:r>
              <w:rPr>
                <w:rFonts w:hint="eastAsia"/>
                <w:sz w:val="24"/>
                <w:szCs w:val="20"/>
              </w:rPr>
              <w:t>项目在施工过程中会产生生活垃圾、土石方，若不采取措施会对周边环境造成影响。</w:t>
            </w:r>
            <w:r>
              <w:rPr>
                <w:rFonts w:hint="eastAsia"/>
                <w:sz w:val="24"/>
                <w:szCs w:val="21"/>
              </w:rPr>
              <w:t>因此</w:t>
            </w:r>
            <w:r>
              <w:rPr>
                <w:rFonts w:hint="eastAsia" w:ascii="宋体" w:hAnsi="宋体" w:cs="宋体"/>
                <w:color w:val="000000"/>
                <w:kern w:val="0"/>
                <w:sz w:val="24"/>
                <w:lang w:bidi="ar"/>
              </w:rPr>
              <w:t>施工时应当采取下列措施：</w:t>
            </w:r>
          </w:p>
          <w:p>
            <w:pPr>
              <w:wordWrap w:val="0"/>
              <w:spacing w:line="360" w:lineRule="auto"/>
              <w:ind w:firstLine="480" w:firstLineChars="200"/>
              <w:rPr>
                <w:rFonts w:ascii="宋体" w:hAnsi="宋体"/>
                <w:sz w:val="24"/>
                <w:szCs w:val="20"/>
              </w:rPr>
            </w:pPr>
            <w:r>
              <w:rPr>
                <w:rFonts w:hint="eastAsia" w:ascii="宋体" w:hAnsi="宋体"/>
                <w:sz w:val="24"/>
                <w:szCs w:val="20"/>
              </w:rPr>
              <w:t>①土石方：</w:t>
            </w:r>
            <w:r>
              <w:rPr>
                <w:rFonts w:hint="eastAsia"/>
                <w:sz w:val="24"/>
              </w:rPr>
              <w:t>此项</w:t>
            </w:r>
            <w:r>
              <w:rPr>
                <w:rFonts w:hint="eastAsia" w:ascii="宋体" w:hAnsi="宋体"/>
                <w:sz w:val="24"/>
                <w:szCs w:val="20"/>
              </w:rPr>
              <w:t>目场内修建生产车间时需要场地平整,需要开挖土石方，场内土石方高挖底填,若需要临时堆放时因采取临时苫盖、临时挡拦和临时排水沟等措施，避免雨季施工造成水土流失。</w:t>
            </w:r>
          </w:p>
          <w:p>
            <w:pPr>
              <w:wordWrap w:val="0"/>
              <w:spacing w:line="360" w:lineRule="auto"/>
              <w:ind w:firstLine="480" w:firstLineChars="200"/>
              <w:rPr>
                <w:rFonts w:ascii="宋体" w:hAnsi="宋体"/>
                <w:sz w:val="24"/>
                <w:szCs w:val="20"/>
              </w:rPr>
            </w:pPr>
            <w:r>
              <w:rPr>
                <w:rFonts w:hint="eastAsia" w:ascii="宋体" w:hAnsi="宋体"/>
                <w:sz w:val="24"/>
                <w:szCs w:val="20"/>
              </w:rPr>
              <w:t>②施工现场设置临时建筑垃圾堆放场并使用土工布进行苫盖处理，并作好地面的防渗漏处理，由渣土车运至填埋场进行处理。</w:t>
            </w:r>
          </w:p>
          <w:p>
            <w:pPr>
              <w:wordWrap w:val="0"/>
              <w:spacing w:line="360" w:lineRule="auto"/>
              <w:ind w:firstLine="480" w:firstLineChars="200"/>
              <w:rPr>
                <w:rFonts w:ascii="宋体" w:hAnsi="宋体"/>
                <w:sz w:val="24"/>
                <w:szCs w:val="20"/>
              </w:rPr>
            </w:pPr>
            <w:r>
              <w:rPr>
                <w:rFonts w:hint="eastAsia" w:ascii="宋体" w:hAnsi="宋体"/>
                <w:sz w:val="24"/>
                <w:szCs w:val="20"/>
              </w:rPr>
              <w:t>③生活垃圾需要集中收集，委托环卫部门处置，做到日产日清。</w:t>
            </w:r>
          </w:p>
          <w:p>
            <w:pPr>
              <w:wordWrap w:val="0"/>
              <w:spacing w:line="360" w:lineRule="auto"/>
              <w:ind w:firstLine="480" w:firstLineChars="200"/>
              <w:textAlignment w:val="baseline"/>
              <w:rPr>
                <w:sz w:val="24"/>
                <w:szCs w:val="20"/>
              </w:rPr>
            </w:pPr>
            <w:r>
              <w:rPr>
                <w:sz w:val="24"/>
                <w:szCs w:val="20"/>
              </w:rPr>
              <w:t>在采取上述措施的基础上，本项目施工期固废不会产生二次污染，对周围环境影响较小。</w:t>
            </w:r>
          </w:p>
          <w:p>
            <w:pPr>
              <w:keepNext/>
              <w:keepLines/>
              <w:wordWrap w:val="0"/>
              <w:spacing w:before="192" w:beforeLines="80" w:after="192" w:afterLines="80"/>
              <w:outlineLvl w:val="2"/>
              <w:rPr>
                <w:rFonts w:hint="eastAsia"/>
                <w:b/>
                <w:bCs/>
                <w:sz w:val="28"/>
                <w:szCs w:val="32"/>
              </w:rPr>
            </w:pPr>
            <w:r>
              <w:rPr>
                <w:rFonts w:hint="eastAsia"/>
                <w:b/>
                <w:bCs/>
                <w:sz w:val="28"/>
                <w:szCs w:val="32"/>
              </w:rPr>
              <w:t>4.1.5</w:t>
            </w:r>
            <w:r>
              <w:rPr>
                <w:b/>
                <w:bCs/>
                <w:sz w:val="28"/>
                <w:szCs w:val="32"/>
              </w:rPr>
              <w:t>施工期生态保护措施</w:t>
            </w:r>
          </w:p>
          <w:p>
            <w:pPr>
              <w:wordWrap w:val="0"/>
              <w:spacing w:line="360" w:lineRule="auto"/>
              <w:ind w:firstLine="480" w:firstLineChars="200"/>
              <w:rPr>
                <w:rFonts w:ascii="宋体" w:hAnsi="宋体"/>
                <w:sz w:val="24"/>
                <w:szCs w:val="20"/>
              </w:rPr>
            </w:pPr>
            <w:r>
              <w:rPr>
                <w:rFonts w:hint="eastAsia" w:ascii="宋体" w:hAnsi="宋体"/>
                <w:sz w:val="24"/>
                <w:szCs w:val="20"/>
              </w:rPr>
              <w:t>项目在施工过程中会对施工场地地表及植被造成破坏，若不采取措施，遇到雨季将会造成水土流失以及滑坡，对周边生态环境造成影响。</w:t>
            </w:r>
            <w:r>
              <w:rPr>
                <w:rFonts w:hint="eastAsia"/>
                <w:sz w:val="24"/>
                <w:szCs w:val="21"/>
              </w:rPr>
              <w:t>因此</w:t>
            </w:r>
            <w:r>
              <w:rPr>
                <w:rFonts w:hint="eastAsia" w:ascii="宋体" w:hAnsi="宋体" w:cs="宋体"/>
                <w:color w:val="000000"/>
                <w:kern w:val="0"/>
                <w:sz w:val="24"/>
                <w:lang w:bidi="ar"/>
              </w:rPr>
              <w:t>施工时应当采取下列措施：</w:t>
            </w:r>
          </w:p>
          <w:p>
            <w:pPr>
              <w:wordWrap w:val="0"/>
              <w:spacing w:line="360" w:lineRule="auto"/>
              <w:ind w:firstLine="480" w:firstLineChars="200"/>
              <w:rPr>
                <w:rFonts w:ascii="宋体" w:hAnsi="宋体"/>
                <w:sz w:val="24"/>
                <w:szCs w:val="20"/>
              </w:rPr>
            </w:pPr>
            <w:r>
              <w:rPr>
                <w:rFonts w:hint="eastAsia" w:ascii="宋体" w:hAnsi="宋体"/>
                <w:sz w:val="24"/>
                <w:szCs w:val="20"/>
              </w:rPr>
              <w:t>①合理控制扰动范围，减少对周边区域的影响。</w:t>
            </w:r>
          </w:p>
          <w:p>
            <w:pPr>
              <w:wordWrap w:val="0"/>
              <w:spacing w:line="360" w:lineRule="auto"/>
              <w:ind w:firstLine="480" w:firstLineChars="200"/>
              <w:rPr>
                <w:rFonts w:ascii="宋体" w:hAnsi="宋体"/>
                <w:sz w:val="24"/>
                <w:szCs w:val="20"/>
              </w:rPr>
            </w:pPr>
            <w:r>
              <w:rPr>
                <w:rFonts w:hint="eastAsia" w:ascii="宋体" w:hAnsi="宋体"/>
                <w:sz w:val="24"/>
                <w:szCs w:val="20"/>
              </w:rPr>
              <w:t>②在施工期结束后应逐渐恢复场地的生态系统，保持生态平衡。</w:t>
            </w:r>
          </w:p>
          <w:p>
            <w:pPr>
              <w:wordWrap w:val="0"/>
              <w:spacing w:line="360" w:lineRule="auto"/>
              <w:ind w:firstLine="480" w:firstLineChars="200"/>
              <w:rPr>
                <w:rFonts w:hint="eastAsia"/>
                <w:sz w:val="24"/>
              </w:rPr>
            </w:pPr>
            <w:r>
              <w:rPr>
                <w:rFonts w:hint="eastAsia" w:ascii="宋体" w:hAnsi="宋体"/>
                <w:sz w:val="24"/>
                <w:szCs w:val="20"/>
              </w:rPr>
              <w:t>③在施工过程中因应加强水保措施，设置临时排水沟、临时沉砂池、对材料及裸露地表进行临时苫盖以及边坡防护。</w:t>
            </w:r>
          </w:p>
          <w:p>
            <w:pPr>
              <w:wordWrap w:val="0"/>
              <w:spacing w:line="360" w:lineRule="auto"/>
              <w:ind w:firstLine="480" w:firstLineChars="200"/>
              <w:textAlignment w:val="baseline"/>
              <w:rPr>
                <w:sz w:val="24"/>
                <w:szCs w:val="20"/>
              </w:rPr>
            </w:pPr>
            <w:r>
              <w:rPr>
                <w:sz w:val="24"/>
                <w:szCs w:val="20"/>
              </w:rPr>
              <w:t>在采取上述措施的基础上，对周围环境影响较小。</w:t>
            </w:r>
          </w:p>
          <w:p>
            <w:pPr>
              <w:adjustRightInd w:val="0"/>
              <w:snapToGrid w:val="0"/>
              <w:rPr>
                <w:rFonts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pStyle w:val="13"/>
              <w:ind w:left="0" w:leftChars="0"/>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pStyle w:val="13"/>
              <w:rPr>
                <w:rFonts w:hint="eastAsia"/>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pStyle w:val="13"/>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jc w:val="center"/>
              <w:rPr>
                <w:rFonts w:hint="eastAsia" w:ascii="宋体" w:hAnsi="宋体" w:cs="宋体"/>
                <w:bCs/>
                <w:szCs w:val="21"/>
              </w:rPr>
            </w:pPr>
          </w:p>
          <w:p>
            <w:pPr>
              <w:adjustRightInd w:val="0"/>
              <w:snapToGrid w:val="0"/>
              <w:rPr>
                <w:rFonts w:ascii="宋体" w:hAnsi="宋体" w:cs="宋体"/>
                <w:bCs/>
                <w:szCs w:val="21"/>
              </w:rPr>
            </w:pPr>
          </w:p>
        </w:tc>
        <w:tc>
          <w:tcPr>
            <w:tcW w:w="8840" w:type="dxa"/>
            <w:noWrap w:val="0"/>
            <w:vAlign w:val="center"/>
          </w:tcPr>
          <w:p>
            <w:pPr>
              <w:keepNext/>
              <w:keepLines/>
              <w:wordWrap w:val="0"/>
              <w:spacing w:before="260" w:after="260"/>
              <w:outlineLvl w:val="1"/>
              <w:rPr>
                <w:b/>
                <w:sz w:val="32"/>
              </w:rPr>
            </w:pPr>
            <w:r>
              <w:rPr>
                <w:rFonts w:hint="eastAsia"/>
                <w:b/>
                <w:sz w:val="32"/>
              </w:rPr>
              <w:t>4</w:t>
            </w:r>
            <w:r>
              <w:rPr>
                <w:b/>
                <w:sz w:val="32"/>
              </w:rPr>
              <w:t>.2</w:t>
            </w:r>
            <w:r>
              <w:rPr>
                <w:rFonts w:hint="eastAsia"/>
                <w:b/>
                <w:sz w:val="32"/>
              </w:rPr>
              <w:t>运营期环境影响和保护措施</w:t>
            </w:r>
          </w:p>
          <w:p>
            <w:pPr>
              <w:keepNext/>
              <w:keepLines/>
              <w:wordWrap w:val="0"/>
              <w:spacing w:before="192" w:beforeLines="80" w:after="192" w:afterLines="80"/>
              <w:outlineLvl w:val="2"/>
              <w:rPr>
                <w:b/>
                <w:bCs/>
                <w:sz w:val="28"/>
                <w:szCs w:val="32"/>
              </w:rPr>
            </w:pPr>
            <w:r>
              <w:rPr>
                <w:rFonts w:hint="eastAsia"/>
                <w:b/>
                <w:bCs/>
                <w:sz w:val="28"/>
                <w:szCs w:val="32"/>
              </w:rPr>
              <w:t>4</w:t>
            </w:r>
            <w:r>
              <w:rPr>
                <w:b/>
                <w:bCs/>
                <w:sz w:val="28"/>
                <w:szCs w:val="32"/>
              </w:rPr>
              <w:t>.2.1</w:t>
            </w:r>
            <w:r>
              <w:rPr>
                <w:rFonts w:hint="eastAsia"/>
                <w:b/>
                <w:bCs/>
                <w:sz w:val="28"/>
                <w:szCs w:val="32"/>
              </w:rPr>
              <w:t>废气</w:t>
            </w:r>
          </w:p>
          <w:p>
            <w:pPr>
              <w:pStyle w:val="5"/>
              <w:wordWrap w:val="0"/>
              <w:adjustRightInd/>
              <w:snapToGrid/>
              <w:spacing w:before="200" w:after="200"/>
              <w:textAlignment w:val="auto"/>
              <w:rPr>
                <w:rFonts w:ascii="Times New Roman" w:eastAsia="宋体"/>
                <w:kern w:val="2"/>
                <w:sz w:val="24"/>
                <w:szCs w:val="24"/>
              </w:rPr>
            </w:pPr>
            <w:r>
              <w:rPr>
                <w:rFonts w:hint="eastAsia" w:ascii="Times New Roman" w:eastAsia="宋体"/>
                <w:kern w:val="2"/>
                <w:sz w:val="24"/>
                <w:szCs w:val="24"/>
              </w:rPr>
              <w:t>4.2.1.1废气污染物源强计算</w:t>
            </w:r>
          </w:p>
          <w:p>
            <w:pPr>
              <w:spacing w:line="360" w:lineRule="auto"/>
              <w:ind w:firstLine="482" w:firstLineChars="200"/>
              <w:rPr>
                <w:b/>
                <w:sz w:val="24"/>
                <w:lang w:val="zh-CN"/>
              </w:rPr>
            </w:pPr>
            <w:r>
              <w:rPr>
                <w:b/>
                <w:sz w:val="24"/>
              </w:rPr>
              <w:t>1、喂料粉尘（G1-3）、破碎粉尘（G1-</w:t>
            </w:r>
            <w:r>
              <w:rPr>
                <w:rFonts w:hint="eastAsia"/>
                <w:b/>
                <w:sz w:val="24"/>
              </w:rPr>
              <w:t>6</w:t>
            </w:r>
            <w:r>
              <w:rPr>
                <w:b/>
                <w:sz w:val="24"/>
              </w:rPr>
              <w:t>）和筛分粉尘（G1-4、G1-</w:t>
            </w:r>
            <w:r>
              <w:rPr>
                <w:rFonts w:hint="eastAsia"/>
                <w:b/>
                <w:sz w:val="24"/>
              </w:rPr>
              <w:t>7</w:t>
            </w:r>
            <w:r>
              <w:rPr>
                <w:b/>
                <w:sz w:val="24"/>
              </w:rPr>
              <w:t>）</w:t>
            </w:r>
          </w:p>
          <w:p>
            <w:pPr>
              <w:autoSpaceDE w:val="0"/>
              <w:autoSpaceDN w:val="0"/>
              <w:adjustRightInd w:val="0"/>
              <w:snapToGrid w:val="0"/>
              <w:spacing w:line="360" w:lineRule="auto"/>
              <w:ind w:firstLine="480" w:firstLineChars="200"/>
              <w:jc w:val="left"/>
              <w:rPr>
                <w:rFonts w:hint="eastAsia"/>
                <w:kern w:val="0"/>
                <w:sz w:val="24"/>
              </w:rPr>
            </w:pPr>
            <w:r>
              <w:rPr>
                <w:rFonts w:hint="eastAsia"/>
                <w:kern w:val="0"/>
                <w:sz w:val="24"/>
              </w:rPr>
              <w:t>上述工段污染产排情况采用产排污系数法进行核算，计算公式如下：</w:t>
            </w:r>
          </w:p>
          <w:p>
            <w:pPr>
              <w:pStyle w:val="42"/>
              <w:snapToGrid w:val="0"/>
              <w:jc w:val="center"/>
              <w:rPr>
                <w:rFonts w:hint="eastAsia"/>
                <w:color w:val="auto"/>
              </w:rPr>
            </w:pPr>
            <w:r>
              <w:rPr>
                <w:color w:val="auto"/>
              </w:rPr>
              <w:drawing>
                <wp:inline distT="0" distB="0" distL="114300" distR="114300">
                  <wp:extent cx="1238250" cy="493395"/>
                  <wp:effectExtent l="0" t="0" r="0" b="1905"/>
                  <wp:docPr id="13" name="图片 119" descr="QQ截图202011231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9" descr="QQ截图20201123153425"/>
                          <pic:cNvPicPr>
                            <a:picLocks noChangeAspect="1"/>
                          </pic:cNvPicPr>
                        </pic:nvPicPr>
                        <pic:blipFill>
                          <a:blip r:embed="rId28"/>
                          <a:stretch>
                            <a:fillRect/>
                          </a:stretch>
                        </pic:blipFill>
                        <pic:spPr>
                          <a:xfrm>
                            <a:off x="0" y="0"/>
                            <a:ext cx="1238250" cy="493395"/>
                          </a:xfrm>
                          <a:prstGeom prst="rect">
                            <a:avLst/>
                          </a:prstGeom>
                          <a:noFill/>
                          <a:ln>
                            <a:noFill/>
                          </a:ln>
                        </pic:spPr>
                      </pic:pic>
                    </a:graphicData>
                  </a:graphic>
                </wp:inline>
              </w:drawing>
            </w:r>
          </w:p>
          <w:p>
            <w:pPr>
              <w:pStyle w:val="23"/>
              <w:adjustRightInd w:val="0"/>
              <w:snapToGrid w:val="0"/>
              <w:spacing w:after="0"/>
              <w:ind w:left="0" w:leftChars="0" w:firstLine="480"/>
              <w:rPr>
                <w:rFonts w:hint="default" w:ascii="Times New Roman" w:hAnsi="Times New Roman" w:eastAsia="宋体"/>
                <w:spacing w:val="0"/>
                <w:sz w:val="24"/>
                <w:szCs w:val="24"/>
              </w:rPr>
            </w:pPr>
            <w:r>
              <w:rPr>
                <w:rFonts w:hint="default" w:ascii="Times New Roman" w:hAnsi="Times New Roman" w:eastAsia="宋体"/>
                <w:spacing w:val="0"/>
                <w:sz w:val="24"/>
                <w:szCs w:val="24"/>
              </w:rPr>
              <w:t>式中：G-核算时段内的污染物的排放量</w:t>
            </w:r>
            <w:r>
              <w:rPr>
                <w:rFonts w:ascii="Times New Roman" w:hAnsi="Times New Roman" w:eastAsia="宋体"/>
                <w:spacing w:val="0"/>
                <w:sz w:val="24"/>
                <w:szCs w:val="24"/>
              </w:rPr>
              <w:t>，</w:t>
            </w:r>
            <w:r>
              <w:rPr>
                <w:rFonts w:hint="default" w:ascii="Times New Roman" w:hAnsi="Times New Roman" w:eastAsia="宋体"/>
                <w:spacing w:val="0"/>
                <w:sz w:val="24"/>
                <w:szCs w:val="24"/>
              </w:rPr>
              <w:t>t；</w:t>
            </w:r>
          </w:p>
          <w:p>
            <w:pPr>
              <w:pStyle w:val="23"/>
              <w:adjustRightInd w:val="0"/>
              <w:snapToGrid w:val="0"/>
              <w:spacing w:after="0"/>
              <w:ind w:left="0" w:leftChars="0" w:firstLine="480"/>
              <w:rPr>
                <w:rFonts w:ascii="Times New Roman" w:hAnsi="Times New Roman" w:eastAsia="宋体"/>
                <w:spacing w:val="0"/>
                <w:sz w:val="24"/>
                <w:szCs w:val="24"/>
              </w:rPr>
            </w:pPr>
            <w:r>
              <w:rPr>
                <w:rFonts w:ascii="Times New Roman" w:hAnsi="Times New Roman" w:eastAsia="宋体"/>
                <w:spacing w:val="0"/>
                <w:sz w:val="24"/>
                <w:szCs w:val="24"/>
              </w:rPr>
              <w:t xml:space="preserve">      Bg—核算时段内与原料的消耗量，t；</w:t>
            </w:r>
          </w:p>
          <w:p>
            <w:pPr>
              <w:pStyle w:val="42"/>
              <w:snapToGrid w:val="0"/>
              <w:spacing w:line="360" w:lineRule="auto"/>
              <w:ind w:firstLine="480" w:firstLineChars="200"/>
              <w:rPr>
                <w:color w:val="auto"/>
                <w:kern w:val="2"/>
                <w:lang w:val="zh-CN"/>
              </w:rPr>
            </w:pPr>
            <w:r>
              <w:rPr>
                <w:color w:val="auto"/>
                <w:kern w:val="2"/>
              </w:rPr>
              <w:t>βe—排污系数</w:t>
            </w:r>
            <w:r>
              <w:rPr>
                <w:rFonts w:hint="eastAsia"/>
                <w:color w:val="auto"/>
                <w:kern w:val="2"/>
              </w:rPr>
              <w:t>；</w:t>
            </w:r>
            <w:r>
              <w:rPr>
                <w:color w:val="auto"/>
                <w:kern w:val="2"/>
                <w:lang w:val="zh-CN"/>
              </w:rPr>
              <w:t>根据生态环境部2019年4月下发的</w:t>
            </w:r>
            <w:r>
              <w:rPr>
                <w:rFonts w:hint="eastAsia"/>
                <w:kern w:val="2"/>
                <w:lang w:val="zh-CN"/>
              </w:rPr>
              <w:t>《排放源统计调查产排污核算方法和系数手册（生态环境部，公告</w:t>
            </w:r>
            <w:r>
              <w:rPr>
                <w:rFonts w:hint="eastAsia"/>
                <w:kern w:val="2"/>
              </w:rPr>
              <w:t>2021年第24号</w:t>
            </w:r>
            <w:r>
              <w:rPr>
                <w:rFonts w:hint="eastAsia"/>
                <w:kern w:val="2"/>
                <w:lang w:val="zh-CN"/>
              </w:rPr>
              <w:t>）》</w:t>
            </w:r>
            <w:r>
              <w:rPr>
                <w:color w:val="auto"/>
                <w:kern w:val="2"/>
                <w:lang w:val="zh-CN"/>
              </w:rPr>
              <w:t>，得出</w:t>
            </w:r>
            <w:r>
              <w:rPr>
                <w:rFonts w:hint="eastAsia"/>
                <w:color w:val="auto"/>
                <w:kern w:val="2"/>
                <w:lang w:val="zh-CN"/>
              </w:rPr>
              <w:t>生产加工喂料、破碎、筛分</w:t>
            </w:r>
            <w:r>
              <w:rPr>
                <w:color w:val="auto"/>
                <w:kern w:val="2"/>
                <w:lang w:val="zh-CN"/>
              </w:rPr>
              <w:t>产污系数表，具体见表</w:t>
            </w:r>
            <w:r>
              <w:rPr>
                <w:rFonts w:hint="eastAsia"/>
                <w:color w:val="auto"/>
                <w:kern w:val="2"/>
              </w:rPr>
              <w:t>4.2-1</w:t>
            </w:r>
            <w:r>
              <w:rPr>
                <w:color w:val="auto"/>
                <w:kern w:val="2"/>
                <w:lang w:val="zh-CN"/>
              </w:rPr>
              <w:t>。</w:t>
            </w:r>
          </w:p>
          <w:p>
            <w:pPr>
              <w:spacing w:line="360" w:lineRule="auto"/>
              <w:jc w:val="center"/>
              <w:rPr>
                <w:rFonts w:hAnsi="宋体"/>
                <w:b/>
                <w:bCs/>
                <w:szCs w:val="21"/>
              </w:rPr>
            </w:pPr>
            <w:r>
              <w:rPr>
                <w:rFonts w:hint="eastAsia" w:hAnsi="宋体"/>
                <w:b/>
                <w:bCs/>
                <w:szCs w:val="21"/>
                <w:lang w:val="zh-CN"/>
              </w:rPr>
              <w:t>表</w:t>
            </w:r>
            <w:r>
              <w:rPr>
                <w:rFonts w:hint="eastAsia" w:hAnsi="宋体"/>
                <w:b/>
                <w:bCs/>
                <w:szCs w:val="21"/>
              </w:rPr>
              <w:t>4.2-1   建筑材料制造行业产污系数表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799"/>
              <w:gridCol w:w="798"/>
              <w:gridCol w:w="998"/>
              <w:gridCol w:w="1215"/>
              <w:gridCol w:w="1760"/>
              <w:gridCol w:w="668"/>
              <w:gridCol w:w="940"/>
              <w:gridCol w:w="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0" w:type="dxa"/>
                  <w:noWrap w:val="0"/>
                  <w:vAlign w:val="center"/>
                </w:tcPr>
                <w:p>
                  <w:pPr>
                    <w:adjustRightInd w:val="0"/>
                    <w:snapToGrid w:val="0"/>
                    <w:jc w:val="center"/>
                    <w:rPr>
                      <w:b/>
                      <w:bCs/>
                    </w:rPr>
                  </w:pPr>
                  <w:r>
                    <w:rPr>
                      <w:b/>
                      <w:bCs/>
                    </w:rPr>
                    <w:t>核算环节</w:t>
                  </w:r>
                </w:p>
              </w:tc>
              <w:tc>
                <w:tcPr>
                  <w:tcW w:w="799" w:type="dxa"/>
                  <w:noWrap w:val="0"/>
                  <w:vAlign w:val="center"/>
                </w:tcPr>
                <w:p>
                  <w:pPr>
                    <w:adjustRightInd w:val="0"/>
                    <w:snapToGrid w:val="0"/>
                    <w:jc w:val="center"/>
                    <w:rPr>
                      <w:b/>
                      <w:bCs/>
                    </w:rPr>
                  </w:pPr>
                  <w:r>
                    <w:rPr>
                      <w:b/>
                      <w:bCs/>
                    </w:rPr>
                    <w:t>产品名称</w:t>
                  </w:r>
                </w:p>
              </w:tc>
              <w:tc>
                <w:tcPr>
                  <w:tcW w:w="798" w:type="dxa"/>
                  <w:noWrap w:val="0"/>
                  <w:vAlign w:val="center"/>
                </w:tcPr>
                <w:p>
                  <w:pPr>
                    <w:adjustRightInd w:val="0"/>
                    <w:snapToGrid w:val="0"/>
                    <w:jc w:val="center"/>
                    <w:rPr>
                      <w:b/>
                      <w:bCs/>
                    </w:rPr>
                  </w:pPr>
                  <w:r>
                    <w:rPr>
                      <w:b/>
                      <w:bCs/>
                    </w:rPr>
                    <w:t>原料名称</w:t>
                  </w:r>
                </w:p>
              </w:tc>
              <w:tc>
                <w:tcPr>
                  <w:tcW w:w="998" w:type="dxa"/>
                  <w:noWrap w:val="0"/>
                  <w:vAlign w:val="center"/>
                </w:tcPr>
                <w:p>
                  <w:pPr>
                    <w:adjustRightInd w:val="0"/>
                    <w:snapToGrid w:val="0"/>
                    <w:jc w:val="center"/>
                    <w:rPr>
                      <w:b/>
                      <w:bCs/>
                    </w:rPr>
                  </w:pPr>
                  <w:r>
                    <w:rPr>
                      <w:b/>
                      <w:bCs/>
                    </w:rPr>
                    <w:t>规模等级</w:t>
                  </w:r>
                </w:p>
              </w:tc>
              <w:tc>
                <w:tcPr>
                  <w:tcW w:w="1215" w:type="dxa"/>
                  <w:noWrap w:val="0"/>
                  <w:vAlign w:val="center"/>
                </w:tcPr>
                <w:p>
                  <w:pPr>
                    <w:adjustRightInd w:val="0"/>
                    <w:snapToGrid w:val="0"/>
                    <w:jc w:val="center"/>
                    <w:rPr>
                      <w:b/>
                      <w:bCs/>
                    </w:rPr>
                  </w:pPr>
                  <w:r>
                    <w:rPr>
                      <w:b/>
                      <w:bCs/>
                    </w:rPr>
                    <w:t>污染物指标</w:t>
                  </w:r>
                </w:p>
              </w:tc>
              <w:tc>
                <w:tcPr>
                  <w:tcW w:w="1760" w:type="dxa"/>
                  <w:noWrap w:val="0"/>
                  <w:vAlign w:val="center"/>
                </w:tcPr>
                <w:p>
                  <w:pPr>
                    <w:adjustRightInd w:val="0"/>
                    <w:snapToGrid w:val="0"/>
                    <w:jc w:val="center"/>
                    <w:rPr>
                      <w:b/>
                      <w:bCs/>
                    </w:rPr>
                  </w:pPr>
                  <w:r>
                    <w:rPr>
                      <w:b/>
                      <w:bCs/>
                    </w:rPr>
                    <w:t>系数单位</w:t>
                  </w:r>
                </w:p>
              </w:tc>
              <w:tc>
                <w:tcPr>
                  <w:tcW w:w="668" w:type="dxa"/>
                  <w:noWrap w:val="0"/>
                  <w:vAlign w:val="center"/>
                </w:tcPr>
                <w:p>
                  <w:pPr>
                    <w:adjustRightInd w:val="0"/>
                    <w:snapToGrid w:val="0"/>
                    <w:jc w:val="center"/>
                    <w:rPr>
                      <w:b/>
                      <w:bCs/>
                    </w:rPr>
                  </w:pPr>
                  <w:r>
                    <w:rPr>
                      <w:b/>
                      <w:bCs/>
                    </w:rPr>
                    <w:t>产污系数</w:t>
                  </w:r>
                </w:p>
              </w:tc>
              <w:tc>
                <w:tcPr>
                  <w:tcW w:w="940" w:type="dxa"/>
                  <w:noWrap w:val="0"/>
                  <w:vAlign w:val="center"/>
                </w:tcPr>
                <w:p>
                  <w:pPr>
                    <w:adjustRightInd w:val="0"/>
                    <w:snapToGrid w:val="0"/>
                    <w:jc w:val="center"/>
                    <w:rPr>
                      <w:b/>
                      <w:bCs/>
                    </w:rPr>
                  </w:pPr>
                  <w:r>
                    <w:rPr>
                      <w:b/>
                      <w:bCs/>
                    </w:rPr>
                    <w:t>末端治理</w:t>
                  </w:r>
                </w:p>
              </w:tc>
              <w:tc>
                <w:tcPr>
                  <w:tcW w:w="656" w:type="dxa"/>
                  <w:noWrap w:val="0"/>
                  <w:vAlign w:val="center"/>
                </w:tcPr>
                <w:p>
                  <w:pPr>
                    <w:adjustRightInd w:val="0"/>
                    <w:snapToGrid w:val="0"/>
                    <w:jc w:val="center"/>
                    <w:rPr>
                      <w:b/>
                      <w:bCs/>
                    </w:rPr>
                  </w:pPr>
                  <w:r>
                    <w:rPr>
                      <w:b/>
                      <w:bCs/>
                    </w:rPr>
                    <w:t>治理效率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670" w:type="dxa"/>
                  <w:noWrap w:val="0"/>
                  <w:vAlign w:val="center"/>
                </w:tcPr>
                <w:p>
                  <w:pPr>
                    <w:adjustRightInd w:val="0"/>
                    <w:snapToGrid w:val="0"/>
                    <w:jc w:val="center"/>
                    <w:rPr>
                      <w:rFonts w:hint="eastAsia"/>
                    </w:rPr>
                  </w:pPr>
                  <w:r>
                    <w:rPr>
                      <w:rFonts w:hint="eastAsia"/>
                    </w:rPr>
                    <w:t>/</w:t>
                  </w:r>
                </w:p>
              </w:tc>
              <w:tc>
                <w:tcPr>
                  <w:tcW w:w="799" w:type="dxa"/>
                  <w:noWrap w:val="0"/>
                  <w:vAlign w:val="center"/>
                </w:tcPr>
                <w:p>
                  <w:pPr>
                    <w:adjustRightInd w:val="0"/>
                    <w:snapToGrid w:val="0"/>
                    <w:jc w:val="center"/>
                    <w:rPr>
                      <w:rFonts w:hint="eastAsia"/>
                    </w:rPr>
                  </w:pPr>
                  <w:r>
                    <w:rPr>
                      <w:rFonts w:hint="eastAsia"/>
                    </w:rPr>
                    <w:t>砂石骨料</w:t>
                  </w:r>
                </w:p>
              </w:tc>
              <w:tc>
                <w:tcPr>
                  <w:tcW w:w="798" w:type="dxa"/>
                  <w:noWrap w:val="0"/>
                  <w:vAlign w:val="center"/>
                </w:tcPr>
                <w:p>
                  <w:pPr>
                    <w:adjustRightInd w:val="0"/>
                    <w:snapToGrid w:val="0"/>
                    <w:jc w:val="center"/>
                    <w:rPr>
                      <w:rFonts w:hint="eastAsia"/>
                    </w:rPr>
                  </w:pPr>
                  <w:r>
                    <w:rPr>
                      <w:rFonts w:hint="eastAsia"/>
                    </w:rPr>
                    <w:t>碎石、砂石</w:t>
                  </w:r>
                </w:p>
              </w:tc>
              <w:tc>
                <w:tcPr>
                  <w:tcW w:w="998" w:type="dxa"/>
                  <w:noWrap w:val="0"/>
                  <w:vAlign w:val="center"/>
                </w:tcPr>
                <w:p>
                  <w:pPr>
                    <w:adjustRightInd w:val="0"/>
                    <w:snapToGrid w:val="0"/>
                    <w:jc w:val="center"/>
                  </w:pPr>
                  <w:r>
                    <w:t>所有规模</w:t>
                  </w:r>
                </w:p>
              </w:tc>
              <w:tc>
                <w:tcPr>
                  <w:tcW w:w="1215" w:type="dxa"/>
                  <w:noWrap w:val="0"/>
                  <w:vAlign w:val="center"/>
                </w:tcPr>
                <w:p>
                  <w:pPr>
                    <w:adjustRightInd w:val="0"/>
                    <w:snapToGrid w:val="0"/>
                    <w:jc w:val="center"/>
                    <w:rPr>
                      <w:rFonts w:hint="eastAsia"/>
                    </w:rPr>
                  </w:pPr>
                  <w:r>
                    <w:t>颗粒物</w:t>
                  </w:r>
                </w:p>
              </w:tc>
              <w:tc>
                <w:tcPr>
                  <w:tcW w:w="1760" w:type="dxa"/>
                  <w:noWrap w:val="0"/>
                  <w:vAlign w:val="center"/>
                </w:tcPr>
                <w:p>
                  <w:pPr>
                    <w:adjustRightInd w:val="0"/>
                    <w:snapToGrid w:val="0"/>
                    <w:jc w:val="center"/>
                  </w:pPr>
                  <w:r>
                    <w:t>kg/t-产品</w:t>
                  </w:r>
                </w:p>
              </w:tc>
              <w:tc>
                <w:tcPr>
                  <w:tcW w:w="668" w:type="dxa"/>
                  <w:noWrap w:val="0"/>
                  <w:vAlign w:val="center"/>
                </w:tcPr>
                <w:p>
                  <w:pPr>
                    <w:adjustRightInd w:val="0"/>
                    <w:snapToGrid w:val="0"/>
                    <w:jc w:val="center"/>
                  </w:pPr>
                  <w:r>
                    <w:rPr>
                      <w:rFonts w:hint="eastAsia"/>
                    </w:rPr>
                    <w:t>1.89</w:t>
                  </w:r>
                </w:p>
              </w:tc>
              <w:tc>
                <w:tcPr>
                  <w:tcW w:w="940" w:type="dxa"/>
                  <w:noWrap w:val="0"/>
                  <w:vAlign w:val="center"/>
                </w:tcPr>
                <w:p>
                  <w:pPr>
                    <w:adjustRightInd w:val="0"/>
                    <w:snapToGrid w:val="0"/>
                    <w:jc w:val="center"/>
                    <w:rPr>
                      <w:rFonts w:hint="eastAsia"/>
                    </w:rPr>
                  </w:pPr>
                  <w:r>
                    <w:t>袋式除尘器</w:t>
                  </w:r>
                </w:p>
              </w:tc>
              <w:tc>
                <w:tcPr>
                  <w:tcW w:w="656" w:type="dxa"/>
                  <w:noWrap w:val="0"/>
                  <w:vAlign w:val="center"/>
                </w:tcPr>
                <w:p>
                  <w:pPr>
                    <w:adjustRightInd w:val="0"/>
                    <w:snapToGrid w:val="0"/>
                    <w:jc w:val="center"/>
                  </w:pPr>
                  <w:r>
                    <w:rPr>
                      <w:rFonts w:hint="eastAsia"/>
                    </w:rPr>
                    <w:t>99</w:t>
                  </w:r>
                </w:p>
              </w:tc>
            </w:tr>
          </w:tbl>
          <w:p>
            <w:pPr>
              <w:adjustRightInd w:val="0"/>
              <w:snapToGrid w:val="0"/>
              <w:spacing w:before="120" w:beforeLines="50" w:line="360" w:lineRule="auto"/>
              <w:ind w:firstLine="480" w:firstLineChars="200"/>
              <w:rPr>
                <w:rFonts w:hint="eastAsia"/>
                <w:bCs/>
                <w:sz w:val="24"/>
                <w:u w:val="single"/>
              </w:rPr>
            </w:pPr>
            <w:r>
              <w:rPr>
                <w:rFonts w:hint="eastAsia"/>
                <w:bCs/>
                <w:sz w:val="24"/>
                <w:u w:val="single"/>
              </w:rPr>
              <w:t>本项目建筑用石产量为31.43万t/a，根据表4.2-1可知，项目建筑用石生产加工过程中在喂料、破碎及筛分环节产生的粉尘量为594.03t/a，建设单位生产过程中在喂料口、破碎机口、全封闭滚筒筛出口各安装一套集气罩，废气收集后汇入同一根管道进入布袋除尘器处理，处理后废气由1根15m排气筒（DA001）排放，风机量为50000m³/h，布袋除尘器处理效率为99%，</w:t>
            </w:r>
            <w:r>
              <w:rPr>
                <w:rFonts w:hint="eastAsia"/>
                <w:bCs/>
                <w:sz w:val="24"/>
                <w:u w:val="single"/>
                <w:lang w:eastAsia="zh-CN"/>
              </w:rPr>
              <w:t>参照《古丈县铁马洲矿区方解石矿开采项目环境影响报告书》</w:t>
            </w:r>
            <w:r>
              <w:rPr>
                <w:rFonts w:hint="eastAsia"/>
                <w:bCs/>
                <w:sz w:val="24"/>
                <w:u w:val="single"/>
              </w:rPr>
              <w:t>集气罩</w:t>
            </w:r>
            <w:r>
              <w:rPr>
                <w:rFonts w:hint="eastAsia"/>
                <w:bCs/>
                <w:sz w:val="24"/>
                <w:u w:val="single"/>
                <w:lang w:eastAsia="zh-CN"/>
              </w:rPr>
              <w:t>收集</w:t>
            </w:r>
            <w:r>
              <w:rPr>
                <w:rFonts w:hint="eastAsia"/>
                <w:bCs/>
                <w:sz w:val="24"/>
                <w:u w:val="single"/>
              </w:rPr>
              <w:t>效率</w:t>
            </w:r>
            <w:r>
              <w:rPr>
                <w:rFonts w:hint="eastAsia"/>
                <w:bCs/>
                <w:sz w:val="24"/>
                <w:u w:val="single"/>
                <w:lang w:eastAsia="zh-CN"/>
              </w:rPr>
              <w:t>为</w:t>
            </w:r>
            <w:r>
              <w:rPr>
                <w:rFonts w:hint="eastAsia"/>
                <w:bCs/>
                <w:sz w:val="24"/>
                <w:u w:val="single"/>
              </w:rPr>
              <w:t>9</w:t>
            </w:r>
            <w:r>
              <w:rPr>
                <w:rFonts w:hint="eastAsia"/>
                <w:bCs/>
                <w:sz w:val="24"/>
                <w:u w:val="single"/>
                <w:lang w:val="en-US" w:eastAsia="zh-CN"/>
              </w:rPr>
              <w:t>0</w:t>
            </w:r>
            <w:r>
              <w:rPr>
                <w:rFonts w:hint="eastAsia"/>
                <w:bCs/>
                <w:sz w:val="24"/>
                <w:u w:val="single"/>
              </w:rPr>
              <w:t>%，则产品生产加工过程中DA001排放口排放量为</w:t>
            </w:r>
            <w:r>
              <w:rPr>
                <w:rFonts w:hint="eastAsia"/>
                <w:bCs/>
                <w:sz w:val="24"/>
                <w:u w:val="single"/>
                <w:lang w:val="en-US" w:eastAsia="zh-CN"/>
              </w:rPr>
              <w:t>5.3462</w:t>
            </w:r>
            <w:r>
              <w:rPr>
                <w:rFonts w:hint="eastAsia"/>
                <w:bCs/>
                <w:sz w:val="24"/>
                <w:u w:val="single"/>
              </w:rPr>
              <w:t>t/a，排放浓度为</w:t>
            </w:r>
            <w:r>
              <w:rPr>
                <w:rFonts w:hint="eastAsia"/>
                <w:bCs/>
                <w:sz w:val="24"/>
                <w:u w:val="single"/>
                <w:lang w:val="en-US" w:eastAsia="zh-CN"/>
              </w:rPr>
              <w:t>36.62</w:t>
            </w:r>
            <w:r>
              <w:rPr>
                <w:rFonts w:hint="eastAsia"/>
                <w:bCs/>
                <w:sz w:val="24"/>
                <w:u w:val="single"/>
              </w:rPr>
              <w:t>mg/m</w:t>
            </w:r>
            <w:r>
              <w:rPr>
                <w:rFonts w:hint="eastAsia"/>
                <w:bCs/>
                <w:sz w:val="24"/>
                <w:u w:val="single"/>
                <w:vertAlign w:val="superscript"/>
              </w:rPr>
              <w:t>3</w:t>
            </w:r>
            <w:r>
              <w:rPr>
                <w:rFonts w:hint="eastAsia"/>
                <w:bCs/>
                <w:sz w:val="24"/>
                <w:u w:val="single"/>
              </w:rPr>
              <w:t>。</w:t>
            </w:r>
          </w:p>
          <w:p>
            <w:pPr>
              <w:adjustRightInd w:val="0"/>
              <w:snapToGrid w:val="0"/>
              <w:spacing w:line="360" w:lineRule="auto"/>
              <w:ind w:firstLine="480" w:firstLineChars="200"/>
              <w:rPr>
                <w:bCs/>
                <w:sz w:val="24"/>
                <w:u w:val="single"/>
              </w:rPr>
            </w:pPr>
            <w:r>
              <w:rPr>
                <w:rFonts w:hint="eastAsia"/>
                <w:bCs/>
                <w:sz w:val="24"/>
                <w:u w:val="single"/>
              </w:rPr>
              <w:t>未被</w:t>
            </w:r>
            <w:r>
              <w:rPr>
                <w:rFonts w:hint="eastAsia"/>
                <w:bCs/>
                <w:color w:val="auto"/>
                <w:sz w:val="24"/>
                <w:highlight w:val="none"/>
                <w:u w:val="single"/>
                <w:shd w:val="clear" w:color="auto" w:fill="auto"/>
                <w:lang w:eastAsia="zh-CN"/>
              </w:rPr>
              <w:t>收集</w:t>
            </w:r>
            <w:r>
              <w:rPr>
                <w:rFonts w:hint="eastAsia"/>
                <w:bCs/>
                <w:sz w:val="24"/>
                <w:u w:val="single"/>
              </w:rPr>
              <w:t>的粉尘量为</w:t>
            </w:r>
            <w:r>
              <w:rPr>
                <w:rFonts w:hint="eastAsia"/>
                <w:bCs/>
                <w:sz w:val="24"/>
                <w:u w:val="single"/>
                <w:lang w:val="en-US" w:eastAsia="zh-CN"/>
              </w:rPr>
              <w:t>59.41</w:t>
            </w:r>
            <w:r>
              <w:rPr>
                <w:rFonts w:hint="eastAsia"/>
                <w:bCs/>
                <w:sz w:val="24"/>
                <w:u w:val="single"/>
              </w:rPr>
              <w:t>t/a，</w:t>
            </w:r>
            <w:r>
              <w:rPr>
                <w:rFonts w:hint="eastAsia"/>
                <w:bCs/>
                <w:sz w:val="24"/>
                <w:u w:val="single"/>
                <w:lang w:eastAsia="zh-CN"/>
              </w:rPr>
              <w:t>在车间上方使用喷雾嘴</w:t>
            </w:r>
            <w:r>
              <w:rPr>
                <w:rFonts w:hint="eastAsia"/>
                <w:bCs/>
                <w:sz w:val="24"/>
                <w:u w:val="single"/>
              </w:rPr>
              <w:t>进行酒水降尘</w:t>
            </w:r>
            <w:r>
              <w:rPr>
                <w:rFonts w:hint="eastAsia"/>
                <w:bCs/>
                <w:sz w:val="24"/>
                <w:u w:val="single"/>
                <w:lang w:eastAsia="zh-CN"/>
              </w:rPr>
              <w:t>、车间密闭</w:t>
            </w:r>
            <w:r>
              <w:rPr>
                <w:rFonts w:hint="eastAsia"/>
                <w:bCs/>
                <w:sz w:val="24"/>
                <w:u w:val="single"/>
              </w:rPr>
              <w:t>，效率</w:t>
            </w:r>
            <w:r>
              <w:rPr>
                <w:rFonts w:hint="eastAsia"/>
                <w:bCs/>
                <w:sz w:val="24"/>
                <w:u w:val="single"/>
                <w:lang w:eastAsia="zh-CN"/>
              </w:rPr>
              <w:t>约</w:t>
            </w:r>
            <w:r>
              <w:rPr>
                <w:rFonts w:hint="eastAsia"/>
                <w:bCs/>
                <w:sz w:val="24"/>
                <w:u w:val="single"/>
              </w:rPr>
              <w:t>为95%，因此喂料、破碎机筛分工段无组织粉尘排放量为</w:t>
            </w:r>
            <w:r>
              <w:rPr>
                <w:rFonts w:hint="eastAsia"/>
                <w:bCs/>
                <w:sz w:val="24"/>
                <w:u w:val="single"/>
                <w:lang w:val="en-US" w:eastAsia="zh-CN"/>
              </w:rPr>
              <w:t>2.9701</w:t>
            </w:r>
            <w:r>
              <w:rPr>
                <w:rFonts w:hint="eastAsia"/>
                <w:bCs/>
                <w:sz w:val="24"/>
                <w:u w:val="single"/>
              </w:rPr>
              <w:t>t/a。</w:t>
            </w:r>
          </w:p>
          <w:p>
            <w:pPr>
              <w:spacing w:line="360" w:lineRule="auto"/>
              <w:ind w:firstLine="482" w:firstLineChars="200"/>
              <w:rPr>
                <w:rFonts w:hint="eastAsia"/>
                <w:b/>
                <w:sz w:val="24"/>
              </w:rPr>
            </w:pPr>
            <w:r>
              <w:rPr>
                <w:rFonts w:hint="eastAsia"/>
                <w:b/>
                <w:sz w:val="24"/>
              </w:rPr>
              <w:t>2、砂石料装卸粉尘（G1-1）</w:t>
            </w:r>
          </w:p>
          <w:p>
            <w:pPr>
              <w:spacing w:line="360" w:lineRule="auto"/>
              <w:ind w:firstLine="480" w:firstLineChars="200"/>
              <w:rPr>
                <w:rFonts w:hint="eastAsia"/>
                <w:color w:val="000000"/>
                <w:kern w:val="0"/>
                <w:sz w:val="24"/>
                <w:szCs w:val="20"/>
              </w:rPr>
            </w:pPr>
            <w:r>
              <w:rPr>
                <w:rFonts w:hint="eastAsia"/>
                <w:color w:val="000000"/>
                <w:kern w:val="0"/>
                <w:sz w:val="24"/>
                <w:szCs w:val="20"/>
              </w:rPr>
              <w:t>原料在装卸过程中易形成扬尘，主要为原料卸料时产生的粉尘，根据《污染源源强核算技术指南 准则》（HJ884-2018），本项目采用类比法计算原料装卸粉尘的起尘量。</w:t>
            </w:r>
          </w:p>
          <w:p>
            <w:pPr>
              <w:spacing w:line="360" w:lineRule="auto"/>
              <w:ind w:firstLine="480" w:firstLineChars="200"/>
              <w:jc w:val="left"/>
              <w:rPr>
                <w:rFonts w:hint="eastAsia"/>
                <w:color w:val="000000"/>
                <w:kern w:val="0"/>
                <w:sz w:val="24"/>
                <w:szCs w:val="20"/>
              </w:rPr>
            </w:pPr>
            <w:r>
              <w:rPr>
                <w:rFonts w:hint="eastAsia"/>
                <w:color w:val="000000"/>
                <w:kern w:val="0"/>
                <w:sz w:val="24"/>
                <w:szCs w:val="20"/>
              </w:rPr>
              <w:t>根据山西环保科研所、武汉水运工程学院提出的经验公式如下：</w:t>
            </w:r>
          </w:p>
          <w:p>
            <w:pPr>
              <w:spacing w:line="360" w:lineRule="auto"/>
              <w:ind w:firstLine="420" w:firstLineChars="200"/>
              <w:rPr>
                <w:color w:val="000000"/>
                <w:kern w:val="0"/>
                <w:szCs w:val="20"/>
              </w:rPr>
            </w:pPr>
            <m:oMathPara>
              <m:oMath>
                <m:r>
                  <m:rPr>
                    <m:sty m:val="p"/>
                  </m:rPr>
                  <w:rPr>
                    <w:rFonts w:hint="default" w:ascii="Cambria Math" w:hAnsi="Cambria Math" w:cs="Times New Roman"/>
                    <w:color w:val="000000"/>
                    <w:kern w:val="0"/>
                    <w:sz w:val="21"/>
                    <w:szCs w:val="20"/>
                    <w:lang w:val="en-US" w:eastAsia="zh-CN" w:bidi="ar-SA"/>
                  </w:rPr>
                  <m:t>Q=0.6</m:t>
                </m:r>
                <m:r>
                  <m:rPr>
                    <m:sty m:val="p"/>
                  </m:rPr>
                  <w:rPr>
                    <w:rFonts w:hint="default" w:ascii="Cambria Math" w:hAnsi="Cambria Math" w:cs="Times New Roman"/>
                    <w:color w:val="000000"/>
                    <w:kern w:val="0"/>
                    <w:sz w:val="21"/>
                    <w:szCs w:val="20"/>
                    <w:lang w:val="en-US" w:bidi="ar-SA"/>
                  </w:rPr>
                  <m:t>×</m:t>
                </m:r>
                <m:f>
                  <m:fPr>
                    <m:ctrlPr>
                      <w:rPr>
                        <w:rFonts w:hint="default" w:ascii="Cambria Math" w:hAnsi="Cambria Math" w:cs="Times New Roman"/>
                        <w:color w:val="000000"/>
                        <w:kern w:val="0"/>
                        <w:sz w:val="21"/>
                        <w:szCs w:val="20"/>
                        <w:lang w:val="en-US" w:bidi="ar-SA"/>
                      </w:rPr>
                    </m:ctrlPr>
                  </m:fPr>
                  <m:num>
                    <m:r>
                      <m:rPr>
                        <m:sty m:val="p"/>
                      </m:rPr>
                      <w:rPr>
                        <w:rFonts w:hint="default" w:ascii="Cambria Math" w:hAnsi="Cambria Math" w:cs="Times New Roman"/>
                        <w:color w:val="000000"/>
                        <w:kern w:val="0"/>
                        <w:sz w:val="21"/>
                        <w:szCs w:val="20"/>
                        <w:lang w:val="en-US" w:eastAsia="zh-CN" w:bidi="ar-SA"/>
                      </w:rPr>
                      <m:t>M</m:t>
                    </m:r>
                    <m:ctrlPr>
                      <w:rPr>
                        <w:rFonts w:hint="default" w:ascii="Cambria Math" w:hAnsi="Cambria Math" w:cs="Times New Roman"/>
                        <w:color w:val="000000"/>
                        <w:kern w:val="0"/>
                        <w:sz w:val="21"/>
                        <w:szCs w:val="20"/>
                        <w:lang w:val="en-US" w:bidi="ar-SA"/>
                      </w:rPr>
                    </m:ctrlPr>
                  </m:num>
                  <m:den>
                    <m:r>
                      <m:rPr>
                        <m:sty m:val="p"/>
                      </m:rPr>
                      <w:rPr>
                        <w:rFonts w:hint="default" w:ascii="Cambria Math" w:hAnsi="Cambria Math" w:cs="Times New Roman"/>
                        <w:color w:val="000000"/>
                        <w:kern w:val="0"/>
                        <w:sz w:val="21"/>
                        <w:szCs w:val="20"/>
                        <w:lang w:val="en-US" w:eastAsia="zh-CN" w:bidi="ar-SA"/>
                      </w:rPr>
                      <m:t>13.54</m:t>
                    </m:r>
                    <m:ctrlPr>
                      <w:rPr>
                        <w:rFonts w:hint="default" w:ascii="Cambria Math" w:hAnsi="Cambria Math" w:cs="Times New Roman"/>
                        <w:color w:val="000000"/>
                        <w:kern w:val="0"/>
                        <w:sz w:val="21"/>
                        <w:szCs w:val="20"/>
                        <w:lang w:val="en-US" w:bidi="ar-SA"/>
                      </w:rPr>
                    </m:ctrlPr>
                  </m:den>
                </m:f>
                <m:r>
                  <m:rPr>
                    <m:sty m:val="p"/>
                  </m:rPr>
                  <w:rPr>
                    <w:rFonts w:hint="default" w:ascii="Cambria Math" w:hAnsi="Cambria Math" w:cs="Times New Roman"/>
                    <w:color w:val="000000"/>
                    <w:kern w:val="0"/>
                    <w:sz w:val="21"/>
                    <w:szCs w:val="20"/>
                    <w:lang w:val="en-US" w:bidi="ar-SA"/>
                  </w:rPr>
                  <m:t>×</m:t>
                </m:r>
                <m:sSup>
                  <m:sSupPr>
                    <m:ctrlPr>
                      <w:rPr>
                        <w:rFonts w:hint="default" w:ascii="Cambria Math" w:hAnsi="Cambria Math" w:cs="Times New Roman"/>
                        <w:color w:val="000000"/>
                        <w:kern w:val="0"/>
                        <w:sz w:val="21"/>
                        <w:szCs w:val="20"/>
                        <w:lang w:val="en-US" w:bidi="ar-SA"/>
                      </w:rPr>
                    </m:ctrlPr>
                  </m:sSupPr>
                  <m:e>
                    <m:r>
                      <m:rPr>
                        <m:sty m:val="p"/>
                      </m:rPr>
                      <w:rPr>
                        <w:rFonts w:hint="default" w:ascii="Cambria Math" w:hAnsi="Cambria Math" w:cs="Times New Roman"/>
                        <w:color w:val="000000"/>
                        <w:kern w:val="0"/>
                        <w:sz w:val="21"/>
                        <w:szCs w:val="20"/>
                        <w:lang w:val="en-US" w:eastAsia="zh-CN" w:bidi="ar-SA"/>
                      </w:rPr>
                      <m:t>e</m:t>
                    </m:r>
                    <m:ctrlPr>
                      <w:rPr>
                        <w:rFonts w:hint="default" w:ascii="Cambria Math" w:hAnsi="Cambria Math" w:cs="Times New Roman"/>
                        <w:color w:val="000000"/>
                        <w:kern w:val="0"/>
                        <w:sz w:val="21"/>
                        <w:szCs w:val="20"/>
                        <w:lang w:val="en-US" w:bidi="ar-SA"/>
                      </w:rPr>
                    </m:ctrlPr>
                  </m:e>
                  <m:sup>
                    <m:r>
                      <m:rPr>
                        <m:sty m:val="p"/>
                      </m:rPr>
                      <w:rPr>
                        <w:rFonts w:hint="default" w:ascii="Cambria Math" w:hAnsi="Cambria Math" w:cs="Times New Roman"/>
                        <w:color w:val="000000"/>
                        <w:kern w:val="0"/>
                        <w:sz w:val="21"/>
                        <w:szCs w:val="20"/>
                        <w:lang w:val="en-US" w:eastAsia="zh-CN" w:bidi="ar-SA"/>
                      </w:rPr>
                      <m:t>0.61u</m:t>
                    </m:r>
                    <m:ctrlPr>
                      <w:rPr>
                        <w:rFonts w:hint="default" w:ascii="Cambria Math" w:hAnsi="Cambria Math" w:cs="Times New Roman"/>
                        <w:color w:val="000000"/>
                        <w:kern w:val="0"/>
                        <w:sz w:val="21"/>
                        <w:szCs w:val="20"/>
                        <w:lang w:val="en-US" w:bidi="ar-SA"/>
                      </w:rPr>
                    </m:ctrlPr>
                  </m:sup>
                </m:sSup>
              </m:oMath>
            </m:oMathPara>
          </w:p>
          <w:p>
            <w:pPr>
              <w:spacing w:line="360" w:lineRule="auto"/>
              <w:ind w:firstLine="480" w:firstLineChars="200"/>
              <w:jc w:val="left"/>
              <w:rPr>
                <w:color w:val="000000"/>
                <w:kern w:val="0"/>
                <w:sz w:val="24"/>
                <w:szCs w:val="20"/>
              </w:rPr>
            </w:pPr>
            <w:r>
              <w:rPr>
                <w:rFonts w:hint="eastAsia"/>
                <w:color w:val="000000"/>
                <w:kern w:val="0"/>
                <w:sz w:val="24"/>
                <w:szCs w:val="20"/>
              </w:rPr>
              <w:t>式中：</w:t>
            </w:r>
          </w:p>
          <w:p>
            <w:pPr>
              <w:spacing w:line="360" w:lineRule="auto"/>
              <w:ind w:firstLine="480" w:firstLineChars="200"/>
              <w:jc w:val="left"/>
              <w:rPr>
                <w:rFonts w:hint="eastAsia"/>
                <w:color w:val="000000"/>
                <w:kern w:val="0"/>
                <w:sz w:val="24"/>
                <w:szCs w:val="20"/>
              </w:rPr>
            </w:pPr>
            <w:r>
              <w:rPr>
                <w:rFonts w:hint="eastAsia"/>
                <w:color w:val="000000"/>
                <w:kern w:val="0"/>
                <w:sz w:val="24"/>
                <w:szCs w:val="20"/>
              </w:rPr>
              <w:t>Q——汽车卸料起尘量，g/次；</w:t>
            </w:r>
          </w:p>
          <w:p>
            <w:pPr>
              <w:spacing w:line="360" w:lineRule="auto"/>
              <w:ind w:firstLine="480" w:firstLineChars="200"/>
              <w:jc w:val="left"/>
              <w:rPr>
                <w:color w:val="000000"/>
                <w:kern w:val="0"/>
                <w:sz w:val="24"/>
                <w:szCs w:val="20"/>
              </w:rPr>
            </w:pPr>
            <w:r>
              <w:rPr>
                <w:rFonts w:hint="eastAsia"/>
                <w:color w:val="000000"/>
                <w:kern w:val="0"/>
                <w:sz w:val="24"/>
                <w:szCs w:val="20"/>
              </w:rPr>
              <w:t>u——平均风速，花垣县平均风速为2.2m/s；</w:t>
            </w:r>
          </w:p>
          <w:p>
            <w:pPr>
              <w:spacing w:line="360" w:lineRule="auto"/>
              <w:ind w:firstLine="480" w:firstLineChars="200"/>
              <w:jc w:val="left"/>
              <w:rPr>
                <w:color w:val="000000"/>
                <w:kern w:val="0"/>
                <w:sz w:val="24"/>
                <w:szCs w:val="20"/>
              </w:rPr>
            </w:pPr>
            <w:r>
              <w:rPr>
                <w:rFonts w:hint="eastAsia"/>
                <w:color w:val="000000"/>
                <w:kern w:val="0"/>
                <w:sz w:val="24"/>
                <w:szCs w:val="20"/>
              </w:rPr>
              <w:t>M——汽车卸料量，取25t；</w:t>
            </w:r>
          </w:p>
          <w:p>
            <w:pPr>
              <w:spacing w:line="360" w:lineRule="auto"/>
              <w:ind w:firstLine="480" w:firstLineChars="200"/>
              <w:jc w:val="left"/>
              <w:rPr>
                <w:color w:val="000000"/>
                <w:kern w:val="0"/>
                <w:sz w:val="24"/>
                <w:szCs w:val="20"/>
              </w:rPr>
            </w:pPr>
            <w:r>
              <w:rPr>
                <w:rFonts w:hint="eastAsia"/>
                <w:color w:val="000000"/>
                <w:kern w:val="0"/>
                <w:sz w:val="24"/>
                <w:szCs w:val="20"/>
              </w:rPr>
              <w:t>0.6为修正系数（物料粒径</w:t>
            </w:r>
            <w:r>
              <w:rPr>
                <w:rFonts w:hint="eastAsia" w:ascii="宋体" w:hAnsi="宋体" w:cs="宋体"/>
                <w:color w:val="000000"/>
                <w:kern w:val="0"/>
                <w:sz w:val="24"/>
                <w:szCs w:val="20"/>
              </w:rPr>
              <w:t>&gt;</w:t>
            </w:r>
            <w:r>
              <w:rPr>
                <w:rFonts w:hint="eastAsia"/>
                <w:color w:val="000000"/>
                <w:kern w:val="0"/>
                <w:sz w:val="24"/>
                <w:szCs w:val="20"/>
              </w:rPr>
              <w:t>2cm，密度比较大时取值）；</w:t>
            </w:r>
          </w:p>
          <w:p>
            <w:pPr>
              <w:spacing w:line="360" w:lineRule="auto"/>
              <w:ind w:firstLine="480" w:firstLineChars="200"/>
              <w:rPr>
                <w:rFonts w:hint="eastAsia"/>
                <w:color w:val="000000"/>
                <w:kern w:val="0"/>
                <w:sz w:val="24"/>
                <w:szCs w:val="20"/>
                <w:u w:val="single"/>
                <w:lang w:val="zh-CN"/>
              </w:rPr>
            </w:pPr>
            <w:r>
              <w:rPr>
                <w:rFonts w:hint="eastAsia"/>
                <w:color w:val="000000"/>
                <w:kern w:val="0"/>
                <w:sz w:val="24"/>
                <w:szCs w:val="20"/>
                <w:u w:val="single"/>
              </w:rPr>
              <w:t>经计算原料装卸过程起尘量为4.24g/次。原料装卸料为31.43万吨每年，货车载重量为25t，那么每年装卸料12572次，则原料装卸粉尘量为0.0533t/a，装卸粉尘为无组织排放。</w:t>
            </w:r>
            <w:r>
              <w:rPr>
                <w:rFonts w:hint="eastAsia"/>
                <w:color w:val="000000"/>
                <w:kern w:val="0"/>
                <w:sz w:val="24"/>
                <w:szCs w:val="20"/>
                <w:u w:val="single"/>
                <w:lang w:val="zh-CN"/>
              </w:rPr>
              <w:t>为了减少原料装卸时产生的无组织粉尘，建设单位将废石堆场进行土工布覆盖，使用</w:t>
            </w:r>
            <w:r>
              <w:rPr>
                <w:rFonts w:hint="eastAsia"/>
                <w:color w:val="000000"/>
                <w:kern w:val="0"/>
                <w:sz w:val="24"/>
                <w:szCs w:val="20"/>
                <w:u w:val="single"/>
                <w:lang w:eastAsia="zh-CN"/>
              </w:rPr>
              <w:t>雾炮机进行降尘</w:t>
            </w:r>
            <w:r>
              <w:rPr>
                <w:rFonts w:hint="eastAsia"/>
                <w:color w:val="000000"/>
                <w:kern w:val="0"/>
                <w:sz w:val="24"/>
                <w:szCs w:val="20"/>
                <w:u w:val="single"/>
              </w:rPr>
              <w:t>，</w:t>
            </w:r>
            <w:r>
              <w:rPr>
                <w:rFonts w:hint="eastAsia"/>
                <w:color w:val="000000"/>
                <w:kern w:val="0"/>
                <w:sz w:val="24"/>
                <w:szCs w:val="20"/>
                <w:u w:val="single"/>
                <w:lang w:val="zh-CN"/>
              </w:rPr>
              <w:t>降尘效率按</w:t>
            </w:r>
            <w:r>
              <w:rPr>
                <w:rFonts w:hint="eastAsia"/>
                <w:color w:val="000000"/>
                <w:kern w:val="0"/>
                <w:sz w:val="24"/>
                <w:szCs w:val="20"/>
                <w:u w:val="single"/>
              </w:rPr>
              <w:t>90</w:t>
            </w:r>
            <w:r>
              <w:rPr>
                <w:rFonts w:hint="eastAsia"/>
                <w:color w:val="000000"/>
                <w:kern w:val="0"/>
                <w:sz w:val="24"/>
                <w:szCs w:val="20"/>
                <w:u w:val="single"/>
                <w:lang w:val="zh-CN"/>
              </w:rPr>
              <w:t>%计算，因此原料装卸过程中产生的无组织粉尘排放量为</w:t>
            </w:r>
            <w:r>
              <w:rPr>
                <w:rFonts w:hint="eastAsia"/>
                <w:color w:val="000000"/>
                <w:kern w:val="0"/>
                <w:sz w:val="24"/>
                <w:szCs w:val="20"/>
                <w:u w:val="single"/>
              </w:rPr>
              <w:t>0.0053</w:t>
            </w:r>
            <w:r>
              <w:rPr>
                <w:rFonts w:hint="eastAsia"/>
                <w:color w:val="000000"/>
                <w:kern w:val="0"/>
                <w:sz w:val="24"/>
                <w:szCs w:val="20"/>
                <w:u w:val="single"/>
                <w:lang w:val="zh-CN"/>
              </w:rPr>
              <w:t>t/a。</w:t>
            </w:r>
          </w:p>
          <w:p>
            <w:pPr>
              <w:spacing w:line="360" w:lineRule="auto"/>
              <w:ind w:firstLine="482" w:firstLineChars="200"/>
              <w:rPr>
                <w:rFonts w:hint="eastAsia"/>
                <w:b/>
                <w:sz w:val="24"/>
              </w:rPr>
            </w:pPr>
            <w:r>
              <w:rPr>
                <w:rFonts w:hint="eastAsia"/>
                <w:b/>
                <w:sz w:val="24"/>
              </w:rPr>
              <w:t>3、</w:t>
            </w:r>
            <w:r>
              <w:rPr>
                <w:rFonts w:hint="eastAsia"/>
                <w:b/>
                <w:sz w:val="24"/>
                <w:lang w:eastAsia="zh-CN"/>
              </w:rPr>
              <w:t>产品</w:t>
            </w:r>
            <w:r>
              <w:rPr>
                <w:rFonts w:hint="eastAsia"/>
                <w:b/>
                <w:sz w:val="24"/>
              </w:rPr>
              <w:t>运输粉尘（G1-2）</w:t>
            </w:r>
          </w:p>
          <w:p>
            <w:pPr>
              <w:spacing w:line="360" w:lineRule="auto"/>
              <w:ind w:firstLine="480" w:firstLineChars="200"/>
              <w:rPr>
                <w:color w:val="000000"/>
                <w:sz w:val="24"/>
              </w:rPr>
            </w:pPr>
            <w:r>
              <w:rPr>
                <w:rFonts w:hint="eastAsia"/>
                <w:color w:val="000000"/>
                <w:sz w:val="24"/>
              </w:rPr>
              <w:t>本项目运营期间</w:t>
            </w:r>
            <w:r>
              <w:rPr>
                <w:rFonts w:hint="eastAsia"/>
                <w:color w:val="000000"/>
                <w:sz w:val="24"/>
                <w:lang w:eastAsia="zh-CN"/>
              </w:rPr>
              <w:t>产品</w:t>
            </w:r>
            <w:r>
              <w:rPr>
                <w:rFonts w:hint="eastAsia"/>
                <w:color w:val="000000"/>
                <w:sz w:val="24"/>
              </w:rPr>
              <w:t>均由汽车运输，汽车运输时由于碾压路面产生的扬尘对道路两侧一定范围内会造成一定的影响。</w:t>
            </w:r>
          </w:p>
          <w:p>
            <w:pPr>
              <w:spacing w:line="360" w:lineRule="auto"/>
              <w:ind w:firstLine="480" w:firstLineChars="200"/>
              <w:rPr>
                <w:color w:val="000000"/>
                <w:sz w:val="24"/>
              </w:rPr>
            </w:pPr>
            <w:r>
              <w:rPr>
                <w:rFonts w:hint="eastAsia"/>
                <w:color w:val="000000"/>
                <w:sz w:val="24"/>
              </w:rPr>
              <w:t>汽车扬尘量的大小与车流Q量、道路状况、气候条件、汽车行驶速度等均有关系。根据汽车道路扬尘扩散规律，当风速小于4m/s 时，风速对载料汽车在道路上行驶时引起的扬尘量几乎无影响；当风速大于4m/s 时，风速对汽车扬尘量明显影响。在大气干燥和地面风速低于4m/s条件下，汽车行驶时引起的路面扬尘量与汽车速度成正比，与汽车质量成正比，与道路表面扬尘量成正比，其汽车扬尘量预测经验公式为：</w:t>
            </w:r>
          </w:p>
          <w:p>
            <w:pPr>
              <w:spacing w:line="360" w:lineRule="auto"/>
              <w:ind w:firstLine="480" w:firstLineChars="200"/>
              <w:jc w:val="center"/>
              <w:rPr>
                <w:color w:val="000000"/>
                <w:sz w:val="24"/>
                <w:vertAlign w:val="superscript"/>
              </w:rPr>
            </w:pPr>
            <w:r>
              <w:rPr>
                <w:color w:val="000000"/>
                <w:sz w:val="24"/>
              </w:rPr>
              <w:t>Q=0.123(V/5)(W/6.8)</w:t>
            </w:r>
            <w:r>
              <w:rPr>
                <w:color w:val="000000"/>
                <w:sz w:val="24"/>
                <w:vertAlign w:val="superscript"/>
              </w:rPr>
              <w:t>0.85</w:t>
            </w:r>
            <w:r>
              <w:rPr>
                <w:color w:val="000000"/>
                <w:sz w:val="24"/>
              </w:rPr>
              <w:t>(P/0.5)</w:t>
            </w:r>
            <w:r>
              <w:rPr>
                <w:color w:val="000000"/>
                <w:sz w:val="24"/>
                <w:vertAlign w:val="superscript"/>
              </w:rPr>
              <w:t>0.75</w:t>
            </w:r>
          </w:p>
          <w:p>
            <w:pPr>
              <w:spacing w:line="360" w:lineRule="auto"/>
              <w:ind w:firstLine="480" w:firstLineChars="200"/>
              <w:rPr>
                <w:color w:val="000000"/>
                <w:sz w:val="24"/>
              </w:rPr>
            </w:pPr>
            <w:r>
              <w:rPr>
                <w:rFonts w:hint="eastAsia"/>
                <w:color w:val="000000"/>
                <w:sz w:val="24"/>
              </w:rPr>
              <w:t>式中：Q——汽车行驶的扬尘，kg/km•辆；</w:t>
            </w:r>
          </w:p>
          <w:p>
            <w:pPr>
              <w:spacing w:line="360" w:lineRule="auto"/>
              <w:ind w:firstLine="1200" w:firstLineChars="500"/>
              <w:rPr>
                <w:color w:val="000000"/>
                <w:sz w:val="24"/>
              </w:rPr>
            </w:pPr>
            <w:r>
              <w:rPr>
                <w:rFonts w:hint="eastAsia"/>
                <w:color w:val="000000"/>
                <w:sz w:val="24"/>
              </w:rPr>
              <w:t>V——汽车速度，km/h；</w:t>
            </w:r>
          </w:p>
          <w:p>
            <w:pPr>
              <w:spacing w:line="360" w:lineRule="auto"/>
              <w:ind w:firstLine="1200" w:firstLineChars="500"/>
              <w:rPr>
                <w:color w:val="000000"/>
                <w:sz w:val="24"/>
              </w:rPr>
            </w:pPr>
            <w:r>
              <w:rPr>
                <w:rFonts w:hint="eastAsia"/>
                <w:color w:val="000000"/>
                <w:sz w:val="24"/>
              </w:rPr>
              <w:t>W——汽车载重量，t；</w:t>
            </w:r>
          </w:p>
          <w:p>
            <w:pPr>
              <w:spacing w:line="360" w:lineRule="auto"/>
              <w:ind w:firstLine="1200" w:firstLineChars="500"/>
              <w:rPr>
                <w:color w:val="000000"/>
                <w:sz w:val="24"/>
              </w:rPr>
            </w:pPr>
            <w:r>
              <w:rPr>
                <w:rFonts w:hint="eastAsia"/>
                <w:color w:val="000000"/>
                <w:sz w:val="24"/>
              </w:rPr>
              <w:t>P——道路表面粉尘量，kg/m</w:t>
            </w:r>
            <w:r>
              <w:rPr>
                <w:rFonts w:hint="eastAsia"/>
                <w:color w:val="000000"/>
                <w:sz w:val="24"/>
                <w:vertAlign w:val="superscript"/>
              </w:rPr>
              <w:t>2</w:t>
            </w:r>
            <w:r>
              <w:rPr>
                <w:rFonts w:hint="eastAsia"/>
                <w:color w:val="000000"/>
                <w:sz w:val="24"/>
              </w:rPr>
              <w:t>。</w:t>
            </w:r>
          </w:p>
          <w:p>
            <w:pPr>
              <w:spacing w:line="360" w:lineRule="auto"/>
              <w:ind w:firstLine="480" w:firstLineChars="200"/>
              <w:rPr>
                <w:color w:val="000000"/>
                <w:sz w:val="24"/>
              </w:rPr>
            </w:pPr>
            <w:r>
              <w:rPr>
                <w:rFonts w:hint="eastAsia"/>
                <w:color w:val="000000"/>
                <w:sz w:val="24"/>
              </w:rPr>
              <w:t>车辆空车重约5t，重车重约30.0t，以速度10km/h行驶，其在不同路面清洁度情况下的扬尘量见下表。</w:t>
            </w:r>
          </w:p>
          <w:p>
            <w:pPr>
              <w:widowControl/>
              <w:shd w:val="clear" w:color="auto" w:fill="FFFFFF"/>
              <w:jc w:val="center"/>
              <w:rPr>
                <w:rFonts w:cs="宋体"/>
                <w:b/>
                <w:color w:val="000000"/>
                <w:szCs w:val="21"/>
              </w:rPr>
            </w:pPr>
            <w:r>
              <w:rPr>
                <w:rFonts w:hint="eastAsia" w:cs="宋体"/>
                <w:b/>
                <w:color w:val="000000"/>
                <w:szCs w:val="21"/>
              </w:rPr>
              <w:t xml:space="preserve">表4.2-2  </w:t>
            </w:r>
            <w:r>
              <w:rPr>
                <w:rFonts w:cs="宋体"/>
                <w:b/>
                <w:color w:val="000000"/>
                <w:szCs w:val="21"/>
              </w:rPr>
              <w:t xml:space="preserve"> </w:t>
            </w:r>
            <w:r>
              <w:rPr>
                <w:rFonts w:hint="eastAsia" w:cs="宋体"/>
                <w:b/>
                <w:color w:val="000000"/>
                <w:szCs w:val="21"/>
              </w:rPr>
              <w:t xml:space="preserve">汽车行驶扬尘量 </w:t>
            </w:r>
            <w:r>
              <w:rPr>
                <w:rFonts w:cs="宋体"/>
                <w:b/>
                <w:color w:val="000000"/>
                <w:szCs w:val="21"/>
              </w:rPr>
              <w:t xml:space="preserve">  </w:t>
            </w:r>
            <w:r>
              <w:rPr>
                <w:rFonts w:hint="eastAsia" w:cs="宋体"/>
                <w:b/>
                <w:color w:val="000000"/>
                <w:szCs w:val="21"/>
              </w:rPr>
              <w:t>单位：kg/km·辆</w:t>
            </w:r>
          </w:p>
          <w:tbl>
            <w:tblPr>
              <w:tblStyle w:val="24"/>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42"/>
              <w:gridCol w:w="1242"/>
              <w:gridCol w:w="1242"/>
              <w:gridCol w:w="1242"/>
              <w:gridCol w:w="1242"/>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42" w:type="dxa"/>
                  <w:tcBorders>
                    <w:left w:val="nil"/>
                    <w:tl2br w:val="single" w:color="auto" w:sz="4" w:space="0"/>
                  </w:tcBorders>
                  <w:noWrap w:val="0"/>
                  <w:vAlign w:val="center"/>
                </w:tcPr>
                <w:p>
                  <w:pPr>
                    <w:adjustRightInd w:val="0"/>
                    <w:snapToGrid w:val="0"/>
                    <w:jc w:val="center"/>
                    <w:rPr>
                      <w:b/>
                      <w:bCs/>
                      <w:color w:val="000000"/>
                      <w:kern w:val="0"/>
                      <w:szCs w:val="21"/>
                    </w:rPr>
                  </w:pPr>
                  <w:r>
                    <w:rPr>
                      <w:b/>
                      <w:bCs/>
                      <w:color w:val="000000"/>
                      <w:kern w:val="0"/>
                      <w:szCs w:val="21"/>
                    </w:rPr>
                    <w:t xml:space="preserve">  路况</w:t>
                  </w:r>
                </w:p>
                <w:p>
                  <w:pPr>
                    <w:adjustRightInd w:val="0"/>
                    <w:snapToGrid w:val="0"/>
                    <w:rPr>
                      <w:b/>
                      <w:bCs/>
                      <w:color w:val="000000"/>
                      <w:kern w:val="0"/>
                      <w:szCs w:val="21"/>
                    </w:rPr>
                  </w:pPr>
                  <w:r>
                    <w:rPr>
                      <w:b/>
                      <w:bCs/>
                      <w:color w:val="000000"/>
                      <w:kern w:val="0"/>
                      <w:szCs w:val="21"/>
                    </w:rPr>
                    <w:t>车况</w:t>
                  </w:r>
                </w:p>
              </w:tc>
              <w:tc>
                <w:tcPr>
                  <w:tcW w:w="1242" w:type="dxa"/>
                  <w:noWrap w:val="0"/>
                  <w:vAlign w:val="center"/>
                </w:tcPr>
                <w:p>
                  <w:pPr>
                    <w:adjustRightInd w:val="0"/>
                    <w:snapToGrid w:val="0"/>
                    <w:jc w:val="center"/>
                    <w:rPr>
                      <w:b/>
                      <w:bCs/>
                      <w:color w:val="000000"/>
                      <w:kern w:val="0"/>
                      <w:szCs w:val="21"/>
                    </w:rPr>
                  </w:pPr>
                  <w:r>
                    <w:rPr>
                      <w:b/>
                      <w:bCs/>
                      <w:color w:val="000000"/>
                      <w:kern w:val="0"/>
                      <w:szCs w:val="21"/>
                    </w:rPr>
                    <w:t>0.1kg/m</w:t>
                  </w:r>
                  <w:r>
                    <w:rPr>
                      <w:b/>
                      <w:bCs/>
                      <w:color w:val="000000"/>
                      <w:kern w:val="0"/>
                      <w:szCs w:val="21"/>
                      <w:vertAlign w:val="superscript"/>
                    </w:rPr>
                    <w:t>2</w:t>
                  </w:r>
                </w:p>
              </w:tc>
              <w:tc>
                <w:tcPr>
                  <w:tcW w:w="1242" w:type="dxa"/>
                  <w:noWrap w:val="0"/>
                  <w:vAlign w:val="center"/>
                </w:tcPr>
                <w:p>
                  <w:pPr>
                    <w:adjustRightInd w:val="0"/>
                    <w:snapToGrid w:val="0"/>
                    <w:jc w:val="center"/>
                    <w:rPr>
                      <w:b/>
                      <w:bCs/>
                      <w:color w:val="000000"/>
                      <w:kern w:val="0"/>
                      <w:szCs w:val="21"/>
                    </w:rPr>
                  </w:pPr>
                  <w:r>
                    <w:rPr>
                      <w:b/>
                      <w:bCs/>
                      <w:color w:val="000000"/>
                      <w:kern w:val="0"/>
                      <w:szCs w:val="21"/>
                    </w:rPr>
                    <w:t>0.2kg/m</w:t>
                  </w:r>
                  <w:r>
                    <w:rPr>
                      <w:b/>
                      <w:bCs/>
                      <w:color w:val="000000"/>
                      <w:kern w:val="0"/>
                      <w:szCs w:val="21"/>
                      <w:vertAlign w:val="superscript"/>
                    </w:rPr>
                    <w:t>2</w:t>
                  </w:r>
                </w:p>
              </w:tc>
              <w:tc>
                <w:tcPr>
                  <w:tcW w:w="1242" w:type="dxa"/>
                  <w:noWrap w:val="0"/>
                  <w:vAlign w:val="center"/>
                </w:tcPr>
                <w:p>
                  <w:pPr>
                    <w:adjustRightInd w:val="0"/>
                    <w:snapToGrid w:val="0"/>
                    <w:jc w:val="center"/>
                    <w:rPr>
                      <w:b/>
                      <w:bCs/>
                      <w:color w:val="000000"/>
                      <w:kern w:val="0"/>
                      <w:szCs w:val="21"/>
                    </w:rPr>
                  </w:pPr>
                  <w:r>
                    <w:rPr>
                      <w:b/>
                      <w:bCs/>
                      <w:color w:val="000000"/>
                      <w:kern w:val="0"/>
                      <w:szCs w:val="21"/>
                    </w:rPr>
                    <w:t>0.3kg/m</w:t>
                  </w:r>
                  <w:r>
                    <w:rPr>
                      <w:b/>
                      <w:bCs/>
                      <w:color w:val="000000"/>
                      <w:kern w:val="0"/>
                      <w:szCs w:val="21"/>
                      <w:vertAlign w:val="superscript"/>
                    </w:rPr>
                    <w:t>2</w:t>
                  </w:r>
                </w:p>
              </w:tc>
              <w:tc>
                <w:tcPr>
                  <w:tcW w:w="1242" w:type="dxa"/>
                  <w:noWrap w:val="0"/>
                  <w:vAlign w:val="center"/>
                </w:tcPr>
                <w:p>
                  <w:pPr>
                    <w:adjustRightInd w:val="0"/>
                    <w:snapToGrid w:val="0"/>
                    <w:jc w:val="center"/>
                    <w:rPr>
                      <w:b/>
                      <w:bCs/>
                      <w:color w:val="000000"/>
                      <w:kern w:val="0"/>
                      <w:szCs w:val="21"/>
                    </w:rPr>
                  </w:pPr>
                  <w:r>
                    <w:rPr>
                      <w:b/>
                      <w:bCs/>
                      <w:color w:val="000000"/>
                      <w:kern w:val="0"/>
                      <w:szCs w:val="21"/>
                    </w:rPr>
                    <w:t>0.4kg/m</w:t>
                  </w:r>
                  <w:r>
                    <w:rPr>
                      <w:b/>
                      <w:bCs/>
                      <w:color w:val="000000"/>
                      <w:kern w:val="0"/>
                      <w:szCs w:val="21"/>
                      <w:vertAlign w:val="superscript"/>
                    </w:rPr>
                    <w:t>2</w:t>
                  </w:r>
                </w:p>
              </w:tc>
              <w:tc>
                <w:tcPr>
                  <w:tcW w:w="1242" w:type="dxa"/>
                  <w:noWrap w:val="0"/>
                  <w:vAlign w:val="center"/>
                </w:tcPr>
                <w:p>
                  <w:pPr>
                    <w:adjustRightInd w:val="0"/>
                    <w:snapToGrid w:val="0"/>
                    <w:jc w:val="center"/>
                    <w:rPr>
                      <w:b/>
                      <w:bCs/>
                      <w:color w:val="000000"/>
                      <w:kern w:val="0"/>
                      <w:szCs w:val="21"/>
                    </w:rPr>
                  </w:pPr>
                  <w:r>
                    <w:rPr>
                      <w:b/>
                      <w:bCs/>
                      <w:color w:val="000000"/>
                      <w:kern w:val="0"/>
                      <w:szCs w:val="21"/>
                    </w:rPr>
                    <w:t>0.5kg/m</w:t>
                  </w:r>
                  <w:r>
                    <w:rPr>
                      <w:b/>
                      <w:bCs/>
                      <w:color w:val="000000"/>
                      <w:kern w:val="0"/>
                      <w:szCs w:val="21"/>
                      <w:vertAlign w:val="superscript"/>
                    </w:rPr>
                    <w:t>2</w:t>
                  </w:r>
                </w:p>
              </w:tc>
              <w:tc>
                <w:tcPr>
                  <w:tcW w:w="1242" w:type="dxa"/>
                  <w:tcBorders>
                    <w:right w:val="nil"/>
                  </w:tcBorders>
                  <w:noWrap w:val="0"/>
                  <w:vAlign w:val="center"/>
                </w:tcPr>
                <w:p>
                  <w:pPr>
                    <w:adjustRightInd w:val="0"/>
                    <w:snapToGrid w:val="0"/>
                    <w:jc w:val="center"/>
                    <w:rPr>
                      <w:b/>
                      <w:bCs/>
                      <w:color w:val="000000"/>
                      <w:kern w:val="0"/>
                      <w:szCs w:val="21"/>
                    </w:rPr>
                  </w:pPr>
                  <w:r>
                    <w:rPr>
                      <w:b/>
                      <w:bCs/>
                      <w:color w:val="000000"/>
                      <w:kern w:val="0"/>
                      <w:szCs w:val="21"/>
                    </w:rPr>
                    <w:t>0.6kg/m</w:t>
                  </w:r>
                  <w:r>
                    <w:rPr>
                      <w:b/>
                      <w:bCs/>
                      <w:color w:val="000000"/>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tcBorders>
                    <w:left w:val="nil"/>
                  </w:tcBorders>
                  <w:noWrap w:val="0"/>
                  <w:vAlign w:val="center"/>
                </w:tcPr>
                <w:p>
                  <w:pPr>
                    <w:adjustRightInd w:val="0"/>
                    <w:snapToGrid w:val="0"/>
                    <w:jc w:val="center"/>
                    <w:rPr>
                      <w:color w:val="000000"/>
                      <w:kern w:val="0"/>
                      <w:szCs w:val="21"/>
                    </w:rPr>
                  </w:pPr>
                  <w:r>
                    <w:rPr>
                      <w:color w:val="000000"/>
                      <w:kern w:val="0"/>
                      <w:szCs w:val="21"/>
                    </w:rPr>
                    <w:t>空车</w:t>
                  </w:r>
                </w:p>
              </w:tc>
              <w:tc>
                <w:tcPr>
                  <w:tcW w:w="1242" w:type="dxa"/>
                  <w:noWrap w:val="0"/>
                  <w:vAlign w:val="center"/>
                </w:tcPr>
                <w:p>
                  <w:pPr>
                    <w:adjustRightInd w:val="0"/>
                    <w:snapToGrid w:val="0"/>
                    <w:jc w:val="center"/>
                    <w:rPr>
                      <w:color w:val="000000"/>
                      <w:kern w:val="0"/>
                      <w:szCs w:val="21"/>
                    </w:rPr>
                  </w:pPr>
                  <w:r>
                    <w:rPr>
                      <w:color w:val="000000"/>
                      <w:kern w:val="0"/>
                      <w:szCs w:val="21"/>
                    </w:rPr>
                    <w:t>0.06</w:t>
                  </w:r>
                </w:p>
              </w:tc>
              <w:tc>
                <w:tcPr>
                  <w:tcW w:w="1242" w:type="dxa"/>
                  <w:noWrap w:val="0"/>
                  <w:vAlign w:val="center"/>
                </w:tcPr>
                <w:p>
                  <w:pPr>
                    <w:adjustRightInd w:val="0"/>
                    <w:snapToGrid w:val="0"/>
                    <w:jc w:val="center"/>
                    <w:rPr>
                      <w:color w:val="000000"/>
                      <w:kern w:val="0"/>
                      <w:szCs w:val="21"/>
                    </w:rPr>
                  </w:pPr>
                  <w:r>
                    <w:rPr>
                      <w:color w:val="000000"/>
                      <w:kern w:val="0"/>
                      <w:szCs w:val="21"/>
                    </w:rPr>
                    <w:t>0.10</w:t>
                  </w:r>
                </w:p>
              </w:tc>
              <w:tc>
                <w:tcPr>
                  <w:tcW w:w="1242" w:type="dxa"/>
                  <w:noWrap w:val="0"/>
                  <w:vAlign w:val="center"/>
                </w:tcPr>
                <w:p>
                  <w:pPr>
                    <w:adjustRightInd w:val="0"/>
                    <w:snapToGrid w:val="0"/>
                    <w:jc w:val="center"/>
                    <w:rPr>
                      <w:color w:val="000000"/>
                      <w:kern w:val="0"/>
                      <w:szCs w:val="21"/>
                    </w:rPr>
                  </w:pPr>
                  <w:r>
                    <w:rPr>
                      <w:color w:val="000000"/>
                      <w:kern w:val="0"/>
                      <w:szCs w:val="21"/>
                    </w:rPr>
                    <w:t>0.13</w:t>
                  </w:r>
                </w:p>
              </w:tc>
              <w:tc>
                <w:tcPr>
                  <w:tcW w:w="1242" w:type="dxa"/>
                  <w:noWrap w:val="0"/>
                  <w:vAlign w:val="center"/>
                </w:tcPr>
                <w:p>
                  <w:pPr>
                    <w:adjustRightInd w:val="0"/>
                    <w:snapToGrid w:val="0"/>
                    <w:jc w:val="center"/>
                    <w:rPr>
                      <w:color w:val="000000"/>
                      <w:kern w:val="0"/>
                      <w:szCs w:val="21"/>
                    </w:rPr>
                  </w:pPr>
                  <w:r>
                    <w:rPr>
                      <w:color w:val="000000"/>
                      <w:kern w:val="0"/>
                      <w:szCs w:val="21"/>
                    </w:rPr>
                    <w:t>0.16</w:t>
                  </w:r>
                </w:p>
              </w:tc>
              <w:tc>
                <w:tcPr>
                  <w:tcW w:w="1242" w:type="dxa"/>
                  <w:noWrap w:val="0"/>
                  <w:vAlign w:val="center"/>
                </w:tcPr>
                <w:p>
                  <w:pPr>
                    <w:adjustRightInd w:val="0"/>
                    <w:snapToGrid w:val="0"/>
                    <w:jc w:val="center"/>
                    <w:rPr>
                      <w:color w:val="000000"/>
                      <w:kern w:val="0"/>
                      <w:szCs w:val="21"/>
                    </w:rPr>
                  </w:pPr>
                  <w:r>
                    <w:rPr>
                      <w:color w:val="000000"/>
                      <w:kern w:val="0"/>
                      <w:szCs w:val="21"/>
                    </w:rPr>
                    <w:t>0.19</w:t>
                  </w:r>
                </w:p>
              </w:tc>
              <w:tc>
                <w:tcPr>
                  <w:tcW w:w="1242" w:type="dxa"/>
                  <w:tcBorders>
                    <w:right w:val="nil"/>
                  </w:tcBorders>
                  <w:noWrap w:val="0"/>
                  <w:vAlign w:val="center"/>
                </w:tcPr>
                <w:p>
                  <w:pPr>
                    <w:adjustRightInd w:val="0"/>
                    <w:snapToGrid w:val="0"/>
                    <w:jc w:val="center"/>
                    <w:rPr>
                      <w:color w:val="000000"/>
                      <w:kern w:val="0"/>
                      <w:szCs w:val="21"/>
                    </w:rPr>
                  </w:pPr>
                  <w:r>
                    <w:rPr>
                      <w:color w:val="000000"/>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tcBorders>
                    <w:left w:val="nil"/>
                  </w:tcBorders>
                  <w:noWrap w:val="0"/>
                  <w:vAlign w:val="center"/>
                </w:tcPr>
                <w:p>
                  <w:pPr>
                    <w:adjustRightInd w:val="0"/>
                    <w:snapToGrid w:val="0"/>
                    <w:jc w:val="center"/>
                    <w:rPr>
                      <w:color w:val="000000"/>
                      <w:kern w:val="0"/>
                      <w:szCs w:val="21"/>
                    </w:rPr>
                  </w:pPr>
                  <w:r>
                    <w:rPr>
                      <w:color w:val="000000"/>
                      <w:kern w:val="0"/>
                      <w:szCs w:val="21"/>
                    </w:rPr>
                    <w:t>重车</w:t>
                  </w:r>
                </w:p>
              </w:tc>
              <w:tc>
                <w:tcPr>
                  <w:tcW w:w="1242" w:type="dxa"/>
                  <w:noWrap w:val="0"/>
                  <w:vAlign w:val="center"/>
                </w:tcPr>
                <w:p>
                  <w:pPr>
                    <w:adjustRightInd w:val="0"/>
                    <w:snapToGrid w:val="0"/>
                    <w:jc w:val="center"/>
                    <w:rPr>
                      <w:color w:val="000000"/>
                      <w:kern w:val="0"/>
                      <w:szCs w:val="21"/>
                    </w:rPr>
                  </w:pPr>
                  <w:r>
                    <w:rPr>
                      <w:color w:val="000000"/>
                      <w:kern w:val="0"/>
                      <w:szCs w:val="21"/>
                    </w:rPr>
                    <w:t>0.26</w:t>
                  </w:r>
                </w:p>
              </w:tc>
              <w:tc>
                <w:tcPr>
                  <w:tcW w:w="1242" w:type="dxa"/>
                  <w:noWrap w:val="0"/>
                  <w:vAlign w:val="center"/>
                </w:tcPr>
                <w:p>
                  <w:pPr>
                    <w:adjustRightInd w:val="0"/>
                    <w:snapToGrid w:val="0"/>
                    <w:jc w:val="center"/>
                    <w:rPr>
                      <w:color w:val="000000"/>
                      <w:kern w:val="0"/>
                      <w:szCs w:val="21"/>
                    </w:rPr>
                  </w:pPr>
                  <w:r>
                    <w:rPr>
                      <w:color w:val="000000"/>
                      <w:kern w:val="0"/>
                      <w:szCs w:val="21"/>
                    </w:rPr>
                    <w:t>0.44</w:t>
                  </w:r>
                </w:p>
              </w:tc>
              <w:tc>
                <w:tcPr>
                  <w:tcW w:w="1242" w:type="dxa"/>
                  <w:noWrap w:val="0"/>
                  <w:vAlign w:val="center"/>
                </w:tcPr>
                <w:p>
                  <w:pPr>
                    <w:adjustRightInd w:val="0"/>
                    <w:snapToGrid w:val="0"/>
                    <w:jc w:val="center"/>
                    <w:rPr>
                      <w:color w:val="000000"/>
                      <w:kern w:val="0"/>
                      <w:szCs w:val="21"/>
                    </w:rPr>
                  </w:pPr>
                  <w:r>
                    <w:rPr>
                      <w:color w:val="000000"/>
                      <w:kern w:val="0"/>
                      <w:szCs w:val="21"/>
                    </w:rPr>
                    <w:t>0.59</w:t>
                  </w:r>
                </w:p>
              </w:tc>
              <w:tc>
                <w:tcPr>
                  <w:tcW w:w="1242" w:type="dxa"/>
                  <w:noWrap w:val="0"/>
                  <w:vAlign w:val="center"/>
                </w:tcPr>
                <w:p>
                  <w:pPr>
                    <w:adjustRightInd w:val="0"/>
                    <w:snapToGrid w:val="0"/>
                    <w:jc w:val="center"/>
                    <w:rPr>
                      <w:color w:val="000000"/>
                      <w:kern w:val="0"/>
                      <w:szCs w:val="21"/>
                    </w:rPr>
                  </w:pPr>
                  <w:r>
                    <w:rPr>
                      <w:color w:val="000000"/>
                      <w:kern w:val="0"/>
                      <w:szCs w:val="21"/>
                    </w:rPr>
                    <w:t>0.73</w:t>
                  </w:r>
                </w:p>
              </w:tc>
              <w:tc>
                <w:tcPr>
                  <w:tcW w:w="1242" w:type="dxa"/>
                  <w:noWrap w:val="0"/>
                  <w:vAlign w:val="center"/>
                </w:tcPr>
                <w:p>
                  <w:pPr>
                    <w:adjustRightInd w:val="0"/>
                    <w:snapToGrid w:val="0"/>
                    <w:jc w:val="center"/>
                    <w:rPr>
                      <w:color w:val="000000"/>
                      <w:kern w:val="0"/>
                      <w:szCs w:val="21"/>
                    </w:rPr>
                  </w:pPr>
                  <w:r>
                    <w:rPr>
                      <w:color w:val="000000"/>
                      <w:kern w:val="0"/>
                      <w:szCs w:val="21"/>
                    </w:rPr>
                    <w:t>0.87</w:t>
                  </w:r>
                </w:p>
              </w:tc>
              <w:tc>
                <w:tcPr>
                  <w:tcW w:w="1242" w:type="dxa"/>
                  <w:tcBorders>
                    <w:right w:val="nil"/>
                  </w:tcBorders>
                  <w:noWrap w:val="0"/>
                  <w:vAlign w:val="center"/>
                </w:tcPr>
                <w:p>
                  <w:pPr>
                    <w:adjustRightInd w:val="0"/>
                    <w:snapToGrid w:val="0"/>
                    <w:jc w:val="center"/>
                    <w:rPr>
                      <w:color w:val="000000"/>
                      <w:kern w:val="0"/>
                      <w:szCs w:val="21"/>
                    </w:rPr>
                  </w:pPr>
                  <w:r>
                    <w:rPr>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242" w:type="dxa"/>
                  <w:tcBorders>
                    <w:left w:val="nil"/>
                  </w:tcBorders>
                  <w:noWrap w:val="0"/>
                  <w:vAlign w:val="center"/>
                </w:tcPr>
                <w:p>
                  <w:pPr>
                    <w:adjustRightInd w:val="0"/>
                    <w:snapToGrid w:val="0"/>
                    <w:jc w:val="center"/>
                    <w:rPr>
                      <w:color w:val="000000"/>
                      <w:kern w:val="0"/>
                      <w:szCs w:val="21"/>
                    </w:rPr>
                  </w:pPr>
                  <w:r>
                    <w:rPr>
                      <w:color w:val="000000"/>
                      <w:kern w:val="0"/>
                      <w:szCs w:val="21"/>
                    </w:rPr>
                    <w:t>合计</w:t>
                  </w:r>
                </w:p>
              </w:tc>
              <w:tc>
                <w:tcPr>
                  <w:tcW w:w="1242" w:type="dxa"/>
                  <w:noWrap w:val="0"/>
                  <w:vAlign w:val="center"/>
                </w:tcPr>
                <w:p>
                  <w:pPr>
                    <w:adjustRightInd w:val="0"/>
                    <w:snapToGrid w:val="0"/>
                    <w:jc w:val="center"/>
                    <w:rPr>
                      <w:color w:val="000000"/>
                      <w:kern w:val="0"/>
                      <w:szCs w:val="21"/>
                    </w:rPr>
                  </w:pPr>
                  <w:r>
                    <w:rPr>
                      <w:color w:val="000000"/>
                      <w:kern w:val="0"/>
                      <w:szCs w:val="21"/>
                    </w:rPr>
                    <w:t>0.32</w:t>
                  </w:r>
                </w:p>
              </w:tc>
              <w:tc>
                <w:tcPr>
                  <w:tcW w:w="1242" w:type="dxa"/>
                  <w:noWrap w:val="0"/>
                  <w:vAlign w:val="center"/>
                </w:tcPr>
                <w:p>
                  <w:pPr>
                    <w:adjustRightInd w:val="0"/>
                    <w:snapToGrid w:val="0"/>
                    <w:jc w:val="center"/>
                    <w:rPr>
                      <w:rFonts w:hint="eastAsia"/>
                      <w:color w:val="000000"/>
                      <w:kern w:val="0"/>
                      <w:szCs w:val="21"/>
                    </w:rPr>
                  </w:pPr>
                  <w:r>
                    <w:rPr>
                      <w:color w:val="000000"/>
                      <w:kern w:val="0"/>
                      <w:szCs w:val="21"/>
                    </w:rPr>
                    <w:t>0.5</w:t>
                  </w:r>
                  <w:r>
                    <w:rPr>
                      <w:rFonts w:hint="eastAsia"/>
                      <w:color w:val="000000"/>
                      <w:kern w:val="0"/>
                      <w:szCs w:val="21"/>
                    </w:rPr>
                    <w:t>4</w:t>
                  </w:r>
                </w:p>
              </w:tc>
              <w:tc>
                <w:tcPr>
                  <w:tcW w:w="1242" w:type="dxa"/>
                  <w:noWrap w:val="0"/>
                  <w:vAlign w:val="center"/>
                </w:tcPr>
                <w:p>
                  <w:pPr>
                    <w:adjustRightInd w:val="0"/>
                    <w:snapToGrid w:val="0"/>
                    <w:jc w:val="center"/>
                    <w:rPr>
                      <w:color w:val="000000"/>
                      <w:kern w:val="0"/>
                      <w:szCs w:val="21"/>
                    </w:rPr>
                  </w:pPr>
                  <w:r>
                    <w:rPr>
                      <w:color w:val="000000"/>
                      <w:kern w:val="0"/>
                      <w:szCs w:val="21"/>
                    </w:rPr>
                    <w:t>0.72</w:t>
                  </w:r>
                </w:p>
              </w:tc>
              <w:tc>
                <w:tcPr>
                  <w:tcW w:w="1242" w:type="dxa"/>
                  <w:noWrap w:val="0"/>
                  <w:vAlign w:val="center"/>
                </w:tcPr>
                <w:p>
                  <w:pPr>
                    <w:adjustRightInd w:val="0"/>
                    <w:snapToGrid w:val="0"/>
                    <w:jc w:val="center"/>
                    <w:rPr>
                      <w:color w:val="000000"/>
                      <w:kern w:val="0"/>
                      <w:szCs w:val="21"/>
                    </w:rPr>
                  </w:pPr>
                  <w:r>
                    <w:rPr>
                      <w:color w:val="000000"/>
                      <w:kern w:val="0"/>
                      <w:szCs w:val="21"/>
                    </w:rPr>
                    <w:t>0.90</w:t>
                  </w:r>
                </w:p>
              </w:tc>
              <w:tc>
                <w:tcPr>
                  <w:tcW w:w="1242" w:type="dxa"/>
                  <w:noWrap w:val="0"/>
                  <w:vAlign w:val="center"/>
                </w:tcPr>
                <w:p>
                  <w:pPr>
                    <w:adjustRightInd w:val="0"/>
                    <w:snapToGrid w:val="0"/>
                    <w:jc w:val="center"/>
                    <w:rPr>
                      <w:color w:val="000000"/>
                      <w:kern w:val="0"/>
                      <w:szCs w:val="21"/>
                    </w:rPr>
                  </w:pPr>
                  <w:r>
                    <w:rPr>
                      <w:color w:val="000000"/>
                      <w:kern w:val="0"/>
                      <w:szCs w:val="21"/>
                    </w:rPr>
                    <w:t>1.06</w:t>
                  </w:r>
                </w:p>
              </w:tc>
              <w:tc>
                <w:tcPr>
                  <w:tcW w:w="1242" w:type="dxa"/>
                  <w:tcBorders>
                    <w:right w:val="nil"/>
                  </w:tcBorders>
                  <w:noWrap w:val="0"/>
                  <w:vAlign w:val="center"/>
                </w:tcPr>
                <w:p>
                  <w:pPr>
                    <w:adjustRightInd w:val="0"/>
                    <w:snapToGrid w:val="0"/>
                    <w:jc w:val="center"/>
                    <w:rPr>
                      <w:color w:val="000000"/>
                      <w:kern w:val="0"/>
                      <w:szCs w:val="21"/>
                    </w:rPr>
                  </w:pPr>
                  <w:r>
                    <w:rPr>
                      <w:color w:val="000000"/>
                      <w:kern w:val="0"/>
                      <w:szCs w:val="21"/>
                    </w:rPr>
                    <w:t>1.21</w:t>
                  </w:r>
                </w:p>
              </w:tc>
            </w:tr>
          </w:tbl>
          <w:p>
            <w:pPr>
              <w:spacing w:line="360" w:lineRule="auto"/>
              <w:ind w:firstLine="480" w:firstLineChars="200"/>
              <w:rPr>
                <w:color w:val="000000"/>
                <w:sz w:val="24"/>
              </w:rPr>
            </w:pPr>
            <w:r>
              <w:rPr>
                <w:rFonts w:hint="eastAsia"/>
                <w:color w:val="000000"/>
                <w:sz w:val="24"/>
              </w:rPr>
              <w:t>在厂区内行驶距离按200m计，运载车辆运载次数按生产情况而定，本评价按项目平均每天发车空、重载各35次/辆计算。根据本项目的情况，运营期项目道路路面为水泥路面，则项目道路表面粉尘量按0.2kg/m</w:t>
            </w:r>
            <w:r>
              <w:rPr>
                <w:rFonts w:hint="eastAsia"/>
                <w:color w:val="000000"/>
                <w:sz w:val="24"/>
                <w:vertAlign w:val="superscript"/>
              </w:rPr>
              <w:t>2</w:t>
            </w:r>
            <w:r>
              <w:rPr>
                <w:rFonts w:hint="eastAsia"/>
                <w:color w:val="000000"/>
                <w:sz w:val="24"/>
              </w:rPr>
              <w:t>计，非雨天按200天算，车辆扬尘量0.756t/a。项目建设单位定期派专人进行路面清扫，保持路面清洁、定期对路面进行洒水抑尘</w:t>
            </w:r>
            <w:r>
              <w:rPr>
                <w:rFonts w:hint="eastAsia"/>
                <w:color w:val="000000"/>
                <w:sz w:val="24"/>
                <w:lang w:eastAsia="zh-CN"/>
              </w:rPr>
              <w:t>、运输车辆进场土工布覆盖，</w:t>
            </w:r>
            <w:r>
              <w:rPr>
                <w:rFonts w:hint="eastAsia"/>
                <w:color w:val="000000"/>
                <w:sz w:val="24"/>
              </w:rPr>
              <w:t>可使扬尘减少80%左右，则经过采取以上措施后，运输扬尘排放量为0.1512t/a。</w:t>
            </w:r>
          </w:p>
          <w:p>
            <w:pPr>
              <w:spacing w:line="360" w:lineRule="auto"/>
              <w:ind w:firstLine="482" w:firstLineChars="200"/>
              <w:rPr>
                <w:rFonts w:hint="eastAsia"/>
                <w:b/>
                <w:sz w:val="24"/>
              </w:rPr>
            </w:pPr>
            <w:r>
              <w:rPr>
                <w:rFonts w:hint="eastAsia"/>
                <w:b/>
                <w:sz w:val="24"/>
              </w:rPr>
              <w:t>4、成品库粉尘（G1-8）</w:t>
            </w:r>
          </w:p>
          <w:p>
            <w:pPr>
              <w:spacing w:line="360" w:lineRule="auto"/>
              <w:ind w:firstLine="480" w:firstLineChars="200"/>
              <w:rPr>
                <w:rFonts w:hint="eastAsia"/>
                <w:color w:val="000000"/>
                <w:sz w:val="24"/>
              </w:rPr>
            </w:pPr>
            <w:r>
              <w:rPr>
                <w:rFonts w:hint="eastAsia"/>
                <w:color w:val="000000"/>
                <w:sz w:val="24"/>
              </w:rPr>
              <w:t>项且成品库粉尘产生量参考西安冶金建筑学院的干堆扬尘计算公式：</w:t>
            </w:r>
          </w:p>
          <w:p>
            <w:pPr>
              <w:spacing w:line="360" w:lineRule="auto"/>
              <w:ind w:firstLine="420" w:firstLineChars="200"/>
              <w:jc w:val="center"/>
              <w:rPr>
                <w:rFonts w:hint="eastAsia"/>
                <w:b/>
                <w:bCs/>
                <w:color w:val="000000"/>
                <w:sz w:val="24"/>
              </w:rPr>
            </w:pPr>
            <w:r>
              <w:rPr>
                <w:rFonts w:hint="eastAsia"/>
                <w:color w:val="000000"/>
              </w:rPr>
              <w:object>
                <v:shape id="_x0000_i1027" o:spt="75" type="#_x0000_t75" style="height:19.25pt;width:130.6pt;" o:ole="t" filled="f" stroked="f" coordsize="21600,21600">
                  <v:path/>
                  <v:fill on="f" focussize="0,0"/>
                  <v:stroke on="f"/>
                  <v:imagedata r:id="rId30" o:title=""/>
                  <o:lock v:ext="edit" aspectratio="t"/>
                  <w10:wrap type="none"/>
                  <w10:anchorlock/>
                </v:shape>
                <o:OLEObject Type="Embed" ProgID="Equations" ShapeID="_x0000_i1027" DrawAspect="Content" ObjectID="_1468075727" r:id="rId29">
                  <o:LockedField>false</o:LockedField>
                </o:OLEObject>
              </w:object>
            </w:r>
          </w:p>
          <w:p>
            <w:pPr>
              <w:spacing w:line="360" w:lineRule="auto"/>
              <w:ind w:firstLine="480" w:firstLineChars="200"/>
              <w:rPr>
                <w:rFonts w:hint="eastAsia"/>
                <w:color w:val="000000"/>
                <w:sz w:val="24"/>
              </w:rPr>
            </w:pPr>
            <w:r>
              <w:rPr>
                <w:rFonts w:hint="eastAsia"/>
                <w:color w:val="000000"/>
                <w:sz w:val="24"/>
              </w:rPr>
              <w:t>其中: Q表示粉尘产生量(kg/d) ；S表示面积(m</w:t>
            </w:r>
            <w:r>
              <w:rPr>
                <w:rFonts w:hint="eastAsia"/>
                <w:color w:val="000000"/>
                <w:sz w:val="24"/>
                <w:vertAlign w:val="superscript"/>
              </w:rPr>
              <w:t>2</w:t>
            </w:r>
            <w:r>
              <w:rPr>
                <w:rFonts w:hint="eastAsia"/>
                <w:color w:val="000000"/>
                <w:sz w:val="24"/>
              </w:rPr>
              <w:t>) ；V表示风速(m/s) ；</w:t>
            </w:r>
          </w:p>
          <w:p>
            <w:pPr>
              <w:spacing w:line="360" w:lineRule="auto"/>
              <w:ind w:firstLine="480" w:firstLineChars="200"/>
              <w:rPr>
                <w:rFonts w:hint="eastAsia"/>
                <w:color w:val="000000"/>
                <w:sz w:val="24"/>
              </w:rPr>
            </w:pPr>
            <w:r>
              <w:rPr>
                <w:rFonts w:hint="eastAsia"/>
                <w:color w:val="000000"/>
                <w:sz w:val="24"/>
              </w:rPr>
              <w:t>本项且成品仓库使用面积约为400m</w:t>
            </w:r>
            <w:r>
              <w:rPr>
                <w:rFonts w:hint="eastAsia"/>
                <w:color w:val="000000"/>
                <w:sz w:val="24"/>
                <w:vertAlign w:val="superscript"/>
              </w:rPr>
              <w:t>2</w:t>
            </w:r>
            <w:r>
              <w:rPr>
                <w:rFonts w:hint="eastAsia"/>
                <w:color w:val="000000"/>
                <w:sz w:val="24"/>
              </w:rPr>
              <w:t>，V取花垣县的平均风速为2.2m/s，则项且产品堆场风力起尘量为1.82kg/d (0.6658t/a) 。项且堆场为水泥硬化路面，并对其进行“三防”（防扬散、防流失、防渗漏）处理，堆场采用三面封闭钢架棚结构并配备喷淋设施对堆场进行酒水降尘，将在一定程度上大大降低堆场扬尘的产生，扬尘的抑尘效率可达到95%以上，则项且堆场扬尘排放量约为0.0333t/a。</w:t>
            </w:r>
          </w:p>
          <w:p>
            <w:pPr>
              <w:spacing w:line="360" w:lineRule="auto"/>
              <w:ind w:firstLine="482" w:firstLineChars="200"/>
              <w:rPr>
                <w:rFonts w:hint="eastAsia"/>
                <w:b/>
                <w:sz w:val="24"/>
              </w:rPr>
            </w:pPr>
            <w:r>
              <w:rPr>
                <w:rFonts w:hint="eastAsia"/>
                <w:b/>
                <w:sz w:val="24"/>
              </w:rPr>
              <w:t>5、皮带输送机落料产生的粉尘（G1-5）</w:t>
            </w:r>
          </w:p>
          <w:p>
            <w:pPr>
              <w:spacing w:line="360" w:lineRule="auto"/>
              <w:ind w:left="420" w:leftChars="200" w:firstLine="480" w:firstLineChars="200"/>
              <w:rPr>
                <w:color w:val="000000"/>
                <w:sz w:val="24"/>
              </w:rPr>
            </w:pPr>
            <w:r>
              <w:rPr>
                <w:rFonts w:hint="eastAsia"/>
                <w:color w:val="000000"/>
                <w:sz w:val="24"/>
              </w:rPr>
              <w:t>皮带输送落料点起尘量按交通部水运所提出的经验公式计算：</w:t>
            </w:r>
          </w:p>
          <w:p>
            <w:pPr>
              <w:spacing w:line="360" w:lineRule="auto"/>
              <w:ind w:left="420" w:leftChars="200" w:firstLine="480" w:firstLineChars="200"/>
              <w:rPr>
                <w:color w:val="000000"/>
                <w:sz w:val="24"/>
              </w:rPr>
            </w:pPr>
            <w:r>
              <w:rPr>
                <w:rFonts w:hint="eastAsia"/>
                <w:color w:val="000000"/>
                <w:sz w:val="24"/>
              </w:rPr>
              <w:t>Q=0.03U</w:t>
            </w:r>
            <w:r>
              <w:rPr>
                <w:rFonts w:hint="eastAsia"/>
                <w:color w:val="000000"/>
                <w:sz w:val="24"/>
                <w:vertAlign w:val="superscript"/>
              </w:rPr>
              <w:t>1.6</w:t>
            </w:r>
            <w:r>
              <w:rPr>
                <w:rFonts w:hint="eastAsia"/>
                <w:color w:val="000000"/>
                <w:sz w:val="24"/>
              </w:rPr>
              <w:t>H</w:t>
            </w:r>
            <w:r>
              <w:rPr>
                <w:rFonts w:hint="eastAsia"/>
                <w:color w:val="000000"/>
                <w:sz w:val="24"/>
                <w:vertAlign w:val="superscript"/>
              </w:rPr>
              <w:t>1.23</w:t>
            </w:r>
            <w:r>
              <w:rPr>
                <w:rFonts w:hint="eastAsia"/>
                <w:color w:val="000000"/>
                <w:sz w:val="24"/>
              </w:rPr>
              <w:t>e</w:t>
            </w:r>
            <w:r>
              <w:rPr>
                <w:rFonts w:hint="eastAsia"/>
                <w:color w:val="000000"/>
                <w:sz w:val="24"/>
                <w:vertAlign w:val="superscript"/>
              </w:rPr>
              <w:t>-0.28w</w:t>
            </w:r>
          </w:p>
          <w:p>
            <w:pPr>
              <w:spacing w:line="360" w:lineRule="auto"/>
              <w:ind w:left="420" w:leftChars="200" w:firstLine="480" w:firstLineChars="200"/>
              <w:rPr>
                <w:color w:val="000000"/>
                <w:sz w:val="24"/>
              </w:rPr>
            </w:pPr>
            <w:r>
              <w:rPr>
                <w:rFonts w:hint="eastAsia"/>
                <w:color w:val="000000"/>
                <w:sz w:val="24"/>
              </w:rPr>
              <w:t>式中：Q—起尘量（kg/t）</w:t>
            </w:r>
          </w:p>
          <w:p>
            <w:pPr>
              <w:spacing w:line="360" w:lineRule="auto"/>
              <w:ind w:left="420" w:leftChars="200" w:firstLine="480" w:firstLineChars="200"/>
              <w:rPr>
                <w:color w:val="000000"/>
                <w:sz w:val="24"/>
              </w:rPr>
            </w:pPr>
            <w:r>
              <w:rPr>
                <w:rFonts w:hint="eastAsia"/>
                <w:color w:val="000000"/>
                <w:sz w:val="24"/>
              </w:rPr>
              <w:t xml:space="preserve">      U—平均风速  取2.2m/s</w:t>
            </w:r>
          </w:p>
          <w:p>
            <w:pPr>
              <w:spacing w:line="360" w:lineRule="auto"/>
              <w:ind w:left="420" w:leftChars="200" w:firstLine="480" w:firstLineChars="200"/>
              <w:rPr>
                <w:color w:val="000000"/>
                <w:sz w:val="24"/>
              </w:rPr>
            </w:pPr>
            <w:r>
              <w:rPr>
                <w:rFonts w:hint="eastAsia"/>
                <w:color w:val="000000"/>
                <w:sz w:val="24"/>
              </w:rPr>
              <w:t xml:space="preserve">      H—物料落差，取</w:t>
            </w:r>
            <w:r>
              <w:rPr>
                <w:color w:val="000000"/>
                <w:sz w:val="24"/>
              </w:rPr>
              <w:t>3</w:t>
            </w:r>
            <w:r>
              <w:rPr>
                <w:rFonts w:hint="eastAsia"/>
                <w:color w:val="000000"/>
                <w:sz w:val="24"/>
              </w:rPr>
              <w:t>.0m</w:t>
            </w:r>
          </w:p>
          <w:p>
            <w:pPr>
              <w:spacing w:line="360" w:lineRule="auto"/>
              <w:ind w:left="420" w:leftChars="200" w:firstLine="480" w:firstLineChars="200"/>
              <w:rPr>
                <w:color w:val="000000"/>
                <w:sz w:val="24"/>
              </w:rPr>
            </w:pPr>
            <w:r>
              <w:rPr>
                <w:rFonts w:hint="eastAsia"/>
                <w:color w:val="000000"/>
                <w:sz w:val="24"/>
              </w:rPr>
              <w:t xml:space="preserve">      W—物料含水率，取5%</w:t>
            </w:r>
          </w:p>
          <w:p>
            <w:pPr>
              <w:spacing w:line="360" w:lineRule="auto"/>
              <w:ind w:firstLine="480" w:firstLineChars="200"/>
              <w:rPr>
                <w:color w:val="000000"/>
                <w:sz w:val="24"/>
              </w:rPr>
            </w:pPr>
            <w:r>
              <w:rPr>
                <w:rFonts w:hint="eastAsia"/>
                <w:color w:val="000000"/>
                <w:sz w:val="24"/>
              </w:rPr>
              <w:t>经计算，Q值为0.40</w:t>
            </w:r>
            <w:r>
              <w:rPr>
                <w:color w:val="000000"/>
                <w:sz w:val="24"/>
              </w:rPr>
              <w:t>kg</w:t>
            </w:r>
            <w:r>
              <w:rPr>
                <w:rFonts w:hint="eastAsia"/>
                <w:color w:val="000000"/>
                <w:sz w:val="24"/>
              </w:rPr>
              <w:t>/</w:t>
            </w:r>
            <w:r>
              <w:rPr>
                <w:color w:val="000000"/>
                <w:sz w:val="24"/>
              </w:rPr>
              <w:t>t</w:t>
            </w:r>
            <w:r>
              <w:rPr>
                <w:rFonts w:hint="eastAsia"/>
                <w:color w:val="000000"/>
                <w:sz w:val="24"/>
              </w:rPr>
              <w:t>，项目皮带机输送总量为31.43万吨，则皮带输送机落料点扬尘产生量为125.72t/a。</w:t>
            </w:r>
          </w:p>
          <w:p>
            <w:pPr>
              <w:spacing w:line="360" w:lineRule="auto"/>
              <w:ind w:firstLine="436" w:firstLineChars="182"/>
              <w:rPr>
                <w:rFonts w:hint="eastAsia"/>
                <w:color w:val="000000"/>
                <w:kern w:val="0"/>
                <w:sz w:val="24"/>
                <w:szCs w:val="20"/>
              </w:rPr>
            </w:pPr>
            <w:r>
              <w:rPr>
                <w:rFonts w:hint="eastAsia"/>
                <w:color w:val="000000"/>
                <w:kern w:val="0"/>
                <w:sz w:val="24"/>
                <w:szCs w:val="20"/>
              </w:rPr>
              <w:t>针对皮带输送机扬尘，项目采取</w:t>
            </w:r>
            <w:r>
              <w:rPr>
                <w:rFonts w:hint="eastAsia"/>
                <w:sz w:val="24"/>
                <w:lang w:val="zh-CN"/>
              </w:rPr>
              <w:t>安装皮带廊道密闭抑尘，在落料口设置喷雾洒水抑尘措施</w:t>
            </w:r>
            <w:r>
              <w:rPr>
                <w:rFonts w:hint="eastAsia"/>
                <w:kern w:val="0"/>
                <w:sz w:val="24"/>
                <w:szCs w:val="20"/>
              </w:rPr>
              <w:t>。</w:t>
            </w:r>
            <w:r>
              <w:rPr>
                <w:rFonts w:hint="eastAsia"/>
                <w:color w:val="000000"/>
                <w:kern w:val="0"/>
                <w:sz w:val="24"/>
                <w:szCs w:val="20"/>
              </w:rPr>
              <w:t>在采取上述措施后抑尘效果为99%。本项目皮带输送机扬尘排放量为1.2572t/a</w:t>
            </w:r>
          </w:p>
          <w:p>
            <w:pPr>
              <w:spacing w:line="360" w:lineRule="auto"/>
              <w:ind w:firstLine="482" w:firstLineChars="200"/>
              <w:rPr>
                <w:rFonts w:hint="eastAsia"/>
                <w:b/>
                <w:sz w:val="24"/>
              </w:rPr>
            </w:pPr>
            <w:r>
              <w:rPr>
                <w:rFonts w:hint="eastAsia"/>
                <w:b/>
                <w:sz w:val="24"/>
              </w:rPr>
              <w:t>6、汽车尾气</w:t>
            </w:r>
          </w:p>
          <w:p>
            <w:pPr>
              <w:spacing w:line="360" w:lineRule="auto"/>
              <w:ind w:firstLine="480" w:firstLineChars="200"/>
              <w:rPr>
                <w:color w:val="000000"/>
                <w:kern w:val="0"/>
                <w:sz w:val="24"/>
                <w:szCs w:val="20"/>
              </w:rPr>
            </w:pPr>
            <w:r>
              <w:rPr>
                <w:color w:val="000000"/>
                <w:kern w:val="0"/>
                <w:sz w:val="24"/>
                <w:szCs w:val="20"/>
              </w:rPr>
              <w:t>本项目运输车辆在行驶和停泊过程中产生汽车尾气污染，燃料选用0＃轻柴油(0号轻质柴油的密度在20℃，一般是0.84～0.86g/cm³之间，取0.85g/cm³)，污染物主要是CO、HC、NO</w:t>
            </w:r>
            <w:r>
              <w:rPr>
                <w:color w:val="000000"/>
                <w:kern w:val="0"/>
                <w:sz w:val="24"/>
                <w:szCs w:val="20"/>
                <w:vertAlign w:val="subscript"/>
              </w:rPr>
              <w:t>X</w:t>
            </w:r>
            <w:r>
              <w:rPr>
                <w:color w:val="000000"/>
                <w:kern w:val="0"/>
                <w:sz w:val="24"/>
                <w:szCs w:val="20"/>
              </w:rPr>
              <w:t>等。根据《环境保护实用数据手册》和《大气污染物分析》等资料，汽车燃油污染物排放系数如下表4.2-</w:t>
            </w:r>
            <w:r>
              <w:rPr>
                <w:rFonts w:hint="eastAsia"/>
                <w:color w:val="000000"/>
                <w:kern w:val="0"/>
                <w:sz w:val="24"/>
                <w:szCs w:val="20"/>
              </w:rPr>
              <w:t>3</w:t>
            </w:r>
            <w:r>
              <w:rPr>
                <w:color w:val="000000"/>
                <w:kern w:val="0"/>
                <w:sz w:val="24"/>
                <w:szCs w:val="20"/>
              </w:rPr>
              <w:t>所示：</w:t>
            </w:r>
          </w:p>
          <w:p>
            <w:pPr>
              <w:pStyle w:val="79"/>
              <w:ind w:firstLine="480"/>
              <w:rPr>
                <w:color w:val="000000"/>
                <w:kern w:val="0"/>
              </w:rPr>
            </w:pPr>
            <w:r>
              <w:rPr>
                <w:rFonts w:hint="eastAsia"/>
                <w:color w:val="000000"/>
                <w:kern w:val="0"/>
              </w:rPr>
              <w:t>表4.2-3   柴油燃烧排污系数（机车）</w:t>
            </w:r>
          </w:p>
          <w:tbl>
            <w:tblPr>
              <w:tblStyle w:val="24"/>
              <w:tblW w:w="86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8"/>
              <w:gridCol w:w="43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18" w:type="dxa"/>
                  <w:noWrap w:val="0"/>
                  <w:vAlign w:val="center"/>
                </w:tcPr>
                <w:p>
                  <w:pPr>
                    <w:pStyle w:val="80"/>
                    <w:ind w:firstLine="480"/>
                    <w:rPr>
                      <w:color w:val="000000"/>
                    </w:rPr>
                  </w:pPr>
                  <w:r>
                    <w:rPr>
                      <w:rFonts w:hint="eastAsia"/>
                      <w:color w:val="000000"/>
                    </w:rPr>
                    <w:t>污染物</w:t>
                  </w:r>
                </w:p>
              </w:tc>
              <w:tc>
                <w:tcPr>
                  <w:tcW w:w="4341" w:type="dxa"/>
                  <w:noWrap w:val="0"/>
                  <w:vAlign w:val="center"/>
                </w:tcPr>
                <w:p>
                  <w:pPr>
                    <w:pStyle w:val="80"/>
                    <w:ind w:firstLine="480"/>
                    <w:rPr>
                      <w:color w:val="000000"/>
                    </w:rPr>
                  </w:pPr>
                  <w:r>
                    <w:rPr>
                      <w:rFonts w:hint="eastAsia"/>
                      <w:color w:val="000000"/>
                    </w:rPr>
                    <w:t>以柴油为燃料（g/L）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318" w:type="dxa"/>
                  <w:noWrap w:val="0"/>
                  <w:vAlign w:val="center"/>
                </w:tcPr>
                <w:p>
                  <w:pPr>
                    <w:pStyle w:val="80"/>
                    <w:ind w:firstLine="480"/>
                    <w:rPr>
                      <w:color w:val="000000"/>
                    </w:rPr>
                  </w:pPr>
                  <w:r>
                    <w:rPr>
                      <w:rFonts w:hint="eastAsia"/>
                      <w:color w:val="000000"/>
                    </w:rPr>
                    <w:t>CO</w:t>
                  </w:r>
                </w:p>
              </w:tc>
              <w:tc>
                <w:tcPr>
                  <w:tcW w:w="4341" w:type="dxa"/>
                  <w:noWrap w:val="0"/>
                  <w:vAlign w:val="center"/>
                </w:tcPr>
                <w:p>
                  <w:pPr>
                    <w:pStyle w:val="80"/>
                    <w:ind w:firstLine="480"/>
                    <w:rPr>
                      <w:color w:val="000000"/>
                    </w:rPr>
                  </w:pPr>
                  <w:r>
                    <w:rPr>
                      <w:rFonts w:hint="eastAsia"/>
                      <w:color w:val="000000"/>
                    </w:rPr>
                    <w:t>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318" w:type="dxa"/>
                  <w:noWrap w:val="0"/>
                  <w:vAlign w:val="center"/>
                </w:tcPr>
                <w:p>
                  <w:pPr>
                    <w:pStyle w:val="80"/>
                    <w:ind w:firstLine="480"/>
                    <w:rPr>
                      <w:color w:val="000000"/>
                    </w:rPr>
                  </w:pPr>
                  <w:r>
                    <w:rPr>
                      <w:rFonts w:hint="eastAsia"/>
                      <w:color w:val="000000"/>
                    </w:rPr>
                    <w:t>NO</w:t>
                  </w:r>
                  <w:r>
                    <w:rPr>
                      <w:rFonts w:hint="eastAsia"/>
                      <w:color w:val="000000"/>
                      <w:vertAlign w:val="subscript"/>
                    </w:rPr>
                    <w:t>X</w:t>
                  </w:r>
                </w:p>
              </w:tc>
              <w:tc>
                <w:tcPr>
                  <w:tcW w:w="4341" w:type="dxa"/>
                  <w:noWrap w:val="0"/>
                  <w:vAlign w:val="center"/>
                </w:tcPr>
                <w:p>
                  <w:pPr>
                    <w:pStyle w:val="80"/>
                    <w:ind w:firstLine="480"/>
                    <w:rPr>
                      <w:color w:val="000000"/>
                    </w:rPr>
                  </w:pPr>
                  <w:r>
                    <w:rPr>
                      <w:rFonts w:hint="eastAsia"/>
                      <w:color w:val="000000"/>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318" w:type="dxa"/>
                  <w:noWrap w:val="0"/>
                  <w:vAlign w:val="center"/>
                </w:tcPr>
                <w:p>
                  <w:pPr>
                    <w:pStyle w:val="80"/>
                    <w:ind w:firstLine="480"/>
                    <w:rPr>
                      <w:color w:val="000000"/>
                    </w:rPr>
                  </w:pPr>
                  <w:r>
                    <w:rPr>
                      <w:rFonts w:hint="eastAsia"/>
                      <w:color w:val="000000"/>
                    </w:rPr>
                    <w:t>HC</w:t>
                  </w:r>
                </w:p>
              </w:tc>
              <w:tc>
                <w:tcPr>
                  <w:tcW w:w="4341" w:type="dxa"/>
                  <w:noWrap w:val="0"/>
                  <w:vAlign w:val="center"/>
                </w:tcPr>
                <w:p>
                  <w:pPr>
                    <w:pStyle w:val="80"/>
                    <w:ind w:firstLine="480"/>
                    <w:rPr>
                      <w:color w:val="000000"/>
                    </w:rPr>
                  </w:pPr>
                  <w:r>
                    <w:rPr>
                      <w:rFonts w:hint="eastAsia"/>
                      <w:color w:val="000000"/>
                    </w:rPr>
                    <w:t>6.0</w:t>
                  </w:r>
                </w:p>
              </w:tc>
            </w:tr>
          </w:tbl>
          <w:p>
            <w:pPr>
              <w:spacing w:line="360" w:lineRule="auto"/>
              <w:ind w:firstLine="480" w:firstLineChars="200"/>
              <w:rPr>
                <w:rFonts w:hint="eastAsia"/>
                <w:color w:val="000000"/>
                <w:kern w:val="0"/>
                <w:sz w:val="24"/>
                <w:szCs w:val="20"/>
              </w:rPr>
            </w:pPr>
            <w:r>
              <w:rPr>
                <w:rFonts w:hint="eastAsia"/>
                <w:color w:val="000000"/>
                <w:kern w:val="0"/>
                <w:sz w:val="24"/>
                <w:szCs w:val="20"/>
              </w:rPr>
              <w:t>根据建设方提供资料，本项目柴油用量约为117647.06L/a（100t/a），</w:t>
            </w:r>
            <w:r>
              <w:rPr>
                <w:rFonts w:hint="eastAsia"/>
                <w:color w:val="000000"/>
                <w:kern w:val="0"/>
                <w:sz w:val="24"/>
                <w:szCs w:val="20"/>
                <w:lang w:eastAsia="zh-CN"/>
              </w:rPr>
              <w:t>柴油通过加油站外购，不存储于场内。</w:t>
            </w:r>
            <w:r>
              <w:rPr>
                <w:rFonts w:hint="eastAsia"/>
                <w:color w:val="000000"/>
                <w:kern w:val="0"/>
                <w:sz w:val="24"/>
                <w:szCs w:val="20"/>
              </w:rPr>
              <w:t>则项目运输车辆在运输过程中产生量分别为</w:t>
            </w:r>
            <w:r>
              <w:rPr>
                <w:color w:val="000000"/>
                <w:kern w:val="0"/>
                <w:sz w:val="24"/>
                <w:szCs w:val="20"/>
              </w:rPr>
              <w:t>：</w:t>
            </w:r>
            <w:r>
              <w:rPr>
                <w:rFonts w:hint="eastAsia"/>
                <w:color w:val="000000"/>
                <w:kern w:val="0"/>
                <w:sz w:val="24"/>
                <w:szCs w:val="20"/>
              </w:rPr>
              <w:t>CO0.9882t/a、HC0.7059t/a、</w:t>
            </w:r>
            <w:r>
              <w:rPr>
                <w:color w:val="000000"/>
                <w:kern w:val="0"/>
                <w:sz w:val="24"/>
                <w:szCs w:val="20"/>
              </w:rPr>
              <w:t>NO</w:t>
            </w:r>
            <w:r>
              <w:rPr>
                <w:color w:val="000000"/>
                <w:kern w:val="0"/>
                <w:sz w:val="24"/>
                <w:szCs w:val="20"/>
                <w:vertAlign w:val="subscript"/>
              </w:rPr>
              <w:t>X</w:t>
            </w:r>
            <w:r>
              <w:rPr>
                <w:rFonts w:hint="eastAsia"/>
                <w:color w:val="000000"/>
                <w:kern w:val="0"/>
                <w:sz w:val="24"/>
                <w:szCs w:val="20"/>
              </w:rPr>
              <w:t>1.0588t/a。</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表4.2-4：废气污染物产、排情况汇总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9"/>
              <w:gridCol w:w="762"/>
              <w:gridCol w:w="914"/>
              <w:gridCol w:w="778"/>
              <w:gridCol w:w="1173"/>
              <w:gridCol w:w="1104"/>
              <w:gridCol w:w="796"/>
              <w:gridCol w:w="917"/>
              <w:gridCol w:w="870"/>
              <w:gridCol w:w="4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475" w:type="pct"/>
                  <w:vMerge w:val="restart"/>
                  <w:noWrap w:val="0"/>
                  <w:vAlign w:val="center"/>
                </w:tcPr>
                <w:p>
                  <w:pPr>
                    <w:autoSpaceDE w:val="0"/>
                    <w:autoSpaceDN w:val="0"/>
                    <w:adjustRightInd w:val="0"/>
                    <w:snapToGrid w:val="0"/>
                    <w:jc w:val="center"/>
                    <w:rPr>
                      <w:b/>
                      <w:bCs/>
                      <w:kern w:val="0"/>
                      <w:sz w:val="18"/>
                      <w:szCs w:val="18"/>
                    </w:rPr>
                  </w:pPr>
                  <w:r>
                    <w:rPr>
                      <w:b/>
                      <w:bCs/>
                      <w:kern w:val="0"/>
                      <w:sz w:val="18"/>
                      <w:szCs w:val="18"/>
                    </w:rPr>
                    <w:t>产生工序</w:t>
                  </w:r>
                </w:p>
              </w:tc>
              <w:tc>
                <w:tcPr>
                  <w:tcW w:w="442" w:type="pct"/>
                  <w:vMerge w:val="restart"/>
                  <w:noWrap w:val="0"/>
                  <w:vAlign w:val="center"/>
                </w:tcPr>
                <w:p>
                  <w:pPr>
                    <w:autoSpaceDE w:val="0"/>
                    <w:autoSpaceDN w:val="0"/>
                    <w:adjustRightInd w:val="0"/>
                    <w:snapToGrid w:val="0"/>
                    <w:jc w:val="center"/>
                    <w:rPr>
                      <w:b/>
                      <w:bCs/>
                      <w:kern w:val="0"/>
                      <w:sz w:val="18"/>
                      <w:szCs w:val="18"/>
                    </w:rPr>
                  </w:pPr>
                  <w:r>
                    <w:rPr>
                      <w:b/>
                      <w:bCs/>
                      <w:kern w:val="0"/>
                      <w:sz w:val="18"/>
                      <w:szCs w:val="18"/>
                    </w:rPr>
                    <w:t>污染物</w:t>
                  </w:r>
                </w:p>
              </w:tc>
              <w:tc>
                <w:tcPr>
                  <w:tcW w:w="981" w:type="pct"/>
                  <w:gridSpan w:val="2"/>
                  <w:noWrap w:val="0"/>
                  <w:vAlign w:val="center"/>
                </w:tcPr>
                <w:p>
                  <w:pPr>
                    <w:autoSpaceDE w:val="0"/>
                    <w:autoSpaceDN w:val="0"/>
                    <w:adjustRightInd w:val="0"/>
                    <w:snapToGrid w:val="0"/>
                    <w:jc w:val="center"/>
                    <w:rPr>
                      <w:b/>
                      <w:bCs/>
                      <w:kern w:val="0"/>
                      <w:sz w:val="18"/>
                      <w:szCs w:val="18"/>
                    </w:rPr>
                  </w:pPr>
                  <w:r>
                    <w:rPr>
                      <w:b/>
                      <w:bCs/>
                      <w:kern w:val="0"/>
                      <w:sz w:val="18"/>
                      <w:szCs w:val="18"/>
                    </w:rPr>
                    <w:t>产生</w:t>
                  </w:r>
                </w:p>
              </w:tc>
              <w:tc>
                <w:tcPr>
                  <w:tcW w:w="1321" w:type="pct"/>
                  <w:gridSpan w:val="2"/>
                  <w:vMerge w:val="restart"/>
                  <w:noWrap w:val="0"/>
                  <w:vAlign w:val="center"/>
                </w:tcPr>
                <w:p>
                  <w:pPr>
                    <w:autoSpaceDE w:val="0"/>
                    <w:autoSpaceDN w:val="0"/>
                    <w:adjustRightInd w:val="0"/>
                    <w:snapToGrid w:val="0"/>
                    <w:jc w:val="center"/>
                    <w:rPr>
                      <w:b/>
                      <w:bCs/>
                      <w:kern w:val="0"/>
                      <w:sz w:val="18"/>
                      <w:szCs w:val="18"/>
                    </w:rPr>
                  </w:pPr>
                  <w:r>
                    <w:rPr>
                      <w:b/>
                      <w:bCs/>
                      <w:kern w:val="0"/>
                      <w:sz w:val="18"/>
                      <w:szCs w:val="18"/>
                    </w:rPr>
                    <w:t>处理措施</w:t>
                  </w:r>
                </w:p>
              </w:tc>
              <w:tc>
                <w:tcPr>
                  <w:tcW w:w="1499" w:type="pct"/>
                  <w:gridSpan w:val="3"/>
                  <w:noWrap w:val="0"/>
                  <w:vAlign w:val="center"/>
                </w:tcPr>
                <w:p>
                  <w:pPr>
                    <w:autoSpaceDE w:val="0"/>
                    <w:autoSpaceDN w:val="0"/>
                    <w:adjustRightInd w:val="0"/>
                    <w:snapToGrid w:val="0"/>
                    <w:jc w:val="center"/>
                    <w:rPr>
                      <w:b/>
                      <w:bCs/>
                      <w:kern w:val="0"/>
                      <w:sz w:val="18"/>
                      <w:szCs w:val="18"/>
                    </w:rPr>
                  </w:pPr>
                  <w:r>
                    <w:rPr>
                      <w:b/>
                      <w:bCs/>
                      <w:kern w:val="0"/>
                      <w:sz w:val="18"/>
                      <w:szCs w:val="18"/>
                    </w:rPr>
                    <w:t>排放</w:t>
                  </w:r>
                </w:p>
              </w:tc>
              <w:tc>
                <w:tcPr>
                  <w:tcW w:w="279" w:type="pct"/>
                  <w:vMerge w:val="restart"/>
                  <w:noWrap w:val="0"/>
                  <w:vAlign w:val="center"/>
                </w:tcPr>
                <w:p>
                  <w:pPr>
                    <w:autoSpaceDE w:val="0"/>
                    <w:autoSpaceDN w:val="0"/>
                    <w:adjustRightInd w:val="0"/>
                    <w:snapToGrid w:val="0"/>
                    <w:jc w:val="center"/>
                    <w:rPr>
                      <w:b/>
                      <w:bCs/>
                      <w:kern w:val="0"/>
                      <w:sz w:val="18"/>
                      <w:szCs w:val="18"/>
                    </w:rPr>
                  </w:pPr>
                  <w:r>
                    <w:rPr>
                      <w:b/>
                      <w:bCs/>
                      <w:kern w:val="0"/>
                      <w:sz w:val="18"/>
                      <w:szCs w:val="18"/>
                    </w:rPr>
                    <w:t>排放方式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475" w:type="pct"/>
                  <w:vMerge w:val="continue"/>
                  <w:noWrap w:val="0"/>
                  <w:vAlign w:val="center"/>
                </w:tcPr>
                <w:p>
                  <w:pPr>
                    <w:autoSpaceDE w:val="0"/>
                    <w:autoSpaceDN w:val="0"/>
                    <w:adjustRightInd w:val="0"/>
                    <w:snapToGrid w:val="0"/>
                    <w:jc w:val="center"/>
                    <w:rPr>
                      <w:kern w:val="0"/>
                      <w:sz w:val="18"/>
                      <w:szCs w:val="18"/>
                    </w:rPr>
                  </w:pPr>
                </w:p>
              </w:tc>
              <w:tc>
                <w:tcPr>
                  <w:tcW w:w="442" w:type="pct"/>
                  <w:vMerge w:val="continue"/>
                  <w:noWrap w:val="0"/>
                  <w:vAlign w:val="center"/>
                </w:tcPr>
                <w:p>
                  <w:pPr>
                    <w:autoSpaceDE w:val="0"/>
                    <w:autoSpaceDN w:val="0"/>
                    <w:adjustRightInd w:val="0"/>
                    <w:snapToGrid w:val="0"/>
                    <w:jc w:val="center"/>
                    <w:rPr>
                      <w:b/>
                      <w:bCs/>
                      <w:kern w:val="0"/>
                      <w:sz w:val="18"/>
                      <w:szCs w:val="18"/>
                    </w:rPr>
                  </w:pPr>
                </w:p>
              </w:tc>
              <w:tc>
                <w:tcPr>
                  <w:tcW w:w="530" w:type="pct"/>
                  <w:noWrap w:val="0"/>
                  <w:vAlign w:val="center"/>
                </w:tcPr>
                <w:p>
                  <w:pPr>
                    <w:autoSpaceDE w:val="0"/>
                    <w:autoSpaceDN w:val="0"/>
                    <w:adjustRightInd w:val="0"/>
                    <w:snapToGrid w:val="0"/>
                    <w:jc w:val="center"/>
                    <w:rPr>
                      <w:b/>
                      <w:bCs/>
                      <w:kern w:val="0"/>
                      <w:sz w:val="18"/>
                      <w:szCs w:val="18"/>
                    </w:rPr>
                  </w:pPr>
                  <w:r>
                    <w:rPr>
                      <w:b/>
                      <w:bCs/>
                      <w:kern w:val="0"/>
                      <w:sz w:val="18"/>
                      <w:szCs w:val="18"/>
                    </w:rPr>
                    <w:t>量</w:t>
                  </w:r>
                  <w:r>
                    <w:rPr>
                      <w:rFonts w:hint="eastAsia"/>
                      <w:b/>
                      <w:bCs/>
                      <w:kern w:val="0"/>
                      <w:sz w:val="18"/>
                      <w:szCs w:val="18"/>
                    </w:rPr>
                    <w:t>(</w:t>
                  </w:r>
                  <w:r>
                    <w:rPr>
                      <w:b/>
                      <w:bCs/>
                      <w:kern w:val="0"/>
                      <w:sz w:val="18"/>
                      <w:szCs w:val="18"/>
                    </w:rPr>
                    <w:t>t/a</w:t>
                  </w:r>
                  <w:r>
                    <w:rPr>
                      <w:rFonts w:hint="eastAsia"/>
                      <w:b/>
                      <w:bCs/>
                      <w:kern w:val="0"/>
                      <w:sz w:val="18"/>
                      <w:szCs w:val="18"/>
                    </w:rPr>
                    <w:t>)</w:t>
                  </w:r>
                </w:p>
              </w:tc>
              <w:tc>
                <w:tcPr>
                  <w:tcW w:w="451" w:type="pct"/>
                  <w:noWrap w:val="0"/>
                  <w:vAlign w:val="center"/>
                </w:tcPr>
                <w:p>
                  <w:pPr>
                    <w:autoSpaceDE w:val="0"/>
                    <w:autoSpaceDN w:val="0"/>
                    <w:adjustRightInd w:val="0"/>
                    <w:snapToGrid w:val="0"/>
                    <w:jc w:val="center"/>
                    <w:rPr>
                      <w:b/>
                      <w:bCs/>
                      <w:kern w:val="0"/>
                      <w:sz w:val="18"/>
                      <w:szCs w:val="18"/>
                    </w:rPr>
                  </w:pPr>
                  <w:r>
                    <w:rPr>
                      <w:rFonts w:hint="eastAsia"/>
                      <w:b/>
                      <w:bCs/>
                      <w:kern w:val="0"/>
                      <w:sz w:val="18"/>
                      <w:szCs w:val="18"/>
                    </w:rPr>
                    <w:t>速率(</w:t>
                  </w:r>
                  <w:r>
                    <w:rPr>
                      <w:b/>
                      <w:bCs/>
                      <w:kern w:val="0"/>
                      <w:sz w:val="18"/>
                      <w:szCs w:val="18"/>
                    </w:rPr>
                    <w:t>kg/h</w:t>
                  </w:r>
                  <w:r>
                    <w:rPr>
                      <w:rFonts w:hint="eastAsia"/>
                      <w:b/>
                      <w:bCs/>
                      <w:kern w:val="0"/>
                      <w:sz w:val="18"/>
                      <w:szCs w:val="18"/>
                    </w:rPr>
                    <w:t>)</w:t>
                  </w:r>
                </w:p>
              </w:tc>
              <w:tc>
                <w:tcPr>
                  <w:tcW w:w="1321" w:type="pct"/>
                  <w:gridSpan w:val="2"/>
                  <w:vMerge w:val="continue"/>
                  <w:noWrap w:val="0"/>
                  <w:vAlign w:val="center"/>
                </w:tcPr>
                <w:p>
                  <w:pPr>
                    <w:autoSpaceDE w:val="0"/>
                    <w:autoSpaceDN w:val="0"/>
                    <w:adjustRightInd w:val="0"/>
                    <w:snapToGrid w:val="0"/>
                    <w:jc w:val="center"/>
                    <w:rPr>
                      <w:b/>
                      <w:bCs/>
                      <w:kern w:val="0"/>
                      <w:sz w:val="18"/>
                      <w:szCs w:val="18"/>
                    </w:rPr>
                  </w:pPr>
                </w:p>
              </w:tc>
              <w:tc>
                <w:tcPr>
                  <w:tcW w:w="462" w:type="pct"/>
                  <w:noWrap w:val="0"/>
                  <w:vAlign w:val="center"/>
                </w:tcPr>
                <w:p>
                  <w:pPr>
                    <w:autoSpaceDE w:val="0"/>
                    <w:autoSpaceDN w:val="0"/>
                    <w:adjustRightInd w:val="0"/>
                    <w:snapToGrid w:val="0"/>
                    <w:jc w:val="center"/>
                    <w:rPr>
                      <w:b/>
                      <w:bCs/>
                      <w:kern w:val="0"/>
                      <w:sz w:val="18"/>
                      <w:szCs w:val="18"/>
                    </w:rPr>
                  </w:pPr>
                  <w:r>
                    <w:rPr>
                      <w:b/>
                      <w:bCs/>
                      <w:kern w:val="0"/>
                      <w:sz w:val="18"/>
                      <w:szCs w:val="18"/>
                    </w:rPr>
                    <w:t>量</w:t>
                  </w:r>
                  <w:r>
                    <w:rPr>
                      <w:rFonts w:hint="eastAsia"/>
                      <w:b/>
                      <w:bCs/>
                      <w:kern w:val="0"/>
                      <w:sz w:val="18"/>
                      <w:szCs w:val="18"/>
                    </w:rPr>
                    <w:t>(</w:t>
                  </w:r>
                  <w:r>
                    <w:rPr>
                      <w:b/>
                      <w:bCs/>
                      <w:kern w:val="0"/>
                      <w:sz w:val="18"/>
                      <w:szCs w:val="18"/>
                    </w:rPr>
                    <w:t>t/a</w:t>
                  </w:r>
                  <w:r>
                    <w:rPr>
                      <w:rFonts w:hint="eastAsia"/>
                      <w:b/>
                      <w:bCs/>
                      <w:kern w:val="0"/>
                      <w:sz w:val="18"/>
                      <w:szCs w:val="18"/>
                    </w:rPr>
                    <w:t>)</w:t>
                  </w:r>
                </w:p>
              </w:tc>
              <w:tc>
                <w:tcPr>
                  <w:tcW w:w="532" w:type="pct"/>
                  <w:noWrap w:val="0"/>
                  <w:vAlign w:val="center"/>
                </w:tcPr>
                <w:p>
                  <w:pPr>
                    <w:autoSpaceDE w:val="0"/>
                    <w:autoSpaceDN w:val="0"/>
                    <w:adjustRightInd w:val="0"/>
                    <w:snapToGrid w:val="0"/>
                    <w:jc w:val="center"/>
                    <w:rPr>
                      <w:b/>
                      <w:bCs/>
                      <w:kern w:val="0"/>
                      <w:sz w:val="18"/>
                      <w:szCs w:val="18"/>
                    </w:rPr>
                  </w:pPr>
                  <w:r>
                    <w:rPr>
                      <w:rFonts w:hint="eastAsia"/>
                      <w:b/>
                      <w:bCs/>
                      <w:kern w:val="0"/>
                      <w:sz w:val="18"/>
                      <w:szCs w:val="18"/>
                    </w:rPr>
                    <w:t>速率(</w:t>
                  </w:r>
                  <w:r>
                    <w:rPr>
                      <w:b/>
                      <w:bCs/>
                      <w:kern w:val="0"/>
                      <w:sz w:val="18"/>
                      <w:szCs w:val="18"/>
                    </w:rPr>
                    <w:t>kg/h</w:t>
                  </w:r>
                  <w:r>
                    <w:rPr>
                      <w:rFonts w:hint="eastAsia"/>
                      <w:b/>
                      <w:bCs/>
                      <w:kern w:val="0"/>
                      <w:sz w:val="18"/>
                      <w:szCs w:val="18"/>
                    </w:rPr>
                    <w:t>)</w:t>
                  </w:r>
                </w:p>
              </w:tc>
              <w:tc>
                <w:tcPr>
                  <w:tcW w:w="504" w:type="pct"/>
                  <w:noWrap w:val="0"/>
                  <w:vAlign w:val="center"/>
                </w:tcPr>
                <w:p>
                  <w:pPr>
                    <w:autoSpaceDE w:val="0"/>
                    <w:autoSpaceDN w:val="0"/>
                    <w:adjustRightInd w:val="0"/>
                    <w:snapToGrid w:val="0"/>
                    <w:jc w:val="center"/>
                    <w:rPr>
                      <w:b/>
                      <w:bCs/>
                      <w:kern w:val="0"/>
                      <w:sz w:val="18"/>
                      <w:szCs w:val="18"/>
                    </w:rPr>
                  </w:pPr>
                  <w:r>
                    <w:rPr>
                      <w:rFonts w:hint="eastAsia"/>
                      <w:b/>
                      <w:bCs/>
                      <w:kern w:val="0"/>
                      <w:sz w:val="18"/>
                      <w:szCs w:val="18"/>
                    </w:rPr>
                    <w:t>浓度(</w:t>
                  </w:r>
                  <w:r>
                    <w:rPr>
                      <w:b/>
                      <w:bCs/>
                      <w:kern w:val="0"/>
                      <w:sz w:val="18"/>
                      <w:szCs w:val="18"/>
                    </w:rPr>
                    <w:t>mg/m</w:t>
                  </w:r>
                  <w:r>
                    <w:rPr>
                      <w:b/>
                      <w:bCs/>
                      <w:kern w:val="0"/>
                      <w:sz w:val="18"/>
                      <w:szCs w:val="18"/>
                      <w:vertAlign w:val="superscript"/>
                    </w:rPr>
                    <w:t>3</w:t>
                  </w:r>
                  <w:r>
                    <w:rPr>
                      <w:rFonts w:hint="eastAsia"/>
                      <w:b/>
                      <w:bCs/>
                      <w:kern w:val="0"/>
                      <w:sz w:val="18"/>
                      <w:szCs w:val="18"/>
                    </w:rPr>
                    <w:t>)</w:t>
                  </w:r>
                </w:p>
              </w:tc>
              <w:tc>
                <w:tcPr>
                  <w:tcW w:w="279" w:type="pct"/>
                  <w:vMerge w:val="continue"/>
                  <w:noWrap w:val="0"/>
                  <w:vAlign w:val="center"/>
                </w:tcPr>
                <w:p>
                  <w:pPr>
                    <w:autoSpaceDE w:val="0"/>
                    <w:autoSpaceDN w:val="0"/>
                    <w:adjustRightInd w:val="0"/>
                    <w:snapToGrid w:val="0"/>
                    <w:jc w:val="center"/>
                    <w:rPr>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rPr>
                    <w:t>喂料、破碎、筛分</w:t>
                  </w:r>
                </w:p>
              </w:tc>
              <w:tc>
                <w:tcPr>
                  <w:tcW w:w="442" w:type="pct"/>
                  <w:vMerge w:val="restart"/>
                  <w:noWrap w:val="0"/>
                  <w:vAlign w:val="center"/>
                </w:tcPr>
                <w:p>
                  <w:pPr>
                    <w:jc w:val="center"/>
                    <w:rPr>
                      <w:sz w:val="18"/>
                      <w:szCs w:val="18"/>
                    </w:rPr>
                  </w:pPr>
                  <w:r>
                    <w:rPr>
                      <w:sz w:val="18"/>
                      <w:szCs w:val="18"/>
                    </w:rPr>
                    <w:t>颗粒物</w:t>
                  </w:r>
                </w:p>
              </w:tc>
              <w:tc>
                <w:tcPr>
                  <w:tcW w:w="530" w:type="pct"/>
                  <w:noWrap w:val="0"/>
                  <w:vAlign w:val="center"/>
                </w:tcPr>
                <w:p>
                  <w:pPr>
                    <w:jc w:val="center"/>
                    <w:rPr>
                      <w:sz w:val="18"/>
                      <w:szCs w:val="18"/>
                    </w:rPr>
                  </w:pPr>
                  <w:r>
                    <w:rPr>
                      <w:rFonts w:hint="eastAsia"/>
                      <w:sz w:val="18"/>
                      <w:szCs w:val="18"/>
                    </w:rPr>
                    <w:t>594.03</w:t>
                  </w:r>
                </w:p>
              </w:tc>
              <w:tc>
                <w:tcPr>
                  <w:tcW w:w="451" w:type="pct"/>
                  <w:noWrap w:val="0"/>
                  <w:vAlign w:val="center"/>
                </w:tcPr>
                <w:p>
                  <w:pPr>
                    <w:autoSpaceDE w:val="0"/>
                    <w:autoSpaceDN w:val="0"/>
                    <w:adjustRightInd w:val="0"/>
                    <w:snapToGrid w:val="0"/>
                    <w:jc w:val="center"/>
                    <w:rPr>
                      <w:kern w:val="0"/>
                      <w:sz w:val="18"/>
                      <w:szCs w:val="18"/>
                    </w:rPr>
                  </w:pPr>
                  <w:r>
                    <w:rPr>
                      <w:rFonts w:hint="eastAsia"/>
                      <w:kern w:val="0"/>
                      <w:sz w:val="18"/>
                      <w:szCs w:val="18"/>
                    </w:rPr>
                    <w:t>67.8113</w:t>
                  </w:r>
                </w:p>
              </w:tc>
              <w:tc>
                <w:tcPr>
                  <w:tcW w:w="680" w:type="pct"/>
                  <w:noWrap w:val="0"/>
                  <w:vAlign w:val="center"/>
                </w:tcPr>
                <w:p>
                  <w:pPr>
                    <w:autoSpaceDE w:val="0"/>
                    <w:autoSpaceDN w:val="0"/>
                    <w:adjustRightInd w:val="0"/>
                    <w:snapToGrid w:val="0"/>
                    <w:jc w:val="center"/>
                    <w:rPr>
                      <w:kern w:val="0"/>
                      <w:sz w:val="18"/>
                      <w:szCs w:val="18"/>
                    </w:rPr>
                  </w:pPr>
                  <w:r>
                    <w:rPr>
                      <w:kern w:val="0"/>
                      <w:sz w:val="18"/>
                      <w:szCs w:val="18"/>
                    </w:rPr>
                    <w:t>集气罩</w:t>
                  </w:r>
                  <w:r>
                    <w:rPr>
                      <w:rFonts w:hint="eastAsia"/>
                      <w:kern w:val="0"/>
                      <w:sz w:val="18"/>
                      <w:szCs w:val="18"/>
                    </w:rPr>
                    <w:t>(收集效率95%)</w:t>
                  </w:r>
                  <w:r>
                    <w:rPr>
                      <w:kern w:val="0"/>
                      <w:sz w:val="18"/>
                      <w:szCs w:val="18"/>
                    </w:rPr>
                    <w:t>+布袋除尘器</w:t>
                  </w:r>
                  <w:r>
                    <w:rPr>
                      <w:rFonts w:hint="eastAsia"/>
                      <w:kern w:val="0"/>
                      <w:sz w:val="18"/>
                      <w:szCs w:val="18"/>
                    </w:rPr>
                    <w:t>(处理效率99%)</w:t>
                  </w:r>
                </w:p>
              </w:tc>
              <w:tc>
                <w:tcPr>
                  <w:tcW w:w="640" w:type="pct"/>
                  <w:noWrap w:val="0"/>
                  <w:vAlign w:val="center"/>
                </w:tcPr>
                <w:p>
                  <w:pPr>
                    <w:autoSpaceDE w:val="0"/>
                    <w:autoSpaceDN w:val="0"/>
                    <w:adjustRightInd w:val="0"/>
                    <w:snapToGrid w:val="0"/>
                    <w:jc w:val="center"/>
                    <w:rPr>
                      <w:kern w:val="0"/>
                      <w:sz w:val="18"/>
                      <w:szCs w:val="18"/>
                    </w:rPr>
                  </w:pPr>
                  <w:r>
                    <w:rPr>
                      <w:kern w:val="0"/>
                      <w:sz w:val="18"/>
                      <w:szCs w:val="18"/>
                    </w:rPr>
                    <w:t>+15m高排气筒（P1）</w:t>
                  </w:r>
                </w:p>
              </w:tc>
              <w:tc>
                <w:tcPr>
                  <w:tcW w:w="462" w:type="pct"/>
                  <w:noWrap w:val="0"/>
                  <w:vAlign w:val="center"/>
                </w:tcPr>
                <w:p>
                  <w:pPr>
                    <w:jc w:val="center"/>
                    <w:rPr>
                      <w:rFonts w:hint="default" w:eastAsia="宋体"/>
                      <w:sz w:val="18"/>
                      <w:szCs w:val="18"/>
                      <w:lang w:val="en-US" w:eastAsia="zh-CN"/>
                    </w:rPr>
                  </w:pPr>
                  <w:r>
                    <w:rPr>
                      <w:rFonts w:hint="eastAsia"/>
                      <w:sz w:val="18"/>
                      <w:szCs w:val="18"/>
                      <w:lang w:val="en-US" w:eastAsia="zh-CN"/>
                    </w:rPr>
                    <w:t>5.3462</w:t>
                  </w:r>
                </w:p>
              </w:tc>
              <w:tc>
                <w:tcPr>
                  <w:tcW w:w="532" w:type="pct"/>
                  <w:noWrap w:val="0"/>
                  <w:vAlign w:val="center"/>
                </w:tcPr>
                <w:p>
                  <w:pPr>
                    <w:autoSpaceDE w:val="0"/>
                    <w:autoSpaceDN w:val="0"/>
                    <w:adjustRightInd w:val="0"/>
                    <w:snapToGrid w:val="0"/>
                    <w:jc w:val="center"/>
                    <w:rPr>
                      <w:rFonts w:hint="default" w:eastAsia="宋体"/>
                      <w:kern w:val="0"/>
                      <w:sz w:val="18"/>
                      <w:szCs w:val="18"/>
                      <w:lang w:val="en-US" w:eastAsia="zh-CN"/>
                    </w:rPr>
                  </w:pPr>
                  <w:r>
                    <w:rPr>
                      <w:rFonts w:hint="eastAsia"/>
                      <w:kern w:val="0"/>
                      <w:sz w:val="18"/>
                      <w:szCs w:val="18"/>
                      <w:lang w:val="en-US" w:eastAsia="zh-CN"/>
                    </w:rPr>
                    <w:t>1.8309</w:t>
                  </w:r>
                </w:p>
              </w:tc>
              <w:tc>
                <w:tcPr>
                  <w:tcW w:w="504" w:type="pct"/>
                  <w:noWrap w:val="0"/>
                  <w:vAlign w:val="center"/>
                </w:tcPr>
                <w:p>
                  <w:pPr>
                    <w:autoSpaceDE w:val="0"/>
                    <w:autoSpaceDN w:val="0"/>
                    <w:adjustRightInd w:val="0"/>
                    <w:snapToGrid w:val="0"/>
                    <w:jc w:val="center"/>
                    <w:rPr>
                      <w:rFonts w:hint="default" w:eastAsia="宋体"/>
                      <w:kern w:val="0"/>
                      <w:sz w:val="18"/>
                      <w:szCs w:val="18"/>
                      <w:lang w:val="en-US" w:eastAsia="zh-CN"/>
                    </w:rPr>
                  </w:pPr>
                  <w:r>
                    <w:rPr>
                      <w:rFonts w:hint="eastAsia"/>
                      <w:kern w:val="0"/>
                      <w:sz w:val="18"/>
                      <w:szCs w:val="18"/>
                      <w:lang w:val="en-US" w:eastAsia="zh-CN"/>
                    </w:rPr>
                    <w:t>36.62</w:t>
                  </w:r>
                </w:p>
              </w:tc>
              <w:tc>
                <w:tcPr>
                  <w:tcW w:w="279" w:type="pct"/>
                  <w:noWrap w:val="0"/>
                  <w:vAlign w:val="center"/>
                </w:tcPr>
                <w:p>
                  <w:pPr>
                    <w:autoSpaceDE w:val="0"/>
                    <w:autoSpaceDN w:val="0"/>
                    <w:adjustRightInd w:val="0"/>
                    <w:snapToGrid w:val="0"/>
                    <w:jc w:val="center"/>
                    <w:rPr>
                      <w:kern w:val="0"/>
                      <w:sz w:val="18"/>
                      <w:szCs w:val="18"/>
                    </w:rPr>
                  </w:pPr>
                  <w:r>
                    <w:rPr>
                      <w:kern w:val="0"/>
                      <w:sz w:val="18"/>
                      <w:szCs w:val="18"/>
                    </w:rPr>
                    <w:t>有组织</w:t>
                  </w:r>
                  <w:r>
                    <w:rPr>
                      <w:rFonts w:hint="eastAsia"/>
                      <w:kern w:val="0"/>
                      <w:sz w:val="18"/>
                      <w:szCs w:val="18"/>
                    </w:rPr>
                    <w:t>DA001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rPr>
                    <w:t>喂料、破碎、筛分</w:t>
                  </w:r>
                </w:p>
              </w:tc>
              <w:tc>
                <w:tcPr>
                  <w:tcW w:w="442" w:type="pct"/>
                  <w:vMerge w:val="continue"/>
                  <w:noWrap w:val="0"/>
                  <w:vAlign w:val="center"/>
                </w:tcPr>
                <w:p>
                  <w:pPr>
                    <w:jc w:val="center"/>
                    <w:rPr>
                      <w:b/>
                      <w:bCs/>
                      <w:sz w:val="18"/>
                      <w:szCs w:val="18"/>
                    </w:rPr>
                  </w:pPr>
                </w:p>
              </w:tc>
              <w:tc>
                <w:tcPr>
                  <w:tcW w:w="530" w:type="pct"/>
                  <w:noWrap w:val="0"/>
                  <w:vAlign w:val="center"/>
                </w:tcPr>
                <w:p>
                  <w:pPr>
                    <w:jc w:val="center"/>
                    <w:rPr>
                      <w:sz w:val="18"/>
                      <w:szCs w:val="18"/>
                    </w:rPr>
                  </w:pPr>
                  <w:r>
                    <w:rPr>
                      <w:rFonts w:hint="eastAsia"/>
                      <w:sz w:val="18"/>
                      <w:szCs w:val="18"/>
                    </w:rPr>
                    <w:t>29.70</w:t>
                  </w:r>
                </w:p>
              </w:tc>
              <w:tc>
                <w:tcPr>
                  <w:tcW w:w="451" w:type="pct"/>
                  <w:noWrap w:val="0"/>
                  <w:vAlign w:val="center"/>
                </w:tcPr>
                <w:p>
                  <w:pPr>
                    <w:autoSpaceDE w:val="0"/>
                    <w:autoSpaceDN w:val="0"/>
                    <w:adjustRightInd w:val="0"/>
                    <w:snapToGrid w:val="0"/>
                    <w:jc w:val="center"/>
                    <w:rPr>
                      <w:kern w:val="0"/>
                      <w:sz w:val="18"/>
                      <w:szCs w:val="18"/>
                    </w:rPr>
                  </w:pPr>
                  <w:r>
                    <w:rPr>
                      <w:rFonts w:hint="eastAsia"/>
                      <w:kern w:val="0"/>
                      <w:sz w:val="18"/>
                      <w:szCs w:val="18"/>
                    </w:rPr>
                    <w:t>3.3906</w:t>
                  </w:r>
                </w:p>
              </w:tc>
              <w:tc>
                <w:tcPr>
                  <w:tcW w:w="1321" w:type="pct"/>
                  <w:gridSpan w:val="2"/>
                  <w:noWrap w:val="0"/>
                  <w:vAlign w:val="center"/>
                </w:tcPr>
                <w:p>
                  <w:pPr>
                    <w:autoSpaceDE w:val="0"/>
                    <w:autoSpaceDN w:val="0"/>
                    <w:adjustRightInd w:val="0"/>
                    <w:snapToGrid w:val="0"/>
                    <w:jc w:val="center"/>
                    <w:rPr>
                      <w:rFonts w:hint="default" w:eastAsia="宋体"/>
                      <w:kern w:val="0"/>
                      <w:sz w:val="18"/>
                      <w:szCs w:val="18"/>
                      <w:lang w:val="en-US" w:eastAsia="zh-CN"/>
                    </w:rPr>
                  </w:pPr>
                  <w:r>
                    <w:rPr>
                      <w:rFonts w:hint="eastAsia"/>
                      <w:color w:val="auto"/>
                      <w:kern w:val="0"/>
                      <w:sz w:val="18"/>
                      <w:szCs w:val="18"/>
                      <w:highlight w:val="none"/>
                      <w:lang w:eastAsia="zh-CN"/>
                    </w:rPr>
                    <w:t>洒水降尘、</w:t>
                  </w:r>
                  <w:r>
                    <w:rPr>
                      <w:rFonts w:hint="eastAsia"/>
                      <w:color w:val="auto"/>
                      <w:kern w:val="0"/>
                      <w:sz w:val="18"/>
                      <w:szCs w:val="18"/>
                      <w:highlight w:val="none"/>
                      <w:lang w:val="en-US" w:eastAsia="zh-CN"/>
                    </w:rPr>
                    <w:t>车间密闭</w:t>
                  </w:r>
                </w:p>
              </w:tc>
              <w:tc>
                <w:tcPr>
                  <w:tcW w:w="462" w:type="pct"/>
                  <w:noWrap w:val="0"/>
                  <w:vAlign w:val="center"/>
                </w:tcPr>
                <w:p>
                  <w:pPr>
                    <w:jc w:val="center"/>
                    <w:rPr>
                      <w:rFonts w:hint="default" w:eastAsia="宋体"/>
                      <w:sz w:val="18"/>
                      <w:szCs w:val="18"/>
                      <w:lang w:val="en-US" w:eastAsia="zh-CN"/>
                    </w:rPr>
                  </w:pPr>
                  <w:r>
                    <w:rPr>
                      <w:rFonts w:hint="eastAsia"/>
                      <w:sz w:val="18"/>
                      <w:szCs w:val="18"/>
                      <w:lang w:val="en-US" w:eastAsia="zh-CN"/>
                    </w:rPr>
                    <w:t>2.9701</w:t>
                  </w:r>
                </w:p>
              </w:tc>
              <w:tc>
                <w:tcPr>
                  <w:tcW w:w="532" w:type="pct"/>
                  <w:noWrap w:val="0"/>
                  <w:vAlign w:val="center"/>
                </w:tcPr>
                <w:p>
                  <w:pPr>
                    <w:autoSpaceDE w:val="0"/>
                    <w:autoSpaceDN w:val="0"/>
                    <w:adjustRightInd w:val="0"/>
                    <w:snapToGrid w:val="0"/>
                    <w:jc w:val="center"/>
                    <w:rPr>
                      <w:rFonts w:hint="default" w:eastAsia="宋体"/>
                      <w:kern w:val="0"/>
                      <w:sz w:val="18"/>
                      <w:szCs w:val="18"/>
                      <w:lang w:val="en-US" w:eastAsia="zh-CN"/>
                    </w:rPr>
                  </w:pPr>
                  <w:r>
                    <w:rPr>
                      <w:rFonts w:hint="eastAsia"/>
                      <w:kern w:val="0"/>
                      <w:sz w:val="18"/>
                      <w:szCs w:val="18"/>
                      <w:lang w:val="en-US" w:eastAsia="zh-CN"/>
                    </w:rPr>
                    <w:t>1.0172</w:t>
                  </w:r>
                </w:p>
              </w:tc>
              <w:tc>
                <w:tcPr>
                  <w:tcW w:w="504" w:type="pct"/>
                  <w:noWrap w:val="0"/>
                  <w:vAlign w:val="center"/>
                </w:tcPr>
                <w:p>
                  <w:pPr>
                    <w:autoSpaceDE w:val="0"/>
                    <w:autoSpaceDN w:val="0"/>
                    <w:adjustRightInd w:val="0"/>
                    <w:snapToGrid w:val="0"/>
                    <w:jc w:val="center"/>
                    <w:rPr>
                      <w:kern w:val="0"/>
                      <w:sz w:val="18"/>
                      <w:szCs w:val="18"/>
                    </w:rPr>
                  </w:pPr>
                  <w:r>
                    <w:rPr>
                      <w:rFonts w:hint="eastAsia"/>
                      <w:kern w:val="0"/>
                      <w:sz w:val="18"/>
                      <w:szCs w:val="18"/>
                    </w:rPr>
                    <w:t>/</w:t>
                  </w:r>
                </w:p>
              </w:tc>
              <w:tc>
                <w:tcPr>
                  <w:tcW w:w="279" w:type="pct"/>
                  <w:vMerge w:val="restart"/>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无组织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rPr>
                    <w:t>装卸</w:t>
                  </w:r>
                </w:p>
              </w:tc>
              <w:tc>
                <w:tcPr>
                  <w:tcW w:w="442" w:type="pct"/>
                  <w:vMerge w:val="continue"/>
                  <w:noWrap w:val="0"/>
                  <w:vAlign w:val="center"/>
                </w:tcPr>
                <w:p>
                  <w:pPr>
                    <w:jc w:val="center"/>
                    <w:rPr>
                      <w:rFonts w:hint="eastAsia"/>
                      <w:sz w:val="18"/>
                      <w:szCs w:val="18"/>
                    </w:rPr>
                  </w:pPr>
                </w:p>
              </w:tc>
              <w:tc>
                <w:tcPr>
                  <w:tcW w:w="530" w:type="pct"/>
                  <w:noWrap w:val="0"/>
                  <w:vAlign w:val="center"/>
                </w:tcPr>
                <w:p>
                  <w:pPr>
                    <w:jc w:val="center"/>
                    <w:rPr>
                      <w:sz w:val="18"/>
                      <w:szCs w:val="18"/>
                    </w:rPr>
                  </w:pPr>
                  <w:r>
                    <w:rPr>
                      <w:rFonts w:hint="eastAsia"/>
                      <w:sz w:val="18"/>
                      <w:szCs w:val="18"/>
                    </w:rPr>
                    <w:t>0.0533</w:t>
                  </w:r>
                </w:p>
              </w:tc>
              <w:tc>
                <w:tcPr>
                  <w:tcW w:w="451" w:type="pct"/>
                  <w:noWrap w:val="0"/>
                  <w:vAlign w:val="center"/>
                </w:tcPr>
                <w:p>
                  <w:pPr>
                    <w:jc w:val="center"/>
                    <w:rPr>
                      <w:rFonts w:hint="eastAsia"/>
                      <w:sz w:val="18"/>
                      <w:szCs w:val="18"/>
                    </w:rPr>
                  </w:pPr>
                  <w:r>
                    <w:rPr>
                      <w:rFonts w:hint="eastAsia"/>
                      <w:sz w:val="18"/>
                      <w:szCs w:val="18"/>
                    </w:rPr>
                    <w:t xml:space="preserve">0.0061 </w:t>
                  </w:r>
                </w:p>
              </w:tc>
              <w:tc>
                <w:tcPr>
                  <w:tcW w:w="1321" w:type="pct"/>
                  <w:gridSpan w:val="2"/>
                  <w:noWrap w:val="0"/>
                  <w:vAlign w:val="center"/>
                </w:tcPr>
                <w:p>
                  <w:pPr>
                    <w:jc w:val="center"/>
                    <w:rPr>
                      <w:rFonts w:hint="eastAsia"/>
                      <w:sz w:val="18"/>
                      <w:szCs w:val="18"/>
                    </w:rPr>
                  </w:pPr>
                  <w:r>
                    <w:rPr>
                      <w:rFonts w:hint="eastAsia"/>
                      <w:sz w:val="18"/>
                      <w:szCs w:val="18"/>
                    </w:rPr>
                    <w:t>全封闭式废石原料库中自然沉降，在卸料处设置喷淋洒水装置</w:t>
                  </w:r>
                </w:p>
              </w:tc>
              <w:tc>
                <w:tcPr>
                  <w:tcW w:w="462" w:type="pct"/>
                  <w:noWrap w:val="0"/>
                  <w:vAlign w:val="center"/>
                </w:tcPr>
                <w:p>
                  <w:pPr>
                    <w:jc w:val="center"/>
                    <w:rPr>
                      <w:sz w:val="18"/>
                      <w:szCs w:val="18"/>
                    </w:rPr>
                  </w:pPr>
                  <w:r>
                    <w:rPr>
                      <w:rFonts w:hint="eastAsia"/>
                      <w:sz w:val="18"/>
                      <w:szCs w:val="18"/>
                    </w:rPr>
                    <w:t>0.0053</w:t>
                  </w:r>
                </w:p>
              </w:tc>
              <w:tc>
                <w:tcPr>
                  <w:tcW w:w="532" w:type="pct"/>
                  <w:noWrap w:val="0"/>
                  <w:vAlign w:val="center"/>
                </w:tcPr>
                <w:p>
                  <w:pPr>
                    <w:jc w:val="center"/>
                    <w:rPr>
                      <w:rFonts w:hint="eastAsia"/>
                      <w:sz w:val="18"/>
                      <w:szCs w:val="18"/>
                    </w:rPr>
                  </w:pPr>
                  <w:r>
                    <w:rPr>
                      <w:rFonts w:hint="eastAsia"/>
                      <w:sz w:val="18"/>
                      <w:szCs w:val="18"/>
                    </w:rPr>
                    <w:t xml:space="preserve">0.0006 </w:t>
                  </w:r>
                </w:p>
              </w:tc>
              <w:tc>
                <w:tcPr>
                  <w:tcW w:w="504" w:type="pct"/>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lang w:eastAsia="zh-CN"/>
                    </w:rPr>
                    <w:t>产品</w:t>
                  </w:r>
                  <w:r>
                    <w:rPr>
                      <w:rFonts w:hint="eastAsia"/>
                      <w:sz w:val="18"/>
                      <w:szCs w:val="18"/>
                    </w:rPr>
                    <w:t>运输</w:t>
                  </w:r>
                </w:p>
              </w:tc>
              <w:tc>
                <w:tcPr>
                  <w:tcW w:w="442" w:type="pct"/>
                  <w:vMerge w:val="continue"/>
                  <w:noWrap w:val="0"/>
                  <w:vAlign w:val="center"/>
                </w:tcPr>
                <w:p>
                  <w:pPr>
                    <w:jc w:val="center"/>
                    <w:rPr>
                      <w:rFonts w:hint="eastAsia"/>
                      <w:sz w:val="18"/>
                      <w:szCs w:val="18"/>
                    </w:rPr>
                  </w:pPr>
                </w:p>
              </w:tc>
              <w:tc>
                <w:tcPr>
                  <w:tcW w:w="530" w:type="pct"/>
                  <w:noWrap w:val="0"/>
                  <w:vAlign w:val="center"/>
                </w:tcPr>
                <w:p>
                  <w:pPr>
                    <w:jc w:val="center"/>
                    <w:rPr>
                      <w:sz w:val="18"/>
                      <w:szCs w:val="18"/>
                    </w:rPr>
                  </w:pPr>
                  <w:r>
                    <w:rPr>
                      <w:rFonts w:hint="eastAsia"/>
                      <w:sz w:val="18"/>
                      <w:szCs w:val="18"/>
                    </w:rPr>
                    <w:t>0.756</w:t>
                  </w:r>
                </w:p>
              </w:tc>
              <w:tc>
                <w:tcPr>
                  <w:tcW w:w="451" w:type="pct"/>
                  <w:noWrap w:val="0"/>
                  <w:vAlign w:val="center"/>
                </w:tcPr>
                <w:p>
                  <w:pPr>
                    <w:jc w:val="center"/>
                    <w:rPr>
                      <w:sz w:val="18"/>
                      <w:szCs w:val="18"/>
                    </w:rPr>
                  </w:pPr>
                  <w:r>
                    <w:rPr>
                      <w:rFonts w:hint="eastAsia"/>
                      <w:sz w:val="18"/>
                      <w:szCs w:val="18"/>
                    </w:rPr>
                    <w:t xml:space="preserve">0.1575 </w:t>
                  </w:r>
                </w:p>
              </w:tc>
              <w:tc>
                <w:tcPr>
                  <w:tcW w:w="1321" w:type="pct"/>
                  <w:gridSpan w:val="2"/>
                  <w:noWrap w:val="0"/>
                  <w:vAlign w:val="center"/>
                </w:tcPr>
                <w:p>
                  <w:pPr>
                    <w:jc w:val="center"/>
                    <w:rPr>
                      <w:rFonts w:hint="eastAsia"/>
                      <w:sz w:val="18"/>
                      <w:szCs w:val="18"/>
                    </w:rPr>
                  </w:pPr>
                  <w:r>
                    <w:rPr>
                      <w:rFonts w:hint="eastAsia"/>
                      <w:sz w:val="18"/>
                      <w:szCs w:val="18"/>
                    </w:rPr>
                    <w:t>定期派专人进行路面清扫，保持路面清洁、定期对路面进行洒水抑尘</w:t>
                  </w:r>
                  <w:r>
                    <w:rPr>
                      <w:rFonts w:hint="eastAsia"/>
                      <w:sz w:val="18"/>
                      <w:szCs w:val="18"/>
                      <w:lang w:eastAsia="zh-CN"/>
                    </w:rPr>
                    <w:t>，</w:t>
                  </w:r>
                  <w:r>
                    <w:rPr>
                      <w:rFonts w:hint="eastAsia"/>
                      <w:sz w:val="18"/>
                      <w:szCs w:val="18"/>
                    </w:rPr>
                    <w:t>运输车辆进场土工布覆盖</w:t>
                  </w:r>
                </w:p>
              </w:tc>
              <w:tc>
                <w:tcPr>
                  <w:tcW w:w="462" w:type="pct"/>
                  <w:noWrap w:val="0"/>
                  <w:vAlign w:val="center"/>
                </w:tcPr>
                <w:p>
                  <w:pPr>
                    <w:jc w:val="center"/>
                    <w:rPr>
                      <w:sz w:val="18"/>
                      <w:szCs w:val="18"/>
                    </w:rPr>
                  </w:pPr>
                  <w:r>
                    <w:rPr>
                      <w:rFonts w:hint="eastAsia"/>
                      <w:sz w:val="18"/>
                      <w:szCs w:val="18"/>
                    </w:rPr>
                    <w:t>0.1512</w:t>
                  </w:r>
                </w:p>
              </w:tc>
              <w:tc>
                <w:tcPr>
                  <w:tcW w:w="532" w:type="pct"/>
                  <w:noWrap w:val="0"/>
                  <w:vAlign w:val="center"/>
                </w:tcPr>
                <w:p>
                  <w:pPr>
                    <w:jc w:val="center"/>
                    <w:rPr>
                      <w:rFonts w:hint="eastAsia"/>
                      <w:sz w:val="18"/>
                      <w:szCs w:val="18"/>
                    </w:rPr>
                  </w:pPr>
                  <w:r>
                    <w:rPr>
                      <w:rFonts w:hint="eastAsia"/>
                      <w:sz w:val="18"/>
                      <w:szCs w:val="18"/>
                    </w:rPr>
                    <w:t xml:space="preserve">0.0315 </w:t>
                  </w:r>
                </w:p>
              </w:tc>
              <w:tc>
                <w:tcPr>
                  <w:tcW w:w="504" w:type="pct"/>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rPr>
                    <w:t>皮带输送</w:t>
                  </w:r>
                </w:p>
              </w:tc>
              <w:tc>
                <w:tcPr>
                  <w:tcW w:w="442" w:type="pct"/>
                  <w:vMerge w:val="continue"/>
                  <w:noWrap w:val="0"/>
                  <w:vAlign w:val="center"/>
                </w:tcPr>
                <w:p>
                  <w:pPr>
                    <w:jc w:val="center"/>
                    <w:rPr>
                      <w:rFonts w:hint="eastAsia"/>
                      <w:sz w:val="18"/>
                      <w:szCs w:val="18"/>
                    </w:rPr>
                  </w:pPr>
                </w:p>
              </w:tc>
              <w:tc>
                <w:tcPr>
                  <w:tcW w:w="530" w:type="pct"/>
                  <w:noWrap w:val="0"/>
                  <w:vAlign w:val="center"/>
                </w:tcPr>
                <w:p>
                  <w:pPr>
                    <w:jc w:val="center"/>
                    <w:rPr>
                      <w:sz w:val="18"/>
                      <w:szCs w:val="18"/>
                    </w:rPr>
                  </w:pPr>
                  <w:r>
                    <w:rPr>
                      <w:rFonts w:hint="eastAsia"/>
                      <w:sz w:val="18"/>
                      <w:szCs w:val="18"/>
                    </w:rPr>
                    <w:t>125.72</w:t>
                  </w:r>
                </w:p>
              </w:tc>
              <w:tc>
                <w:tcPr>
                  <w:tcW w:w="451" w:type="pct"/>
                  <w:noWrap w:val="0"/>
                  <w:vAlign w:val="center"/>
                </w:tcPr>
                <w:p>
                  <w:pPr>
                    <w:jc w:val="center"/>
                    <w:rPr>
                      <w:sz w:val="18"/>
                      <w:szCs w:val="18"/>
                    </w:rPr>
                  </w:pPr>
                  <w:r>
                    <w:rPr>
                      <w:rFonts w:hint="eastAsia"/>
                      <w:sz w:val="18"/>
                      <w:szCs w:val="18"/>
                    </w:rPr>
                    <w:t>14.3516</w:t>
                  </w:r>
                </w:p>
              </w:tc>
              <w:tc>
                <w:tcPr>
                  <w:tcW w:w="1321" w:type="pct"/>
                  <w:gridSpan w:val="2"/>
                  <w:noWrap w:val="0"/>
                  <w:vAlign w:val="center"/>
                </w:tcPr>
                <w:p>
                  <w:pPr>
                    <w:jc w:val="center"/>
                    <w:rPr>
                      <w:rFonts w:hint="eastAsia"/>
                      <w:sz w:val="18"/>
                      <w:szCs w:val="18"/>
                    </w:rPr>
                  </w:pPr>
                  <w:r>
                    <w:rPr>
                      <w:rFonts w:hint="eastAsia"/>
                      <w:sz w:val="18"/>
                      <w:szCs w:val="18"/>
                    </w:rPr>
                    <w:t>安装皮带廊道密闭和在落料口设置喷雾洒水抑尘措施</w:t>
                  </w:r>
                </w:p>
              </w:tc>
              <w:tc>
                <w:tcPr>
                  <w:tcW w:w="462" w:type="pct"/>
                  <w:noWrap w:val="0"/>
                  <w:vAlign w:val="center"/>
                </w:tcPr>
                <w:p>
                  <w:pPr>
                    <w:jc w:val="center"/>
                    <w:rPr>
                      <w:sz w:val="18"/>
                      <w:szCs w:val="18"/>
                    </w:rPr>
                  </w:pPr>
                  <w:r>
                    <w:rPr>
                      <w:rFonts w:hint="eastAsia"/>
                      <w:sz w:val="18"/>
                      <w:szCs w:val="18"/>
                    </w:rPr>
                    <w:t>1.2572</w:t>
                  </w:r>
                </w:p>
              </w:tc>
              <w:tc>
                <w:tcPr>
                  <w:tcW w:w="532" w:type="pct"/>
                  <w:noWrap w:val="0"/>
                  <w:vAlign w:val="center"/>
                </w:tcPr>
                <w:p>
                  <w:pPr>
                    <w:jc w:val="center"/>
                    <w:rPr>
                      <w:sz w:val="18"/>
                      <w:szCs w:val="18"/>
                    </w:rPr>
                  </w:pPr>
                  <w:r>
                    <w:rPr>
                      <w:rFonts w:hint="eastAsia"/>
                      <w:sz w:val="18"/>
                      <w:szCs w:val="18"/>
                    </w:rPr>
                    <w:t>0.1435</w:t>
                  </w:r>
                </w:p>
              </w:tc>
              <w:tc>
                <w:tcPr>
                  <w:tcW w:w="504" w:type="pct"/>
                  <w:noWrap w:val="0"/>
                  <w:vAlign w:val="center"/>
                </w:tcPr>
                <w:p>
                  <w:pPr>
                    <w:autoSpaceDE w:val="0"/>
                    <w:autoSpaceDN w:val="0"/>
                    <w:adjustRightInd w:val="0"/>
                    <w:snapToGrid w:val="0"/>
                    <w:jc w:val="center"/>
                    <w:rPr>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8" w:hRule="atLeast"/>
              </w:trPr>
              <w:tc>
                <w:tcPr>
                  <w:tcW w:w="475" w:type="pct"/>
                  <w:noWrap w:val="0"/>
                  <w:vAlign w:val="center"/>
                </w:tcPr>
                <w:p>
                  <w:pPr>
                    <w:jc w:val="center"/>
                    <w:rPr>
                      <w:rFonts w:hint="eastAsia"/>
                      <w:sz w:val="18"/>
                      <w:szCs w:val="18"/>
                    </w:rPr>
                  </w:pPr>
                  <w:r>
                    <w:rPr>
                      <w:rFonts w:hint="eastAsia"/>
                      <w:sz w:val="18"/>
                      <w:szCs w:val="18"/>
                    </w:rPr>
                    <w:t>产品堆放</w:t>
                  </w:r>
                </w:p>
              </w:tc>
              <w:tc>
                <w:tcPr>
                  <w:tcW w:w="442" w:type="pct"/>
                  <w:vMerge w:val="continue"/>
                  <w:noWrap w:val="0"/>
                  <w:vAlign w:val="center"/>
                </w:tcPr>
                <w:p>
                  <w:pPr>
                    <w:jc w:val="center"/>
                    <w:rPr>
                      <w:rFonts w:hint="eastAsia"/>
                      <w:sz w:val="18"/>
                      <w:szCs w:val="18"/>
                    </w:rPr>
                  </w:pPr>
                </w:p>
              </w:tc>
              <w:tc>
                <w:tcPr>
                  <w:tcW w:w="530" w:type="pct"/>
                  <w:noWrap w:val="0"/>
                  <w:vAlign w:val="center"/>
                </w:tcPr>
                <w:p>
                  <w:pPr>
                    <w:jc w:val="center"/>
                    <w:rPr>
                      <w:sz w:val="18"/>
                      <w:szCs w:val="18"/>
                    </w:rPr>
                  </w:pPr>
                  <w:r>
                    <w:rPr>
                      <w:rFonts w:hint="eastAsia"/>
                      <w:sz w:val="18"/>
                      <w:szCs w:val="18"/>
                    </w:rPr>
                    <w:t>0.6658</w:t>
                  </w:r>
                </w:p>
              </w:tc>
              <w:tc>
                <w:tcPr>
                  <w:tcW w:w="451" w:type="pct"/>
                  <w:noWrap w:val="0"/>
                  <w:vAlign w:val="center"/>
                </w:tcPr>
                <w:p>
                  <w:pPr>
                    <w:jc w:val="center"/>
                    <w:rPr>
                      <w:rFonts w:hint="eastAsia"/>
                      <w:sz w:val="18"/>
                      <w:szCs w:val="18"/>
                    </w:rPr>
                  </w:pPr>
                  <w:r>
                    <w:rPr>
                      <w:rFonts w:hint="eastAsia"/>
                      <w:sz w:val="18"/>
                      <w:szCs w:val="18"/>
                    </w:rPr>
                    <w:t xml:space="preserve">0.0760 </w:t>
                  </w:r>
                </w:p>
              </w:tc>
              <w:tc>
                <w:tcPr>
                  <w:tcW w:w="1321" w:type="pct"/>
                  <w:gridSpan w:val="2"/>
                  <w:noWrap w:val="0"/>
                  <w:vAlign w:val="center"/>
                </w:tcPr>
                <w:p>
                  <w:pPr>
                    <w:jc w:val="center"/>
                    <w:rPr>
                      <w:rFonts w:hint="eastAsia"/>
                      <w:sz w:val="18"/>
                      <w:szCs w:val="18"/>
                    </w:rPr>
                  </w:pPr>
                  <w:r>
                    <w:rPr>
                      <w:rFonts w:hint="eastAsia"/>
                      <w:sz w:val="18"/>
                      <w:szCs w:val="18"/>
                    </w:rPr>
                    <w:t>三面封闭钢架棚结构并配备喷淋设施对堆场进行酒水降尘</w:t>
                  </w:r>
                </w:p>
              </w:tc>
              <w:tc>
                <w:tcPr>
                  <w:tcW w:w="462" w:type="pct"/>
                  <w:noWrap w:val="0"/>
                  <w:vAlign w:val="center"/>
                </w:tcPr>
                <w:p>
                  <w:pPr>
                    <w:jc w:val="center"/>
                    <w:rPr>
                      <w:sz w:val="18"/>
                      <w:szCs w:val="18"/>
                    </w:rPr>
                  </w:pPr>
                  <w:r>
                    <w:rPr>
                      <w:rFonts w:hint="eastAsia"/>
                      <w:sz w:val="18"/>
                      <w:szCs w:val="18"/>
                    </w:rPr>
                    <w:t>0.0333</w:t>
                  </w:r>
                </w:p>
              </w:tc>
              <w:tc>
                <w:tcPr>
                  <w:tcW w:w="532" w:type="pct"/>
                  <w:noWrap w:val="0"/>
                  <w:vAlign w:val="center"/>
                </w:tcPr>
                <w:p>
                  <w:pPr>
                    <w:jc w:val="center"/>
                    <w:rPr>
                      <w:rFonts w:hint="eastAsia"/>
                      <w:sz w:val="18"/>
                      <w:szCs w:val="18"/>
                    </w:rPr>
                  </w:pPr>
                  <w:r>
                    <w:rPr>
                      <w:rFonts w:hint="eastAsia"/>
                      <w:sz w:val="18"/>
                      <w:szCs w:val="18"/>
                    </w:rPr>
                    <w:t xml:space="preserve">0.0038 </w:t>
                  </w:r>
                </w:p>
              </w:tc>
              <w:tc>
                <w:tcPr>
                  <w:tcW w:w="504" w:type="pct"/>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475" w:type="pct"/>
                  <w:vMerge w:val="restart"/>
                  <w:noWrap w:val="0"/>
                  <w:vAlign w:val="center"/>
                </w:tcPr>
                <w:p>
                  <w:pPr>
                    <w:jc w:val="center"/>
                    <w:rPr>
                      <w:rFonts w:hint="eastAsia"/>
                      <w:sz w:val="18"/>
                      <w:szCs w:val="18"/>
                    </w:rPr>
                  </w:pPr>
                  <w:r>
                    <w:rPr>
                      <w:rFonts w:hint="eastAsia"/>
                      <w:sz w:val="18"/>
                      <w:szCs w:val="18"/>
                    </w:rPr>
                    <w:t>汽车运输</w:t>
                  </w:r>
                </w:p>
              </w:tc>
              <w:tc>
                <w:tcPr>
                  <w:tcW w:w="442" w:type="pct"/>
                  <w:tcBorders>
                    <w:bottom w:val="single" w:color="auto" w:sz="4" w:space="0"/>
                  </w:tcBorders>
                  <w:noWrap w:val="0"/>
                  <w:vAlign w:val="center"/>
                </w:tcPr>
                <w:p>
                  <w:pPr>
                    <w:pStyle w:val="80"/>
                    <w:rPr>
                      <w:rFonts w:hint="eastAsia"/>
                    </w:rPr>
                  </w:pPr>
                  <w:r>
                    <w:rPr>
                      <w:rFonts w:hint="eastAsia"/>
                      <w:color w:val="000000"/>
                    </w:rPr>
                    <w:t>CO</w:t>
                  </w:r>
                </w:p>
              </w:tc>
              <w:tc>
                <w:tcPr>
                  <w:tcW w:w="530" w:type="pct"/>
                  <w:tcBorders>
                    <w:bottom w:val="single" w:color="auto" w:sz="4" w:space="0"/>
                  </w:tcBorders>
                  <w:noWrap w:val="0"/>
                  <w:vAlign w:val="center"/>
                </w:tcPr>
                <w:p>
                  <w:pPr>
                    <w:jc w:val="center"/>
                    <w:rPr>
                      <w:sz w:val="18"/>
                      <w:szCs w:val="18"/>
                    </w:rPr>
                  </w:pPr>
                  <w:r>
                    <w:rPr>
                      <w:rFonts w:hint="eastAsia"/>
                      <w:sz w:val="18"/>
                      <w:szCs w:val="18"/>
                    </w:rPr>
                    <w:t>0.9882</w:t>
                  </w:r>
                </w:p>
              </w:tc>
              <w:tc>
                <w:tcPr>
                  <w:tcW w:w="451" w:type="pct"/>
                  <w:tcBorders>
                    <w:bottom w:val="single" w:color="auto" w:sz="4" w:space="0"/>
                  </w:tcBorders>
                  <w:noWrap w:val="0"/>
                  <w:vAlign w:val="center"/>
                </w:tcPr>
                <w:p>
                  <w:pPr>
                    <w:jc w:val="center"/>
                    <w:rPr>
                      <w:rFonts w:hint="eastAsia"/>
                      <w:sz w:val="18"/>
                      <w:szCs w:val="18"/>
                    </w:rPr>
                  </w:pPr>
                  <w:r>
                    <w:rPr>
                      <w:rFonts w:hint="eastAsia"/>
                      <w:sz w:val="18"/>
                      <w:szCs w:val="18"/>
                    </w:rPr>
                    <w:t xml:space="preserve">0.1128 </w:t>
                  </w:r>
                </w:p>
              </w:tc>
              <w:tc>
                <w:tcPr>
                  <w:tcW w:w="1321" w:type="pct"/>
                  <w:gridSpan w:val="2"/>
                  <w:vMerge w:val="restart"/>
                  <w:noWrap w:val="0"/>
                  <w:vAlign w:val="center"/>
                </w:tcPr>
                <w:p>
                  <w:pPr>
                    <w:jc w:val="center"/>
                    <w:rPr>
                      <w:rFonts w:hint="eastAsia"/>
                      <w:sz w:val="18"/>
                      <w:szCs w:val="18"/>
                    </w:rPr>
                  </w:pPr>
                  <w:r>
                    <w:rPr>
                      <w:rFonts w:hint="eastAsia"/>
                      <w:sz w:val="18"/>
                      <w:szCs w:val="18"/>
                    </w:rPr>
                    <w:t>加强绿化</w:t>
                  </w:r>
                </w:p>
              </w:tc>
              <w:tc>
                <w:tcPr>
                  <w:tcW w:w="462" w:type="pct"/>
                  <w:tcBorders>
                    <w:bottom w:val="single" w:color="auto" w:sz="4" w:space="0"/>
                  </w:tcBorders>
                  <w:noWrap w:val="0"/>
                  <w:vAlign w:val="center"/>
                </w:tcPr>
                <w:p>
                  <w:pPr>
                    <w:jc w:val="center"/>
                    <w:rPr>
                      <w:rFonts w:hint="eastAsia"/>
                      <w:sz w:val="18"/>
                      <w:szCs w:val="18"/>
                    </w:rPr>
                  </w:pPr>
                  <w:r>
                    <w:rPr>
                      <w:rFonts w:hint="eastAsia"/>
                      <w:sz w:val="18"/>
                      <w:szCs w:val="18"/>
                    </w:rPr>
                    <w:t>0.9882</w:t>
                  </w:r>
                </w:p>
              </w:tc>
              <w:tc>
                <w:tcPr>
                  <w:tcW w:w="532" w:type="pct"/>
                  <w:tcBorders>
                    <w:bottom w:val="single" w:color="auto" w:sz="4" w:space="0"/>
                  </w:tcBorders>
                  <w:noWrap w:val="0"/>
                  <w:vAlign w:val="center"/>
                </w:tcPr>
                <w:p>
                  <w:pPr>
                    <w:jc w:val="center"/>
                    <w:rPr>
                      <w:rFonts w:hint="eastAsia"/>
                      <w:sz w:val="18"/>
                      <w:szCs w:val="18"/>
                    </w:rPr>
                  </w:pPr>
                  <w:r>
                    <w:rPr>
                      <w:rFonts w:hint="eastAsia"/>
                      <w:sz w:val="18"/>
                      <w:szCs w:val="18"/>
                    </w:rPr>
                    <w:t xml:space="preserve">0.1128 </w:t>
                  </w:r>
                </w:p>
              </w:tc>
              <w:tc>
                <w:tcPr>
                  <w:tcW w:w="504" w:type="pct"/>
                  <w:tcBorders>
                    <w:bottom w:val="single" w:color="auto" w:sz="4" w:space="0"/>
                  </w:tcBorders>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475" w:type="pct"/>
                  <w:vMerge w:val="continue"/>
                  <w:noWrap w:val="0"/>
                  <w:vAlign w:val="center"/>
                </w:tcPr>
                <w:p>
                  <w:pPr>
                    <w:jc w:val="center"/>
                    <w:rPr>
                      <w:rFonts w:hint="eastAsia"/>
                      <w:sz w:val="18"/>
                      <w:szCs w:val="18"/>
                    </w:rPr>
                  </w:pPr>
                </w:p>
              </w:tc>
              <w:tc>
                <w:tcPr>
                  <w:tcW w:w="442" w:type="pct"/>
                  <w:tcBorders>
                    <w:top w:val="single" w:color="auto" w:sz="4" w:space="0"/>
                    <w:bottom w:val="single" w:color="auto" w:sz="4" w:space="0"/>
                  </w:tcBorders>
                  <w:noWrap w:val="0"/>
                  <w:vAlign w:val="center"/>
                </w:tcPr>
                <w:p>
                  <w:pPr>
                    <w:pStyle w:val="80"/>
                    <w:rPr>
                      <w:rFonts w:hint="eastAsia"/>
                    </w:rPr>
                  </w:pPr>
                  <w:r>
                    <w:rPr>
                      <w:rFonts w:hint="eastAsia"/>
                      <w:color w:val="000000"/>
                    </w:rPr>
                    <w:t>NO</w:t>
                  </w:r>
                  <w:r>
                    <w:rPr>
                      <w:rFonts w:hint="eastAsia"/>
                      <w:color w:val="000000"/>
                      <w:vertAlign w:val="subscript"/>
                    </w:rPr>
                    <w:t>X</w:t>
                  </w:r>
                </w:p>
              </w:tc>
              <w:tc>
                <w:tcPr>
                  <w:tcW w:w="530" w:type="pct"/>
                  <w:tcBorders>
                    <w:top w:val="single" w:color="auto" w:sz="4" w:space="0"/>
                    <w:bottom w:val="single" w:color="auto" w:sz="4" w:space="0"/>
                  </w:tcBorders>
                  <w:noWrap w:val="0"/>
                  <w:vAlign w:val="center"/>
                </w:tcPr>
                <w:p>
                  <w:pPr>
                    <w:jc w:val="center"/>
                    <w:rPr>
                      <w:sz w:val="18"/>
                      <w:szCs w:val="18"/>
                    </w:rPr>
                  </w:pPr>
                  <w:r>
                    <w:rPr>
                      <w:rFonts w:hint="eastAsia"/>
                      <w:sz w:val="18"/>
                      <w:szCs w:val="18"/>
                    </w:rPr>
                    <w:t>1.0588</w:t>
                  </w:r>
                </w:p>
              </w:tc>
              <w:tc>
                <w:tcPr>
                  <w:tcW w:w="451" w:type="pct"/>
                  <w:tcBorders>
                    <w:top w:val="single" w:color="auto" w:sz="4" w:space="0"/>
                    <w:bottom w:val="single" w:color="auto" w:sz="4" w:space="0"/>
                  </w:tcBorders>
                  <w:noWrap w:val="0"/>
                  <w:vAlign w:val="center"/>
                </w:tcPr>
                <w:p>
                  <w:pPr>
                    <w:jc w:val="center"/>
                    <w:rPr>
                      <w:rFonts w:hint="eastAsia"/>
                      <w:sz w:val="18"/>
                      <w:szCs w:val="18"/>
                    </w:rPr>
                  </w:pPr>
                  <w:r>
                    <w:rPr>
                      <w:rFonts w:hint="eastAsia"/>
                      <w:sz w:val="18"/>
                      <w:szCs w:val="18"/>
                    </w:rPr>
                    <w:t xml:space="preserve">0.1209 </w:t>
                  </w:r>
                </w:p>
              </w:tc>
              <w:tc>
                <w:tcPr>
                  <w:tcW w:w="1321" w:type="pct"/>
                  <w:gridSpan w:val="2"/>
                  <w:vMerge w:val="continue"/>
                  <w:noWrap w:val="0"/>
                  <w:vAlign w:val="center"/>
                </w:tcPr>
                <w:p>
                  <w:pPr>
                    <w:jc w:val="center"/>
                    <w:rPr>
                      <w:rFonts w:hint="eastAsia"/>
                      <w:sz w:val="18"/>
                      <w:szCs w:val="18"/>
                    </w:rPr>
                  </w:pPr>
                </w:p>
              </w:tc>
              <w:tc>
                <w:tcPr>
                  <w:tcW w:w="462" w:type="pct"/>
                  <w:tcBorders>
                    <w:top w:val="single" w:color="auto" w:sz="4" w:space="0"/>
                    <w:bottom w:val="single" w:color="auto" w:sz="4" w:space="0"/>
                  </w:tcBorders>
                  <w:noWrap w:val="0"/>
                  <w:vAlign w:val="center"/>
                </w:tcPr>
                <w:p>
                  <w:pPr>
                    <w:jc w:val="center"/>
                    <w:rPr>
                      <w:rFonts w:hint="eastAsia"/>
                      <w:sz w:val="18"/>
                      <w:szCs w:val="18"/>
                    </w:rPr>
                  </w:pPr>
                  <w:r>
                    <w:rPr>
                      <w:rFonts w:hint="eastAsia"/>
                      <w:sz w:val="18"/>
                      <w:szCs w:val="18"/>
                    </w:rPr>
                    <w:t>1.0588</w:t>
                  </w:r>
                </w:p>
              </w:tc>
              <w:tc>
                <w:tcPr>
                  <w:tcW w:w="532" w:type="pct"/>
                  <w:tcBorders>
                    <w:top w:val="single" w:color="auto" w:sz="4" w:space="0"/>
                    <w:bottom w:val="single" w:color="auto" w:sz="4" w:space="0"/>
                  </w:tcBorders>
                  <w:noWrap w:val="0"/>
                  <w:vAlign w:val="center"/>
                </w:tcPr>
                <w:p>
                  <w:pPr>
                    <w:jc w:val="center"/>
                    <w:rPr>
                      <w:rFonts w:hint="eastAsia"/>
                      <w:sz w:val="18"/>
                      <w:szCs w:val="18"/>
                    </w:rPr>
                  </w:pPr>
                  <w:r>
                    <w:rPr>
                      <w:rFonts w:hint="eastAsia"/>
                      <w:sz w:val="18"/>
                      <w:szCs w:val="18"/>
                    </w:rPr>
                    <w:t xml:space="preserve">0.1209 </w:t>
                  </w:r>
                </w:p>
              </w:tc>
              <w:tc>
                <w:tcPr>
                  <w:tcW w:w="504" w:type="pct"/>
                  <w:tcBorders>
                    <w:top w:val="single" w:color="auto" w:sz="4" w:space="0"/>
                    <w:bottom w:val="single" w:color="auto" w:sz="4" w:space="0"/>
                  </w:tcBorders>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475" w:type="pct"/>
                  <w:vMerge w:val="continue"/>
                  <w:noWrap w:val="0"/>
                  <w:vAlign w:val="center"/>
                </w:tcPr>
                <w:p>
                  <w:pPr>
                    <w:jc w:val="center"/>
                    <w:rPr>
                      <w:rFonts w:hint="eastAsia"/>
                      <w:sz w:val="18"/>
                      <w:szCs w:val="18"/>
                    </w:rPr>
                  </w:pPr>
                </w:p>
              </w:tc>
              <w:tc>
                <w:tcPr>
                  <w:tcW w:w="442" w:type="pct"/>
                  <w:tcBorders>
                    <w:top w:val="single" w:color="auto" w:sz="4" w:space="0"/>
                  </w:tcBorders>
                  <w:noWrap w:val="0"/>
                  <w:vAlign w:val="center"/>
                </w:tcPr>
                <w:p>
                  <w:pPr>
                    <w:pStyle w:val="80"/>
                    <w:rPr>
                      <w:rFonts w:hint="eastAsia"/>
                    </w:rPr>
                  </w:pPr>
                  <w:r>
                    <w:rPr>
                      <w:rFonts w:hint="eastAsia"/>
                      <w:color w:val="000000"/>
                    </w:rPr>
                    <w:t>HC</w:t>
                  </w:r>
                </w:p>
              </w:tc>
              <w:tc>
                <w:tcPr>
                  <w:tcW w:w="530" w:type="pct"/>
                  <w:tcBorders>
                    <w:top w:val="single" w:color="auto" w:sz="4" w:space="0"/>
                  </w:tcBorders>
                  <w:noWrap w:val="0"/>
                  <w:vAlign w:val="center"/>
                </w:tcPr>
                <w:p>
                  <w:pPr>
                    <w:jc w:val="center"/>
                    <w:rPr>
                      <w:sz w:val="18"/>
                      <w:szCs w:val="18"/>
                    </w:rPr>
                  </w:pPr>
                  <w:r>
                    <w:rPr>
                      <w:rFonts w:hint="eastAsia"/>
                      <w:sz w:val="18"/>
                      <w:szCs w:val="18"/>
                    </w:rPr>
                    <w:t>0.7059</w:t>
                  </w:r>
                </w:p>
              </w:tc>
              <w:tc>
                <w:tcPr>
                  <w:tcW w:w="451" w:type="pct"/>
                  <w:tcBorders>
                    <w:top w:val="single" w:color="auto" w:sz="4" w:space="0"/>
                  </w:tcBorders>
                  <w:noWrap w:val="0"/>
                  <w:vAlign w:val="center"/>
                </w:tcPr>
                <w:p>
                  <w:pPr>
                    <w:jc w:val="center"/>
                    <w:rPr>
                      <w:rFonts w:hint="eastAsia"/>
                      <w:sz w:val="18"/>
                      <w:szCs w:val="18"/>
                    </w:rPr>
                  </w:pPr>
                  <w:r>
                    <w:rPr>
                      <w:rFonts w:hint="eastAsia"/>
                      <w:sz w:val="18"/>
                      <w:szCs w:val="18"/>
                    </w:rPr>
                    <w:t xml:space="preserve">0.0806 </w:t>
                  </w:r>
                </w:p>
              </w:tc>
              <w:tc>
                <w:tcPr>
                  <w:tcW w:w="1321" w:type="pct"/>
                  <w:gridSpan w:val="2"/>
                  <w:vMerge w:val="continue"/>
                  <w:noWrap w:val="0"/>
                  <w:vAlign w:val="center"/>
                </w:tcPr>
                <w:p>
                  <w:pPr>
                    <w:jc w:val="center"/>
                    <w:rPr>
                      <w:rFonts w:hint="eastAsia"/>
                      <w:sz w:val="18"/>
                      <w:szCs w:val="18"/>
                    </w:rPr>
                  </w:pPr>
                </w:p>
              </w:tc>
              <w:tc>
                <w:tcPr>
                  <w:tcW w:w="462" w:type="pct"/>
                  <w:tcBorders>
                    <w:top w:val="single" w:color="auto" w:sz="4" w:space="0"/>
                  </w:tcBorders>
                  <w:noWrap w:val="0"/>
                  <w:vAlign w:val="center"/>
                </w:tcPr>
                <w:p>
                  <w:pPr>
                    <w:jc w:val="center"/>
                    <w:rPr>
                      <w:rFonts w:hint="eastAsia"/>
                      <w:sz w:val="18"/>
                      <w:szCs w:val="18"/>
                    </w:rPr>
                  </w:pPr>
                  <w:r>
                    <w:rPr>
                      <w:rFonts w:hint="eastAsia"/>
                      <w:sz w:val="18"/>
                      <w:szCs w:val="18"/>
                    </w:rPr>
                    <w:t>0.7059</w:t>
                  </w:r>
                </w:p>
              </w:tc>
              <w:tc>
                <w:tcPr>
                  <w:tcW w:w="532" w:type="pct"/>
                  <w:tcBorders>
                    <w:top w:val="single" w:color="auto" w:sz="4" w:space="0"/>
                  </w:tcBorders>
                  <w:noWrap w:val="0"/>
                  <w:vAlign w:val="center"/>
                </w:tcPr>
                <w:p>
                  <w:pPr>
                    <w:jc w:val="center"/>
                    <w:rPr>
                      <w:rFonts w:hint="eastAsia"/>
                      <w:sz w:val="18"/>
                      <w:szCs w:val="18"/>
                    </w:rPr>
                  </w:pPr>
                  <w:r>
                    <w:rPr>
                      <w:rFonts w:hint="eastAsia"/>
                      <w:sz w:val="18"/>
                      <w:szCs w:val="18"/>
                    </w:rPr>
                    <w:t xml:space="preserve">0.0806 </w:t>
                  </w:r>
                </w:p>
              </w:tc>
              <w:tc>
                <w:tcPr>
                  <w:tcW w:w="504" w:type="pct"/>
                  <w:tcBorders>
                    <w:top w:val="single" w:color="auto" w:sz="4" w:space="0"/>
                  </w:tcBorders>
                  <w:noWrap w:val="0"/>
                  <w:vAlign w:val="center"/>
                </w:tcPr>
                <w:p>
                  <w:pPr>
                    <w:autoSpaceDE w:val="0"/>
                    <w:autoSpaceDN w:val="0"/>
                    <w:adjustRightInd w:val="0"/>
                    <w:snapToGrid w:val="0"/>
                    <w:jc w:val="center"/>
                    <w:rPr>
                      <w:rFonts w:hint="eastAsia"/>
                      <w:kern w:val="0"/>
                      <w:sz w:val="18"/>
                      <w:szCs w:val="18"/>
                    </w:rPr>
                  </w:pPr>
                  <w:r>
                    <w:rPr>
                      <w:rFonts w:hint="eastAsia"/>
                      <w:kern w:val="0"/>
                      <w:sz w:val="18"/>
                      <w:szCs w:val="18"/>
                    </w:rPr>
                    <w:t>/</w:t>
                  </w:r>
                </w:p>
              </w:tc>
              <w:tc>
                <w:tcPr>
                  <w:tcW w:w="279" w:type="pct"/>
                  <w:vMerge w:val="continue"/>
                  <w:noWrap w:val="0"/>
                  <w:vAlign w:val="center"/>
                </w:tcPr>
                <w:p>
                  <w:pPr>
                    <w:autoSpaceDE w:val="0"/>
                    <w:autoSpaceDN w:val="0"/>
                    <w:adjustRightInd w:val="0"/>
                    <w:snapToGrid w:val="0"/>
                    <w:jc w:val="center"/>
                    <w:rPr>
                      <w:rFonts w:hint="eastAsia"/>
                      <w:kern w:val="0"/>
                      <w:sz w:val="18"/>
                      <w:szCs w:val="18"/>
                    </w:rPr>
                  </w:pPr>
                </w:p>
              </w:tc>
            </w:tr>
          </w:tbl>
          <w:p>
            <w:pPr>
              <w:keepNext/>
              <w:keepLines/>
              <w:wordWrap w:val="0"/>
              <w:spacing w:before="200" w:after="200"/>
              <w:outlineLvl w:val="3"/>
              <w:rPr>
                <w:rFonts w:hint="eastAsia"/>
                <w:b/>
                <w:sz w:val="24"/>
              </w:rPr>
            </w:pPr>
            <w:r>
              <w:rPr>
                <w:rFonts w:hint="eastAsia"/>
                <w:b/>
                <w:sz w:val="24"/>
              </w:rPr>
              <w:t>4.2.1.2大气污染物排放量核算</w:t>
            </w:r>
          </w:p>
          <w:p>
            <w:pPr>
              <w:wordWrap w:val="0"/>
              <w:spacing w:line="360" w:lineRule="auto"/>
              <w:ind w:firstLine="482" w:firstLineChars="200"/>
              <w:rPr>
                <w:rFonts w:hint="eastAsia"/>
                <w:b/>
                <w:bCs/>
                <w:sz w:val="24"/>
              </w:rPr>
            </w:pPr>
            <w:r>
              <w:rPr>
                <w:rFonts w:hint="eastAsia"/>
                <w:b/>
                <w:bCs/>
                <w:sz w:val="24"/>
              </w:rPr>
              <w:t>1、有组织排放量核算</w:t>
            </w:r>
          </w:p>
          <w:p>
            <w:pPr>
              <w:wordWrap w:val="0"/>
              <w:autoSpaceDE w:val="0"/>
              <w:autoSpaceDN w:val="0"/>
              <w:spacing w:line="360" w:lineRule="auto"/>
              <w:ind w:firstLine="480" w:firstLineChars="200"/>
              <w:jc w:val="left"/>
              <w:rPr>
                <w:rFonts w:hint="eastAsia" w:ascii="宋体" w:hAnsi="宋体" w:cs="宋体"/>
                <w:color w:val="000000"/>
                <w:kern w:val="0"/>
                <w:sz w:val="24"/>
                <w:szCs w:val="22"/>
              </w:rPr>
            </w:pPr>
            <w:r>
              <w:rPr>
                <w:rFonts w:hint="eastAsia" w:ascii="宋体" w:hAnsi="宋体" w:cs="宋体"/>
                <w:color w:val="000000"/>
                <w:kern w:val="0"/>
                <w:sz w:val="24"/>
                <w:szCs w:val="22"/>
              </w:rPr>
              <w:t>根据《排污许可证申请与核发技术规范 总则</w:t>
            </w:r>
            <w:r>
              <w:rPr>
                <w:rFonts w:hint="eastAsia" w:ascii="宋体" w:hAnsi="宋体" w:cs="宋体"/>
                <w:kern w:val="0"/>
                <w:sz w:val="24"/>
                <w:szCs w:val="22"/>
              </w:rPr>
              <w:t>》</w:t>
            </w:r>
            <w:r>
              <w:rPr>
                <w:kern w:val="0"/>
                <w:sz w:val="24"/>
                <w:szCs w:val="22"/>
              </w:rPr>
              <w:t>（HJ942-2018）和</w:t>
            </w:r>
            <w:r>
              <w:rPr>
                <w:rFonts w:hint="eastAsia"/>
                <w:kern w:val="0"/>
                <w:sz w:val="24"/>
                <w:szCs w:val="22"/>
                <w:lang w:eastAsia="zh-CN"/>
              </w:rPr>
              <w:t>参照</w:t>
            </w:r>
            <w:r>
              <w:rPr>
                <w:kern w:val="0"/>
                <w:sz w:val="24"/>
                <w:szCs w:val="22"/>
                <w:highlight w:val="none"/>
                <w:shd w:val="clear" w:color="auto" w:fill="auto"/>
              </w:rPr>
              <w:t>《排污许可证申请与核发技术规范 陶瓷砖瓦工艺》（HJ954-2018）</w:t>
            </w:r>
            <w:r>
              <w:rPr>
                <w:rFonts w:hint="eastAsia" w:ascii="宋体" w:hAnsi="宋体" w:cs="宋体"/>
                <w:kern w:val="0"/>
                <w:sz w:val="24"/>
                <w:szCs w:val="22"/>
                <w:highlight w:val="none"/>
                <w:shd w:val="clear" w:color="auto" w:fill="auto"/>
              </w:rPr>
              <w:t>，</w:t>
            </w:r>
            <w:r>
              <w:rPr>
                <w:rFonts w:hint="eastAsia" w:ascii="宋体" w:hAnsi="宋体" w:cs="宋体"/>
                <w:kern w:val="0"/>
                <w:sz w:val="24"/>
                <w:szCs w:val="22"/>
              </w:rPr>
              <w:t>项目有组织排放口为布袋除尘器处理废气排放口，</w:t>
            </w:r>
            <w:r>
              <w:rPr>
                <w:rFonts w:hint="eastAsia" w:ascii="宋体" w:hAnsi="宋体" w:cs="宋体"/>
                <w:color w:val="000000"/>
                <w:kern w:val="0"/>
                <w:sz w:val="24"/>
                <w:szCs w:val="22"/>
              </w:rPr>
              <w:t>大气污染物有组织排放量核算见下表。</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highlight w:val="none"/>
              </w:rPr>
            </w:pPr>
            <w:r>
              <w:rPr>
                <w:rFonts w:cs="宋体"/>
                <w:b/>
                <w:szCs w:val="21"/>
                <w:highlight w:val="none"/>
              </w:rPr>
              <w:t>表</w:t>
            </w:r>
            <w:r>
              <w:rPr>
                <w:rFonts w:hint="eastAsia" w:cs="宋体"/>
                <w:b/>
                <w:szCs w:val="21"/>
                <w:highlight w:val="none"/>
              </w:rPr>
              <w:t>4.2-5：</w:t>
            </w:r>
            <w:r>
              <w:rPr>
                <w:rFonts w:cs="宋体"/>
                <w:b/>
                <w:szCs w:val="21"/>
                <w:highlight w:val="none"/>
              </w:rPr>
              <w:t>大气污染物</w:t>
            </w:r>
            <w:r>
              <w:rPr>
                <w:rFonts w:hint="eastAsia" w:cs="宋体"/>
                <w:b/>
                <w:szCs w:val="21"/>
                <w:highlight w:val="none"/>
              </w:rPr>
              <w:t>有</w:t>
            </w:r>
            <w:r>
              <w:rPr>
                <w:rFonts w:cs="宋体"/>
                <w:b/>
                <w:szCs w:val="21"/>
                <w:highlight w:val="none"/>
              </w:rPr>
              <w:t>组织排放量核算表</w:t>
            </w:r>
          </w:p>
          <w:tbl>
            <w:tblPr>
              <w:tblStyle w:val="24"/>
              <w:tblW w:w="4884"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54"/>
              <w:gridCol w:w="1099"/>
              <w:gridCol w:w="1355"/>
              <w:gridCol w:w="1967"/>
              <w:gridCol w:w="1802"/>
              <w:gridCol w:w="163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7" w:hRule="atLeast"/>
                <w:jc w:val="center"/>
              </w:trPr>
              <w:tc>
                <w:tcPr>
                  <w:tcW w:w="329" w:type="pct"/>
                  <w:noWrap w:val="0"/>
                  <w:vAlign w:val="center"/>
                </w:tcPr>
                <w:p>
                  <w:pPr>
                    <w:widowControl/>
                    <w:adjustRightInd w:val="0"/>
                    <w:snapToGrid w:val="0"/>
                    <w:jc w:val="center"/>
                    <w:rPr>
                      <w:b/>
                      <w:bCs/>
                      <w:color w:val="000000"/>
                      <w:szCs w:val="21"/>
                    </w:rPr>
                  </w:pPr>
                  <w:r>
                    <w:rPr>
                      <w:rFonts w:hint="eastAsia"/>
                      <w:b/>
                      <w:bCs/>
                      <w:color w:val="000000"/>
                      <w:szCs w:val="21"/>
                    </w:rPr>
                    <w:t>序号</w:t>
                  </w:r>
                </w:p>
              </w:tc>
              <w:tc>
                <w:tcPr>
                  <w:tcW w:w="653" w:type="pct"/>
                  <w:noWrap w:val="0"/>
                  <w:vAlign w:val="center"/>
                </w:tcPr>
                <w:p>
                  <w:pPr>
                    <w:widowControl/>
                    <w:adjustRightInd w:val="0"/>
                    <w:snapToGrid w:val="0"/>
                    <w:jc w:val="center"/>
                    <w:rPr>
                      <w:b/>
                      <w:bCs/>
                      <w:color w:val="000000"/>
                      <w:szCs w:val="21"/>
                    </w:rPr>
                  </w:pPr>
                  <w:r>
                    <w:rPr>
                      <w:rFonts w:hint="eastAsia"/>
                      <w:b/>
                      <w:bCs/>
                      <w:color w:val="000000"/>
                      <w:szCs w:val="21"/>
                    </w:rPr>
                    <w:t>排放口编号</w:t>
                  </w:r>
                </w:p>
              </w:tc>
              <w:tc>
                <w:tcPr>
                  <w:tcW w:w="805" w:type="pct"/>
                  <w:noWrap w:val="0"/>
                  <w:vAlign w:val="center"/>
                </w:tcPr>
                <w:p>
                  <w:pPr>
                    <w:widowControl/>
                    <w:adjustRightInd w:val="0"/>
                    <w:snapToGrid w:val="0"/>
                    <w:jc w:val="center"/>
                    <w:rPr>
                      <w:b/>
                      <w:bCs/>
                      <w:color w:val="000000"/>
                      <w:szCs w:val="21"/>
                    </w:rPr>
                  </w:pPr>
                  <w:r>
                    <w:rPr>
                      <w:rFonts w:hint="eastAsia"/>
                      <w:b/>
                      <w:bCs/>
                      <w:color w:val="000000"/>
                      <w:szCs w:val="21"/>
                    </w:rPr>
                    <w:t>污染物</w:t>
                  </w:r>
                </w:p>
              </w:tc>
              <w:tc>
                <w:tcPr>
                  <w:tcW w:w="1169" w:type="pct"/>
                  <w:noWrap w:val="0"/>
                  <w:vAlign w:val="center"/>
                </w:tcPr>
                <w:p>
                  <w:pPr>
                    <w:widowControl/>
                    <w:adjustRightInd w:val="0"/>
                    <w:snapToGrid w:val="0"/>
                    <w:jc w:val="center"/>
                    <w:rPr>
                      <w:b/>
                      <w:bCs/>
                      <w:color w:val="000000"/>
                      <w:szCs w:val="21"/>
                    </w:rPr>
                  </w:pPr>
                  <w:r>
                    <w:rPr>
                      <w:rFonts w:hint="eastAsia"/>
                      <w:b/>
                      <w:bCs/>
                      <w:color w:val="000000"/>
                      <w:szCs w:val="21"/>
                    </w:rPr>
                    <w:t>核算排放浓度（mg/m</w:t>
                  </w:r>
                  <w:r>
                    <w:rPr>
                      <w:rFonts w:hint="eastAsia"/>
                      <w:b/>
                      <w:bCs/>
                      <w:color w:val="000000"/>
                      <w:szCs w:val="21"/>
                      <w:vertAlign w:val="superscript"/>
                    </w:rPr>
                    <w:t>3</w:t>
                  </w:r>
                  <w:r>
                    <w:rPr>
                      <w:rFonts w:hint="eastAsia"/>
                      <w:b/>
                      <w:bCs/>
                      <w:color w:val="000000"/>
                      <w:szCs w:val="21"/>
                    </w:rPr>
                    <w:t>）</w:t>
                  </w:r>
                </w:p>
              </w:tc>
              <w:tc>
                <w:tcPr>
                  <w:tcW w:w="1070" w:type="pct"/>
                  <w:noWrap w:val="0"/>
                  <w:vAlign w:val="center"/>
                </w:tcPr>
                <w:p>
                  <w:pPr>
                    <w:widowControl/>
                    <w:adjustRightInd w:val="0"/>
                    <w:snapToGrid w:val="0"/>
                    <w:jc w:val="center"/>
                    <w:rPr>
                      <w:b/>
                      <w:bCs/>
                      <w:color w:val="000000"/>
                      <w:szCs w:val="21"/>
                    </w:rPr>
                  </w:pPr>
                  <w:r>
                    <w:rPr>
                      <w:rFonts w:hint="eastAsia"/>
                      <w:b/>
                      <w:bCs/>
                      <w:color w:val="000000"/>
                      <w:szCs w:val="21"/>
                    </w:rPr>
                    <w:t>核算排放速率/（kg/h）</w:t>
                  </w:r>
                </w:p>
              </w:tc>
              <w:tc>
                <w:tcPr>
                  <w:tcW w:w="971" w:type="pct"/>
                  <w:noWrap w:val="0"/>
                  <w:vAlign w:val="center"/>
                </w:tcPr>
                <w:p>
                  <w:pPr>
                    <w:widowControl/>
                    <w:adjustRightInd w:val="0"/>
                    <w:snapToGrid w:val="0"/>
                    <w:jc w:val="center"/>
                    <w:rPr>
                      <w:b/>
                      <w:bCs/>
                      <w:color w:val="000000"/>
                      <w:szCs w:val="21"/>
                    </w:rPr>
                  </w:pPr>
                  <w:r>
                    <w:rPr>
                      <w:rFonts w:hint="eastAsia"/>
                      <w:b/>
                      <w:bCs/>
                      <w:color w:val="000000"/>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00" w:type="pct"/>
                  <w:gridSpan w:val="6"/>
                  <w:noWrap w:val="0"/>
                  <w:vAlign w:val="center"/>
                </w:tcPr>
                <w:p>
                  <w:pPr>
                    <w:widowControl/>
                    <w:adjustRightInd w:val="0"/>
                    <w:snapToGrid w:val="0"/>
                    <w:jc w:val="center"/>
                    <w:rPr>
                      <w:b/>
                      <w:color w:val="000000"/>
                      <w:szCs w:val="21"/>
                    </w:rPr>
                  </w:pPr>
                  <w:r>
                    <w:rPr>
                      <w:rFonts w:hint="eastAsia"/>
                      <w:b/>
                      <w:color w:val="000000"/>
                      <w:szCs w:val="21"/>
                    </w:rPr>
                    <w:t>主要排放口</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9" w:type="pct"/>
                  <w:noWrap w:val="0"/>
                  <w:vAlign w:val="center"/>
                </w:tcPr>
                <w:p>
                  <w:pPr>
                    <w:widowControl/>
                    <w:adjustRightInd w:val="0"/>
                    <w:snapToGrid w:val="0"/>
                    <w:jc w:val="center"/>
                    <w:rPr>
                      <w:color w:val="000000"/>
                      <w:szCs w:val="21"/>
                    </w:rPr>
                  </w:pPr>
                  <w:r>
                    <w:rPr>
                      <w:rFonts w:hint="eastAsia"/>
                      <w:color w:val="000000"/>
                      <w:szCs w:val="21"/>
                    </w:rPr>
                    <w:t>1</w:t>
                  </w:r>
                </w:p>
              </w:tc>
              <w:tc>
                <w:tcPr>
                  <w:tcW w:w="653" w:type="pct"/>
                  <w:noWrap w:val="0"/>
                  <w:vAlign w:val="center"/>
                </w:tcPr>
                <w:p>
                  <w:pPr>
                    <w:widowControl/>
                    <w:adjustRightInd w:val="0"/>
                    <w:snapToGrid w:val="0"/>
                    <w:jc w:val="center"/>
                    <w:rPr>
                      <w:color w:val="000000"/>
                      <w:szCs w:val="21"/>
                    </w:rPr>
                  </w:pPr>
                  <w:r>
                    <w:rPr>
                      <w:rFonts w:hint="eastAsia"/>
                      <w:color w:val="000000"/>
                      <w:szCs w:val="21"/>
                    </w:rPr>
                    <w:t>布袋除尘器处理废气排放口DA001</w:t>
                  </w:r>
                </w:p>
              </w:tc>
              <w:tc>
                <w:tcPr>
                  <w:tcW w:w="805" w:type="pct"/>
                  <w:noWrap w:val="0"/>
                  <w:vAlign w:val="center"/>
                </w:tcPr>
                <w:p>
                  <w:pPr>
                    <w:widowControl/>
                    <w:adjustRightInd w:val="0"/>
                    <w:snapToGrid w:val="0"/>
                    <w:jc w:val="center"/>
                    <w:rPr>
                      <w:color w:val="000000"/>
                      <w:szCs w:val="21"/>
                    </w:rPr>
                  </w:pPr>
                  <w:r>
                    <w:rPr>
                      <w:rFonts w:hint="eastAsia"/>
                      <w:color w:val="000000"/>
                      <w:szCs w:val="21"/>
                    </w:rPr>
                    <w:t>颗粒物</w:t>
                  </w:r>
                </w:p>
              </w:tc>
              <w:tc>
                <w:tcPr>
                  <w:tcW w:w="1169" w:type="pct"/>
                  <w:noWrap w:val="0"/>
                  <w:vAlign w:val="center"/>
                </w:tcPr>
                <w:p>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36.62</w:t>
                  </w:r>
                </w:p>
              </w:tc>
              <w:tc>
                <w:tcPr>
                  <w:tcW w:w="1070" w:type="pct"/>
                  <w:noWrap w:val="0"/>
                  <w:vAlign w:val="center"/>
                </w:tcPr>
                <w:p>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1.8309</w:t>
                  </w:r>
                </w:p>
              </w:tc>
              <w:tc>
                <w:tcPr>
                  <w:tcW w:w="971" w:type="pct"/>
                  <w:noWrap w:val="0"/>
                  <w:vAlign w:val="center"/>
                </w:tcPr>
                <w:p>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5.3462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82" w:type="pct"/>
                  <w:gridSpan w:val="2"/>
                  <w:noWrap w:val="0"/>
                  <w:vAlign w:val="center"/>
                </w:tcPr>
                <w:p>
                  <w:pPr>
                    <w:widowControl/>
                    <w:adjustRightInd w:val="0"/>
                    <w:snapToGrid w:val="0"/>
                    <w:jc w:val="center"/>
                    <w:rPr>
                      <w:color w:val="000000"/>
                      <w:szCs w:val="21"/>
                    </w:rPr>
                  </w:pPr>
                  <w:r>
                    <w:rPr>
                      <w:rFonts w:hint="eastAsia"/>
                      <w:color w:val="000000"/>
                      <w:szCs w:val="21"/>
                    </w:rPr>
                    <w:t>主要排放口合计</w:t>
                  </w:r>
                </w:p>
              </w:tc>
              <w:tc>
                <w:tcPr>
                  <w:tcW w:w="3045" w:type="pct"/>
                  <w:gridSpan w:val="3"/>
                  <w:noWrap w:val="0"/>
                  <w:vAlign w:val="center"/>
                </w:tcPr>
                <w:p>
                  <w:pPr>
                    <w:widowControl/>
                    <w:adjustRightInd w:val="0"/>
                    <w:snapToGrid w:val="0"/>
                    <w:jc w:val="center"/>
                    <w:rPr>
                      <w:color w:val="000000"/>
                      <w:szCs w:val="21"/>
                    </w:rPr>
                  </w:pPr>
                  <w:r>
                    <w:rPr>
                      <w:rFonts w:hint="eastAsia"/>
                      <w:color w:val="000000"/>
                      <w:szCs w:val="21"/>
                    </w:rPr>
                    <w:t>颗粒物</w:t>
                  </w:r>
                </w:p>
              </w:tc>
              <w:tc>
                <w:tcPr>
                  <w:tcW w:w="971" w:type="pct"/>
                  <w:noWrap w:val="0"/>
                  <w:vAlign w:val="center"/>
                </w:tcPr>
                <w:p>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5.3462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00" w:type="pct"/>
                  <w:gridSpan w:val="6"/>
                  <w:noWrap w:val="0"/>
                  <w:vAlign w:val="center"/>
                </w:tcPr>
                <w:p>
                  <w:pPr>
                    <w:widowControl/>
                    <w:adjustRightInd w:val="0"/>
                    <w:snapToGrid w:val="0"/>
                    <w:jc w:val="center"/>
                    <w:rPr>
                      <w:rFonts w:hint="eastAsia"/>
                      <w:b/>
                      <w:color w:val="000000"/>
                      <w:szCs w:val="21"/>
                    </w:rPr>
                  </w:pPr>
                  <w:r>
                    <w:rPr>
                      <w:rFonts w:hint="eastAsia"/>
                      <w:b/>
                      <w:color w:val="000000"/>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82" w:type="pct"/>
                  <w:gridSpan w:val="2"/>
                  <w:noWrap w:val="0"/>
                  <w:vAlign w:val="center"/>
                </w:tcPr>
                <w:p>
                  <w:pPr>
                    <w:widowControl/>
                    <w:adjustRightInd w:val="0"/>
                    <w:snapToGrid w:val="0"/>
                    <w:jc w:val="center"/>
                    <w:rPr>
                      <w:color w:val="000000"/>
                      <w:szCs w:val="21"/>
                    </w:rPr>
                  </w:pPr>
                  <w:r>
                    <w:rPr>
                      <w:color w:val="000000"/>
                      <w:szCs w:val="21"/>
                    </w:rPr>
                    <w:t>有组织排放总计</w:t>
                  </w:r>
                </w:p>
              </w:tc>
              <w:tc>
                <w:tcPr>
                  <w:tcW w:w="3045" w:type="pct"/>
                  <w:gridSpan w:val="3"/>
                  <w:noWrap w:val="0"/>
                  <w:vAlign w:val="center"/>
                </w:tcPr>
                <w:p>
                  <w:pPr>
                    <w:widowControl/>
                    <w:adjustRightInd w:val="0"/>
                    <w:snapToGrid w:val="0"/>
                    <w:jc w:val="center"/>
                    <w:rPr>
                      <w:color w:val="000000"/>
                      <w:szCs w:val="21"/>
                    </w:rPr>
                  </w:pPr>
                  <w:r>
                    <w:rPr>
                      <w:rFonts w:hint="eastAsia"/>
                      <w:color w:val="000000"/>
                      <w:szCs w:val="21"/>
                    </w:rPr>
                    <w:t>颗粒物</w:t>
                  </w:r>
                </w:p>
              </w:tc>
              <w:tc>
                <w:tcPr>
                  <w:tcW w:w="971" w:type="pct"/>
                  <w:noWrap w:val="0"/>
                  <w:vAlign w:val="center"/>
                </w:tcPr>
                <w:p>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5.3462</w:t>
                  </w:r>
                </w:p>
              </w:tc>
            </w:tr>
          </w:tbl>
          <w:p>
            <w:pPr>
              <w:wordWrap w:val="0"/>
              <w:autoSpaceDE w:val="0"/>
              <w:autoSpaceDN w:val="0"/>
              <w:spacing w:before="240" w:beforeLines="100" w:line="360" w:lineRule="auto"/>
              <w:ind w:firstLine="482" w:firstLineChars="200"/>
              <w:rPr>
                <w:b/>
                <w:sz w:val="24"/>
              </w:rPr>
            </w:pPr>
            <w:r>
              <w:rPr>
                <w:rFonts w:hint="eastAsia" w:cs="宋体"/>
                <w:b/>
                <w:kern w:val="0"/>
                <w:sz w:val="24"/>
                <w:lang w:bidi="ar"/>
              </w:rPr>
              <w:t>2、</w:t>
            </w:r>
            <w:r>
              <w:rPr>
                <w:rFonts w:hint="eastAsia"/>
                <w:b/>
                <w:sz w:val="24"/>
              </w:rPr>
              <w:t>无组织排放量核算</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表4.2-6：大气污染物无组织排放量核算表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409"/>
              <w:gridCol w:w="930"/>
              <w:gridCol w:w="782"/>
              <w:gridCol w:w="999"/>
              <w:gridCol w:w="972"/>
              <w:gridCol w:w="1602"/>
              <w:gridCol w:w="1299"/>
              <w:gridCol w:w="904"/>
              <w:gridCol w:w="7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vMerge w:val="restart"/>
                  <w:noWrap w:val="0"/>
                  <w:vAlign w:val="center"/>
                </w:tcPr>
                <w:p>
                  <w:pPr>
                    <w:jc w:val="center"/>
                    <w:rPr>
                      <w:b/>
                      <w:color w:val="000000"/>
                      <w:kern w:val="0"/>
                      <w:szCs w:val="21"/>
                    </w:rPr>
                  </w:pPr>
                  <w:r>
                    <w:rPr>
                      <w:b/>
                      <w:color w:val="000000"/>
                      <w:kern w:val="0"/>
                      <w:szCs w:val="21"/>
                    </w:rPr>
                    <w:t>序号</w:t>
                  </w:r>
                </w:p>
              </w:tc>
              <w:tc>
                <w:tcPr>
                  <w:tcW w:w="539" w:type="pct"/>
                  <w:vMerge w:val="restart"/>
                  <w:noWrap w:val="0"/>
                  <w:vAlign w:val="center"/>
                </w:tcPr>
                <w:p>
                  <w:pPr>
                    <w:jc w:val="center"/>
                    <w:rPr>
                      <w:b/>
                      <w:color w:val="000000"/>
                      <w:kern w:val="0"/>
                      <w:szCs w:val="21"/>
                    </w:rPr>
                  </w:pPr>
                  <w:r>
                    <w:rPr>
                      <w:b/>
                      <w:color w:val="000000"/>
                      <w:kern w:val="0"/>
                      <w:szCs w:val="21"/>
                    </w:rPr>
                    <w:t>排放源编号</w:t>
                  </w:r>
                </w:p>
              </w:tc>
              <w:tc>
                <w:tcPr>
                  <w:tcW w:w="454" w:type="pct"/>
                  <w:vMerge w:val="restart"/>
                  <w:noWrap w:val="0"/>
                  <w:vAlign w:val="center"/>
                </w:tcPr>
                <w:p>
                  <w:pPr>
                    <w:jc w:val="center"/>
                    <w:rPr>
                      <w:b/>
                      <w:color w:val="000000"/>
                      <w:kern w:val="0"/>
                      <w:szCs w:val="21"/>
                    </w:rPr>
                  </w:pPr>
                  <w:r>
                    <w:rPr>
                      <w:b/>
                      <w:color w:val="000000"/>
                      <w:kern w:val="0"/>
                      <w:szCs w:val="21"/>
                    </w:rPr>
                    <w:t>产污环节</w:t>
                  </w:r>
                </w:p>
              </w:tc>
              <w:tc>
                <w:tcPr>
                  <w:tcW w:w="580" w:type="pct"/>
                  <w:vMerge w:val="restart"/>
                  <w:noWrap w:val="0"/>
                  <w:vAlign w:val="center"/>
                </w:tcPr>
                <w:p>
                  <w:pPr>
                    <w:jc w:val="center"/>
                    <w:rPr>
                      <w:b/>
                      <w:color w:val="000000"/>
                      <w:kern w:val="0"/>
                      <w:szCs w:val="21"/>
                    </w:rPr>
                  </w:pPr>
                  <w:r>
                    <w:rPr>
                      <w:b/>
                      <w:color w:val="000000"/>
                      <w:kern w:val="0"/>
                      <w:szCs w:val="21"/>
                    </w:rPr>
                    <w:t>污染物</w:t>
                  </w:r>
                </w:p>
              </w:tc>
              <w:tc>
                <w:tcPr>
                  <w:tcW w:w="1494" w:type="pct"/>
                  <w:gridSpan w:val="2"/>
                  <w:vMerge w:val="restart"/>
                  <w:noWrap w:val="0"/>
                  <w:vAlign w:val="center"/>
                </w:tcPr>
                <w:p>
                  <w:pPr>
                    <w:jc w:val="center"/>
                    <w:rPr>
                      <w:b/>
                      <w:color w:val="000000"/>
                      <w:kern w:val="0"/>
                      <w:szCs w:val="21"/>
                    </w:rPr>
                  </w:pPr>
                  <w:r>
                    <w:rPr>
                      <w:b/>
                      <w:color w:val="000000"/>
                      <w:kern w:val="0"/>
                      <w:szCs w:val="21"/>
                    </w:rPr>
                    <w:t>主要污染防治措施</w:t>
                  </w:r>
                </w:p>
              </w:tc>
              <w:tc>
                <w:tcPr>
                  <w:tcW w:w="1276" w:type="pct"/>
                  <w:gridSpan w:val="2"/>
                  <w:noWrap w:val="0"/>
                  <w:vAlign w:val="center"/>
                </w:tcPr>
                <w:p>
                  <w:pPr>
                    <w:jc w:val="center"/>
                    <w:rPr>
                      <w:b/>
                      <w:color w:val="000000"/>
                      <w:kern w:val="0"/>
                      <w:szCs w:val="21"/>
                    </w:rPr>
                  </w:pPr>
                  <w:r>
                    <w:rPr>
                      <w:b/>
                      <w:color w:val="000000"/>
                      <w:kern w:val="0"/>
                      <w:szCs w:val="21"/>
                    </w:rPr>
                    <w:t>国家或地方污染物排放标准</w:t>
                  </w:r>
                </w:p>
              </w:tc>
              <w:tc>
                <w:tcPr>
                  <w:tcW w:w="416" w:type="pct"/>
                  <w:vMerge w:val="restart"/>
                  <w:noWrap w:val="0"/>
                  <w:vAlign w:val="center"/>
                </w:tcPr>
                <w:p>
                  <w:pPr>
                    <w:jc w:val="center"/>
                    <w:rPr>
                      <w:b/>
                      <w:color w:val="000000"/>
                      <w:kern w:val="0"/>
                      <w:szCs w:val="21"/>
                    </w:rPr>
                  </w:pPr>
                  <w:r>
                    <w:rPr>
                      <w:b/>
                      <w:color w:val="000000"/>
                      <w:kern w:val="0"/>
                      <w:szCs w:val="21"/>
                    </w:rPr>
                    <w:t>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vMerge w:val="continue"/>
                  <w:noWrap w:val="0"/>
                  <w:vAlign w:val="center"/>
                </w:tcPr>
                <w:p>
                  <w:pPr>
                    <w:jc w:val="center"/>
                    <w:rPr>
                      <w:b/>
                      <w:color w:val="000000"/>
                      <w:kern w:val="0"/>
                      <w:szCs w:val="21"/>
                    </w:rPr>
                  </w:pPr>
                </w:p>
              </w:tc>
              <w:tc>
                <w:tcPr>
                  <w:tcW w:w="539" w:type="pct"/>
                  <w:vMerge w:val="continue"/>
                  <w:noWrap w:val="0"/>
                  <w:vAlign w:val="center"/>
                </w:tcPr>
                <w:p>
                  <w:pPr>
                    <w:jc w:val="center"/>
                    <w:rPr>
                      <w:b/>
                      <w:color w:val="000000"/>
                      <w:kern w:val="0"/>
                      <w:szCs w:val="21"/>
                    </w:rPr>
                  </w:pPr>
                </w:p>
              </w:tc>
              <w:tc>
                <w:tcPr>
                  <w:tcW w:w="454" w:type="pct"/>
                  <w:vMerge w:val="continue"/>
                  <w:noWrap w:val="0"/>
                  <w:vAlign w:val="center"/>
                </w:tcPr>
                <w:p>
                  <w:pPr>
                    <w:jc w:val="center"/>
                    <w:rPr>
                      <w:b/>
                      <w:color w:val="000000"/>
                      <w:kern w:val="0"/>
                      <w:szCs w:val="21"/>
                    </w:rPr>
                  </w:pPr>
                </w:p>
              </w:tc>
              <w:tc>
                <w:tcPr>
                  <w:tcW w:w="580" w:type="pct"/>
                  <w:vMerge w:val="continue"/>
                  <w:noWrap w:val="0"/>
                  <w:vAlign w:val="center"/>
                </w:tcPr>
                <w:p>
                  <w:pPr>
                    <w:jc w:val="center"/>
                    <w:rPr>
                      <w:b/>
                      <w:color w:val="000000"/>
                      <w:kern w:val="0"/>
                      <w:szCs w:val="21"/>
                    </w:rPr>
                  </w:pPr>
                </w:p>
              </w:tc>
              <w:tc>
                <w:tcPr>
                  <w:tcW w:w="1494" w:type="pct"/>
                  <w:gridSpan w:val="2"/>
                  <w:vMerge w:val="continue"/>
                  <w:noWrap w:val="0"/>
                  <w:vAlign w:val="center"/>
                </w:tcPr>
                <w:p>
                  <w:pPr>
                    <w:jc w:val="center"/>
                    <w:rPr>
                      <w:b/>
                      <w:color w:val="000000"/>
                      <w:kern w:val="0"/>
                      <w:szCs w:val="21"/>
                    </w:rPr>
                  </w:pPr>
                </w:p>
              </w:tc>
              <w:tc>
                <w:tcPr>
                  <w:tcW w:w="754" w:type="pct"/>
                  <w:noWrap w:val="0"/>
                  <w:vAlign w:val="center"/>
                </w:tcPr>
                <w:p>
                  <w:pPr>
                    <w:jc w:val="center"/>
                    <w:rPr>
                      <w:b/>
                      <w:color w:val="000000"/>
                      <w:kern w:val="0"/>
                      <w:szCs w:val="21"/>
                    </w:rPr>
                  </w:pPr>
                  <w:r>
                    <w:rPr>
                      <w:b/>
                      <w:color w:val="000000"/>
                      <w:kern w:val="0"/>
                      <w:szCs w:val="21"/>
                    </w:rPr>
                    <w:t>标准名称</w:t>
                  </w:r>
                </w:p>
              </w:tc>
              <w:tc>
                <w:tcPr>
                  <w:tcW w:w="522" w:type="pct"/>
                  <w:noWrap w:val="0"/>
                  <w:vAlign w:val="center"/>
                </w:tcPr>
                <w:p>
                  <w:pPr>
                    <w:jc w:val="center"/>
                    <w:rPr>
                      <w:b/>
                      <w:color w:val="000000"/>
                      <w:kern w:val="0"/>
                      <w:szCs w:val="21"/>
                    </w:rPr>
                  </w:pPr>
                  <w:r>
                    <w:rPr>
                      <w:b/>
                      <w:color w:val="000000"/>
                      <w:kern w:val="0"/>
                      <w:szCs w:val="21"/>
                    </w:rPr>
                    <w:t>浓度限值(</w:t>
                  </w:r>
                  <w:r>
                    <w:rPr>
                      <w:rFonts w:hint="eastAsia"/>
                      <w:b/>
                      <w:color w:val="000000"/>
                      <w:kern w:val="0"/>
                      <w:szCs w:val="21"/>
                    </w:rPr>
                    <w:t>m</w:t>
                  </w:r>
                  <w:r>
                    <w:rPr>
                      <w:b/>
                      <w:color w:val="000000"/>
                      <w:kern w:val="0"/>
                      <w:szCs w:val="21"/>
                    </w:rPr>
                    <w:t>g/m</w:t>
                  </w:r>
                  <w:r>
                    <w:rPr>
                      <w:b/>
                      <w:color w:val="000000"/>
                      <w:kern w:val="0"/>
                      <w:szCs w:val="21"/>
                      <w:vertAlign w:val="superscript"/>
                    </w:rPr>
                    <w:t>3</w:t>
                  </w:r>
                  <w:r>
                    <w:rPr>
                      <w:b/>
                      <w:color w:val="000000"/>
                      <w:kern w:val="0"/>
                      <w:szCs w:val="21"/>
                    </w:rPr>
                    <w:t>)</w:t>
                  </w:r>
                </w:p>
              </w:tc>
              <w:tc>
                <w:tcPr>
                  <w:tcW w:w="416" w:type="pct"/>
                  <w:vMerge w:val="continue"/>
                  <w:noWrap w:val="0"/>
                  <w:vAlign w:val="center"/>
                </w:tcPr>
                <w:p>
                  <w:pPr>
                    <w:jc w:val="center"/>
                    <w:rPr>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17" w:hRule="atLeast"/>
                <w:tblHeader/>
                <w:jc w:val="center"/>
              </w:trPr>
              <w:tc>
                <w:tcPr>
                  <w:tcW w:w="237" w:type="pct"/>
                  <w:noWrap w:val="0"/>
                  <w:vAlign w:val="center"/>
                </w:tcPr>
                <w:p>
                  <w:pPr>
                    <w:jc w:val="center"/>
                    <w:rPr>
                      <w:color w:val="000000"/>
                      <w:kern w:val="0"/>
                      <w:sz w:val="18"/>
                      <w:szCs w:val="18"/>
                    </w:rPr>
                  </w:pPr>
                  <w:r>
                    <w:rPr>
                      <w:color w:val="000000"/>
                      <w:kern w:val="0"/>
                      <w:sz w:val="18"/>
                      <w:szCs w:val="18"/>
                    </w:rPr>
                    <w:t>1</w:t>
                  </w:r>
                </w:p>
              </w:tc>
              <w:tc>
                <w:tcPr>
                  <w:tcW w:w="539" w:type="pct"/>
                  <w:noWrap w:val="0"/>
                  <w:vAlign w:val="center"/>
                </w:tcPr>
                <w:p>
                  <w:pPr>
                    <w:jc w:val="center"/>
                    <w:rPr>
                      <w:color w:val="000000"/>
                      <w:kern w:val="0"/>
                      <w:sz w:val="18"/>
                      <w:szCs w:val="18"/>
                    </w:rPr>
                  </w:pPr>
                  <w:r>
                    <w:rPr>
                      <w:rFonts w:hint="eastAsia"/>
                      <w:color w:val="000000"/>
                      <w:kern w:val="0"/>
                      <w:sz w:val="18"/>
                      <w:szCs w:val="18"/>
                    </w:rPr>
                    <w:t>生产</w:t>
                  </w:r>
                  <w:r>
                    <w:rPr>
                      <w:color w:val="000000"/>
                      <w:kern w:val="0"/>
                      <w:sz w:val="18"/>
                      <w:szCs w:val="18"/>
                    </w:rPr>
                    <w:t>车间无组织A1</w:t>
                  </w:r>
                </w:p>
              </w:tc>
              <w:tc>
                <w:tcPr>
                  <w:tcW w:w="454" w:type="pct"/>
                  <w:noWrap w:val="0"/>
                  <w:vAlign w:val="center"/>
                </w:tcPr>
                <w:p>
                  <w:pPr>
                    <w:jc w:val="center"/>
                    <w:rPr>
                      <w:color w:val="000000"/>
                      <w:kern w:val="0"/>
                      <w:sz w:val="18"/>
                      <w:szCs w:val="18"/>
                    </w:rPr>
                  </w:pPr>
                  <w:r>
                    <w:rPr>
                      <w:rFonts w:hint="eastAsia"/>
                      <w:sz w:val="18"/>
                      <w:szCs w:val="18"/>
                    </w:rPr>
                    <w:t>喂料、破碎、筛分</w:t>
                  </w:r>
                </w:p>
              </w:tc>
              <w:tc>
                <w:tcPr>
                  <w:tcW w:w="580" w:type="pct"/>
                  <w:noWrap w:val="0"/>
                  <w:vAlign w:val="center"/>
                </w:tcPr>
                <w:p>
                  <w:pPr>
                    <w:widowControl/>
                    <w:jc w:val="center"/>
                    <w:rPr>
                      <w:rFonts w:hint="eastAsia"/>
                      <w:color w:val="000000"/>
                      <w:kern w:val="0"/>
                      <w:sz w:val="18"/>
                      <w:szCs w:val="18"/>
                    </w:rPr>
                  </w:pPr>
                  <w:r>
                    <w:rPr>
                      <w:rFonts w:hint="eastAsia"/>
                      <w:color w:val="000000"/>
                      <w:kern w:val="0"/>
                      <w:sz w:val="18"/>
                      <w:szCs w:val="18"/>
                    </w:rPr>
                    <w:t>颗粒物</w:t>
                  </w:r>
                </w:p>
              </w:tc>
              <w:tc>
                <w:tcPr>
                  <w:tcW w:w="1494" w:type="pct"/>
                  <w:gridSpan w:val="2"/>
                  <w:tcBorders>
                    <w:bottom w:val="single" w:color="auto" w:sz="4" w:space="0"/>
                  </w:tcBorders>
                  <w:noWrap w:val="0"/>
                  <w:vAlign w:val="center"/>
                </w:tcPr>
                <w:p>
                  <w:pPr>
                    <w:autoSpaceDE w:val="0"/>
                    <w:autoSpaceDN w:val="0"/>
                    <w:jc w:val="center"/>
                    <w:rPr>
                      <w:rFonts w:hint="eastAsia" w:eastAsia="宋体"/>
                      <w:color w:val="000000"/>
                      <w:sz w:val="18"/>
                      <w:szCs w:val="18"/>
                      <w:lang w:eastAsia="zh-CN"/>
                    </w:rPr>
                  </w:pPr>
                  <w:r>
                    <w:rPr>
                      <w:rFonts w:hint="eastAsia"/>
                      <w:color w:val="auto"/>
                      <w:kern w:val="0"/>
                      <w:sz w:val="18"/>
                      <w:szCs w:val="18"/>
                      <w:highlight w:val="none"/>
                      <w:lang w:eastAsia="zh-CN"/>
                    </w:rPr>
                    <w:t>洒水降尘、</w:t>
                  </w:r>
                  <w:r>
                    <w:rPr>
                      <w:rFonts w:hint="eastAsia"/>
                      <w:color w:val="auto"/>
                      <w:kern w:val="0"/>
                      <w:sz w:val="18"/>
                      <w:szCs w:val="18"/>
                      <w:highlight w:val="none"/>
                      <w:lang w:val="en-US" w:eastAsia="zh-CN"/>
                    </w:rPr>
                    <w:t>车间密闭</w:t>
                  </w:r>
                </w:p>
              </w:tc>
              <w:tc>
                <w:tcPr>
                  <w:tcW w:w="754" w:type="pct"/>
                  <w:vMerge w:val="restart"/>
                  <w:noWrap w:val="0"/>
                  <w:vAlign w:val="center"/>
                </w:tcPr>
                <w:p>
                  <w:pPr>
                    <w:jc w:val="center"/>
                    <w:rPr>
                      <w:color w:val="000000"/>
                      <w:kern w:val="0"/>
                      <w:sz w:val="18"/>
                      <w:szCs w:val="18"/>
                    </w:rPr>
                  </w:pPr>
                  <w:r>
                    <w:rPr>
                      <w:rFonts w:hint="eastAsia"/>
                      <w:kern w:val="0"/>
                      <w:sz w:val="18"/>
                      <w:szCs w:val="18"/>
                    </w:rPr>
                    <w:t>《大气污染物综合排放标准（GB16297-1996）》表2新污染源大气污染物排放限值无组织排放监控浓度限值</w:t>
                  </w:r>
                </w:p>
              </w:tc>
              <w:tc>
                <w:tcPr>
                  <w:tcW w:w="522" w:type="pct"/>
                  <w:noWrap w:val="0"/>
                  <w:vAlign w:val="center"/>
                </w:tcPr>
                <w:p>
                  <w:pPr>
                    <w:jc w:val="center"/>
                    <w:rPr>
                      <w:color w:val="000000"/>
                      <w:kern w:val="0"/>
                      <w:sz w:val="18"/>
                      <w:szCs w:val="18"/>
                    </w:rPr>
                  </w:pPr>
                  <w:r>
                    <w:rPr>
                      <w:rFonts w:hint="eastAsia"/>
                      <w:color w:val="000000"/>
                      <w:kern w:val="0"/>
                      <w:sz w:val="18"/>
                      <w:szCs w:val="18"/>
                    </w:rPr>
                    <w:t>1.0</w:t>
                  </w:r>
                </w:p>
              </w:tc>
              <w:tc>
                <w:tcPr>
                  <w:tcW w:w="416" w:type="pct"/>
                  <w:noWrap w:val="0"/>
                  <w:vAlign w:val="center"/>
                </w:tcPr>
                <w:p>
                  <w:pPr>
                    <w:jc w:val="center"/>
                    <w:rPr>
                      <w:rFonts w:hint="default" w:eastAsia="宋体"/>
                      <w:color w:val="000000"/>
                      <w:kern w:val="0"/>
                      <w:sz w:val="18"/>
                      <w:szCs w:val="18"/>
                      <w:lang w:val="en-US" w:eastAsia="zh-CN"/>
                    </w:rPr>
                  </w:pPr>
                  <w:r>
                    <w:rPr>
                      <w:rFonts w:hint="eastAsia"/>
                      <w:sz w:val="18"/>
                      <w:szCs w:val="18"/>
                      <w:lang w:val="en-US" w:eastAsia="zh-CN"/>
                    </w:rPr>
                    <w:t>2.9701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noWrap w:val="0"/>
                  <w:vAlign w:val="center"/>
                </w:tcPr>
                <w:p>
                  <w:pPr>
                    <w:jc w:val="center"/>
                    <w:rPr>
                      <w:color w:val="000000"/>
                      <w:kern w:val="0"/>
                      <w:sz w:val="18"/>
                      <w:szCs w:val="18"/>
                    </w:rPr>
                  </w:pPr>
                  <w:r>
                    <w:rPr>
                      <w:rFonts w:hint="eastAsia"/>
                      <w:color w:val="000000"/>
                      <w:kern w:val="0"/>
                      <w:sz w:val="18"/>
                      <w:szCs w:val="18"/>
                    </w:rPr>
                    <w:t>2</w:t>
                  </w:r>
                </w:p>
              </w:tc>
              <w:tc>
                <w:tcPr>
                  <w:tcW w:w="539" w:type="pct"/>
                  <w:noWrap w:val="0"/>
                  <w:vAlign w:val="center"/>
                </w:tcPr>
                <w:p>
                  <w:pPr>
                    <w:jc w:val="center"/>
                    <w:rPr>
                      <w:rFonts w:hint="eastAsia"/>
                      <w:color w:val="000000"/>
                      <w:kern w:val="0"/>
                      <w:sz w:val="18"/>
                      <w:szCs w:val="18"/>
                    </w:rPr>
                  </w:pPr>
                  <w:r>
                    <w:rPr>
                      <w:rFonts w:hint="eastAsia"/>
                      <w:color w:val="000000"/>
                      <w:kern w:val="0"/>
                      <w:sz w:val="18"/>
                      <w:szCs w:val="18"/>
                    </w:rPr>
                    <w:t>原料</w:t>
                  </w:r>
                  <w:r>
                    <w:rPr>
                      <w:rFonts w:hint="eastAsia"/>
                      <w:color w:val="000000"/>
                      <w:kern w:val="0"/>
                      <w:sz w:val="18"/>
                      <w:szCs w:val="18"/>
                      <w:lang w:eastAsia="zh-CN"/>
                    </w:rPr>
                    <w:t>堆场装卸无组织</w:t>
                  </w:r>
                  <w:r>
                    <w:rPr>
                      <w:color w:val="000000"/>
                      <w:kern w:val="0"/>
                      <w:sz w:val="18"/>
                      <w:szCs w:val="18"/>
                    </w:rPr>
                    <w:t>A</w:t>
                  </w:r>
                  <w:r>
                    <w:rPr>
                      <w:rFonts w:hint="eastAsia"/>
                      <w:color w:val="000000"/>
                      <w:kern w:val="0"/>
                      <w:sz w:val="18"/>
                      <w:szCs w:val="18"/>
                    </w:rPr>
                    <w:t>2</w:t>
                  </w:r>
                </w:p>
              </w:tc>
              <w:tc>
                <w:tcPr>
                  <w:tcW w:w="454" w:type="pct"/>
                  <w:noWrap w:val="0"/>
                  <w:vAlign w:val="center"/>
                </w:tcPr>
                <w:p>
                  <w:pPr>
                    <w:jc w:val="center"/>
                    <w:rPr>
                      <w:color w:val="000000"/>
                      <w:kern w:val="0"/>
                      <w:sz w:val="18"/>
                      <w:szCs w:val="18"/>
                    </w:rPr>
                  </w:pPr>
                  <w:r>
                    <w:rPr>
                      <w:rFonts w:hint="eastAsia"/>
                      <w:sz w:val="18"/>
                      <w:szCs w:val="18"/>
                    </w:rPr>
                    <w:t>装卸</w:t>
                  </w:r>
                </w:p>
              </w:tc>
              <w:tc>
                <w:tcPr>
                  <w:tcW w:w="580" w:type="pct"/>
                  <w:noWrap w:val="0"/>
                  <w:vAlign w:val="center"/>
                </w:tcPr>
                <w:p>
                  <w:pPr>
                    <w:widowControl/>
                    <w:jc w:val="center"/>
                    <w:rPr>
                      <w:color w:val="000000"/>
                      <w:kern w:val="0"/>
                      <w:sz w:val="18"/>
                      <w:szCs w:val="18"/>
                    </w:rPr>
                  </w:pPr>
                  <w:r>
                    <w:rPr>
                      <w:rFonts w:hint="eastAsia"/>
                      <w:color w:val="000000"/>
                      <w:kern w:val="0"/>
                      <w:sz w:val="18"/>
                      <w:szCs w:val="18"/>
                    </w:rPr>
                    <w:t>颗粒物</w:t>
                  </w:r>
                </w:p>
              </w:tc>
              <w:tc>
                <w:tcPr>
                  <w:tcW w:w="1494" w:type="pct"/>
                  <w:gridSpan w:val="2"/>
                  <w:tcBorders>
                    <w:top w:val="single" w:color="auto" w:sz="4" w:space="0"/>
                  </w:tcBorders>
                  <w:noWrap w:val="0"/>
                  <w:vAlign w:val="center"/>
                </w:tcPr>
                <w:p>
                  <w:pPr>
                    <w:autoSpaceDE w:val="0"/>
                    <w:autoSpaceDN w:val="0"/>
                    <w:jc w:val="center"/>
                    <w:rPr>
                      <w:rFonts w:hint="eastAsia" w:eastAsia="宋体"/>
                      <w:color w:val="000000"/>
                      <w:kern w:val="0"/>
                      <w:sz w:val="18"/>
                      <w:szCs w:val="18"/>
                      <w:lang w:eastAsia="zh-CN"/>
                    </w:rPr>
                  </w:pPr>
                  <w:r>
                    <w:rPr>
                      <w:rFonts w:hint="eastAsia"/>
                      <w:sz w:val="18"/>
                      <w:szCs w:val="18"/>
                      <w:lang w:eastAsia="zh-CN"/>
                    </w:rPr>
                    <w:t>原料堆场进场土工布苫盖，</w:t>
                  </w:r>
                  <w:r>
                    <w:rPr>
                      <w:rFonts w:hint="eastAsia"/>
                      <w:sz w:val="18"/>
                      <w:szCs w:val="18"/>
                    </w:rPr>
                    <w:t>在卸料处设置</w:t>
                  </w:r>
                  <w:r>
                    <w:rPr>
                      <w:rFonts w:hint="eastAsia"/>
                      <w:sz w:val="18"/>
                      <w:szCs w:val="18"/>
                      <w:lang w:eastAsia="zh-CN"/>
                    </w:rPr>
                    <w:t>雾炮机进行降尘</w:t>
                  </w:r>
                </w:p>
              </w:tc>
              <w:tc>
                <w:tcPr>
                  <w:tcW w:w="754" w:type="pct"/>
                  <w:vMerge w:val="continue"/>
                  <w:noWrap w:val="0"/>
                  <w:vAlign w:val="center"/>
                </w:tcPr>
                <w:p>
                  <w:pPr>
                    <w:jc w:val="center"/>
                    <w:rPr>
                      <w:color w:val="000000"/>
                      <w:kern w:val="0"/>
                      <w:sz w:val="18"/>
                      <w:szCs w:val="18"/>
                    </w:rPr>
                  </w:pPr>
                </w:p>
              </w:tc>
              <w:tc>
                <w:tcPr>
                  <w:tcW w:w="522" w:type="pct"/>
                  <w:noWrap w:val="0"/>
                  <w:vAlign w:val="center"/>
                </w:tcPr>
                <w:p>
                  <w:pPr>
                    <w:jc w:val="center"/>
                    <w:rPr>
                      <w:color w:val="000000"/>
                      <w:kern w:val="0"/>
                      <w:sz w:val="18"/>
                      <w:szCs w:val="18"/>
                    </w:rPr>
                  </w:pPr>
                  <w:r>
                    <w:rPr>
                      <w:rFonts w:hint="eastAsia"/>
                      <w:color w:val="000000"/>
                      <w:kern w:val="0"/>
                      <w:sz w:val="18"/>
                      <w:szCs w:val="18"/>
                    </w:rPr>
                    <w:t>1.0</w:t>
                  </w:r>
                </w:p>
              </w:tc>
              <w:tc>
                <w:tcPr>
                  <w:tcW w:w="416" w:type="pct"/>
                  <w:noWrap w:val="0"/>
                  <w:vAlign w:val="center"/>
                </w:tcPr>
                <w:p>
                  <w:pPr>
                    <w:jc w:val="center"/>
                    <w:rPr>
                      <w:rFonts w:hint="eastAsia"/>
                      <w:kern w:val="0"/>
                      <w:sz w:val="18"/>
                      <w:szCs w:val="18"/>
                    </w:rPr>
                  </w:pPr>
                  <w:r>
                    <w:rPr>
                      <w:kern w:val="0"/>
                      <w:sz w:val="18"/>
                      <w:szCs w:val="18"/>
                    </w:rPr>
                    <w:t>0.0053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noWrap w:val="0"/>
                  <w:vAlign w:val="center"/>
                </w:tcPr>
                <w:p>
                  <w:pPr>
                    <w:jc w:val="center"/>
                    <w:rPr>
                      <w:rFonts w:hint="eastAsia"/>
                      <w:color w:val="000000"/>
                      <w:kern w:val="0"/>
                      <w:sz w:val="18"/>
                      <w:szCs w:val="18"/>
                      <w:highlight w:val="none"/>
                    </w:rPr>
                  </w:pPr>
                  <w:r>
                    <w:rPr>
                      <w:rFonts w:hint="eastAsia"/>
                      <w:color w:val="000000"/>
                      <w:kern w:val="0"/>
                      <w:sz w:val="18"/>
                      <w:szCs w:val="18"/>
                      <w:highlight w:val="none"/>
                    </w:rPr>
                    <w:t>3</w:t>
                  </w:r>
                </w:p>
              </w:tc>
              <w:tc>
                <w:tcPr>
                  <w:tcW w:w="539" w:type="pct"/>
                  <w:noWrap w:val="0"/>
                  <w:vAlign w:val="center"/>
                </w:tcPr>
                <w:p>
                  <w:pPr>
                    <w:jc w:val="center"/>
                    <w:rPr>
                      <w:color w:val="000000"/>
                      <w:kern w:val="0"/>
                      <w:sz w:val="18"/>
                      <w:szCs w:val="18"/>
                      <w:highlight w:val="none"/>
                    </w:rPr>
                  </w:pPr>
                  <w:r>
                    <w:rPr>
                      <w:rFonts w:hint="eastAsia"/>
                      <w:color w:val="000000"/>
                      <w:kern w:val="0"/>
                      <w:sz w:val="18"/>
                      <w:szCs w:val="18"/>
                      <w:highlight w:val="none"/>
                      <w:lang w:eastAsia="zh-CN"/>
                    </w:rPr>
                    <w:t>产品仓库产品运输无组织</w:t>
                  </w:r>
                  <w:r>
                    <w:rPr>
                      <w:rFonts w:hint="eastAsia"/>
                      <w:color w:val="000000"/>
                      <w:kern w:val="0"/>
                      <w:sz w:val="18"/>
                      <w:szCs w:val="18"/>
                      <w:highlight w:val="none"/>
                    </w:rPr>
                    <w:t>A3</w:t>
                  </w:r>
                </w:p>
              </w:tc>
              <w:tc>
                <w:tcPr>
                  <w:tcW w:w="454" w:type="pct"/>
                  <w:noWrap w:val="0"/>
                  <w:vAlign w:val="center"/>
                </w:tcPr>
                <w:p>
                  <w:pPr>
                    <w:jc w:val="center"/>
                    <w:rPr>
                      <w:color w:val="000000"/>
                      <w:kern w:val="0"/>
                      <w:sz w:val="18"/>
                      <w:szCs w:val="18"/>
                      <w:highlight w:val="none"/>
                    </w:rPr>
                  </w:pPr>
                  <w:r>
                    <w:rPr>
                      <w:rFonts w:hint="eastAsia"/>
                      <w:sz w:val="18"/>
                      <w:szCs w:val="18"/>
                      <w:highlight w:val="none"/>
                      <w:lang w:eastAsia="zh-CN"/>
                    </w:rPr>
                    <w:t>产品</w:t>
                  </w:r>
                  <w:r>
                    <w:rPr>
                      <w:rFonts w:hint="eastAsia"/>
                      <w:sz w:val="18"/>
                      <w:szCs w:val="18"/>
                      <w:highlight w:val="none"/>
                    </w:rPr>
                    <w:t>运输</w:t>
                  </w:r>
                </w:p>
              </w:tc>
              <w:tc>
                <w:tcPr>
                  <w:tcW w:w="580" w:type="pct"/>
                  <w:noWrap w:val="0"/>
                  <w:vAlign w:val="center"/>
                </w:tcPr>
                <w:p>
                  <w:pPr>
                    <w:widowControl/>
                    <w:jc w:val="center"/>
                    <w:rPr>
                      <w:color w:val="000000"/>
                      <w:kern w:val="0"/>
                      <w:sz w:val="18"/>
                      <w:szCs w:val="18"/>
                      <w:highlight w:val="none"/>
                    </w:rPr>
                  </w:pPr>
                  <w:r>
                    <w:rPr>
                      <w:rFonts w:hint="eastAsia"/>
                      <w:color w:val="000000"/>
                      <w:kern w:val="0"/>
                      <w:sz w:val="18"/>
                      <w:szCs w:val="18"/>
                      <w:highlight w:val="none"/>
                    </w:rPr>
                    <w:t>颗粒物</w:t>
                  </w:r>
                </w:p>
              </w:tc>
              <w:tc>
                <w:tcPr>
                  <w:tcW w:w="1494" w:type="pct"/>
                  <w:gridSpan w:val="2"/>
                  <w:noWrap w:val="0"/>
                  <w:vAlign w:val="center"/>
                </w:tcPr>
                <w:p>
                  <w:pPr>
                    <w:jc w:val="center"/>
                    <w:rPr>
                      <w:color w:val="000000"/>
                      <w:kern w:val="0"/>
                      <w:sz w:val="18"/>
                      <w:szCs w:val="18"/>
                      <w:highlight w:val="none"/>
                    </w:rPr>
                  </w:pPr>
                  <w:r>
                    <w:rPr>
                      <w:rFonts w:hint="eastAsia"/>
                      <w:sz w:val="18"/>
                      <w:szCs w:val="18"/>
                      <w:highlight w:val="none"/>
                    </w:rPr>
                    <w:t>定期派专人进行路面清扫，保持路面清洁、定期对路面进行洒水抑尘</w:t>
                  </w:r>
                  <w:r>
                    <w:rPr>
                      <w:rFonts w:hint="eastAsia"/>
                      <w:sz w:val="18"/>
                      <w:szCs w:val="18"/>
                      <w:highlight w:val="none"/>
                      <w:lang w:eastAsia="zh-CN"/>
                    </w:rPr>
                    <w:t>、运输车辆进场土工布覆盖</w:t>
                  </w:r>
                </w:p>
              </w:tc>
              <w:tc>
                <w:tcPr>
                  <w:tcW w:w="754" w:type="pct"/>
                  <w:vMerge w:val="continue"/>
                  <w:noWrap w:val="0"/>
                  <w:vAlign w:val="center"/>
                </w:tcPr>
                <w:p>
                  <w:pPr>
                    <w:jc w:val="center"/>
                    <w:rPr>
                      <w:color w:val="000000"/>
                      <w:kern w:val="0"/>
                      <w:sz w:val="18"/>
                      <w:szCs w:val="18"/>
                    </w:rPr>
                  </w:pPr>
                </w:p>
              </w:tc>
              <w:tc>
                <w:tcPr>
                  <w:tcW w:w="522" w:type="pct"/>
                  <w:noWrap w:val="0"/>
                  <w:vAlign w:val="center"/>
                </w:tcPr>
                <w:p>
                  <w:pPr>
                    <w:jc w:val="center"/>
                    <w:rPr>
                      <w:color w:val="000000"/>
                      <w:kern w:val="0"/>
                      <w:sz w:val="18"/>
                      <w:szCs w:val="18"/>
                    </w:rPr>
                  </w:pPr>
                  <w:r>
                    <w:rPr>
                      <w:rFonts w:hint="eastAsia"/>
                      <w:color w:val="000000"/>
                      <w:kern w:val="0"/>
                      <w:sz w:val="18"/>
                      <w:szCs w:val="18"/>
                    </w:rPr>
                    <w:t>1.0</w:t>
                  </w:r>
                </w:p>
              </w:tc>
              <w:tc>
                <w:tcPr>
                  <w:tcW w:w="416" w:type="pct"/>
                  <w:noWrap w:val="0"/>
                  <w:vAlign w:val="center"/>
                </w:tcPr>
                <w:p>
                  <w:pPr>
                    <w:jc w:val="center"/>
                    <w:rPr>
                      <w:rFonts w:hint="eastAsia"/>
                      <w:kern w:val="0"/>
                      <w:sz w:val="18"/>
                      <w:szCs w:val="18"/>
                    </w:rPr>
                  </w:pPr>
                  <w:r>
                    <w:rPr>
                      <w:kern w:val="0"/>
                      <w:sz w:val="18"/>
                      <w:szCs w:val="18"/>
                    </w:rPr>
                    <w:t>0.1512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noWrap w:val="0"/>
                  <w:vAlign w:val="center"/>
                </w:tcPr>
                <w:p>
                  <w:pPr>
                    <w:jc w:val="center"/>
                    <w:rPr>
                      <w:rFonts w:hint="eastAsia"/>
                      <w:color w:val="000000"/>
                      <w:kern w:val="0"/>
                      <w:sz w:val="18"/>
                      <w:szCs w:val="18"/>
                    </w:rPr>
                  </w:pPr>
                  <w:r>
                    <w:rPr>
                      <w:rFonts w:hint="eastAsia"/>
                      <w:color w:val="000000"/>
                      <w:kern w:val="0"/>
                      <w:sz w:val="18"/>
                      <w:szCs w:val="18"/>
                    </w:rPr>
                    <w:t>4</w:t>
                  </w:r>
                </w:p>
              </w:tc>
              <w:tc>
                <w:tcPr>
                  <w:tcW w:w="539" w:type="pct"/>
                  <w:noWrap w:val="0"/>
                  <w:vAlign w:val="center"/>
                </w:tcPr>
                <w:p>
                  <w:pPr>
                    <w:jc w:val="center"/>
                    <w:rPr>
                      <w:color w:val="000000"/>
                      <w:kern w:val="0"/>
                      <w:sz w:val="18"/>
                      <w:szCs w:val="18"/>
                    </w:rPr>
                  </w:pPr>
                  <w:r>
                    <w:rPr>
                      <w:rFonts w:hint="eastAsia"/>
                      <w:color w:val="000000"/>
                      <w:kern w:val="0"/>
                      <w:sz w:val="18"/>
                      <w:szCs w:val="18"/>
                    </w:rPr>
                    <w:t>产品仓库</w:t>
                  </w:r>
                  <w:r>
                    <w:rPr>
                      <w:rFonts w:hint="eastAsia"/>
                      <w:color w:val="000000"/>
                      <w:kern w:val="0"/>
                      <w:sz w:val="18"/>
                      <w:szCs w:val="18"/>
                      <w:lang w:eastAsia="zh-CN"/>
                    </w:rPr>
                    <w:t>产品堆场无组织</w:t>
                  </w:r>
                  <w:r>
                    <w:rPr>
                      <w:rFonts w:hint="eastAsia"/>
                      <w:color w:val="000000"/>
                      <w:kern w:val="0"/>
                      <w:sz w:val="18"/>
                      <w:szCs w:val="18"/>
                    </w:rPr>
                    <w:t>A4</w:t>
                  </w:r>
                </w:p>
              </w:tc>
              <w:tc>
                <w:tcPr>
                  <w:tcW w:w="454" w:type="pct"/>
                  <w:noWrap w:val="0"/>
                  <w:vAlign w:val="center"/>
                </w:tcPr>
                <w:p>
                  <w:pPr>
                    <w:jc w:val="center"/>
                    <w:rPr>
                      <w:color w:val="000000"/>
                      <w:kern w:val="0"/>
                      <w:sz w:val="18"/>
                      <w:szCs w:val="18"/>
                    </w:rPr>
                  </w:pPr>
                  <w:r>
                    <w:rPr>
                      <w:rFonts w:hint="eastAsia"/>
                      <w:sz w:val="18"/>
                      <w:szCs w:val="18"/>
                    </w:rPr>
                    <w:t>产品堆放</w:t>
                  </w:r>
                </w:p>
              </w:tc>
              <w:tc>
                <w:tcPr>
                  <w:tcW w:w="580" w:type="pct"/>
                  <w:noWrap w:val="0"/>
                  <w:vAlign w:val="center"/>
                </w:tcPr>
                <w:p>
                  <w:pPr>
                    <w:widowControl/>
                    <w:jc w:val="center"/>
                    <w:rPr>
                      <w:color w:val="000000"/>
                      <w:kern w:val="0"/>
                      <w:sz w:val="18"/>
                      <w:szCs w:val="18"/>
                    </w:rPr>
                  </w:pPr>
                  <w:r>
                    <w:rPr>
                      <w:rFonts w:hint="eastAsia"/>
                      <w:color w:val="000000"/>
                      <w:kern w:val="0"/>
                      <w:sz w:val="18"/>
                      <w:szCs w:val="18"/>
                    </w:rPr>
                    <w:t>颗粒物</w:t>
                  </w:r>
                </w:p>
              </w:tc>
              <w:tc>
                <w:tcPr>
                  <w:tcW w:w="1494" w:type="pct"/>
                  <w:gridSpan w:val="2"/>
                  <w:noWrap w:val="0"/>
                  <w:vAlign w:val="center"/>
                </w:tcPr>
                <w:p>
                  <w:pPr>
                    <w:jc w:val="center"/>
                    <w:rPr>
                      <w:color w:val="000000"/>
                      <w:kern w:val="0"/>
                      <w:sz w:val="18"/>
                      <w:szCs w:val="18"/>
                    </w:rPr>
                  </w:pPr>
                  <w:r>
                    <w:rPr>
                      <w:rFonts w:hint="eastAsia"/>
                      <w:sz w:val="18"/>
                      <w:szCs w:val="18"/>
                    </w:rPr>
                    <w:t>三面封闭钢架棚结构并配备喷淋设施对堆场进行酒水降尘</w:t>
                  </w:r>
                </w:p>
              </w:tc>
              <w:tc>
                <w:tcPr>
                  <w:tcW w:w="754" w:type="pct"/>
                  <w:vMerge w:val="continue"/>
                  <w:noWrap w:val="0"/>
                  <w:vAlign w:val="center"/>
                </w:tcPr>
                <w:p>
                  <w:pPr>
                    <w:jc w:val="center"/>
                    <w:rPr>
                      <w:color w:val="000000"/>
                      <w:kern w:val="0"/>
                      <w:sz w:val="18"/>
                      <w:szCs w:val="18"/>
                    </w:rPr>
                  </w:pPr>
                </w:p>
              </w:tc>
              <w:tc>
                <w:tcPr>
                  <w:tcW w:w="522" w:type="pct"/>
                  <w:noWrap w:val="0"/>
                  <w:vAlign w:val="center"/>
                </w:tcPr>
                <w:p>
                  <w:pPr>
                    <w:jc w:val="center"/>
                    <w:rPr>
                      <w:color w:val="000000"/>
                      <w:kern w:val="0"/>
                      <w:sz w:val="18"/>
                      <w:szCs w:val="18"/>
                    </w:rPr>
                  </w:pPr>
                  <w:r>
                    <w:rPr>
                      <w:rFonts w:hint="eastAsia"/>
                      <w:color w:val="000000"/>
                      <w:kern w:val="0"/>
                      <w:sz w:val="18"/>
                      <w:szCs w:val="18"/>
                    </w:rPr>
                    <w:t>1.0</w:t>
                  </w:r>
                </w:p>
              </w:tc>
              <w:tc>
                <w:tcPr>
                  <w:tcW w:w="416" w:type="pct"/>
                  <w:noWrap w:val="0"/>
                  <w:vAlign w:val="center"/>
                </w:tcPr>
                <w:p>
                  <w:pPr>
                    <w:jc w:val="center"/>
                    <w:rPr>
                      <w:rFonts w:hint="eastAsia"/>
                      <w:kern w:val="0"/>
                      <w:sz w:val="18"/>
                      <w:szCs w:val="18"/>
                    </w:rPr>
                  </w:pPr>
                  <w:r>
                    <w:rPr>
                      <w:kern w:val="0"/>
                      <w:sz w:val="18"/>
                      <w:szCs w:val="18"/>
                    </w:rPr>
                    <w:t>0.0333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noWrap w:val="0"/>
                  <w:vAlign w:val="center"/>
                </w:tcPr>
                <w:p>
                  <w:pPr>
                    <w:jc w:val="center"/>
                    <w:rPr>
                      <w:color w:val="000000"/>
                      <w:kern w:val="0"/>
                      <w:sz w:val="18"/>
                      <w:szCs w:val="18"/>
                    </w:rPr>
                  </w:pPr>
                  <w:r>
                    <w:rPr>
                      <w:rFonts w:hint="eastAsia"/>
                      <w:color w:val="000000"/>
                      <w:kern w:val="0"/>
                      <w:sz w:val="18"/>
                      <w:szCs w:val="18"/>
                    </w:rPr>
                    <w:t>5</w:t>
                  </w:r>
                </w:p>
              </w:tc>
              <w:tc>
                <w:tcPr>
                  <w:tcW w:w="539" w:type="pct"/>
                  <w:noWrap w:val="0"/>
                  <w:vAlign w:val="center"/>
                </w:tcPr>
                <w:p>
                  <w:pPr>
                    <w:jc w:val="center"/>
                    <w:rPr>
                      <w:color w:val="000000"/>
                      <w:kern w:val="0"/>
                      <w:sz w:val="18"/>
                      <w:szCs w:val="18"/>
                    </w:rPr>
                  </w:pPr>
                  <w:r>
                    <w:rPr>
                      <w:rFonts w:hint="eastAsia"/>
                      <w:sz w:val="18"/>
                      <w:szCs w:val="18"/>
                    </w:rPr>
                    <w:t>皮带输送</w:t>
                  </w:r>
                  <w:r>
                    <w:rPr>
                      <w:rFonts w:hint="eastAsia"/>
                      <w:sz w:val="18"/>
                      <w:szCs w:val="18"/>
                      <w:lang w:eastAsia="zh-CN"/>
                    </w:rPr>
                    <w:t>无组织</w:t>
                  </w:r>
                  <w:r>
                    <w:rPr>
                      <w:rFonts w:hint="eastAsia"/>
                      <w:sz w:val="18"/>
                      <w:szCs w:val="18"/>
                    </w:rPr>
                    <w:t>A5</w:t>
                  </w:r>
                </w:p>
              </w:tc>
              <w:tc>
                <w:tcPr>
                  <w:tcW w:w="454" w:type="pct"/>
                  <w:noWrap w:val="0"/>
                  <w:vAlign w:val="center"/>
                </w:tcPr>
                <w:p>
                  <w:pPr>
                    <w:jc w:val="center"/>
                    <w:rPr>
                      <w:sz w:val="18"/>
                      <w:szCs w:val="18"/>
                    </w:rPr>
                  </w:pPr>
                  <w:r>
                    <w:rPr>
                      <w:rFonts w:hint="eastAsia"/>
                      <w:sz w:val="18"/>
                      <w:szCs w:val="18"/>
                    </w:rPr>
                    <w:t>皮带输送</w:t>
                  </w:r>
                </w:p>
              </w:tc>
              <w:tc>
                <w:tcPr>
                  <w:tcW w:w="580" w:type="pct"/>
                  <w:noWrap w:val="0"/>
                  <w:vAlign w:val="center"/>
                </w:tcPr>
                <w:p>
                  <w:pPr>
                    <w:widowControl/>
                    <w:jc w:val="center"/>
                    <w:rPr>
                      <w:rFonts w:hint="eastAsia"/>
                      <w:color w:val="000000"/>
                      <w:kern w:val="0"/>
                      <w:sz w:val="18"/>
                      <w:szCs w:val="18"/>
                    </w:rPr>
                  </w:pPr>
                  <w:r>
                    <w:rPr>
                      <w:rFonts w:hint="eastAsia"/>
                      <w:color w:val="000000"/>
                      <w:kern w:val="0"/>
                      <w:sz w:val="18"/>
                      <w:szCs w:val="18"/>
                    </w:rPr>
                    <w:t>颗粒物</w:t>
                  </w:r>
                </w:p>
              </w:tc>
              <w:tc>
                <w:tcPr>
                  <w:tcW w:w="1494" w:type="pct"/>
                  <w:gridSpan w:val="2"/>
                  <w:noWrap w:val="0"/>
                  <w:vAlign w:val="center"/>
                </w:tcPr>
                <w:p>
                  <w:pPr>
                    <w:jc w:val="center"/>
                    <w:rPr>
                      <w:rFonts w:hint="eastAsia"/>
                      <w:sz w:val="18"/>
                      <w:szCs w:val="18"/>
                    </w:rPr>
                  </w:pPr>
                  <w:r>
                    <w:rPr>
                      <w:rFonts w:hint="eastAsia"/>
                      <w:sz w:val="18"/>
                      <w:szCs w:val="18"/>
                    </w:rPr>
                    <w:t>安装皮带廊道密闭和在落料口设置喷雾洒水抑尘措施</w:t>
                  </w:r>
                </w:p>
              </w:tc>
              <w:tc>
                <w:tcPr>
                  <w:tcW w:w="754" w:type="pct"/>
                  <w:vMerge w:val="continue"/>
                  <w:noWrap w:val="0"/>
                  <w:vAlign w:val="center"/>
                </w:tcPr>
                <w:p>
                  <w:pPr>
                    <w:jc w:val="center"/>
                    <w:rPr>
                      <w:color w:val="000000"/>
                      <w:kern w:val="0"/>
                      <w:sz w:val="18"/>
                      <w:szCs w:val="18"/>
                    </w:rPr>
                  </w:pPr>
                </w:p>
              </w:tc>
              <w:tc>
                <w:tcPr>
                  <w:tcW w:w="522" w:type="pct"/>
                  <w:noWrap w:val="0"/>
                  <w:vAlign w:val="center"/>
                </w:tcPr>
                <w:p>
                  <w:pPr>
                    <w:jc w:val="center"/>
                    <w:rPr>
                      <w:color w:val="000000"/>
                      <w:kern w:val="0"/>
                      <w:sz w:val="18"/>
                      <w:szCs w:val="18"/>
                    </w:rPr>
                  </w:pPr>
                  <w:r>
                    <w:rPr>
                      <w:rFonts w:hint="eastAsia"/>
                      <w:color w:val="000000"/>
                      <w:kern w:val="0"/>
                      <w:sz w:val="18"/>
                      <w:szCs w:val="18"/>
                    </w:rPr>
                    <w:t>1.0</w:t>
                  </w:r>
                </w:p>
              </w:tc>
              <w:tc>
                <w:tcPr>
                  <w:tcW w:w="416" w:type="pct"/>
                  <w:noWrap w:val="0"/>
                  <w:vAlign w:val="center"/>
                </w:tcPr>
                <w:p>
                  <w:pPr>
                    <w:jc w:val="center"/>
                    <w:rPr>
                      <w:kern w:val="0"/>
                      <w:sz w:val="18"/>
                      <w:szCs w:val="18"/>
                    </w:rPr>
                  </w:pPr>
                  <w:r>
                    <w:rPr>
                      <w:rFonts w:hint="eastAsia"/>
                      <w:kern w:val="0"/>
                      <w:sz w:val="18"/>
                      <w:szCs w:val="18"/>
                    </w:rPr>
                    <w:t>1.2572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vMerge w:val="restart"/>
                  <w:noWrap w:val="0"/>
                  <w:vAlign w:val="center"/>
                </w:tcPr>
                <w:p>
                  <w:pPr>
                    <w:jc w:val="center"/>
                    <w:rPr>
                      <w:rFonts w:hint="eastAsia"/>
                      <w:color w:val="000000"/>
                      <w:kern w:val="0"/>
                      <w:sz w:val="18"/>
                      <w:szCs w:val="18"/>
                    </w:rPr>
                  </w:pPr>
                  <w:r>
                    <w:rPr>
                      <w:rFonts w:hint="eastAsia"/>
                      <w:color w:val="000000"/>
                      <w:kern w:val="0"/>
                      <w:sz w:val="18"/>
                      <w:szCs w:val="18"/>
                    </w:rPr>
                    <w:t>6</w:t>
                  </w:r>
                </w:p>
              </w:tc>
              <w:tc>
                <w:tcPr>
                  <w:tcW w:w="539" w:type="pct"/>
                  <w:vMerge w:val="restart"/>
                  <w:noWrap w:val="0"/>
                  <w:vAlign w:val="center"/>
                </w:tcPr>
                <w:p>
                  <w:pPr>
                    <w:jc w:val="center"/>
                    <w:rPr>
                      <w:color w:val="000000"/>
                      <w:kern w:val="0"/>
                      <w:sz w:val="18"/>
                      <w:szCs w:val="18"/>
                    </w:rPr>
                  </w:pPr>
                  <w:r>
                    <w:rPr>
                      <w:rFonts w:hint="eastAsia"/>
                      <w:color w:val="000000"/>
                      <w:kern w:val="0"/>
                      <w:sz w:val="18"/>
                      <w:szCs w:val="18"/>
                    </w:rPr>
                    <w:t>汽车运输</w:t>
                  </w:r>
                  <w:r>
                    <w:rPr>
                      <w:rFonts w:hint="eastAsia"/>
                      <w:color w:val="000000"/>
                      <w:kern w:val="0"/>
                      <w:sz w:val="18"/>
                      <w:szCs w:val="18"/>
                      <w:lang w:eastAsia="zh-CN"/>
                    </w:rPr>
                    <w:t>无组织</w:t>
                  </w:r>
                  <w:r>
                    <w:rPr>
                      <w:rFonts w:hint="eastAsia"/>
                      <w:color w:val="000000"/>
                      <w:kern w:val="0"/>
                      <w:sz w:val="18"/>
                      <w:szCs w:val="18"/>
                    </w:rPr>
                    <w:t>A6</w:t>
                  </w:r>
                </w:p>
              </w:tc>
              <w:tc>
                <w:tcPr>
                  <w:tcW w:w="454" w:type="pct"/>
                  <w:vMerge w:val="restart"/>
                  <w:noWrap w:val="0"/>
                  <w:vAlign w:val="center"/>
                </w:tcPr>
                <w:p>
                  <w:pPr>
                    <w:jc w:val="center"/>
                    <w:rPr>
                      <w:color w:val="000000"/>
                      <w:kern w:val="0"/>
                      <w:sz w:val="18"/>
                      <w:szCs w:val="18"/>
                    </w:rPr>
                  </w:pPr>
                  <w:r>
                    <w:rPr>
                      <w:rFonts w:hint="eastAsia"/>
                      <w:sz w:val="18"/>
                      <w:szCs w:val="18"/>
                    </w:rPr>
                    <w:t>汽车运输</w:t>
                  </w:r>
                </w:p>
              </w:tc>
              <w:tc>
                <w:tcPr>
                  <w:tcW w:w="580" w:type="pct"/>
                  <w:tcBorders>
                    <w:bottom w:val="single" w:color="auto" w:sz="4" w:space="0"/>
                  </w:tcBorders>
                  <w:noWrap w:val="0"/>
                  <w:vAlign w:val="center"/>
                </w:tcPr>
                <w:p>
                  <w:pPr>
                    <w:pStyle w:val="80"/>
                    <w:rPr>
                      <w:color w:val="000000"/>
                      <w:kern w:val="0"/>
                      <w:sz w:val="18"/>
                      <w:szCs w:val="18"/>
                    </w:rPr>
                  </w:pPr>
                  <w:r>
                    <w:rPr>
                      <w:rFonts w:hint="eastAsia"/>
                      <w:color w:val="000000"/>
                      <w:sz w:val="18"/>
                      <w:szCs w:val="18"/>
                    </w:rPr>
                    <w:t>CO</w:t>
                  </w:r>
                </w:p>
              </w:tc>
              <w:tc>
                <w:tcPr>
                  <w:tcW w:w="1494" w:type="pct"/>
                  <w:gridSpan w:val="2"/>
                  <w:vMerge w:val="restart"/>
                  <w:noWrap w:val="0"/>
                  <w:vAlign w:val="center"/>
                </w:tcPr>
                <w:p>
                  <w:pPr>
                    <w:jc w:val="center"/>
                    <w:rPr>
                      <w:rFonts w:hint="eastAsia"/>
                      <w:color w:val="000000"/>
                      <w:kern w:val="0"/>
                      <w:sz w:val="18"/>
                      <w:szCs w:val="18"/>
                    </w:rPr>
                  </w:pPr>
                  <w:r>
                    <w:rPr>
                      <w:rFonts w:hint="eastAsia"/>
                      <w:color w:val="000000"/>
                      <w:kern w:val="0"/>
                      <w:sz w:val="18"/>
                      <w:szCs w:val="18"/>
                    </w:rPr>
                    <w:t>加强绿化</w:t>
                  </w:r>
                </w:p>
              </w:tc>
              <w:tc>
                <w:tcPr>
                  <w:tcW w:w="754" w:type="pct"/>
                  <w:vMerge w:val="continue"/>
                  <w:noWrap w:val="0"/>
                  <w:vAlign w:val="center"/>
                </w:tcPr>
                <w:p>
                  <w:pPr>
                    <w:jc w:val="center"/>
                    <w:rPr>
                      <w:color w:val="000000"/>
                      <w:kern w:val="0"/>
                      <w:sz w:val="18"/>
                      <w:szCs w:val="18"/>
                    </w:rPr>
                  </w:pPr>
                </w:p>
              </w:tc>
              <w:tc>
                <w:tcPr>
                  <w:tcW w:w="522" w:type="pct"/>
                  <w:tcBorders>
                    <w:bottom w:val="single" w:color="auto" w:sz="4" w:space="0"/>
                  </w:tcBorders>
                  <w:noWrap w:val="0"/>
                  <w:vAlign w:val="center"/>
                </w:tcPr>
                <w:p>
                  <w:pPr>
                    <w:jc w:val="center"/>
                    <w:rPr>
                      <w:color w:val="000000"/>
                      <w:kern w:val="0"/>
                      <w:sz w:val="18"/>
                      <w:szCs w:val="18"/>
                    </w:rPr>
                  </w:pPr>
                  <w:r>
                    <w:rPr>
                      <w:rFonts w:hint="eastAsia"/>
                      <w:color w:val="000000"/>
                      <w:kern w:val="0"/>
                      <w:sz w:val="18"/>
                      <w:szCs w:val="18"/>
                    </w:rPr>
                    <w:t>/</w:t>
                  </w:r>
                </w:p>
              </w:tc>
              <w:tc>
                <w:tcPr>
                  <w:tcW w:w="416" w:type="pct"/>
                  <w:tcBorders>
                    <w:bottom w:val="single" w:color="auto" w:sz="4" w:space="0"/>
                  </w:tcBorders>
                  <w:noWrap w:val="0"/>
                  <w:vAlign w:val="center"/>
                </w:tcPr>
                <w:p>
                  <w:pPr>
                    <w:jc w:val="center"/>
                    <w:rPr>
                      <w:rFonts w:hint="eastAsia"/>
                      <w:kern w:val="0"/>
                      <w:sz w:val="18"/>
                      <w:szCs w:val="18"/>
                    </w:rPr>
                  </w:pPr>
                  <w:r>
                    <w:rPr>
                      <w:kern w:val="0"/>
                      <w:sz w:val="18"/>
                      <w:szCs w:val="18"/>
                    </w:rPr>
                    <w:t>0.9882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90" w:hRule="atLeast"/>
                <w:tblHeader/>
                <w:jc w:val="center"/>
              </w:trPr>
              <w:tc>
                <w:tcPr>
                  <w:tcW w:w="237" w:type="pct"/>
                  <w:vMerge w:val="continue"/>
                  <w:noWrap w:val="0"/>
                  <w:vAlign w:val="center"/>
                </w:tcPr>
                <w:p>
                  <w:pPr>
                    <w:jc w:val="center"/>
                    <w:rPr>
                      <w:rFonts w:hint="eastAsia"/>
                      <w:color w:val="000000"/>
                      <w:kern w:val="0"/>
                      <w:sz w:val="18"/>
                      <w:szCs w:val="18"/>
                    </w:rPr>
                  </w:pPr>
                </w:p>
              </w:tc>
              <w:tc>
                <w:tcPr>
                  <w:tcW w:w="539" w:type="pct"/>
                  <w:vMerge w:val="continue"/>
                  <w:noWrap w:val="0"/>
                  <w:vAlign w:val="center"/>
                </w:tcPr>
                <w:p>
                  <w:pPr>
                    <w:jc w:val="center"/>
                    <w:rPr>
                      <w:rFonts w:hint="eastAsia"/>
                      <w:color w:val="000000"/>
                      <w:kern w:val="0"/>
                      <w:sz w:val="18"/>
                      <w:szCs w:val="18"/>
                    </w:rPr>
                  </w:pPr>
                </w:p>
              </w:tc>
              <w:tc>
                <w:tcPr>
                  <w:tcW w:w="454" w:type="pct"/>
                  <w:vMerge w:val="continue"/>
                  <w:noWrap w:val="0"/>
                  <w:vAlign w:val="center"/>
                </w:tcPr>
                <w:p>
                  <w:pPr>
                    <w:jc w:val="center"/>
                    <w:rPr>
                      <w:rFonts w:hint="eastAsia"/>
                      <w:sz w:val="18"/>
                      <w:szCs w:val="18"/>
                    </w:rPr>
                  </w:pPr>
                </w:p>
              </w:tc>
              <w:tc>
                <w:tcPr>
                  <w:tcW w:w="580" w:type="pct"/>
                  <w:tcBorders>
                    <w:top w:val="single" w:color="auto" w:sz="4" w:space="0"/>
                    <w:bottom w:val="single" w:color="auto" w:sz="4" w:space="0"/>
                  </w:tcBorders>
                  <w:noWrap w:val="0"/>
                  <w:vAlign w:val="center"/>
                </w:tcPr>
                <w:p>
                  <w:pPr>
                    <w:pStyle w:val="80"/>
                    <w:rPr>
                      <w:color w:val="000000"/>
                      <w:kern w:val="0"/>
                      <w:sz w:val="18"/>
                      <w:szCs w:val="18"/>
                    </w:rPr>
                  </w:pPr>
                  <w:r>
                    <w:rPr>
                      <w:rFonts w:hint="eastAsia"/>
                      <w:color w:val="000000"/>
                      <w:sz w:val="18"/>
                      <w:szCs w:val="18"/>
                    </w:rPr>
                    <w:t>NO</w:t>
                  </w:r>
                  <w:r>
                    <w:rPr>
                      <w:rFonts w:hint="eastAsia"/>
                      <w:color w:val="000000"/>
                      <w:sz w:val="18"/>
                      <w:szCs w:val="18"/>
                      <w:vertAlign w:val="subscript"/>
                    </w:rPr>
                    <w:t>X</w:t>
                  </w:r>
                </w:p>
              </w:tc>
              <w:tc>
                <w:tcPr>
                  <w:tcW w:w="1494" w:type="pct"/>
                  <w:gridSpan w:val="2"/>
                  <w:vMerge w:val="continue"/>
                  <w:noWrap w:val="0"/>
                  <w:vAlign w:val="center"/>
                </w:tcPr>
                <w:p>
                  <w:pPr>
                    <w:jc w:val="center"/>
                    <w:rPr>
                      <w:color w:val="000000"/>
                      <w:kern w:val="0"/>
                      <w:sz w:val="18"/>
                      <w:szCs w:val="18"/>
                    </w:rPr>
                  </w:pPr>
                </w:p>
              </w:tc>
              <w:tc>
                <w:tcPr>
                  <w:tcW w:w="754" w:type="pct"/>
                  <w:vMerge w:val="continue"/>
                  <w:noWrap w:val="0"/>
                  <w:vAlign w:val="center"/>
                </w:tcPr>
                <w:p>
                  <w:pPr>
                    <w:jc w:val="center"/>
                    <w:rPr>
                      <w:color w:val="000000"/>
                      <w:kern w:val="0"/>
                      <w:sz w:val="18"/>
                      <w:szCs w:val="18"/>
                    </w:rPr>
                  </w:pPr>
                </w:p>
              </w:tc>
              <w:tc>
                <w:tcPr>
                  <w:tcW w:w="522" w:type="pct"/>
                  <w:tcBorders>
                    <w:top w:val="single" w:color="auto" w:sz="4" w:space="0"/>
                    <w:bottom w:val="single" w:color="auto" w:sz="4" w:space="0"/>
                  </w:tcBorders>
                  <w:noWrap w:val="0"/>
                  <w:vAlign w:val="center"/>
                </w:tcPr>
                <w:p>
                  <w:pPr>
                    <w:jc w:val="center"/>
                    <w:rPr>
                      <w:color w:val="000000"/>
                      <w:kern w:val="0"/>
                      <w:sz w:val="18"/>
                      <w:szCs w:val="18"/>
                    </w:rPr>
                  </w:pPr>
                  <w:r>
                    <w:rPr>
                      <w:rFonts w:hint="eastAsia"/>
                      <w:color w:val="000000"/>
                      <w:kern w:val="0"/>
                      <w:sz w:val="18"/>
                      <w:szCs w:val="18"/>
                    </w:rPr>
                    <w:t>0.12</w:t>
                  </w:r>
                </w:p>
              </w:tc>
              <w:tc>
                <w:tcPr>
                  <w:tcW w:w="416" w:type="pct"/>
                  <w:tcBorders>
                    <w:top w:val="single" w:color="auto" w:sz="4" w:space="0"/>
                    <w:bottom w:val="single" w:color="auto" w:sz="4" w:space="0"/>
                  </w:tcBorders>
                  <w:noWrap w:val="0"/>
                  <w:vAlign w:val="center"/>
                </w:tcPr>
                <w:p>
                  <w:pPr>
                    <w:jc w:val="center"/>
                    <w:rPr>
                      <w:rFonts w:hint="eastAsia"/>
                      <w:kern w:val="0"/>
                      <w:sz w:val="18"/>
                      <w:szCs w:val="18"/>
                    </w:rPr>
                  </w:pPr>
                  <w:r>
                    <w:rPr>
                      <w:kern w:val="0"/>
                      <w:sz w:val="18"/>
                      <w:szCs w:val="18"/>
                    </w:rPr>
                    <w:t>1.0588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 w:type="pct"/>
                  <w:vMerge w:val="continue"/>
                  <w:noWrap w:val="0"/>
                  <w:vAlign w:val="center"/>
                </w:tcPr>
                <w:p>
                  <w:pPr>
                    <w:jc w:val="center"/>
                    <w:rPr>
                      <w:rFonts w:hint="eastAsia"/>
                      <w:color w:val="000000"/>
                      <w:kern w:val="0"/>
                      <w:sz w:val="18"/>
                      <w:szCs w:val="18"/>
                    </w:rPr>
                  </w:pPr>
                </w:p>
              </w:tc>
              <w:tc>
                <w:tcPr>
                  <w:tcW w:w="539" w:type="pct"/>
                  <w:vMerge w:val="continue"/>
                  <w:noWrap w:val="0"/>
                  <w:vAlign w:val="center"/>
                </w:tcPr>
                <w:p>
                  <w:pPr>
                    <w:jc w:val="center"/>
                    <w:rPr>
                      <w:rFonts w:hint="eastAsia"/>
                      <w:color w:val="000000"/>
                      <w:kern w:val="0"/>
                      <w:sz w:val="18"/>
                      <w:szCs w:val="18"/>
                    </w:rPr>
                  </w:pPr>
                </w:p>
              </w:tc>
              <w:tc>
                <w:tcPr>
                  <w:tcW w:w="454" w:type="pct"/>
                  <w:vMerge w:val="continue"/>
                  <w:noWrap w:val="0"/>
                  <w:vAlign w:val="center"/>
                </w:tcPr>
                <w:p>
                  <w:pPr>
                    <w:jc w:val="center"/>
                    <w:rPr>
                      <w:rFonts w:hint="eastAsia"/>
                      <w:sz w:val="18"/>
                      <w:szCs w:val="18"/>
                    </w:rPr>
                  </w:pPr>
                </w:p>
              </w:tc>
              <w:tc>
                <w:tcPr>
                  <w:tcW w:w="580" w:type="pct"/>
                  <w:tcBorders>
                    <w:top w:val="single" w:color="auto" w:sz="4" w:space="0"/>
                  </w:tcBorders>
                  <w:noWrap w:val="0"/>
                  <w:vAlign w:val="center"/>
                </w:tcPr>
                <w:p>
                  <w:pPr>
                    <w:pStyle w:val="80"/>
                    <w:rPr>
                      <w:color w:val="000000"/>
                      <w:kern w:val="0"/>
                      <w:sz w:val="18"/>
                      <w:szCs w:val="18"/>
                    </w:rPr>
                  </w:pPr>
                  <w:r>
                    <w:rPr>
                      <w:rFonts w:hint="eastAsia"/>
                      <w:color w:val="000000"/>
                      <w:sz w:val="18"/>
                      <w:szCs w:val="18"/>
                    </w:rPr>
                    <w:t>HC</w:t>
                  </w:r>
                </w:p>
              </w:tc>
              <w:tc>
                <w:tcPr>
                  <w:tcW w:w="1494" w:type="pct"/>
                  <w:gridSpan w:val="2"/>
                  <w:vMerge w:val="continue"/>
                  <w:noWrap w:val="0"/>
                  <w:vAlign w:val="center"/>
                </w:tcPr>
                <w:p>
                  <w:pPr>
                    <w:jc w:val="center"/>
                    <w:rPr>
                      <w:color w:val="000000"/>
                      <w:kern w:val="0"/>
                      <w:sz w:val="18"/>
                      <w:szCs w:val="18"/>
                    </w:rPr>
                  </w:pPr>
                </w:p>
              </w:tc>
              <w:tc>
                <w:tcPr>
                  <w:tcW w:w="754" w:type="pct"/>
                  <w:vMerge w:val="continue"/>
                  <w:noWrap w:val="0"/>
                  <w:vAlign w:val="center"/>
                </w:tcPr>
                <w:p>
                  <w:pPr>
                    <w:jc w:val="center"/>
                    <w:rPr>
                      <w:color w:val="000000"/>
                      <w:kern w:val="0"/>
                      <w:sz w:val="18"/>
                      <w:szCs w:val="18"/>
                    </w:rPr>
                  </w:pPr>
                </w:p>
              </w:tc>
              <w:tc>
                <w:tcPr>
                  <w:tcW w:w="522" w:type="pct"/>
                  <w:tcBorders>
                    <w:top w:val="single" w:color="auto" w:sz="4" w:space="0"/>
                  </w:tcBorders>
                  <w:noWrap w:val="0"/>
                  <w:vAlign w:val="center"/>
                </w:tcPr>
                <w:p>
                  <w:pPr>
                    <w:jc w:val="center"/>
                    <w:rPr>
                      <w:rFonts w:hint="eastAsia"/>
                      <w:color w:val="000000"/>
                      <w:kern w:val="0"/>
                      <w:sz w:val="18"/>
                      <w:szCs w:val="18"/>
                    </w:rPr>
                  </w:pPr>
                  <w:r>
                    <w:rPr>
                      <w:rFonts w:hint="eastAsia"/>
                      <w:color w:val="000000"/>
                      <w:kern w:val="0"/>
                      <w:sz w:val="18"/>
                      <w:szCs w:val="18"/>
                    </w:rPr>
                    <w:t>/</w:t>
                  </w:r>
                </w:p>
              </w:tc>
              <w:tc>
                <w:tcPr>
                  <w:tcW w:w="416" w:type="pct"/>
                  <w:tcBorders>
                    <w:top w:val="single" w:color="auto" w:sz="4" w:space="0"/>
                  </w:tcBorders>
                  <w:noWrap w:val="0"/>
                  <w:vAlign w:val="center"/>
                </w:tcPr>
                <w:p>
                  <w:pPr>
                    <w:jc w:val="center"/>
                    <w:rPr>
                      <w:rFonts w:hint="eastAsia"/>
                      <w:kern w:val="0"/>
                      <w:sz w:val="18"/>
                      <w:szCs w:val="18"/>
                    </w:rPr>
                  </w:pPr>
                  <w:r>
                    <w:rPr>
                      <w:kern w:val="0"/>
                      <w:sz w:val="18"/>
                      <w:szCs w:val="18"/>
                    </w:rPr>
                    <w:t>0.7059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4583" w:type="pct"/>
                  <w:gridSpan w:val="8"/>
                  <w:noWrap w:val="0"/>
                  <w:vAlign w:val="center"/>
                </w:tcPr>
                <w:p>
                  <w:pPr>
                    <w:jc w:val="center"/>
                    <w:rPr>
                      <w:b/>
                      <w:color w:val="000000"/>
                      <w:kern w:val="0"/>
                      <w:sz w:val="18"/>
                      <w:szCs w:val="18"/>
                    </w:rPr>
                  </w:pPr>
                  <w:r>
                    <w:rPr>
                      <w:b/>
                      <w:color w:val="000000"/>
                      <w:kern w:val="0"/>
                      <w:sz w:val="18"/>
                      <w:szCs w:val="18"/>
                    </w:rPr>
                    <w:t>无组织排放总计</w:t>
                  </w:r>
                </w:p>
              </w:tc>
              <w:tc>
                <w:tcPr>
                  <w:tcW w:w="416" w:type="pct"/>
                  <w:noWrap w:val="0"/>
                  <w:vAlign w:val="center"/>
                </w:tcPr>
                <w:p>
                  <w:pPr>
                    <w:jc w:val="center"/>
                    <w:rPr>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3" w:hRule="atLeast"/>
                <w:tblHeader/>
                <w:jc w:val="center"/>
              </w:trPr>
              <w:tc>
                <w:tcPr>
                  <w:tcW w:w="2374" w:type="pct"/>
                  <w:gridSpan w:val="5"/>
                  <w:vMerge w:val="restart"/>
                  <w:noWrap w:val="0"/>
                  <w:vAlign w:val="center"/>
                </w:tcPr>
                <w:p>
                  <w:pPr>
                    <w:jc w:val="center"/>
                    <w:rPr>
                      <w:color w:val="000000"/>
                      <w:kern w:val="0"/>
                      <w:sz w:val="18"/>
                      <w:szCs w:val="18"/>
                    </w:rPr>
                  </w:pPr>
                  <w:r>
                    <w:rPr>
                      <w:color w:val="000000"/>
                      <w:kern w:val="0"/>
                      <w:sz w:val="18"/>
                      <w:szCs w:val="18"/>
                    </w:rPr>
                    <w:t>无组织排放总计</w:t>
                  </w:r>
                </w:p>
              </w:tc>
              <w:tc>
                <w:tcPr>
                  <w:tcW w:w="2209" w:type="pct"/>
                  <w:gridSpan w:val="3"/>
                  <w:noWrap w:val="0"/>
                  <w:vAlign w:val="center"/>
                </w:tcPr>
                <w:p>
                  <w:pPr>
                    <w:widowControl/>
                    <w:jc w:val="center"/>
                    <w:rPr>
                      <w:color w:val="000000"/>
                      <w:kern w:val="0"/>
                      <w:sz w:val="18"/>
                      <w:szCs w:val="18"/>
                    </w:rPr>
                  </w:pPr>
                  <w:r>
                    <w:rPr>
                      <w:rFonts w:hint="eastAsia"/>
                      <w:color w:val="000000"/>
                      <w:kern w:val="0"/>
                      <w:sz w:val="18"/>
                      <w:szCs w:val="18"/>
                    </w:rPr>
                    <w:t>颗粒物</w:t>
                  </w:r>
                </w:p>
              </w:tc>
              <w:tc>
                <w:tcPr>
                  <w:tcW w:w="416" w:type="pct"/>
                  <w:noWrap w:val="0"/>
                  <w:vAlign w:val="center"/>
                </w:tcPr>
                <w:p>
                  <w:pPr>
                    <w:jc w:val="center"/>
                    <w:rPr>
                      <w:rFonts w:hint="default" w:eastAsia="宋体"/>
                      <w:color w:val="000000"/>
                      <w:sz w:val="18"/>
                      <w:szCs w:val="18"/>
                      <w:lang w:val="en-US" w:eastAsia="zh-CN"/>
                    </w:rPr>
                  </w:pPr>
                  <w:r>
                    <w:rPr>
                      <w:rFonts w:hint="eastAsia"/>
                      <w:color w:val="000000"/>
                      <w:sz w:val="18"/>
                      <w:szCs w:val="18"/>
                      <w:lang w:val="en-US" w:eastAsia="zh-CN"/>
                    </w:rPr>
                    <w:t>4.4171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4" w:type="pct"/>
                  <w:gridSpan w:val="5"/>
                  <w:vMerge w:val="continue"/>
                  <w:noWrap w:val="0"/>
                  <w:vAlign w:val="center"/>
                </w:tcPr>
                <w:p>
                  <w:pPr>
                    <w:jc w:val="center"/>
                    <w:rPr>
                      <w:color w:val="000000"/>
                      <w:kern w:val="0"/>
                      <w:sz w:val="18"/>
                      <w:szCs w:val="18"/>
                    </w:rPr>
                  </w:pPr>
                </w:p>
              </w:tc>
              <w:tc>
                <w:tcPr>
                  <w:tcW w:w="2209" w:type="pct"/>
                  <w:gridSpan w:val="3"/>
                  <w:noWrap w:val="0"/>
                  <w:vAlign w:val="center"/>
                </w:tcPr>
                <w:p>
                  <w:pPr>
                    <w:pStyle w:val="80"/>
                    <w:rPr>
                      <w:color w:val="000000"/>
                      <w:kern w:val="0"/>
                      <w:sz w:val="18"/>
                      <w:szCs w:val="18"/>
                    </w:rPr>
                  </w:pPr>
                  <w:r>
                    <w:rPr>
                      <w:rFonts w:hint="eastAsia"/>
                      <w:color w:val="000000"/>
                      <w:sz w:val="18"/>
                      <w:szCs w:val="18"/>
                    </w:rPr>
                    <w:t>CO</w:t>
                  </w:r>
                </w:p>
              </w:tc>
              <w:tc>
                <w:tcPr>
                  <w:tcW w:w="416" w:type="pct"/>
                  <w:noWrap w:val="0"/>
                  <w:vAlign w:val="center"/>
                </w:tcPr>
                <w:p>
                  <w:pPr>
                    <w:jc w:val="center"/>
                    <w:rPr>
                      <w:color w:val="000000"/>
                      <w:sz w:val="18"/>
                      <w:szCs w:val="18"/>
                    </w:rPr>
                  </w:pPr>
                  <w:r>
                    <w:rPr>
                      <w:kern w:val="0"/>
                      <w:sz w:val="18"/>
                      <w:szCs w:val="18"/>
                    </w:rPr>
                    <w:t>0.9882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4" w:type="pct"/>
                  <w:gridSpan w:val="5"/>
                  <w:vMerge w:val="continue"/>
                  <w:noWrap w:val="0"/>
                  <w:vAlign w:val="center"/>
                </w:tcPr>
                <w:p>
                  <w:pPr>
                    <w:jc w:val="center"/>
                    <w:rPr>
                      <w:color w:val="000000"/>
                      <w:kern w:val="0"/>
                      <w:sz w:val="18"/>
                      <w:szCs w:val="18"/>
                    </w:rPr>
                  </w:pPr>
                </w:p>
              </w:tc>
              <w:tc>
                <w:tcPr>
                  <w:tcW w:w="2209" w:type="pct"/>
                  <w:gridSpan w:val="3"/>
                  <w:noWrap w:val="0"/>
                  <w:vAlign w:val="center"/>
                </w:tcPr>
                <w:p>
                  <w:pPr>
                    <w:pStyle w:val="80"/>
                    <w:rPr>
                      <w:color w:val="000000"/>
                      <w:kern w:val="0"/>
                      <w:sz w:val="18"/>
                      <w:szCs w:val="18"/>
                    </w:rPr>
                  </w:pPr>
                  <w:r>
                    <w:rPr>
                      <w:rFonts w:hint="eastAsia"/>
                      <w:color w:val="000000"/>
                      <w:sz w:val="18"/>
                      <w:szCs w:val="18"/>
                    </w:rPr>
                    <w:t>NO</w:t>
                  </w:r>
                  <w:r>
                    <w:rPr>
                      <w:rFonts w:hint="eastAsia"/>
                      <w:color w:val="000000"/>
                      <w:sz w:val="18"/>
                      <w:szCs w:val="18"/>
                      <w:vertAlign w:val="subscript"/>
                    </w:rPr>
                    <w:t>X</w:t>
                  </w:r>
                </w:p>
              </w:tc>
              <w:tc>
                <w:tcPr>
                  <w:tcW w:w="416" w:type="pct"/>
                  <w:noWrap w:val="0"/>
                  <w:vAlign w:val="center"/>
                </w:tcPr>
                <w:p>
                  <w:pPr>
                    <w:jc w:val="center"/>
                    <w:rPr>
                      <w:color w:val="000000"/>
                      <w:sz w:val="18"/>
                      <w:szCs w:val="18"/>
                    </w:rPr>
                  </w:pPr>
                  <w:r>
                    <w:rPr>
                      <w:kern w:val="0"/>
                      <w:sz w:val="18"/>
                      <w:szCs w:val="18"/>
                    </w:rPr>
                    <w:t>1.0588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2374" w:type="pct"/>
                  <w:gridSpan w:val="5"/>
                  <w:vMerge w:val="continue"/>
                  <w:noWrap w:val="0"/>
                  <w:vAlign w:val="center"/>
                </w:tcPr>
                <w:p>
                  <w:pPr>
                    <w:jc w:val="center"/>
                    <w:rPr>
                      <w:color w:val="000000"/>
                      <w:kern w:val="0"/>
                      <w:sz w:val="18"/>
                      <w:szCs w:val="18"/>
                    </w:rPr>
                  </w:pPr>
                </w:p>
              </w:tc>
              <w:tc>
                <w:tcPr>
                  <w:tcW w:w="2209" w:type="pct"/>
                  <w:gridSpan w:val="3"/>
                  <w:noWrap w:val="0"/>
                  <w:vAlign w:val="center"/>
                </w:tcPr>
                <w:p>
                  <w:pPr>
                    <w:pStyle w:val="80"/>
                    <w:rPr>
                      <w:color w:val="000000"/>
                      <w:kern w:val="0"/>
                      <w:sz w:val="18"/>
                      <w:szCs w:val="18"/>
                    </w:rPr>
                  </w:pPr>
                  <w:r>
                    <w:rPr>
                      <w:rFonts w:hint="eastAsia"/>
                      <w:color w:val="000000"/>
                      <w:sz w:val="18"/>
                      <w:szCs w:val="18"/>
                    </w:rPr>
                    <w:t>HC</w:t>
                  </w:r>
                </w:p>
              </w:tc>
              <w:tc>
                <w:tcPr>
                  <w:tcW w:w="416" w:type="pct"/>
                  <w:noWrap w:val="0"/>
                  <w:vAlign w:val="center"/>
                </w:tcPr>
                <w:p>
                  <w:pPr>
                    <w:jc w:val="center"/>
                    <w:rPr>
                      <w:color w:val="000000"/>
                      <w:sz w:val="18"/>
                      <w:szCs w:val="18"/>
                    </w:rPr>
                  </w:pPr>
                  <w:r>
                    <w:rPr>
                      <w:kern w:val="0"/>
                      <w:sz w:val="18"/>
                      <w:szCs w:val="18"/>
                    </w:rPr>
                    <w:t>0.7059</w:t>
                  </w:r>
                </w:p>
              </w:tc>
            </w:tr>
          </w:tbl>
          <w:p>
            <w:pPr>
              <w:widowControl/>
              <w:wordWrap w:val="0"/>
              <w:autoSpaceDE w:val="0"/>
              <w:autoSpaceDN w:val="0"/>
              <w:spacing w:before="240" w:beforeLines="100" w:line="360" w:lineRule="auto"/>
              <w:ind w:firstLine="482" w:firstLineChars="200"/>
              <w:rPr>
                <w:b/>
                <w:sz w:val="24"/>
              </w:rPr>
            </w:pPr>
            <w:r>
              <w:rPr>
                <w:rFonts w:hint="eastAsia"/>
                <w:b/>
                <w:sz w:val="24"/>
              </w:rPr>
              <w:t>3、大气污染物年排放量核算</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表4.2-7：大气污染物年排放量核算表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896"/>
              <w:gridCol w:w="3637"/>
              <w:gridCol w:w="28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31" w:hRule="atLeast"/>
                <w:tblHeader/>
                <w:jc w:val="center"/>
              </w:trPr>
              <w:tc>
                <w:tcPr>
                  <w:tcW w:w="1896" w:type="dxa"/>
                  <w:noWrap w:val="0"/>
                  <w:vAlign w:val="center"/>
                </w:tcPr>
                <w:p>
                  <w:pPr>
                    <w:jc w:val="center"/>
                    <w:rPr>
                      <w:b/>
                      <w:color w:val="000000"/>
                      <w:kern w:val="0"/>
                      <w:szCs w:val="21"/>
                    </w:rPr>
                  </w:pPr>
                  <w:r>
                    <w:rPr>
                      <w:b/>
                      <w:color w:val="000000"/>
                      <w:kern w:val="0"/>
                      <w:szCs w:val="21"/>
                    </w:rPr>
                    <w:t>序号</w:t>
                  </w:r>
                </w:p>
              </w:tc>
              <w:tc>
                <w:tcPr>
                  <w:tcW w:w="3637" w:type="dxa"/>
                  <w:noWrap w:val="0"/>
                  <w:vAlign w:val="center"/>
                </w:tcPr>
                <w:p>
                  <w:pPr>
                    <w:jc w:val="center"/>
                    <w:rPr>
                      <w:b/>
                      <w:color w:val="000000"/>
                      <w:kern w:val="0"/>
                      <w:szCs w:val="21"/>
                    </w:rPr>
                  </w:pPr>
                  <w:r>
                    <w:rPr>
                      <w:b/>
                      <w:color w:val="000000"/>
                      <w:kern w:val="0"/>
                      <w:szCs w:val="21"/>
                    </w:rPr>
                    <w:t>污染物</w:t>
                  </w:r>
                </w:p>
              </w:tc>
              <w:tc>
                <w:tcPr>
                  <w:tcW w:w="2862" w:type="dxa"/>
                  <w:noWrap w:val="0"/>
                  <w:vAlign w:val="center"/>
                </w:tcPr>
                <w:p>
                  <w:pPr>
                    <w:jc w:val="center"/>
                    <w:rPr>
                      <w:b/>
                      <w:color w:val="000000"/>
                      <w:kern w:val="0"/>
                      <w:szCs w:val="21"/>
                    </w:rPr>
                  </w:pPr>
                  <w:r>
                    <w:rPr>
                      <w:b/>
                      <w:color w:val="000000"/>
                      <w:kern w:val="0"/>
                      <w:szCs w:val="21"/>
                    </w:rPr>
                    <w:t>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896" w:type="dxa"/>
                  <w:noWrap w:val="0"/>
                  <w:vAlign w:val="center"/>
                </w:tcPr>
                <w:p>
                  <w:pPr>
                    <w:jc w:val="center"/>
                    <w:rPr>
                      <w:color w:val="000000"/>
                      <w:kern w:val="0"/>
                      <w:szCs w:val="21"/>
                    </w:rPr>
                  </w:pPr>
                  <w:r>
                    <w:rPr>
                      <w:color w:val="000000"/>
                      <w:kern w:val="0"/>
                      <w:szCs w:val="21"/>
                    </w:rPr>
                    <w:t>1</w:t>
                  </w:r>
                </w:p>
              </w:tc>
              <w:tc>
                <w:tcPr>
                  <w:tcW w:w="3637" w:type="dxa"/>
                  <w:noWrap w:val="0"/>
                  <w:vAlign w:val="center"/>
                </w:tcPr>
                <w:p>
                  <w:pPr>
                    <w:jc w:val="center"/>
                    <w:rPr>
                      <w:kern w:val="0"/>
                      <w:sz w:val="18"/>
                      <w:szCs w:val="18"/>
                    </w:rPr>
                  </w:pPr>
                  <w:r>
                    <w:rPr>
                      <w:rFonts w:hint="eastAsia"/>
                      <w:kern w:val="0"/>
                      <w:sz w:val="18"/>
                      <w:szCs w:val="18"/>
                    </w:rPr>
                    <w:t>颗粒物</w:t>
                  </w:r>
                </w:p>
              </w:tc>
              <w:tc>
                <w:tcPr>
                  <w:tcW w:w="2862" w:type="dxa"/>
                  <w:noWrap w:val="0"/>
                  <w:vAlign w:val="center"/>
                </w:tcPr>
                <w:p>
                  <w:pPr>
                    <w:jc w:val="center"/>
                    <w:rPr>
                      <w:rFonts w:hint="default" w:eastAsia="宋体"/>
                      <w:kern w:val="0"/>
                      <w:sz w:val="18"/>
                      <w:szCs w:val="18"/>
                      <w:lang w:val="en-US" w:eastAsia="zh-CN"/>
                    </w:rPr>
                  </w:pPr>
                  <w:r>
                    <w:rPr>
                      <w:rFonts w:hint="eastAsia"/>
                      <w:kern w:val="0"/>
                      <w:sz w:val="18"/>
                      <w:szCs w:val="18"/>
                      <w:lang w:val="en-US" w:eastAsia="zh-CN"/>
                    </w:rPr>
                    <w:t>9.7633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896" w:type="dxa"/>
                  <w:noWrap w:val="0"/>
                  <w:vAlign w:val="center"/>
                </w:tcPr>
                <w:p>
                  <w:pPr>
                    <w:jc w:val="center"/>
                    <w:rPr>
                      <w:color w:val="000000"/>
                      <w:kern w:val="0"/>
                      <w:szCs w:val="21"/>
                    </w:rPr>
                  </w:pPr>
                  <w:r>
                    <w:rPr>
                      <w:color w:val="000000"/>
                      <w:kern w:val="0"/>
                      <w:szCs w:val="21"/>
                    </w:rPr>
                    <w:t>2</w:t>
                  </w:r>
                </w:p>
              </w:tc>
              <w:tc>
                <w:tcPr>
                  <w:tcW w:w="3637" w:type="dxa"/>
                  <w:noWrap w:val="0"/>
                  <w:vAlign w:val="center"/>
                </w:tcPr>
                <w:p>
                  <w:pPr>
                    <w:pStyle w:val="80"/>
                    <w:rPr>
                      <w:color w:val="000000"/>
                    </w:rPr>
                  </w:pPr>
                  <w:r>
                    <w:rPr>
                      <w:rFonts w:hint="eastAsia"/>
                      <w:color w:val="000000"/>
                      <w:sz w:val="18"/>
                      <w:szCs w:val="18"/>
                    </w:rPr>
                    <w:t>CO</w:t>
                  </w:r>
                </w:p>
              </w:tc>
              <w:tc>
                <w:tcPr>
                  <w:tcW w:w="2862" w:type="dxa"/>
                  <w:noWrap w:val="0"/>
                  <w:vAlign w:val="center"/>
                </w:tcPr>
                <w:p>
                  <w:pPr>
                    <w:jc w:val="center"/>
                    <w:rPr>
                      <w:rFonts w:ascii="宋体" w:hAnsi="宋体" w:cs="宋体"/>
                      <w:color w:val="000000"/>
                      <w:sz w:val="22"/>
                      <w:szCs w:val="22"/>
                    </w:rPr>
                  </w:pPr>
                  <w:r>
                    <w:rPr>
                      <w:kern w:val="0"/>
                      <w:sz w:val="18"/>
                      <w:szCs w:val="18"/>
                    </w:rPr>
                    <w:t>0.9882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896" w:type="dxa"/>
                  <w:noWrap w:val="0"/>
                  <w:vAlign w:val="center"/>
                </w:tcPr>
                <w:p>
                  <w:pPr>
                    <w:jc w:val="center"/>
                    <w:rPr>
                      <w:color w:val="000000"/>
                      <w:kern w:val="0"/>
                      <w:szCs w:val="21"/>
                    </w:rPr>
                  </w:pPr>
                  <w:r>
                    <w:rPr>
                      <w:color w:val="000000"/>
                      <w:kern w:val="0"/>
                      <w:szCs w:val="21"/>
                    </w:rPr>
                    <w:t>3</w:t>
                  </w:r>
                </w:p>
              </w:tc>
              <w:tc>
                <w:tcPr>
                  <w:tcW w:w="3637" w:type="dxa"/>
                  <w:noWrap w:val="0"/>
                  <w:vAlign w:val="center"/>
                </w:tcPr>
                <w:p>
                  <w:pPr>
                    <w:pStyle w:val="80"/>
                    <w:rPr>
                      <w:color w:val="000000"/>
                    </w:rPr>
                  </w:pPr>
                  <w:r>
                    <w:rPr>
                      <w:rFonts w:hint="eastAsia"/>
                      <w:color w:val="000000"/>
                      <w:sz w:val="18"/>
                      <w:szCs w:val="18"/>
                    </w:rPr>
                    <w:t>NO</w:t>
                  </w:r>
                  <w:r>
                    <w:rPr>
                      <w:rFonts w:hint="eastAsia"/>
                      <w:color w:val="000000"/>
                      <w:sz w:val="18"/>
                      <w:szCs w:val="18"/>
                      <w:vertAlign w:val="subscript"/>
                    </w:rPr>
                    <w:t>X</w:t>
                  </w:r>
                </w:p>
              </w:tc>
              <w:tc>
                <w:tcPr>
                  <w:tcW w:w="2862" w:type="dxa"/>
                  <w:noWrap w:val="0"/>
                  <w:vAlign w:val="center"/>
                </w:tcPr>
                <w:p>
                  <w:pPr>
                    <w:jc w:val="center"/>
                    <w:rPr>
                      <w:rFonts w:ascii="宋体" w:hAnsi="宋体" w:cs="宋体"/>
                      <w:color w:val="000000"/>
                      <w:sz w:val="22"/>
                      <w:szCs w:val="22"/>
                    </w:rPr>
                  </w:pPr>
                  <w:r>
                    <w:rPr>
                      <w:kern w:val="0"/>
                      <w:sz w:val="18"/>
                      <w:szCs w:val="18"/>
                    </w:rPr>
                    <w:t>1.0588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896" w:type="dxa"/>
                  <w:noWrap w:val="0"/>
                  <w:vAlign w:val="center"/>
                </w:tcPr>
                <w:p>
                  <w:pPr>
                    <w:jc w:val="center"/>
                    <w:rPr>
                      <w:rFonts w:hint="eastAsia"/>
                      <w:color w:val="000000"/>
                      <w:kern w:val="0"/>
                      <w:szCs w:val="21"/>
                    </w:rPr>
                  </w:pPr>
                  <w:r>
                    <w:rPr>
                      <w:rFonts w:hint="eastAsia"/>
                      <w:color w:val="000000"/>
                      <w:kern w:val="0"/>
                      <w:szCs w:val="21"/>
                    </w:rPr>
                    <w:t>4</w:t>
                  </w:r>
                </w:p>
              </w:tc>
              <w:tc>
                <w:tcPr>
                  <w:tcW w:w="3637" w:type="dxa"/>
                  <w:noWrap w:val="0"/>
                  <w:vAlign w:val="center"/>
                </w:tcPr>
                <w:p>
                  <w:pPr>
                    <w:pStyle w:val="80"/>
                    <w:rPr>
                      <w:color w:val="000000"/>
                    </w:rPr>
                  </w:pPr>
                  <w:r>
                    <w:rPr>
                      <w:rFonts w:hint="eastAsia"/>
                      <w:color w:val="000000"/>
                      <w:sz w:val="18"/>
                      <w:szCs w:val="18"/>
                    </w:rPr>
                    <w:t>HC</w:t>
                  </w:r>
                </w:p>
              </w:tc>
              <w:tc>
                <w:tcPr>
                  <w:tcW w:w="2862" w:type="dxa"/>
                  <w:noWrap w:val="0"/>
                  <w:vAlign w:val="center"/>
                </w:tcPr>
                <w:p>
                  <w:pPr>
                    <w:jc w:val="center"/>
                    <w:rPr>
                      <w:rFonts w:ascii="宋体" w:hAnsi="宋体" w:cs="宋体"/>
                      <w:color w:val="000000"/>
                      <w:sz w:val="22"/>
                      <w:szCs w:val="22"/>
                    </w:rPr>
                  </w:pPr>
                  <w:r>
                    <w:rPr>
                      <w:kern w:val="0"/>
                      <w:sz w:val="18"/>
                      <w:szCs w:val="18"/>
                    </w:rPr>
                    <w:t>0.7059</w:t>
                  </w:r>
                </w:p>
              </w:tc>
            </w:tr>
          </w:tbl>
          <w:p>
            <w:pPr>
              <w:spacing w:line="360" w:lineRule="auto"/>
              <w:ind w:firstLine="482" w:firstLineChars="200"/>
              <w:rPr>
                <w:b/>
                <w:color w:val="000000"/>
                <w:sz w:val="24"/>
              </w:rPr>
            </w:pPr>
            <w:r>
              <w:rPr>
                <w:rFonts w:hint="eastAsia"/>
                <w:b/>
                <w:color w:val="000000"/>
                <w:sz w:val="24"/>
              </w:rPr>
              <w:t>4、非正常排放量核算</w:t>
            </w:r>
          </w:p>
          <w:p>
            <w:pPr>
              <w:spacing w:line="360" w:lineRule="auto"/>
              <w:ind w:firstLine="480" w:firstLineChars="200"/>
              <w:rPr>
                <w:rFonts w:hint="eastAsia"/>
                <w:color w:val="000000"/>
                <w:sz w:val="24"/>
              </w:rPr>
            </w:pPr>
            <w:r>
              <w:rPr>
                <w:rFonts w:hint="eastAsia"/>
                <w:color w:val="000000"/>
                <w:sz w:val="24"/>
              </w:rPr>
              <w:t>非正常情况指生产过程中生产设备开停、检修、工艺设备运转异常等非正常情况下的污染物排放，以及污染物排放控制达不到应有效率等情况下的排放。</w:t>
            </w:r>
          </w:p>
          <w:p>
            <w:pPr>
              <w:spacing w:line="360" w:lineRule="auto"/>
              <w:ind w:firstLine="480" w:firstLineChars="200"/>
              <w:rPr>
                <w:color w:val="000000"/>
                <w:sz w:val="24"/>
              </w:rPr>
            </w:pPr>
            <w:r>
              <w:rPr>
                <w:rFonts w:hint="eastAsia"/>
                <w:color w:val="000000"/>
                <w:sz w:val="24"/>
              </w:rPr>
              <w:t>假定</w:t>
            </w:r>
            <w:r>
              <w:rPr>
                <w:rFonts w:hint="eastAsia"/>
                <w:sz w:val="24"/>
              </w:rPr>
              <w:t>投料、破碎、筛分粉尘处理系统布袋除尘器</w:t>
            </w:r>
            <w:r>
              <w:rPr>
                <w:rFonts w:hint="eastAsia"/>
                <w:color w:val="000000"/>
                <w:sz w:val="24"/>
              </w:rPr>
              <w:t>布袋破损、粉尘去除效率为50%时，污染源非正常排放量核算见下表。</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cs="宋体"/>
                <w:b/>
                <w:szCs w:val="21"/>
              </w:rPr>
              <w:t>表</w:t>
            </w:r>
            <w:r>
              <w:rPr>
                <w:rFonts w:hint="eastAsia" w:cs="宋体"/>
                <w:b/>
                <w:szCs w:val="21"/>
              </w:rPr>
              <w:t>4.2-8：</w:t>
            </w:r>
            <w:r>
              <w:rPr>
                <w:rFonts w:cs="宋体"/>
                <w:b/>
                <w:szCs w:val="21"/>
              </w:rPr>
              <w:t>非正常</w:t>
            </w:r>
            <w:r>
              <w:rPr>
                <w:rFonts w:hint="eastAsia" w:cs="宋体"/>
                <w:b/>
                <w:szCs w:val="21"/>
              </w:rPr>
              <w:t>排</w:t>
            </w:r>
            <w:r>
              <w:rPr>
                <w:rFonts w:cs="宋体"/>
                <w:b/>
                <w:szCs w:val="21"/>
              </w:rPr>
              <w:t>放</w:t>
            </w:r>
            <w:r>
              <w:rPr>
                <w:rFonts w:hint="eastAsia" w:cs="宋体"/>
                <w:b/>
                <w:szCs w:val="21"/>
              </w:rPr>
              <w:t>量核算</w:t>
            </w:r>
            <w:r>
              <w:rPr>
                <w:rFonts w:cs="宋体"/>
                <w:b/>
                <w:szCs w:val="21"/>
              </w:rPr>
              <w:t>表</w:t>
            </w:r>
          </w:p>
          <w:tbl>
            <w:tblPr>
              <w:tblStyle w:val="24"/>
              <w:tblW w:w="497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9"/>
              <w:gridCol w:w="1650"/>
              <w:gridCol w:w="1135"/>
              <w:gridCol w:w="848"/>
              <w:gridCol w:w="1163"/>
              <w:gridCol w:w="872"/>
              <w:gridCol w:w="1018"/>
              <w:gridCol w:w="14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62" w:type="pct"/>
                  <w:tcBorders>
                    <w:top w:val="single" w:color="auto" w:sz="4" w:space="0"/>
                    <w:left w:val="single" w:color="000000"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序号</w:t>
                  </w:r>
                </w:p>
              </w:tc>
              <w:tc>
                <w:tcPr>
                  <w:tcW w:w="963"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非正常排放源</w:t>
                  </w:r>
                </w:p>
              </w:tc>
              <w:tc>
                <w:tcPr>
                  <w:tcW w:w="663"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非正常排放原因</w:t>
                  </w:r>
                </w:p>
              </w:tc>
              <w:tc>
                <w:tcPr>
                  <w:tcW w:w="496"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污染物</w:t>
                  </w:r>
                </w:p>
              </w:tc>
              <w:tc>
                <w:tcPr>
                  <w:tcW w:w="679"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非正常排放速率/</w:t>
                  </w:r>
                  <w:r>
                    <w:rPr>
                      <w:rFonts w:hint="eastAsia"/>
                      <w:b/>
                      <w:bCs/>
                      <w:color w:val="000000"/>
                      <w:szCs w:val="21"/>
                    </w:rPr>
                    <w:t>(kg/h)</w:t>
                  </w:r>
                </w:p>
              </w:tc>
              <w:tc>
                <w:tcPr>
                  <w:tcW w:w="51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单次持续时间/h</w:t>
                  </w:r>
                </w:p>
              </w:tc>
              <w:tc>
                <w:tcPr>
                  <w:tcW w:w="59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年发生频次/次</w:t>
                  </w:r>
                </w:p>
              </w:tc>
              <w:tc>
                <w:tcPr>
                  <w:tcW w:w="828"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b/>
                      <w:bCs/>
                      <w:color w:val="000000"/>
                      <w:szCs w:val="21"/>
                    </w:rPr>
                  </w:pPr>
                  <w:r>
                    <w:rPr>
                      <w:b/>
                      <w:bCs/>
                      <w:color w:val="000000"/>
                      <w:szCs w:val="21"/>
                    </w:rPr>
                    <w:t>应对措施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262"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snapToGrid w:val="0"/>
                      <w:color w:val="000000"/>
                      <w:szCs w:val="21"/>
                    </w:rPr>
                  </w:pPr>
                  <w:r>
                    <w:rPr>
                      <w:rFonts w:hint="eastAsia"/>
                      <w:snapToGrid w:val="0"/>
                      <w:color w:val="000000"/>
                      <w:szCs w:val="21"/>
                    </w:rPr>
                    <w:t>3</w:t>
                  </w:r>
                </w:p>
              </w:tc>
              <w:tc>
                <w:tcPr>
                  <w:tcW w:w="963"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rFonts w:hint="eastAsia"/>
                      <w:snapToGrid w:val="0"/>
                      <w:color w:val="000000"/>
                      <w:szCs w:val="21"/>
                    </w:rPr>
                  </w:pPr>
                  <w:r>
                    <w:rPr>
                      <w:rFonts w:hint="eastAsia"/>
                      <w:snapToGrid w:val="0"/>
                      <w:color w:val="000000"/>
                      <w:szCs w:val="21"/>
                    </w:rPr>
                    <w:t>投料</w:t>
                  </w:r>
                  <w:r>
                    <w:rPr>
                      <w:snapToGrid w:val="0"/>
                      <w:color w:val="000000"/>
                      <w:szCs w:val="21"/>
                    </w:rPr>
                    <w:t>粉尘处理系统排气筒</w:t>
                  </w:r>
                  <w:r>
                    <w:rPr>
                      <w:rFonts w:hint="eastAsia"/>
                      <w:snapToGrid w:val="0"/>
                      <w:color w:val="000000"/>
                      <w:szCs w:val="21"/>
                    </w:rPr>
                    <w:t>DA001</w:t>
                  </w:r>
                </w:p>
              </w:tc>
              <w:tc>
                <w:tcPr>
                  <w:tcW w:w="663"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snapToGrid w:val="0"/>
                      <w:color w:val="000000"/>
                      <w:szCs w:val="21"/>
                    </w:rPr>
                  </w:pPr>
                  <w:r>
                    <w:rPr>
                      <w:rFonts w:hint="eastAsia"/>
                      <w:snapToGrid w:val="0"/>
                      <w:color w:val="000000"/>
                      <w:szCs w:val="21"/>
                    </w:rPr>
                    <w:t>布袋除尘器故障效率降低</w:t>
                  </w:r>
                  <w:r>
                    <w:rPr>
                      <w:snapToGrid w:val="0"/>
                      <w:color w:val="000000"/>
                      <w:szCs w:val="21"/>
                    </w:rPr>
                    <w:t>(η=</w:t>
                  </w:r>
                  <w:r>
                    <w:rPr>
                      <w:rFonts w:hint="eastAsia"/>
                      <w:snapToGrid w:val="0"/>
                      <w:color w:val="000000"/>
                      <w:szCs w:val="21"/>
                    </w:rPr>
                    <w:t>5</w:t>
                  </w:r>
                  <w:r>
                    <w:rPr>
                      <w:snapToGrid w:val="0"/>
                      <w:color w:val="000000"/>
                      <w:szCs w:val="21"/>
                    </w:rPr>
                    <w:t>0%）</w:t>
                  </w:r>
                </w:p>
              </w:tc>
              <w:tc>
                <w:tcPr>
                  <w:tcW w:w="496"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rFonts w:hint="eastAsia"/>
                      <w:color w:val="000000"/>
                      <w:szCs w:val="21"/>
                    </w:rPr>
                    <w:t>颗粒物</w:t>
                  </w:r>
                </w:p>
              </w:tc>
              <w:tc>
                <w:tcPr>
                  <w:tcW w:w="67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szCs w:val="21"/>
                      <w:lang w:val="en-US" w:eastAsia="zh-CN"/>
                    </w:rPr>
                  </w:pPr>
                  <w:r>
                    <w:rPr>
                      <w:rFonts w:hint="eastAsia"/>
                      <w:color w:val="000000"/>
                      <w:szCs w:val="21"/>
                      <w:lang w:val="en-US" w:eastAsia="zh-CN"/>
                    </w:rPr>
                    <w:t>91.548</w:t>
                  </w:r>
                </w:p>
              </w:tc>
              <w:tc>
                <w:tcPr>
                  <w:tcW w:w="51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color w:val="000000"/>
                      <w:kern w:val="0"/>
                      <w:szCs w:val="21"/>
                    </w:rPr>
                  </w:pPr>
                  <w:r>
                    <w:rPr>
                      <w:rFonts w:hint="eastAsia"/>
                      <w:color w:val="000000"/>
                      <w:kern w:val="0"/>
                      <w:szCs w:val="21"/>
                    </w:rPr>
                    <w:t>1</w:t>
                  </w:r>
                </w:p>
              </w:tc>
              <w:tc>
                <w:tcPr>
                  <w:tcW w:w="59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color w:val="000000"/>
                      <w:szCs w:val="21"/>
                    </w:rPr>
                  </w:pPr>
                  <w:r>
                    <w:rPr>
                      <w:rFonts w:hint="eastAsia"/>
                      <w:color w:val="000000"/>
                      <w:szCs w:val="21"/>
                    </w:rPr>
                    <w:t>0-2次</w:t>
                  </w:r>
                </w:p>
              </w:tc>
              <w:tc>
                <w:tcPr>
                  <w:tcW w:w="828"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textAlignment w:val="center"/>
                    <w:rPr>
                      <w:color w:val="000000"/>
                      <w:szCs w:val="21"/>
                    </w:rPr>
                  </w:pPr>
                  <w:r>
                    <w:rPr>
                      <w:color w:val="000000"/>
                      <w:szCs w:val="21"/>
                    </w:rPr>
                    <w:t>加强管理，确保环保设施正常稳定运行。发生</w:t>
                  </w:r>
                  <w:r>
                    <w:rPr>
                      <w:rFonts w:hint="eastAsia"/>
                      <w:color w:val="000000"/>
                      <w:szCs w:val="21"/>
                    </w:rPr>
                    <w:t>故障</w:t>
                  </w:r>
                  <w:r>
                    <w:rPr>
                      <w:color w:val="000000"/>
                      <w:szCs w:val="21"/>
                    </w:rPr>
                    <w:t>，停产及时检修，待恢复正常使用后再正常生产</w:t>
                  </w:r>
                </w:p>
              </w:tc>
            </w:tr>
          </w:tbl>
          <w:p>
            <w:pPr>
              <w:wordWrap w:val="0"/>
              <w:autoSpaceDE w:val="0"/>
              <w:autoSpaceDN w:val="0"/>
              <w:spacing w:line="360" w:lineRule="auto"/>
              <w:ind w:firstLine="480" w:firstLineChars="200"/>
              <w:jc w:val="left"/>
              <w:rPr>
                <w:color w:val="000000"/>
                <w:kern w:val="0"/>
                <w:sz w:val="24"/>
                <w:szCs w:val="22"/>
              </w:rPr>
            </w:pPr>
            <w:r>
              <w:rPr>
                <w:color w:val="000000"/>
                <w:kern w:val="0"/>
                <w:sz w:val="24"/>
                <w:szCs w:val="22"/>
              </w:rPr>
              <w:t>由上表可知，非正常情况下大气污染物排放速率明显增加，</w:t>
            </w:r>
            <w:r>
              <w:rPr>
                <w:kern w:val="0"/>
                <w:sz w:val="24"/>
                <w:szCs w:val="22"/>
              </w:rPr>
              <w:t>浓度为</w:t>
            </w:r>
            <w:r>
              <w:rPr>
                <w:rFonts w:hint="eastAsia"/>
                <w:kern w:val="0"/>
                <w:sz w:val="24"/>
                <w:szCs w:val="22"/>
                <w:lang w:val="en-US" w:eastAsia="zh-CN"/>
              </w:rPr>
              <w:t>1830.905</w:t>
            </w:r>
            <w:r>
              <w:rPr>
                <w:kern w:val="0"/>
                <w:sz w:val="24"/>
                <w:szCs w:val="22"/>
              </w:rPr>
              <w:t>mg/m</w:t>
            </w:r>
            <w:r>
              <w:rPr>
                <w:kern w:val="0"/>
                <w:sz w:val="24"/>
                <w:szCs w:val="22"/>
                <w:vertAlign w:val="superscript"/>
              </w:rPr>
              <w:t>3</w:t>
            </w:r>
            <w:r>
              <w:rPr>
                <w:kern w:val="0"/>
                <w:sz w:val="24"/>
                <w:szCs w:val="22"/>
              </w:rPr>
              <w:t>，</w:t>
            </w:r>
            <w:r>
              <w:rPr>
                <w:color w:val="000000"/>
                <w:kern w:val="0"/>
                <w:sz w:val="24"/>
                <w:szCs w:val="22"/>
              </w:rPr>
              <w:t>超</w:t>
            </w:r>
            <w:r>
              <w:rPr>
                <w:kern w:val="0"/>
                <w:sz w:val="24"/>
                <w:szCs w:val="22"/>
              </w:rPr>
              <w:t>过</w:t>
            </w:r>
            <w:r>
              <w:rPr>
                <w:rFonts w:hint="eastAsia"/>
                <w:kern w:val="0"/>
                <w:sz w:val="24"/>
                <w:szCs w:val="22"/>
              </w:rPr>
              <w:t>颗粒物</w:t>
            </w:r>
            <w:r>
              <w:rPr>
                <w:kern w:val="0"/>
                <w:sz w:val="24"/>
                <w:szCs w:val="22"/>
              </w:rPr>
              <w:t>大气污染物排放限</w:t>
            </w:r>
            <w:r>
              <w:rPr>
                <w:color w:val="000000"/>
                <w:kern w:val="0"/>
                <w:sz w:val="24"/>
                <w:szCs w:val="22"/>
              </w:rPr>
              <w:t>值要求。</w:t>
            </w:r>
            <w:r>
              <w:rPr>
                <w:rFonts w:hint="eastAsia"/>
                <w:color w:val="000000"/>
                <w:kern w:val="0"/>
                <w:sz w:val="24"/>
                <w:szCs w:val="22"/>
              </w:rPr>
              <w:t>建设单位应加强废气处理设施的维护和保养，一旦设施出现故障，立即停产检修，待环保设施正常运行后恢复生产，杜绝环保设施故障情况下污染物排放。</w:t>
            </w:r>
          </w:p>
          <w:p>
            <w:pPr>
              <w:keepNext/>
              <w:keepLines/>
              <w:wordWrap w:val="0"/>
              <w:spacing w:before="200" w:after="200"/>
              <w:outlineLvl w:val="3"/>
              <w:rPr>
                <w:b/>
                <w:sz w:val="24"/>
              </w:rPr>
            </w:pPr>
            <w:r>
              <w:rPr>
                <w:rFonts w:hint="eastAsia"/>
                <w:b/>
                <w:sz w:val="24"/>
              </w:rPr>
              <w:t>4.2.1.3污染防治措施及可行性分析</w:t>
            </w:r>
          </w:p>
          <w:p>
            <w:pPr>
              <w:wordWrap w:val="0"/>
              <w:spacing w:line="360" w:lineRule="auto"/>
              <w:ind w:firstLine="480" w:firstLineChars="200"/>
              <w:rPr>
                <w:rFonts w:hint="eastAsia"/>
                <w:sz w:val="24"/>
              </w:rPr>
            </w:pPr>
            <w:r>
              <w:rPr>
                <w:rFonts w:hint="eastAsia"/>
                <w:sz w:val="24"/>
              </w:rPr>
              <w:t>本项目运营期在喂料口、破碎机口及筛分机口均安装了集气罩，将上述工序产生的废气最大限度的收集，收集后废气经管道通入一套布袋除尘器处理，处理后由1根15m排气筒（DA001）排放。</w:t>
            </w:r>
          </w:p>
          <w:p>
            <w:pPr>
              <w:wordWrap w:val="0"/>
              <w:spacing w:line="360" w:lineRule="auto"/>
              <w:ind w:firstLine="480" w:firstLineChars="200"/>
              <w:rPr>
                <w:rFonts w:hint="eastAsia"/>
                <w:sz w:val="24"/>
              </w:rPr>
            </w:pPr>
            <w:r>
              <w:rPr>
                <w:rFonts w:hint="eastAsia"/>
                <w:sz w:val="24"/>
                <w:lang w:val="zh-CN"/>
              </w:rPr>
              <w:t>项目无组织废气为废石装卸粉尘、原料储存输送粉尘（包含石料堆场粉尘、石料运输粉尘）、成品库粉尘等。针对物料暂存，本项目建设了封闭式生产车间、半封闭式成品暂存库等，原料堆场进行土工布覆盖以及洒水抑尘，并在卸料处布置雾炮机、产品堆场处设置喷淋系统进行抑尘，可有效降低物料堆存产生的粉尘污染；皮带运输产生的粉尘也通过安装皮带廊道和洒水抑尘等措施，降低粉尘污染。</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表4.2-9：与排污许可证申请与核发技术规范推荐可行性技术对比</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76"/>
              <w:gridCol w:w="2844"/>
              <w:gridCol w:w="1523"/>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noWrap w:val="0"/>
                  <w:vAlign w:val="center"/>
                </w:tcPr>
                <w:p>
                  <w:pPr>
                    <w:wordWrap w:val="0"/>
                    <w:jc w:val="center"/>
                  </w:pPr>
                  <w:r>
                    <w:rPr>
                      <w:rFonts w:hint="eastAsia"/>
                    </w:rPr>
                    <w:t>主要生产单元</w:t>
                  </w:r>
                </w:p>
              </w:tc>
              <w:tc>
                <w:tcPr>
                  <w:tcW w:w="972" w:type="pct"/>
                  <w:noWrap w:val="0"/>
                  <w:vAlign w:val="center"/>
                </w:tcPr>
                <w:p>
                  <w:pPr>
                    <w:wordWrap w:val="0"/>
                    <w:jc w:val="center"/>
                  </w:pPr>
                  <w:r>
                    <w:rPr>
                      <w:rFonts w:hint="eastAsia"/>
                    </w:rPr>
                    <w:t>主要污染物</w:t>
                  </w:r>
                </w:p>
              </w:tc>
              <w:tc>
                <w:tcPr>
                  <w:tcW w:w="1650" w:type="pct"/>
                  <w:noWrap w:val="0"/>
                  <w:vAlign w:val="center"/>
                </w:tcPr>
                <w:p>
                  <w:pPr>
                    <w:wordWrap w:val="0"/>
                    <w:jc w:val="center"/>
                  </w:pPr>
                  <w:r>
                    <w:rPr>
                      <w:rFonts w:hint="eastAsia"/>
                    </w:rPr>
                    <w:t>（HJ954-2018）推荐的可行性技术</w:t>
                  </w:r>
                </w:p>
              </w:tc>
              <w:tc>
                <w:tcPr>
                  <w:tcW w:w="884" w:type="pct"/>
                  <w:noWrap w:val="0"/>
                  <w:vAlign w:val="center"/>
                </w:tcPr>
                <w:p>
                  <w:pPr>
                    <w:wordWrap w:val="0"/>
                    <w:jc w:val="center"/>
                  </w:pPr>
                  <w:r>
                    <w:rPr>
                      <w:rFonts w:hint="eastAsia"/>
                    </w:rPr>
                    <w:t>本项目</w:t>
                  </w:r>
                </w:p>
              </w:tc>
              <w:tc>
                <w:tcPr>
                  <w:tcW w:w="875" w:type="pct"/>
                  <w:noWrap w:val="0"/>
                  <w:vAlign w:val="center"/>
                </w:tcPr>
                <w:p>
                  <w:pPr>
                    <w:wordWrap w:val="0"/>
                    <w:jc w:val="center"/>
                  </w:pPr>
                  <w:r>
                    <w:rPr>
                      <w:rFonts w:hint="eastAsia"/>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noWrap w:val="0"/>
                  <w:vAlign w:val="center"/>
                </w:tcPr>
                <w:p>
                  <w:pPr>
                    <w:wordWrap w:val="0"/>
                    <w:jc w:val="center"/>
                  </w:pPr>
                  <w:r>
                    <w:rPr>
                      <w:rFonts w:hint="eastAsia"/>
                      <w:sz w:val="18"/>
                      <w:szCs w:val="18"/>
                    </w:rPr>
                    <w:t>喂料、破碎、筛分</w:t>
                  </w:r>
                </w:p>
              </w:tc>
              <w:tc>
                <w:tcPr>
                  <w:tcW w:w="972" w:type="pct"/>
                  <w:noWrap w:val="0"/>
                  <w:vAlign w:val="center"/>
                </w:tcPr>
                <w:p>
                  <w:pPr>
                    <w:wordWrap w:val="0"/>
                    <w:jc w:val="center"/>
                    <w:rPr>
                      <w:rFonts w:hint="eastAsia"/>
                    </w:rPr>
                  </w:pPr>
                  <w:r>
                    <w:rPr>
                      <w:rFonts w:hint="eastAsia"/>
                    </w:rPr>
                    <w:t>颗粒物</w:t>
                  </w:r>
                </w:p>
              </w:tc>
              <w:tc>
                <w:tcPr>
                  <w:tcW w:w="1650" w:type="pct"/>
                  <w:noWrap w:val="0"/>
                  <w:vAlign w:val="center"/>
                </w:tcPr>
                <w:p>
                  <w:pPr>
                    <w:wordWrap w:val="0"/>
                    <w:jc w:val="center"/>
                  </w:pPr>
                  <w:r>
                    <w:rPr>
                      <w:rFonts w:hint="eastAsia"/>
                    </w:rPr>
                    <w:t>湿法作业或采用带式除尘等技术</w:t>
                  </w:r>
                </w:p>
              </w:tc>
              <w:tc>
                <w:tcPr>
                  <w:tcW w:w="884" w:type="pct"/>
                  <w:noWrap w:val="0"/>
                  <w:vAlign w:val="center"/>
                </w:tcPr>
                <w:p>
                  <w:pPr>
                    <w:wordWrap w:val="0"/>
                    <w:jc w:val="center"/>
                    <w:rPr>
                      <w:rFonts w:hint="eastAsia"/>
                    </w:rPr>
                  </w:pPr>
                  <w:r>
                    <w:rPr>
                      <w:rFonts w:hint="eastAsia"/>
                    </w:rPr>
                    <w:t>袋式除尘</w:t>
                  </w:r>
                </w:p>
              </w:tc>
              <w:tc>
                <w:tcPr>
                  <w:tcW w:w="875" w:type="pct"/>
                  <w:noWrap w:val="0"/>
                  <w:vAlign w:val="center"/>
                </w:tcPr>
                <w:p>
                  <w:pPr>
                    <w:wordWrap w:val="0"/>
                    <w:jc w:val="center"/>
                    <w:rPr>
                      <w:rFonts w:hint="eastAsia"/>
                    </w:rPr>
                  </w:pPr>
                  <w:r>
                    <w:rPr>
                      <w:rFonts w:hint="eastAsia"/>
                    </w:rPr>
                    <w:t>是</w:t>
                  </w:r>
                </w:p>
              </w:tc>
            </w:tr>
          </w:tbl>
          <w:p>
            <w:pPr>
              <w:wordWrap w:val="0"/>
              <w:spacing w:line="360" w:lineRule="auto"/>
              <w:ind w:firstLine="480" w:firstLineChars="200"/>
              <w:rPr>
                <w:rFonts w:hint="eastAsia"/>
                <w:bCs/>
                <w:sz w:val="24"/>
              </w:rPr>
            </w:pPr>
            <w:r>
              <w:rPr>
                <w:bCs/>
                <w:sz w:val="24"/>
              </w:rPr>
              <w:t>经工程分析，本项目</w:t>
            </w:r>
            <w:r>
              <w:rPr>
                <w:rFonts w:hint="eastAsia"/>
                <w:bCs/>
                <w:sz w:val="24"/>
              </w:rPr>
              <w:t>喂料、破碎、筛分</w:t>
            </w:r>
            <w:r>
              <w:rPr>
                <w:bCs/>
                <w:sz w:val="24"/>
              </w:rPr>
              <w:t>废气采用</w:t>
            </w:r>
            <w:r>
              <w:rPr>
                <w:rFonts w:hint="eastAsia"/>
                <w:sz w:val="24"/>
              </w:rPr>
              <w:t>一套布袋除尘器</w:t>
            </w:r>
            <w:r>
              <w:rPr>
                <w:bCs/>
                <w:sz w:val="24"/>
              </w:rPr>
              <w:t>进行处理，处理后</w:t>
            </w:r>
            <w:r>
              <w:rPr>
                <w:rFonts w:hint="eastAsia"/>
                <w:bCs/>
                <w:sz w:val="24"/>
              </w:rPr>
              <w:t>喂料、破碎、筛分</w:t>
            </w:r>
            <w:r>
              <w:rPr>
                <w:bCs/>
                <w:sz w:val="24"/>
              </w:rPr>
              <w:t>废气颗粒物排放浓度为</w:t>
            </w:r>
            <w:r>
              <w:rPr>
                <w:rFonts w:hint="eastAsia"/>
                <w:bCs/>
                <w:sz w:val="24"/>
                <w:lang w:val="en-US" w:eastAsia="zh-CN"/>
              </w:rPr>
              <w:t>36.62</w:t>
            </w:r>
            <w:r>
              <w:rPr>
                <w:bCs/>
                <w:sz w:val="24"/>
              </w:rPr>
              <w:t>mg/m</w:t>
            </w:r>
            <w:r>
              <w:rPr>
                <w:bCs/>
                <w:sz w:val="24"/>
                <w:vertAlign w:val="superscript"/>
              </w:rPr>
              <w:t>3</w:t>
            </w:r>
            <w:r>
              <w:rPr>
                <w:bCs/>
                <w:sz w:val="24"/>
              </w:rPr>
              <w:t>，满足</w:t>
            </w:r>
            <w:r>
              <w:rPr>
                <w:rFonts w:hint="eastAsia"/>
                <w:sz w:val="24"/>
              </w:rPr>
              <w:t>《大气污染物综合排放标准（GB16297-1996）》表2中颗粒物规定限值（颗粒物≤120mg/m</w:t>
            </w:r>
            <w:r>
              <w:rPr>
                <w:rFonts w:hint="eastAsia"/>
                <w:sz w:val="24"/>
                <w:vertAlign w:val="superscript"/>
              </w:rPr>
              <w:t>3</w:t>
            </w:r>
            <w:r>
              <w:rPr>
                <w:rFonts w:hint="eastAsia"/>
                <w:sz w:val="24"/>
              </w:rPr>
              <w:t>）</w:t>
            </w:r>
            <w:r>
              <w:rPr>
                <w:bCs/>
                <w:sz w:val="24"/>
              </w:rPr>
              <w:t>，选用的环保措施属于</w:t>
            </w:r>
            <w:r>
              <w:rPr>
                <w:rFonts w:hint="eastAsia"/>
                <w:bCs/>
                <w:sz w:val="24"/>
              </w:rPr>
              <w:t>《排放源统计调查产排污核算方法和系数手册》</w:t>
            </w:r>
            <w:r>
              <w:rPr>
                <w:bCs/>
                <w:sz w:val="24"/>
              </w:rPr>
              <w:t>的可行性技术。</w:t>
            </w:r>
          </w:p>
          <w:p>
            <w:pPr>
              <w:wordWrap w:val="0"/>
              <w:spacing w:line="360" w:lineRule="auto"/>
              <w:ind w:firstLine="480" w:firstLineChars="200"/>
              <w:rPr>
                <w:bCs/>
                <w:sz w:val="24"/>
              </w:rPr>
            </w:pPr>
            <w:r>
              <w:rPr>
                <w:bCs/>
                <w:sz w:val="24"/>
              </w:rPr>
              <w:t>综上，本项目废气处理措施技术可行。</w:t>
            </w:r>
          </w:p>
          <w:p>
            <w:pPr>
              <w:keepNext/>
              <w:keepLines/>
              <w:wordWrap w:val="0"/>
              <w:spacing w:before="200" w:after="200"/>
              <w:outlineLvl w:val="3"/>
              <w:rPr>
                <w:rFonts w:hint="eastAsia"/>
                <w:b/>
                <w:sz w:val="24"/>
              </w:rPr>
            </w:pPr>
            <w:r>
              <w:rPr>
                <w:rFonts w:hint="eastAsia"/>
                <w:b/>
                <w:sz w:val="24"/>
              </w:rPr>
              <w:t>4.2.1.4达标排放及环境影响</w:t>
            </w:r>
          </w:p>
          <w:p>
            <w:pPr>
              <w:wordWrap w:val="0"/>
              <w:spacing w:line="360" w:lineRule="auto"/>
              <w:ind w:firstLine="482" w:firstLineChars="200"/>
              <w:rPr>
                <w:rFonts w:hint="eastAsia"/>
                <w:b/>
                <w:sz w:val="24"/>
              </w:rPr>
            </w:pPr>
            <w:r>
              <w:rPr>
                <w:rFonts w:hint="eastAsia"/>
                <w:b/>
                <w:sz w:val="24"/>
              </w:rPr>
              <w:t>1、排气筒基本信息</w:t>
            </w:r>
          </w:p>
          <w:p>
            <w:pPr>
              <w:wordWrap w:val="0"/>
              <w:spacing w:line="360" w:lineRule="auto"/>
              <w:ind w:firstLine="480" w:firstLineChars="200"/>
              <w:rPr>
                <w:rFonts w:hint="eastAsia"/>
                <w:sz w:val="24"/>
              </w:rPr>
            </w:pPr>
            <w:r>
              <w:rPr>
                <w:rFonts w:hint="eastAsia"/>
                <w:sz w:val="24"/>
              </w:rPr>
              <w:t>项目废气设置1个废气排气筒，排放颗粒物。排放口基本情况见下表。</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表4.2-10：排气筒基本信息</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597"/>
              <w:gridCol w:w="2178"/>
              <w:gridCol w:w="188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noWrap w:val="0"/>
                  <w:vAlign w:val="center"/>
                </w:tcPr>
                <w:p>
                  <w:pPr>
                    <w:widowControl/>
                    <w:jc w:val="center"/>
                    <w:rPr>
                      <w:b/>
                      <w:bCs/>
                      <w:color w:val="000000"/>
                      <w:szCs w:val="21"/>
                    </w:rPr>
                  </w:pPr>
                  <w:r>
                    <w:rPr>
                      <w:b/>
                      <w:bCs/>
                      <w:color w:val="000000"/>
                      <w:szCs w:val="21"/>
                    </w:rPr>
                    <w:t>排气筒名称及编号</w:t>
                  </w:r>
                </w:p>
              </w:tc>
              <w:tc>
                <w:tcPr>
                  <w:tcW w:w="927" w:type="pct"/>
                  <w:noWrap w:val="0"/>
                  <w:vAlign w:val="center"/>
                </w:tcPr>
                <w:p>
                  <w:pPr>
                    <w:widowControl/>
                    <w:jc w:val="center"/>
                    <w:rPr>
                      <w:b/>
                      <w:color w:val="000000"/>
                      <w:kern w:val="0"/>
                      <w:szCs w:val="21"/>
                    </w:rPr>
                  </w:pPr>
                  <w:r>
                    <w:rPr>
                      <w:b/>
                      <w:color w:val="000000"/>
                      <w:kern w:val="0"/>
                      <w:szCs w:val="21"/>
                    </w:rPr>
                    <w:t>排放因子</w:t>
                  </w:r>
                </w:p>
              </w:tc>
              <w:tc>
                <w:tcPr>
                  <w:tcW w:w="1264" w:type="pct"/>
                  <w:noWrap w:val="0"/>
                  <w:vAlign w:val="center"/>
                </w:tcPr>
                <w:p>
                  <w:pPr>
                    <w:widowControl/>
                    <w:jc w:val="center"/>
                    <w:rPr>
                      <w:b/>
                      <w:color w:val="000000"/>
                      <w:kern w:val="0"/>
                      <w:szCs w:val="21"/>
                    </w:rPr>
                  </w:pPr>
                  <w:r>
                    <w:rPr>
                      <w:b/>
                      <w:color w:val="000000"/>
                      <w:kern w:val="0"/>
                      <w:szCs w:val="21"/>
                    </w:rPr>
                    <w:t>排气筒坐标</w:t>
                  </w:r>
                </w:p>
              </w:tc>
              <w:tc>
                <w:tcPr>
                  <w:tcW w:w="1094" w:type="pct"/>
                  <w:noWrap w:val="0"/>
                  <w:vAlign w:val="center"/>
                </w:tcPr>
                <w:p>
                  <w:pPr>
                    <w:widowControl/>
                    <w:jc w:val="center"/>
                    <w:rPr>
                      <w:b/>
                      <w:color w:val="000000"/>
                      <w:kern w:val="0"/>
                      <w:szCs w:val="21"/>
                    </w:rPr>
                  </w:pPr>
                  <w:r>
                    <w:rPr>
                      <w:b/>
                      <w:color w:val="000000"/>
                      <w:kern w:val="0"/>
                      <w:szCs w:val="21"/>
                    </w:rPr>
                    <w:t>排气筒参数</w:t>
                  </w:r>
                </w:p>
              </w:tc>
              <w:tc>
                <w:tcPr>
                  <w:tcW w:w="539" w:type="pct"/>
                  <w:noWrap w:val="0"/>
                  <w:vAlign w:val="center"/>
                </w:tcPr>
                <w:p>
                  <w:pPr>
                    <w:widowControl/>
                    <w:jc w:val="center"/>
                    <w:rPr>
                      <w:b/>
                      <w:bCs/>
                      <w:color w:val="000000"/>
                      <w:szCs w:val="21"/>
                    </w:rPr>
                  </w:pPr>
                  <w:r>
                    <w:rPr>
                      <w:rFonts w:hint="eastAsia"/>
                      <w:b/>
                      <w:bCs/>
                      <w:color w:val="000000"/>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noWrap w:val="0"/>
                  <w:vAlign w:val="center"/>
                </w:tcPr>
                <w:p>
                  <w:pPr>
                    <w:widowControl/>
                    <w:rPr>
                      <w:color w:val="000000"/>
                      <w:szCs w:val="21"/>
                    </w:rPr>
                  </w:pPr>
                  <w:r>
                    <w:rPr>
                      <w:rFonts w:hint="eastAsia"/>
                      <w:color w:val="000000"/>
                      <w:szCs w:val="21"/>
                    </w:rPr>
                    <w:t>布袋除尘器处理废气</w:t>
                  </w:r>
                  <w:r>
                    <w:rPr>
                      <w:color w:val="000000"/>
                      <w:szCs w:val="21"/>
                    </w:rPr>
                    <w:t>排气筒DA001</w:t>
                  </w:r>
                </w:p>
              </w:tc>
              <w:tc>
                <w:tcPr>
                  <w:tcW w:w="927" w:type="pct"/>
                  <w:noWrap w:val="0"/>
                  <w:vAlign w:val="center"/>
                </w:tcPr>
                <w:p>
                  <w:pPr>
                    <w:jc w:val="center"/>
                    <w:rPr>
                      <w:color w:val="000000"/>
                      <w:kern w:val="0"/>
                      <w:szCs w:val="21"/>
                    </w:rPr>
                  </w:pPr>
                  <w:r>
                    <w:rPr>
                      <w:color w:val="000000"/>
                      <w:kern w:val="0"/>
                      <w:szCs w:val="21"/>
                    </w:rPr>
                    <w:t>颗粒物</w:t>
                  </w:r>
                </w:p>
              </w:tc>
              <w:tc>
                <w:tcPr>
                  <w:tcW w:w="1264" w:type="pct"/>
                  <w:noWrap w:val="0"/>
                  <w:vAlign w:val="center"/>
                </w:tcPr>
                <w:p>
                  <w:pPr>
                    <w:widowControl/>
                    <w:jc w:val="center"/>
                    <w:rPr>
                      <w:rFonts w:hint="eastAsia"/>
                      <w:color w:val="000000"/>
                      <w:kern w:val="0"/>
                      <w:szCs w:val="21"/>
                    </w:rPr>
                  </w:pPr>
                  <w:r>
                    <w:rPr>
                      <w:color w:val="000000"/>
                      <w:kern w:val="0"/>
                      <w:szCs w:val="21"/>
                    </w:rPr>
                    <w:t>E109°27′44.21763″</w:t>
                  </w:r>
                  <w:r>
                    <w:rPr>
                      <w:rFonts w:hint="eastAsia"/>
                      <w:color w:val="000000"/>
                      <w:kern w:val="0"/>
                      <w:szCs w:val="21"/>
                    </w:rPr>
                    <w:t>,</w:t>
                  </w:r>
                </w:p>
                <w:p>
                  <w:pPr>
                    <w:widowControl/>
                    <w:jc w:val="center"/>
                    <w:rPr>
                      <w:color w:val="000000"/>
                      <w:kern w:val="0"/>
                      <w:szCs w:val="21"/>
                    </w:rPr>
                  </w:pPr>
                  <w:r>
                    <w:rPr>
                      <w:color w:val="000000"/>
                      <w:kern w:val="0"/>
                      <w:szCs w:val="21"/>
                    </w:rPr>
                    <w:t>N28°32′17.22240″</w:t>
                  </w:r>
                </w:p>
              </w:tc>
              <w:tc>
                <w:tcPr>
                  <w:tcW w:w="1094" w:type="pct"/>
                  <w:noWrap w:val="0"/>
                  <w:vAlign w:val="center"/>
                </w:tcPr>
                <w:p>
                  <w:pPr>
                    <w:widowControl/>
                    <w:jc w:val="center"/>
                    <w:rPr>
                      <w:color w:val="000000"/>
                      <w:kern w:val="0"/>
                      <w:szCs w:val="21"/>
                    </w:rPr>
                  </w:pPr>
                  <w:r>
                    <w:rPr>
                      <w:color w:val="000000"/>
                      <w:kern w:val="0"/>
                      <w:szCs w:val="21"/>
                    </w:rPr>
                    <w:t>Φ0.6m×</w:t>
                  </w:r>
                  <w:r>
                    <w:rPr>
                      <w:rFonts w:hint="eastAsia"/>
                      <w:color w:val="000000"/>
                      <w:kern w:val="0"/>
                      <w:szCs w:val="21"/>
                    </w:rPr>
                    <w:t>15</w:t>
                  </w:r>
                  <w:r>
                    <w:rPr>
                      <w:color w:val="000000"/>
                      <w:kern w:val="0"/>
                      <w:szCs w:val="21"/>
                    </w:rPr>
                    <w:t>m</w:t>
                  </w:r>
                  <w:r>
                    <w:rPr>
                      <w:rFonts w:hint="eastAsia"/>
                      <w:color w:val="000000"/>
                      <w:kern w:val="0"/>
                      <w:szCs w:val="21"/>
                    </w:rPr>
                    <w:t>，风量50000m³/h</w:t>
                  </w:r>
                </w:p>
              </w:tc>
              <w:tc>
                <w:tcPr>
                  <w:tcW w:w="539" w:type="pct"/>
                  <w:noWrap w:val="0"/>
                  <w:vAlign w:val="center"/>
                </w:tcPr>
                <w:p>
                  <w:pPr>
                    <w:widowControl/>
                    <w:jc w:val="center"/>
                    <w:rPr>
                      <w:color w:val="000000"/>
                      <w:szCs w:val="21"/>
                    </w:rPr>
                  </w:pPr>
                  <w:r>
                    <w:rPr>
                      <w:color w:val="000000"/>
                      <w:szCs w:val="21"/>
                    </w:rPr>
                    <w:t>一般排放口</w:t>
                  </w:r>
                </w:p>
              </w:tc>
            </w:tr>
          </w:tbl>
          <w:p>
            <w:pPr>
              <w:wordWrap w:val="0"/>
              <w:spacing w:line="360" w:lineRule="auto"/>
              <w:ind w:firstLine="480" w:firstLineChars="200"/>
              <w:rPr>
                <w:rFonts w:hint="eastAsia"/>
                <w:sz w:val="24"/>
              </w:rPr>
            </w:pPr>
          </w:p>
          <w:p>
            <w:pPr>
              <w:wordWrap w:val="0"/>
              <w:spacing w:line="360" w:lineRule="auto"/>
              <w:ind w:firstLine="482" w:firstLineChars="200"/>
              <w:rPr>
                <w:rFonts w:hint="eastAsia"/>
                <w:b/>
                <w:sz w:val="24"/>
              </w:rPr>
            </w:pPr>
            <w:r>
              <w:rPr>
                <w:rFonts w:hint="eastAsia"/>
                <w:b/>
                <w:sz w:val="24"/>
              </w:rPr>
              <w:t>2、达标排放及影响分析</w:t>
            </w:r>
          </w:p>
          <w:p>
            <w:pPr>
              <w:wordWrap w:val="0"/>
              <w:autoSpaceDE w:val="0"/>
              <w:autoSpaceDN w:val="0"/>
              <w:spacing w:line="360" w:lineRule="auto"/>
              <w:ind w:firstLine="482" w:firstLineChars="200"/>
              <w:jc w:val="left"/>
              <w:rPr>
                <w:rFonts w:hint="eastAsia" w:ascii="宋体" w:hAnsi="宋体" w:cs="宋体"/>
                <w:b/>
                <w:color w:val="000000"/>
                <w:kern w:val="0"/>
                <w:sz w:val="24"/>
                <w:szCs w:val="22"/>
              </w:rPr>
            </w:pPr>
            <w:r>
              <w:rPr>
                <w:rFonts w:hint="eastAsia" w:ascii="宋体" w:hAnsi="宋体" w:cs="宋体"/>
                <w:b/>
                <w:color w:val="000000"/>
                <w:kern w:val="0"/>
                <w:sz w:val="24"/>
                <w:szCs w:val="22"/>
              </w:rPr>
              <w:t>（1）有组织排放</w:t>
            </w:r>
          </w:p>
          <w:p>
            <w:pPr>
              <w:wordWrap w:val="0"/>
              <w:spacing w:line="360" w:lineRule="auto"/>
              <w:ind w:firstLine="480" w:firstLineChars="200"/>
              <w:rPr>
                <w:sz w:val="24"/>
              </w:rPr>
            </w:pPr>
            <w:r>
              <w:rPr>
                <w:rFonts w:hint="eastAsia" w:ascii="宋体" w:hAnsi="宋体"/>
                <w:sz w:val="24"/>
              </w:rPr>
              <w:t>①</w:t>
            </w:r>
            <w:r>
              <w:rPr>
                <w:sz w:val="24"/>
              </w:rPr>
              <w:t>达标排放分析</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cs="宋体"/>
                <w:b/>
                <w:szCs w:val="21"/>
              </w:rPr>
              <w:t>表</w:t>
            </w:r>
            <w:r>
              <w:rPr>
                <w:rFonts w:hint="eastAsia" w:cs="宋体"/>
                <w:b/>
                <w:szCs w:val="21"/>
              </w:rPr>
              <w:t>4.2-11：</w:t>
            </w:r>
            <w:r>
              <w:rPr>
                <w:rFonts w:cs="宋体"/>
                <w:b/>
                <w:szCs w:val="21"/>
              </w:rPr>
              <w:t>有组织废气排放达标判断</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70"/>
              <w:gridCol w:w="841"/>
              <w:gridCol w:w="954"/>
              <w:gridCol w:w="958"/>
              <w:gridCol w:w="958"/>
              <w:gridCol w:w="958"/>
              <w:gridCol w:w="1137"/>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noWrap w:val="0"/>
                  <w:vAlign w:val="center"/>
                </w:tcPr>
                <w:p>
                  <w:pPr>
                    <w:autoSpaceDE w:val="0"/>
                    <w:autoSpaceDN w:val="0"/>
                    <w:adjustRightInd w:val="0"/>
                    <w:jc w:val="center"/>
                    <w:rPr>
                      <w:color w:val="000000"/>
                      <w:kern w:val="0"/>
                      <w:szCs w:val="21"/>
                    </w:rPr>
                  </w:pPr>
                  <w:r>
                    <w:rPr>
                      <w:color w:val="000000"/>
                      <w:kern w:val="0"/>
                      <w:szCs w:val="21"/>
                    </w:rPr>
                    <w:t>污染源</w:t>
                  </w:r>
                </w:p>
              </w:tc>
              <w:tc>
                <w:tcPr>
                  <w:tcW w:w="621" w:type="pct"/>
                  <w:vMerge w:val="restart"/>
                  <w:noWrap w:val="0"/>
                  <w:vAlign w:val="center"/>
                </w:tcPr>
                <w:p>
                  <w:pPr>
                    <w:autoSpaceDE w:val="0"/>
                    <w:autoSpaceDN w:val="0"/>
                    <w:adjustRightInd w:val="0"/>
                    <w:jc w:val="center"/>
                    <w:rPr>
                      <w:color w:val="000000"/>
                      <w:kern w:val="0"/>
                      <w:szCs w:val="21"/>
                    </w:rPr>
                  </w:pPr>
                  <w:r>
                    <w:rPr>
                      <w:color w:val="000000"/>
                      <w:kern w:val="0"/>
                      <w:szCs w:val="21"/>
                    </w:rPr>
                    <w:t>污染因子</w:t>
                  </w:r>
                </w:p>
              </w:tc>
              <w:tc>
                <w:tcPr>
                  <w:tcW w:w="1598" w:type="pct"/>
                  <w:gridSpan w:val="3"/>
                  <w:noWrap w:val="0"/>
                  <w:vAlign w:val="center"/>
                </w:tcPr>
                <w:p>
                  <w:pPr>
                    <w:autoSpaceDE w:val="0"/>
                    <w:autoSpaceDN w:val="0"/>
                    <w:adjustRightInd w:val="0"/>
                    <w:jc w:val="center"/>
                    <w:rPr>
                      <w:color w:val="000000"/>
                      <w:kern w:val="0"/>
                      <w:szCs w:val="21"/>
                    </w:rPr>
                  </w:pPr>
                  <w:r>
                    <w:rPr>
                      <w:color w:val="000000"/>
                      <w:kern w:val="0"/>
                      <w:szCs w:val="21"/>
                    </w:rPr>
                    <w:t>排放情况</w:t>
                  </w:r>
                </w:p>
              </w:tc>
              <w:tc>
                <w:tcPr>
                  <w:tcW w:w="1772" w:type="pct"/>
                  <w:gridSpan w:val="3"/>
                  <w:noWrap w:val="0"/>
                  <w:vAlign w:val="center"/>
                </w:tcPr>
                <w:p>
                  <w:pPr>
                    <w:autoSpaceDE w:val="0"/>
                    <w:autoSpaceDN w:val="0"/>
                    <w:adjustRightInd w:val="0"/>
                    <w:jc w:val="center"/>
                    <w:rPr>
                      <w:color w:val="000000"/>
                      <w:kern w:val="0"/>
                      <w:szCs w:val="21"/>
                    </w:rPr>
                  </w:pPr>
                  <w:r>
                    <w:rPr>
                      <w:color w:val="000000"/>
                      <w:kern w:val="0"/>
                      <w:szCs w:val="21"/>
                    </w:rPr>
                    <w:t>标准限值</w:t>
                  </w:r>
                </w:p>
              </w:tc>
              <w:tc>
                <w:tcPr>
                  <w:tcW w:w="452" w:type="pct"/>
                  <w:vMerge w:val="restart"/>
                  <w:noWrap w:val="0"/>
                  <w:vAlign w:val="center"/>
                </w:tcPr>
                <w:p>
                  <w:pPr>
                    <w:autoSpaceDE w:val="0"/>
                    <w:autoSpaceDN w:val="0"/>
                    <w:adjustRightInd w:val="0"/>
                    <w:jc w:val="center"/>
                    <w:rPr>
                      <w:color w:val="000000"/>
                      <w:kern w:val="0"/>
                      <w:szCs w:val="21"/>
                    </w:rPr>
                  </w:pPr>
                  <w:r>
                    <w:rPr>
                      <w:color w:val="000000"/>
                      <w:kern w:val="0"/>
                      <w:szCs w:val="21"/>
                    </w:rPr>
                    <w:t>达标判断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autoSpaceDE w:val="0"/>
                    <w:autoSpaceDN w:val="0"/>
                    <w:adjustRightInd w:val="0"/>
                    <w:jc w:val="center"/>
                    <w:rPr>
                      <w:color w:val="000000"/>
                      <w:kern w:val="0"/>
                      <w:szCs w:val="21"/>
                    </w:rPr>
                  </w:pPr>
                </w:p>
              </w:tc>
              <w:tc>
                <w:tcPr>
                  <w:tcW w:w="621" w:type="pct"/>
                  <w:vMerge w:val="continue"/>
                  <w:noWrap w:val="0"/>
                  <w:vAlign w:val="center"/>
                </w:tcPr>
                <w:p>
                  <w:pPr>
                    <w:autoSpaceDE w:val="0"/>
                    <w:autoSpaceDN w:val="0"/>
                    <w:adjustRightInd w:val="0"/>
                    <w:jc w:val="center"/>
                    <w:rPr>
                      <w:color w:val="000000"/>
                      <w:kern w:val="0"/>
                      <w:szCs w:val="21"/>
                    </w:rPr>
                  </w:pPr>
                </w:p>
              </w:tc>
              <w:tc>
                <w:tcPr>
                  <w:tcW w:w="488" w:type="pct"/>
                  <w:noWrap w:val="0"/>
                  <w:vAlign w:val="center"/>
                </w:tcPr>
                <w:p>
                  <w:pPr>
                    <w:widowControl/>
                    <w:adjustRightInd w:val="0"/>
                    <w:jc w:val="center"/>
                    <w:rPr>
                      <w:color w:val="000000"/>
                      <w:kern w:val="0"/>
                      <w:sz w:val="18"/>
                      <w:szCs w:val="18"/>
                    </w:rPr>
                  </w:pPr>
                  <w:r>
                    <w:rPr>
                      <w:color w:val="000000"/>
                      <w:kern w:val="0"/>
                      <w:sz w:val="18"/>
                      <w:szCs w:val="18"/>
                    </w:rPr>
                    <w:t>排放量(t/a)</w:t>
                  </w:r>
                </w:p>
              </w:tc>
              <w:tc>
                <w:tcPr>
                  <w:tcW w:w="554" w:type="pct"/>
                  <w:noWrap w:val="0"/>
                  <w:vAlign w:val="center"/>
                </w:tcPr>
                <w:p>
                  <w:pPr>
                    <w:widowControl/>
                    <w:adjustRightInd w:val="0"/>
                    <w:jc w:val="center"/>
                    <w:rPr>
                      <w:color w:val="000000"/>
                      <w:kern w:val="0"/>
                      <w:sz w:val="18"/>
                      <w:szCs w:val="18"/>
                    </w:rPr>
                  </w:pPr>
                  <w:r>
                    <w:rPr>
                      <w:color w:val="000000"/>
                      <w:kern w:val="0"/>
                      <w:sz w:val="18"/>
                      <w:szCs w:val="18"/>
                    </w:rPr>
                    <w:t>排放速率(kg/h)</w:t>
                  </w:r>
                </w:p>
              </w:tc>
              <w:tc>
                <w:tcPr>
                  <w:tcW w:w="554" w:type="pct"/>
                  <w:noWrap w:val="0"/>
                  <w:vAlign w:val="center"/>
                </w:tcPr>
                <w:p>
                  <w:pPr>
                    <w:widowControl/>
                    <w:adjustRightInd w:val="0"/>
                    <w:jc w:val="center"/>
                    <w:rPr>
                      <w:color w:val="000000"/>
                      <w:kern w:val="0"/>
                      <w:sz w:val="18"/>
                      <w:szCs w:val="18"/>
                    </w:rPr>
                  </w:pPr>
                  <w:r>
                    <w:rPr>
                      <w:color w:val="000000"/>
                      <w:kern w:val="0"/>
                      <w:sz w:val="18"/>
                      <w:szCs w:val="18"/>
                    </w:rPr>
                    <w:t>浓度mg/m</w:t>
                  </w:r>
                  <w:r>
                    <w:rPr>
                      <w:color w:val="000000"/>
                      <w:kern w:val="0"/>
                      <w:sz w:val="18"/>
                      <w:szCs w:val="18"/>
                      <w:vertAlign w:val="superscript"/>
                    </w:rPr>
                    <w:t>3</w:t>
                  </w:r>
                </w:p>
              </w:tc>
              <w:tc>
                <w:tcPr>
                  <w:tcW w:w="556" w:type="pct"/>
                  <w:noWrap w:val="0"/>
                  <w:vAlign w:val="center"/>
                </w:tcPr>
                <w:p>
                  <w:pPr>
                    <w:widowControl/>
                    <w:adjustRightInd w:val="0"/>
                    <w:jc w:val="center"/>
                    <w:rPr>
                      <w:color w:val="000000"/>
                      <w:kern w:val="0"/>
                      <w:sz w:val="18"/>
                      <w:szCs w:val="18"/>
                    </w:rPr>
                  </w:pPr>
                  <w:r>
                    <w:rPr>
                      <w:color w:val="000000"/>
                      <w:kern w:val="0"/>
                      <w:sz w:val="18"/>
                      <w:szCs w:val="18"/>
                    </w:rPr>
                    <w:t>速率(kg/h)</w:t>
                  </w:r>
                </w:p>
              </w:tc>
              <w:tc>
                <w:tcPr>
                  <w:tcW w:w="556" w:type="pct"/>
                  <w:noWrap w:val="0"/>
                  <w:vAlign w:val="center"/>
                </w:tcPr>
                <w:p>
                  <w:pPr>
                    <w:widowControl/>
                    <w:adjustRightInd w:val="0"/>
                    <w:jc w:val="center"/>
                    <w:rPr>
                      <w:color w:val="000000"/>
                      <w:kern w:val="0"/>
                      <w:sz w:val="18"/>
                      <w:szCs w:val="18"/>
                    </w:rPr>
                  </w:pPr>
                  <w:r>
                    <w:rPr>
                      <w:color w:val="000000"/>
                      <w:kern w:val="0"/>
                      <w:sz w:val="18"/>
                      <w:szCs w:val="18"/>
                    </w:rPr>
                    <w:t>浓度mg/m</w:t>
                  </w:r>
                  <w:r>
                    <w:rPr>
                      <w:color w:val="000000"/>
                      <w:kern w:val="0"/>
                      <w:sz w:val="18"/>
                      <w:szCs w:val="18"/>
                      <w:vertAlign w:val="superscript"/>
                    </w:rPr>
                    <w:t>3</w:t>
                  </w:r>
                </w:p>
              </w:tc>
              <w:tc>
                <w:tcPr>
                  <w:tcW w:w="659" w:type="pct"/>
                  <w:noWrap w:val="0"/>
                  <w:vAlign w:val="center"/>
                </w:tcPr>
                <w:p>
                  <w:pPr>
                    <w:autoSpaceDE w:val="0"/>
                    <w:autoSpaceDN w:val="0"/>
                    <w:adjustRightInd w:val="0"/>
                    <w:jc w:val="center"/>
                    <w:rPr>
                      <w:color w:val="000000"/>
                      <w:kern w:val="0"/>
                      <w:szCs w:val="21"/>
                    </w:rPr>
                  </w:pPr>
                  <w:r>
                    <w:rPr>
                      <w:color w:val="000000"/>
                      <w:kern w:val="0"/>
                      <w:szCs w:val="21"/>
                    </w:rPr>
                    <w:t>标准名称</w:t>
                  </w:r>
                </w:p>
              </w:tc>
              <w:tc>
                <w:tcPr>
                  <w:tcW w:w="452" w:type="pct"/>
                  <w:vMerge w:val="continue"/>
                  <w:noWrap w:val="0"/>
                  <w:vAlign w:val="center"/>
                </w:tcPr>
                <w:p>
                  <w:pPr>
                    <w:autoSpaceDE w:val="0"/>
                    <w:autoSpaceDN w:val="0"/>
                    <w:adjustRightIn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noWrap w:val="0"/>
                  <w:vAlign w:val="center"/>
                </w:tcPr>
                <w:p>
                  <w:pPr>
                    <w:autoSpaceDE w:val="0"/>
                    <w:autoSpaceDN w:val="0"/>
                    <w:adjustRightInd w:val="0"/>
                    <w:jc w:val="center"/>
                    <w:rPr>
                      <w:color w:val="000000"/>
                      <w:kern w:val="0"/>
                      <w:szCs w:val="21"/>
                    </w:rPr>
                  </w:pPr>
                </w:p>
              </w:tc>
              <w:tc>
                <w:tcPr>
                  <w:tcW w:w="621" w:type="pct"/>
                  <w:noWrap w:val="0"/>
                  <w:vAlign w:val="center"/>
                </w:tcPr>
                <w:p>
                  <w:pPr>
                    <w:widowControl/>
                    <w:rPr>
                      <w:rFonts w:hint="eastAsia"/>
                      <w:color w:val="000000"/>
                      <w:szCs w:val="21"/>
                    </w:rPr>
                  </w:pPr>
                  <w:r>
                    <w:rPr>
                      <w:rFonts w:hint="eastAsia"/>
                      <w:color w:val="000000"/>
                      <w:szCs w:val="21"/>
                    </w:rPr>
                    <w:t>颗粒物</w:t>
                  </w:r>
                </w:p>
              </w:tc>
              <w:tc>
                <w:tcPr>
                  <w:tcW w:w="488" w:type="pct"/>
                  <w:noWrap w:val="0"/>
                  <w:vAlign w:val="center"/>
                </w:tcPr>
                <w:p>
                  <w:pPr>
                    <w:widowControl/>
                    <w:rPr>
                      <w:rFonts w:hint="default" w:eastAsia="宋体"/>
                      <w:color w:val="000000"/>
                      <w:szCs w:val="21"/>
                      <w:lang w:val="en-US" w:eastAsia="zh-CN"/>
                    </w:rPr>
                  </w:pPr>
                  <w:r>
                    <w:rPr>
                      <w:rFonts w:hint="eastAsia"/>
                      <w:color w:val="000000"/>
                      <w:szCs w:val="21"/>
                    </w:rPr>
                    <w:t>5.</w:t>
                  </w:r>
                  <w:r>
                    <w:rPr>
                      <w:rFonts w:hint="eastAsia"/>
                      <w:color w:val="000000"/>
                      <w:szCs w:val="21"/>
                      <w:lang w:val="en-US" w:eastAsia="zh-CN"/>
                    </w:rPr>
                    <w:t>3462</w:t>
                  </w:r>
                </w:p>
              </w:tc>
              <w:tc>
                <w:tcPr>
                  <w:tcW w:w="554" w:type="pct"/>
                  <w:noWrap w:val="0"/>
                  <w:vAlign w:val="center"/>
                </w:tcPr>
                <w:p>
                  <w:pPr>
                    <w:widowControl/>
                    <w:rPr>
                      <w:rFonts w:hint="default" w:eastAsia="宋体"/>
                      <w:color w:val="000000"/>
                      <w:szCs w:val="21"/>
                      <w:lang w:val="en-US" w:eastAsia="zh-CN"/>
                    </w:rPr>
                  </w:pPr>
                  <w:r>
                    <w:rPr>
                      <w:rFonts w:hint="eastAsia"/>
                      <w:color w:val="000000"/>
                      <w:szCs w:val="21"/>
                      <w:lang w:val="en-US" w:eastAsia="zh-CN"/>
                    </w:rPr>
                    <w:t>1.8309</w:t>
                  </w:r>
                </w:p>
              </w:tc>
              <w:tc>
                <w:tcPr>
                  <w:tcW w:w="554" w:type="pct"/>
                  <w:noWrap w:val="0"/>
                  <w:vAlign w:val="center"/>
                </w:tcPr>
                <w:p>
                  <w:pPr>
                    <w:widowControl/>
                    <w:rPr>
                      <w:rFonts w:hint="default" w:eastAsia="宋体"/>
                      <w:color w:val="000000"/>
                      <w:szCs w:val="21"/>
                      <w:lang w:val="en-US" w:eastAsia="zh-CN"/>
                    </w:rPr>
                  </w:pPr>
                  <w:r>
                    <w:rPr>
                      <w:rFonts w:hint="eastAsia"/>
                      <w:color w:val="000000"/>
                      <w:szCs w:val="21"/>
                      <w:lang w:val="en-US" w:eastAsia="zh-CN"/>
                    </w:rPr>
                    <w:t>36.62</w:t>
                  </w:r>
                </w:p>
              </w:tc>
              <w:tc>
                <w:tcPr>
                  <w:tcW w:w="556" w:type="pct"/>
                  <w:noWrap w:val="0"/>
                  <w:vAlign w:val="center"/>
                </w:tcPr>
                <w:p>
                  <w:pPr>
                    <w:widowControl/>
                    <w:jc w:val="center"/>
                    <w:rPr>
                      <w:color w:val="000000"/>
                      <w:szCs w:val="21"/>
                    </w:rPr>
                  </w:pPr>
                  <w:r>
                    <w:rPr>
                      <w:rFonts w:hint="eastAsia"/>
                      <w:color w:val="000000"/>
                      <w:szCs w:val="21"/>
                    </w:rPr>
                    <w:t>3.5</w:t>
                  </w:r>
                </w:p>
              </w:tc>
              <w:tc>
                <w:tcPr>
                  <w:tcW w:w="556" w:type="pct"/>
                  <w:noWrap w:val="0"/>
                  <w:vAlign w:val="center"/>
                </w:tcPr>
                <w:p>
                  <w:pPr>
                    <w:widowControl/>
                    <w:jc w:val="center"/>
                    <w:rPr>
                      <w:color w:val="000000"/>
                      <w:szCs w:val="21"/>
                    </w:rPr>
                  </w:pPr>
                  <w:r>
                    <w:rPr>
                      <w:rFonts w:hint="eastAsia"/>
                      <w:color w:val="000000"/>
                      <w:szCs w:val="21"/>
                    </w:rPr>
                    <w:t>120</w:t>
                  </w:r>
                </w:p>
              </w:tc>
              <w:tc>
                <w:tcPr>
                  <w:tcW w:w="659" w:type="pct"/>
                  <w:noWrap w:val="0"/>
                  <w:vAlign w:val="center"/>
                </w:tcPr>
                <w:p>
                  <w:pPr>
                    <w:widowControl/>
                    <w:rPr>
                      <w:color w:val="000000"/>
                      <w:szCs w:val="21"/>
                    </w:rPr>
                  </w:pPr>
                  <w:r>
                    <w:rPr>
                      <w:rFonts w:hint="eastAsia"/>
                      <w:color w:val="000000"/>
                      <w:szCs w:val="21"/>
                    </w:rPr>
                    <w:t>大气污染物综合排放标准</w:t>
                  </w:r>
                </w:p>
              </w:tc>
              <w:tc>
                <w:tcPr>
                  <w:tcW w:w="452" w:type="pct"/>
                  <w:noWrap w:val="0"/>
                  <w:vAlign w:val="center"/>
                </w:tcPr>
                <w:p>
                  <w:pPr>
                    <w:widowControl/>
                    <w:rPr>
                      <w:color w:val="000000"/>
                      <w:szCs w:val="21"/>
                    </w:rPr>
                  </w:pPr>
                  <w:r>
                    <w:rPr>
                      <w:color w:val="000000"/>
                      <w:szCs w:val="21"/>
                    </w:rPr>
                    <w:t>达标</w:t>
                  </w:r>
                </w:p>
              </w:tc>
            </w:tr>
          </w:tbl>
          <w:p>
            <w:pPr>
              <w:wordWrap w:val="0"/>
              <w:autoSpaceDE w:val="0"/>
              <w:autoSpaceDN w:val="0"/>
              <w:spacing w:line="360" w:lineRule="auto"/>
              <w:ind w:firstLine="480" w:firstLineChars="200"/>
              <w:jc w:val="left"/>
              <w:rPr>
                <w:rFonts w:hint="eastAsia"/>
                <w:color w:val="000000"/>
                <w:kern w:val="0"/>
                <w:sz w:val="24"/>
                <w:szCs w:val="22"/>
              </w:rPr>
            </w:pPr>
            <w:r>
              <w:rPr>
                <w:rFonts w:hint="eastAsia" w:ascii="宋体" w:hAnsi="宋体"/>
                <w:color w:val="000000"/>
                <w:kern w:val="0"/>
                <w:sz w:val="24"/>
                <w:szCs w:val="22"/>
              </w:rPr>
              <w:t>②</w:t>
            </w:r>
            <w:r>
              <w:rPr>
                <w:rFonts w:hint="eastAsia"/>
                <w:color w:val="000000"/>
                <w:kern w:val="0"/>
                <w:sz w:val="24"/>
                <w:szCs w:val="22"/>
              </w:rPr>
              <w:t>排气筒高度校核</w:t>
            </w:r>
          </w:p>
          <w:p>
            <w:pPr>
              <w:wordWrap w:val="0"/>
              <w:autoSpaceDE w:val="0"/>
              <w:autoSpaceDN w:val="0"/>
              <w:spacing w:line="360" w:lineRule="auto"/>
              <w:ind w:firstLine="480" w:firstLineChars="200"/>
              <w:jc w:val="left"/>
              <w:rPr>
                <w:rFonts w:hint="eastAsia"/>
                <w:color w:val="000000"/>
                <w:kern w:val="0"/>
                <w:sz w:val="24"/>
                <w:szCs w:val="22"/>
              </w:rPr>
            </w:pPr>
            <w:r>
              <w:rPr>
                <w:rFonts w:hint="eastAsia"/>
                <w:color w:val="000000"/>
                <w:kern w:val="0"/>
                <w:sz w:val="24"/>
                <w:szCs w:val="22"/>
              </w:rPr>
              <w:t>项目使用布袋除尘器对</w:t>
            </w:r>
            <w:r>
              <w:rPr>
                <w:rFonts w:hint="eastAsia"/>
                <w:bCs/>
                <w:sz w:val="24"/>
              </w:rPr>
              <w:t>喂料、破碎、筛分</w:t>
            </w:r>
            <w:r>
              <w:rPr>
                <w:bCs/>
                <w:sz w:val="24"/>
              </w:rPr>
              <w:t>废气</w:t>
            </w:r>
            <w:r>
              <w:rPr>
                <w:rFonts w:hint="eastAsia"/>
                <w:bCs/>
                <w:sz w:val="24"/>
              </w:rPr>
              <w:t>进行处理，经过1根15m排气筒（DA001）排放。周边200m范围内无最高建筑物。因此项目排气筒高度满足《大气污染物综合排放标准》（GB16297-1996）中“7.1排气筒高度除需遵守表列排放速率标准外，还应高出周围200m半径范围的建筑5m以上，不能达到该要求的排气简，应按其高度对应的表列排放速率标准值严格50%执行”和“7.4新污染源的排气简一般不应低于15m。若某新污染源的排气简必须低于15m时,其排放速率标准值按7.3的外推计算结果再严格50%执行。”要求。</w:t>
            </w:r>
            <w:r>
              <w:rPr>
                <w:rFonts w:hint="eastAsia"/>
                <w:color w:val="000000"/>
                <w:kern w:val="0"/>
                <w:sz w:val="24"/>
                <w:szCs w:val="22"/>
              </w:rPr>
              <w:t>因此，排气筒高度合理。</w:t>
            </w:r>
          </w:p>
          <w:p>
            <w:pPr>
              <w:wordWrap w:val="0"/>
              <w:autoSpaceDE w:val="0"/>
              <w:autoSpaceDN w:val="0"/>
              <w:spacing w:line="360" w:lineRule="auto"/>
              <w:ind w:firstLine="480" w:firstLineChars="200"/>
              <w:jc w:val="left"/>
              <w:rPr>
                <w:color w:val="000000"/>
                <w:kern w:val="0"/>
                <w:sz w:val="24"/>
                <w:szCs w:val="22"/>
              </w:rPr>
            </w:pPr>
            <w:r>
              <w:rPr>
                <w:color w:val="000000"/>
                <w:kern w:val="0"/>
                <w:sz w:val="24"/>
                <w:szCs w:val="22"/>
              </w:rPr>
              <w:t>由以上分析可知：</w:t>
            </w:r>
            <w:r>
              <w:rPr>
                <w:rFonts w:hint="eastAsia"/>
                <w:color w:val="000000"/>
                <w:kern w:val="0"/>
                <w:sz w:val="24"/>
                <w:szCs w:val="22"/>
              </w:rPr>
              <w:t>废气经布袋除尘器</w:t>
            </w:r>
            <w:r>
              <w:rPr>
                <w:color w:val="000000"/>
                <w:kern w:val="0"/>
                <w:sz w:val="24"/>
                <w:szCs w:val="22"/>
              </w:rPr>
              <w:t>处理后颗粒物浓度满足</w:t>
            </w:r>
            <w:r>
              <w:rPr>
                <w:rFonts w:hint="eastAsia"/>
                <w:bCs/>
                <w:sz w:val="24"/>
              </w:rPr>
              <w:t>《大气污染物综合排放标准》（GB16297-1996）</w:t>
            </w:r>
            <w:r>
              <w:rPr>
                <w:color w:val="000000"/>
                <w:kern w:val="0"/>
                <w:sz w:val="24"/>
                <w:szCs w:val="22"/>
              </w:rPr>
              <w:t>中表2</w:t>
            </w:r>
            <w:r>
              <w:rPr>
                <w:rFonts w:hint="eastAsia"/>
                <w:color w:val="000000"/>
                <w:kern w:val="0"/>
                <w:sz w:val="24"/>
                <w:szCs w:val="22"/>
              </w:rPr>
              <w:t>新污染源大气污染物排放</w:t>
            </w:r>
            <w:r>
              <w:rPr>
                <w:color w:val="000000"/>
                <w:kern w:val="0"/>
                <w:sz w:val="24"/>
                <w:szCs w:val="22"/>
              </w:rPr>
              <w:t>浓度限值要求，排气筒高度合理，有组织废气可实现达标排放。</w:t>
            </w:r>
          </w:p>
          <w:p>
            <w:pPr>
              <w:wordWrap w:val="0"/>
              <w:autoSpaceDE w:val="0"/>
              <w:autoSpaceDN w:val="0"/>
              <w:spacing w:line="360" w:lineRule="auto"/>
              <w:ind w:firstLine="482" w:firstLineChars="200"/>
              <w:jc w:val="left"/>
              <w:rPr>
                <w:rFonts w:hint="default" w:ascii="Times New Roman" w:hAnsi="Times New Roman" w:cs="Times New Roman"/>
                <w:b/>
                <w:color w:val="000000"/>
                <w:kern w:val="0"/>
                <w:sz w:val="24"/>
                <w:szCs w:val="22"/>
              </w:rPr>
            </w:pPr>
            <w:r>
              <w:rPr>
                <w:rFonts w:hint="default" w:ascii="Times New Roman" w:hAnsi="Times New Roman" w:cs="Times New Roman"/>
                <w:b/>
                <w:color w:val="000000"/>
                <w:kern w:val="0"/>
                <w:sz w:val="24"/>
                <w:szCs w:val="22"/>
              </w:rPr>
              <w:t>（2）无组织排放</w:t>
            </w:r>
          </w:p>
          <w:p>
            <w:pPr>
              <w:wordWrap w:val="0"/>
              <w:autoSpaceDE w:val="0"/>
              <w:autoSpaceDN w:val="0"/>
              <w:spacing w:line="360" w:lineRule="auto"/>
              <w:ind w:firstLine="480" w:firstLineChars="200"/>
              <w:jc w:val="left"/>
              <w:rPr>
                <w:color w:val="000000"/>
                <w:kern w:val="0"/>
                <w:sz w:val="24"/>
                <w:szCs w:val="22"/>
              </w:rPr>
            </w:pPr>
            <w:r>
              <w:rPr>
                <w:color w:val="000000"/>
                <w:kern w:val="0"/>
                <w:sz w:val="24"/>
                <w:szCs w:val="22"/>
              </w:rPr>
              <w:t>项目无组织废气</w:t>
            </w:r>
            <w:r>
              <w:rPr>
                <w:kern w:val="0"/>
                <w:sz w:val="24"/>
                <w:szCs w:val="22"/>
              </w:rPr>
              <w:t>包括</w:t>
            </w:r>
            <w:r>
              <w:rPr>
                <w:rFonts w:hint="eastAsia"/>
                <w:kern w:val="0"/>
                <w:sz w:val="24"/>
                <w:szCs w:val="22"/>
              </w:rPr>
              <w:t>喂料、破碎、筛分</w:t>
            </w:r>
            <w:r>
              <w:rPr>
                <w:kern w:val="0"/>
                <w:sz w:val="24"/>
                <w:szCs w:val="22"/>
              </w:rPr>
              <w:t>工序</w:t>
            </w:r>
            <w:r>
              <w:rPr>
                <w:rFonts w:hint="eastAsia"/>
                <w:kern w:val="0"/>
                <w:sz w:val="24"/>
                <w:szCs w:val="22"/>
              </w:rPr>
              <w:t>生产</w:t>
            </w:r>
            <w:r>
              <w:rPr>
                <w:kern w:val="0"/>
                <w:sz w:val="24"/>
                <w:szCs w:val="22"/>
              </w:rPr>
              <w:t>车间</w:t>
            </w:r>
            <w:r>
              <w:rPr>
                <w:rFonts w:hint="eastAsia"/>
                <w:kern w:val="0"/>
                <w:sz w:val="24"/>
                <w:szCs w:val="22"/>
              </w:rPr>
              <w:t>未收集的废气</w:t>
            </w:r>
            <w:r>
              <w:rPr>
                <w:kern w:val="0"/>
                <w:sz w:val="24"/>
                <w:szCs w:val="22"/>
              </w:rPr>
              <w:t>和</w:t>
            </w:r>
            <w:r>
              <w:rPr>
                <w:rFonts w:hint="eastAsia"/>
                <w:color w:val="000000"/>
                <w:kern w:val="0"/>
                <w:sz w:val="24"/>
                <w:szCs w:val="22"/>
              </w:rPr>
              <w:t>原料装卸、运输、产品堆放、皮带运输产生的废气以及汽车尾气</w:t>
            </w:r>
            <w:r>
              <w:rPr>
                <w:color w:val="000000"/>
                <w:kern w:val="0"/>
                <w:sz w:val="24"/>
                <w:szCs w:val="22"/>
              </w:rPr>
              <w:t>。</w:t>
            </w:r>
            <w:r>
              <w:rPr>
                <w:rFonts w:hint="eastAsia"/>
                <w:kern w:val="0"/>
                <w:sz w:val="24"/>
                <w:szCs w:val="22"/>
              </w:rPr>
              <w:t>喂料、破碎、筛分</w:t>
            </w:r>
            <w:r>
              <w:rPr>
                <w:kern w:val="0"/>
                <w:sz w:val="24"/>
                <w:szCs w:val="22"/>
              </w:rPr>
              <w:t>工序</w:t>
            </w:r>
            <w:r>
              <w:rPr>
                <w:rFonts w:hint="eastAsia"/>
                <w:kern w:val="0"/>
                <w:sz w:val="24"/>
                <w:szCs w:val="22"/>
              </w:rPr>
              <w:t>生产</w:t>
            </w:r>
            <w:r>
              <w:rPr>
                <w:kern w:val="0"/>
                <w:sz w:val="24"/>
                <w:szCs w:val="22"/>
              </w:rPr>
              <w:t>车间</w:t>
            </w:r>
            <w:r>
              <w:rPr>
                <w:rFonts w:hint="eastAsia"/>
                <w:kern w:val="0"/>
                <w:sz w:val="24"/>
                <w:szCs w:val="22"/>
              </w:rPr>
              <w:t>未收集的废气：</w:t>
            </w:r>
            <w:r>
              <w:rPr>
                <w:kern w:val="0"/>
                <w:sz w:val="24"/>
                <w:szCs w:val="22"/>
              </w:rPr>
              <w:t>颗粒物</w:t>
            </w:r>
            <w:r>
              <w:rPr>
                <w:rFonts w:hint="eastAsia"/>
                <w:kern w:val="0"/>
                <w:sz w:val="24"/>
                <w:szCs w:val="22"/>
                <w:lang w:val="en-US" w:eastAsia="zh-CN"/>
              </w:rPr>
              <w:t>2.9701</w:t>
            </w:r>
            <w:r>
              <w:rPr>
                <w:kern w:val="0"/>
                <w:sz w:val="24"/>
                <w:szCs w:val="22"/>
              </w:rPr>
              <w:t>t/a</w:t>
            </w:r>
            <w:r>
              <w:rPr>
                <w:color w:val="000000"/>
                <w:kern w:val="0"/>
                <w:sz w:val="24"/>
                <w:szCs w:val="22"/>
              </w:rPr>
              <w:t>，</w:t>
            </w:r>
            <w:r>
              <w:rPr>
                <w:rFonts w:hint="eastAsia"/>
                <w:color w:val="000000"/>
                <w:kern w:val="0"/>
                <w:sz w:val="24"/>
                <w:szCs w:val="22"/>
              </w:rPr>
              <w:t>原料装卸、运输、产品堆放、皮带运输产生的废气</w:t>
            </w:r>
            <w:r>
              <w:rPr>
                <w:color w:val="000000"/>
                <w:kern w:val="0"/>
                <w:sz w:val="24"/>
                <w:szCs w:val="22"/>
              </w:rPr>
              <w:t>：颗粒物</w:t>
            </w:r>
            <w:r>
              <w:rPr>
                <w:rFonts w:hint="eastAsia"/>
                <w:color w:val="000000"/>
                <w:kern w:val="0"/>
                <w:sz w:val="24"/>
                <w:szCs w:val="22"/>
              </w:rPr>
              <w:t>1.447</w:t>
            </w:r>
            <w:r>
              <w:rPr>
                <w:color w:val="000000"/>
                <w:kern w:val="0"/>
                <w:sz w:val="24"/>
                <w:szCs w:val="22"/>
              </w:rPr>
              <w:t>t/a，车间合计无</w:t>
            </w:r>
            <w:r>
              <w:rPr>
                <w:kern w:val="0"/>
                <w:sz w:val="24"/>
                <w:szCs w:val="22"/>
              </w:rPr>
              <w:t>组织排放颗粒物</w:t>
            </w:r>
            <w:r>
              <w:rPr>
                <w:rFonts w:hint="eastAsia"/>
                <w:kern w:val="0"/>
                <w:sz w:val="24"/>
                <w:szCs w:val="22"/>
                <w:lang w:val="en-US" w:eastAsia="zh-CN"/>
              </w:rPr>
              <w:t>4.4171</w:t>
            </w:r>
            <w:r>
              <w:rPr>
                <w:kern w:val="0"/>
                <w:sz w:val="24"/>
                <w:szCs w:val="22"/>
              </w:rPr>
              <w:t>t/a</w:t>
            </w:r>
            <w:r>
              <w:rPr>
                <w:color w:val="000000"/>
                <w:kern w:val="0"/>
                <w:sz w:val="24"/>
                <w:szCs w:val="22"/>
              </w:rPr>
              <w:t>，面源长</w:t>
            </w:r>
            <w:r>
              <w:rPr>
                <w:rFonts w:hint="eastAsia"/>
                <w:color w:val="000000"/>
                <w:kern w:val="0"/>
                <w:sz w:val="24"/>
                <w:szCs w:val="22"/>
              </w:rPr>
              <w:t>85</w:t>
            </w:r>
            <w:r>
              <w:rPr>
                <w:color w:val="000000"/>
                <w:kern w:val="0"/>
                <w:sz w:val="24"/>
                <w:szCs w:val="22"/>
              </w:rPr>
              <w:t>×宽</w:t>
            </w:r>
            <w:r>
              <w:rPr>
                <w:rFonts w:hint="eastAsia"/>
                <w:color w:val="000000"/>
                <w:kern w:val="0"/>
                <w:sz w:val="24"/>
                <w:szCs w:val="22"/>
              </w:rPr>
              <w:t>58</w:t>
            </w:r>
            <w:r>
              <w:rPr>
                <w:color w:val="000000"/>
                <w:kern w:val="0"/>
                <w:sz w:val="24"/>
                <w:szCs w:val="22"/>
              </w:rPr>
              <w:t>×释放高度</w:t>
            </w:r>
            <w:r>
              <w:rPr>
                <w:rFonts w:hint="eastAsia"/>
                <w:color w:val="000000"/>
                <w:kern w:val="0"/>
                <w:sz w:val="24"/>
                <w:szCs w:val="22"/>
              </w:rPr>
              <w:t>3</w:t>
            </w:r>
            <w:r>
              <w:rPr>
                <w:color w:val="000000"/>
                <w:kern w:val="0"/>
                <w:sz w:val="24"/>
                <w:szCs w:val="22"/>
              </w:rPr>
              <w:t>（m）。</w:t>
            </w:r>
          </w:p>
          <w:p>
            <w:pPr>
              <w:wordWrap w:val="0"/>
              <w:autoSpaceDE w:val="0"/>
              <w:autoSpaceDN w:val="0"/>
              <w:spacing w:line="360" w:lineRule="auto"/>
              <w:ind w:firstLine="480" w:firstLineChars="200"/>
              <w:jc w:val="left"/>
              <w:rPr>
                <w:rFonts w:hint="eastAsia" w:ascii="宋体" w:hAnsi="宋体" w:cs="宋体"/>
                <w:color w:val="000000"/>
                <w:kern w:val="0"/>
                <w:sz w:val="24"/>
                <w:szCs w:val="22"/>
              </w:rPr>
            </w:pPr>
            <w:r>
              <w:rPr>
                <w:color w:val="000000"/>
                <w:kern w:val="0"/>
                <w:sz w:val="24"/>
                <w:szCs w:val="22"/>
              </w:rPr>
              <w:t>经估算模式预测，项目营运期厂界颗粒物最大浓度值</w:t>
            </w:r>
            <w:r>
              <w:rPr>
                <w:kern w:val="0"/>
                <w:sz w:val="24"/>
                <w:szCs w:val="22"/>
              </w:rPr>
              <w:t>为</w:t>
            </w:r>
            <w:r>
              <w:rPr>
                <w:rFonts w:hint="eastAsia"/>
                <w:kern w:val="0"/>
                <w:sz w:val="24"/>
                <w:szCs w:val="22"/>
              </w:rPr>
              <w:t>0.2196</w:t>
            </w:r>
            <w:r>
              <w:rPr>
                <w:kern w:val="0"/>
                <w:sz w:val="24"/>
                <w:szCs w:val="22"/>
              </w:rPr>
              <w:t>mg/m³</w:t>
            </w:r>
            <w:r>
              <w:rPr>
                <w:color w:val="000000"/>
                <w:kern w:val="0"/>
                <w:sz w:val="24"/>
                <w:szCs w:val="22"/>
              </w:rPr>
              <w:t>（占标率</w:t>
            </w:r>
            <w:r>
              <w:rPr>
                <w:rFonts w:hint="eastAsia"/>
                <w:color w:val="000000"/>
                <w:kern w:val="0"/>
                <w:sz w:val="24"/>
                <w:szCs w:val="22"/>
              </w:rPr>
              <w:t>21.96</w:t>
            </w:r>
            <w:r>
              <w:rPr>
                <w:color w:val="000000"/>
                <w:kern w:val="0"/>
                <w:sz w:val="24"/>
                <w:szCs w:val="22"/>
              </w:rPr>
              <w:t>%），</w:t>
            </w:r>
            <w:r>
              <w:rPr>
                <w:kern w:val="0"/>
                <w:sz w:val="24"/>
                <w:szCs w:val="22"/>
              </w:rPr>
              <w:t>厂界浓度满足</w:t>
            </w:r>
            <w:r>
              <w:rPr>
                <w:rFonts w:hint="eastAsia"/>
                <w:bCs/>
                <w:sz w:val="24"/>
              </w:rPr>
              <w:t>《大气污染物综合排放标准》（GB16297-1996）表2新污染源大气污染物排放限值无组织排放监控浓度限值</w:t>
            </w:r>
            <w:r>
              <w:rPr>
                <w:kern w:val="0"/>
                <w:sz w:val="24"/>
                <w:szCs w:val="22"/>
              </w:rPr>
              <w:t>要求。预测截图如下。</w:t>
            </w:r>
          </w:p>
          <w:p>
            <w:pPr>
              <w:wordWrap w:val="0"/>
              <w:autoSpaceDE w:val="0"/>
              <w:autoSpaceDN w:val="0"/>
              <w:spacing w:line="360" w:lineRule="auto"/>
              <w:jc w:val="left"/>
              <w:rPr>
                <w:rFonts w:hint="eastAsia" w:ascii="宋体" w:hAnsi="宋体" w:cs="宋体"/>
                <w:color w:val="000000"/>
                <w:kern w:val="0"/>
                <w:sz w:val="24"/>
                <w:szCs w:val="22"/>
              </w:rPr>
            </w:pPr>
            <w:r>
              <w:drawing>
                <wp:inline distT="0" distB="0" distL="114300" distR="114300">
                  <wp:extent cx="5473700" cy="3735070"/>
                  <wp:effectExtent l="0" t="0" r="12700" b="17780"/>
                  <wp:docPr id="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9"/>
                          <pic:cNvPicPr>
                            <a:picLocks noChangeAspect="1"/>
                          </pic:cNvPicPr>
                        </pic:nvPicPr>
                        <pic:blipFill>
                          <a:blip r:embed="rId31"/>
                          <a:stretch>
                            <a:fillRect/>
                          </a:stretch>
                        </pic:blipFill>
                        <pic:spPr>
                          <a:xfrm>
                            <a:off x="0" y="0"/>
                            <a:ext cx="5473700" cy="3735070"/>
                          </a:xfrm>
                          <a:prstGeom prst="rect">
                            <a:avLst/>
                          </a:prstGeom>
                          <a:noFill/>
                          <a:ln>
                            <a:noFill/>
                          </a:ln>
                        </pic:spPr>
                      </pic:pic>
                    </a:graphicData>
                  </a:graphic>
                </wp:inline>
              </w:drawing>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图4.2-1  无组织厂界达标预测图</w:t>
            </w:r>
          </w:p>
          <w:p>
            <w:pPr>
              <w:wordWrap w:val="0"/>
              <w:spacing w:line="360" w:lineRule="auto"/>
              <w:ind w:firstLine="480" w:firstLineChars="200"/>
              <w:rPr>
                <w:rFonts w:hint="eastAsia"/>
                <w:sz w:val="24"/>
              </w:rPr>
            </w:pPr>
            <w:r>
              <w:rPr>
                <w:rFonts w:hint="eastAsia"/>
                <w:sz w:val="24"/>
              </w:rPr>
              <w:t>由以上分析可知，项目各污染物经采取相应处理措施后能够达标排放，对环境保护目标影响较小，对周边大气环境影响较小。</w:t>
            </w:r>
          </w:p>
          <w:p>
            <w:pPr>
              <w:keepNext/>
              <w:keepLines/>
              <w:wordWrap w:val="0"/>
              <w:spacing w:before="200" w:after="200"/>
              <w:outlineLvl w:val="3"/>
              <w:rPr>
                <w:b/>
                <w:sz w:val="24"/>
              </w:rPr>
            </w:pPr>
            <w:r>
              <w:rPr>
                <w:rFonts w:hint="eastAsia"/>
                <w:b/>
                <w:sz w:val="24"/>
              </w:rPr>
              <w:t>4.2.1.6自行监测</w:t>
            </w:r>
          </w:p>
          <w:p>
            <w:pPr>
              <w:wordWrap w:val="0"/>
              <w:spacing w:line="360" w:lineRule="auto"/>
              <w:ind w:firstLine="480" w:firstLineChars="200"/>
              <w:rPr>
                <w:sz w:val="24"/>
                <w:u w:val="single"/>
              </w:rPr>
            </w:pPr>
            <w:r>
              <w:rPr>
                <w:rFonts w:hint="eastAsia"/>
                <w:sz w:val="24"/>
                <w:u w:val="single"/>
              </w:rPr>
              <w:t>项目为</w:t>
            </w:r>
            <w:r>
              <w:rPr>
                <w:rFonts w:hint="eastAsia"/>
                <w:sz w:val="24"/>
                <w:u w:val="single"/>
                <w:lang w:val="en-US" w:eastAsia="zh-CN"/>
              </w:rPr>
              <w:t>其他建筑材料制造</w:t>
            </w:r>
            <w:r>
              <w:rPr>
                <w:rFonts w:hint="eastAsia"/>
                <w:sz w:val="24"/>
                <w:u w:val="single"/>
              </w:rPr>
              <w:t>，根据《固定污染源分类管理名录》（2019年版），属于简化管理。根据《排污单位自行监测技术指南—总则》（H</w:t>
            </w:r>
            <w:r>
              <w:rPr>
                <w:sz w:val="24"/>
                <w:u w:val="single"/>
              </w:rPr>
              <w:t>J819-2017</w:t>
            </w:r>
            <w:r>
              <w:rPr>
                <w:rFonts w:hint="eastAsia"/>
                <w:sz w:val="24"/>
                <w:u w:val="single"/>
              </w:rPr>
              <w:t>）自行监测要求</w:t>
            </w:r>
            <w:r>
              <w:rPr>
                <w:sz w:val="24"/>
                <w:u w:val="single"/>
              </w:rPr>
              <w:t>，</w:t>
            </w:r>
            <w:r>
              <w:rPr>
                <w:rFonts w:hint="eastAsia"/>
                <w:sz w:val="24"/>
                <w:u w:val="single"/>
              </w:rPr>
              <w:t>项目自行监测计划如下。</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u w:val="single"/>
              </w:rPr>
            </w:pPr>
            <w:r>
              <w:rPr>
                <w:rFonts w:hint="eastAsia" w:cs="宋体"/>
                <w:b/>
                <w:szCs w:val="21"/>
                <w:u w:val="single"/>
              </w:rPr>
              <w:t>表4.2-12：监测计划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700"/>
              <w:gridCol w:w="1796"/>
              <w:gridCol w:w="1214"/>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noWrap w:val="0"/>
                  <w:vAlign w:val="center"/>
                </w:tcPr>
                <w:p>
                  <w:pPr>
                    <w:pStyle w:val="78"/>
                    <w:rPr>
                      <w:u w:val="single"/>
                    </w:rPr>
                  </w:pPr>
                  <w:r>
                    <w:rPr>
                      <w:u w:val="single"/>
                    </w:rPr>
                    <w:t>排放形式</w:t>
                  </w:r>
                </w:p>
              </w:tc>
              <w:tc>
                <w:tcPr>
                  <w:tcW w:w="986" w:type="pct"/>
                  <w:noWrap w:val="0"/>
                  <w:vAlign w:val="center"/>
                </w:tcPr>
                <w:p>
                  <w:pPr>
                    <w:pStyle w:val="78"/>
                    <w:rPr>
                      <w:u w:val="single"/>
                    </w:rPr>
                  </w:pPr>
                  <w:r>
                    <w:rPr>
                      <w:u w:val="single"/>
                    </w:rPr>
                    <w:t>监测点位</w:t>
                  </w:r>
                </w:p>
              </w:tc>
              <w:tc>
                <w:tcPr>
                  <w:tcW w:w="1042" w:type="pct"/>
                  <w:noWrap w:val="0"/>
                  <w:vAlign w:val="center"/>
                </w:tcPr>
                <w:p>
                  <w:pPr>
                    <w:pStyle w:val="78"/>
                    <w:rPr>
                      <w:u w:val="single"/>
                    </w:rPr>
                  </w:pPr>
                  <w:r>
                    <w:rPr>
                      <w:u w:val="single"/>
                    </w:rPr>
                    <w:t>监测指标</w:t>
                  </w:r>
                </w:p>
              </w:tc>
              <w:tc>
                <w:tcPr>
                  <w:tcW w:w="705" w:type="pct"/>
                  <w:noWrap w:val="0"/>
                  <w:vAlign w:val="center"/>
                </w:tcPr>
                <w:p>
                  <w:pPr>
                    <w:pStyle w:val="78"/>
                    <w:rPr>
                      <w:u w:val="single"/>
                    </w:rPr>
                  </w:pPr>
                  <w:r>
                    <w:rPr>
                      <w:u w:val="single"/>
                    </w:rPr>
                    <w:t>监测频次</w:t>
                  </w:r>
                </w:p>
              </w:tc>
              <w:tc>
                <w:tcPr>
                  <w:tcW w:w="1603" w:type="pct"/>
                  <w:noWrap w:val="0"/>
                  <w:vAlign w:val="center"/>
                </w:tcPr>
                <w:p>
                  <w:pPr>
                    <w:pStyle w:val="78"/>
                    <w:rPr>
                      <w:rFonts w:hint="eastAsia"/>
                      <w:u w:val="single"/>
                    </w:rPr>
                  </w:pPr>
                  <w:r>
                    <w:rPr>
                      <w:rFonts w:hint="eastAsia"/>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noWrap w:val="0"/>
                  <w:vAlign w:val="center"/>
                </w:tcPr>
                <w:p>
                  <w:pPr>
                    <w:pStyle w:val="78"/>
                    <w:rPr>
                      <w:u w:val="single"/>
                    </w:rPr>
                  </w:pPr>
                  <w:r>
                    <w:rPr>
                      <w:u w:val="single"/>
                    </w:rPr>
                    <w:t>无组织</w:t>
                  </w:r>
                </w:p>
              </w:tc>
              <w:tc>
                <w:tcPr>
                  <w:tcW w:w="986" w:type="pct"/>
                  <w:noWrap w:val="0"/>
                  <w:vAlign w:val="center"/>
                </w:tcPr>
                <w:p>
                  <w:pPr>
                    <w:pStyle w:val="78"/>
                    <w:rPr>
                      <w:u w:val="single"/>
                    </w:rPr>
                  </w:pPr>
                  <w:r>
                    <w:rPr>
                      <w:rFonts w:hint="eastAsia"/>
                      <w:u w:val="single"/>
                    </w:rPr>
                    <w:t>厂界</w:t>
                  </w:r>
                </w:p>
              </w:tc>
              <w:tc>
                <w:tcPr>
                  <w:tcW w:w="1042" w:type="pct"/>
                  <w:noWrap w:val="0"/>
                  <w:vAlign w:val="center"/>
                </w:tcPr>
                <w:p>
                  <w:pPr>
                    <w:pStyle w:val="78"/>
                    <w:rPr>
                      <w:u w:val="single"/>
                    </w:rPr>
                  </w:pPr>
                  <w:r>
                    <w:rPr>
                      <w:rFonts w:hint="eastAsia"/>
                      <w:u w:val="single"/>
                    </w:rPr>
                    <w:t>颗粒物</w:t>
                  </w:r>
                </w:p>
              </w:tc>
              <w:tc>
                <w:tcPr>
                  <w:tcW w:w="705" w:type="pct"/>
                  <w:noWrap w:val="0"/>
                  <w:vAlign w:val="center"/>
                </w:tcPr>
                <w:p>
                  <w:pPr>
                    <w:pStyle w:val="78"/>
                    <w:rPr>
                      <w:rFonts w:hint="eastAsia"/>
                      <w:u w:val="single"/>
                    </w:rPr>
                  </w:pPr>
                  <w:r>
                    <w:rPr>
                      <w:rFonts w:hint="eastAsia"/>
                      <w:u w:val="single"/>
                    </w:rPr>
                    <w:t>1次/年</w:t>
                  </w:r>
                </w:p>
              </w:tc>
              <w:tc>
                <w:tcPr>
                  <w:tcW w:w="1603" w:type="pct"/>
                  <w:noWrap w:val="0"/>
                  <w:vAlign w:val="center"/>
                </w:tcPr>
                <w:p>
                  <w:pPr>
                    <w:pStyle w:val="78"/>
                    <w:rPr>
                      <w:rFonts w:hint="eastAsia"/>
                      <w:u w:val="single"/>
                    </w:rPr>
                  </w:pPr>
                  <w:r>
                    <w:rPr>
                      <w:rFonts w:hint="eastAsia"/>
                      <w:u w:val="singl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noWrap w:val="0"/>
                  <w:vAlign w:val="center"/>
                </w:tcPr>
                <w:p>
                  <w:pPr>
                    <w:pStyle w:val="78"/>
                    <w:rPr>
                      <w:u w:val="single"/>
                    </w:rPr>
                  </w:pPr>
                  <w:r>
                    <w:rPr>
                      <w:rFonts w:hint="eastAsia"/>
                      <w:u w:val="single"/>
                    </w:rPr>
                    <w:t>有组织</w:t>
                  </w:r>
                </w:p>
              </w:tc>
              <w:tc>
                <w:tcPr>
                  <w:tcW w:w="986" w:type="pct"/>
                  <w:noWrap w:val="0"/>
                  <w:vAlign w:val="center"/>
                </w:tcPr>
                <w:p>
                  <w:pPr>
                    <w:pStyle w:val="78"/>
                    <w:rPr>
                      <w:u w:val="single"/>
                    </w:rPr>
                  </w:pPr>
                  <w:r>
                    <w:rPr>
                      <w:rFonts w:hint="eastAsia"/>
                      <w:u w:val="single"/>
                    </w:rPr>
                    <w:t>排放口DA001</w:t>
                  </w:r>
                </w:p>
              </w:tc>
              <w:tc>
                <w:tcPr>
                  <w:tcW w:w="1042" w:type="pct"/>
                  <w:noWrap w:val="0"/>
                  <w:vAlign w:val="center"/>
                </w:tcPr>
                <w:p>
                  <w:pPr>
                    <w:pStyle w:val="78"/>
                    <w:rPr>
                      <w:rFonts w:hint="eastAsia"/>
                      <w:u w:val="single"/>
                    </w:rPr>
                  </w:pPr>
                  <w:r>
                    <w:rPr>
                      <w:rFonts w:hint="eastAsia"/>
                      <w:u w:val="single"/>
                    </w:rPr>
                    <w:t>颗粒物</w:t>
                  </w:r>
                </w:p>
              </w:tc>
              <w:tc>
                <w:tcPr>
                  <w:tcW w:w="705" w:type="pct"/>
                  <w:noWrap w:val="0"/>
                  <w:vAlign w:val="center"/>
                </w:tcPr>
                <w:p>
                  <w:pPr>
                    <w:pStyle w:val="78"/>
                    <w:rPr>
                      <w:rFonts w:hint="eastAsia"/>
                      <w:u w:val="single"/>
                    </w:rPr>
                  </w:pPr>
                  <w:r>
                    <w:rPr>
                      <w:rFonts w:hint="eastAsia"/>
                      <w:u w:val="single"/>
                    </w:rPr>
                    <w:t>1次/年</w:t>
                  </w:r>
                </w:p>
              </w:tc>
              <w:tc>
                <w:tcPr>
                  <w:tcW w:w="1603" w:type="pct"/>
                  <w:noWrap w:val="0"/>
                  <w:vAlign w:val="center"/>
                </w:tcPr>
                <w:p>
                  <w:pPr>
                    <w:pStyle w:val="78"/>
                    <w:rPr>
                      <w:rFonts w:hint="eastAsia"/>
                      <w:u w:val="single"/>
                    </w:rPr>
                  </w:pPr>
                  <w:r>
                    <w:rPr>
                      <w:rFonts w:hint="eastAsia"/>
                      <w:u w:val="single"/>
                    </w:rPr>
                    <w:t>《大气污染物综合排放标准》（GB16297-1996）</w:t>
                  </w:r>
                </w:p>
              </w:tc>
            </w:tr>
          </w:tbl>
          <w:p>
            <w:pPr>
              <w:keepNext/>
              <w:keepLines/>
              <w:wordWrap w:val="0"/>
              <w:spacing w:before="192" w:beforeLines="80" w:after="192" w:afterLines="80"/>
              <w:outlineLvl w:val="2"/>
              <w:rPr>
                <w:b/>
                <w:bCs/>
                <w:sz w:val="28"/>
                <w:szCs w:val="32"/>
              </w:rPr>
            </w:pPr>
            <w:r>
              <w:rPr>
                <w:rFonts w:hint="eastAsia"/>
                <w:b/>
                <w:bCs/>
                <w:sz w:val="28"/>
                <w:szCs w:val="32"/>
              </w:rPr>
              <w:t>4.2.2废水</w:t>
            </w:r>
          </w:p>
          <w:p>
            <w:pPr>
              <w:keepNext/>
              <w:keepLines/>
              <w:wordWrap w:val="0"/>
              <w:spacing w:before="200" w:after="200"/>
              <w:outlineLvl w:val="3"/>
              <w:rPr>
                <w:b/>
                <w:sz w:val="24"/>
              </w:rPr>
            </w:pPr>
            <w:r>
              <w:rPr>
                <w:rFonts w:hint="eastAsia"/>
                <w:b/>
                <w:sz w:val="24"/>
              </w:rPr>
              <w:t>4.2.2.1废水污染源强计算</w:t>
            </w:r>
          </w:p>
          <w:p>
            <w:pPr>
              <w:wordWrap w:val="0"/>
              <w:spacing w:line="360" w:lineRule="auto"/>
              <w:ind w:firstLine="480" w:firstLineChars="200"/>
              <w:rPr>
                <w:rFonts w:hint="eastAsia"/>
                <w:sz w:val="24"/>
              </w:rPr>
            </w:pPr>
            <w:r>
              <w:rPr>
                <w:rFonts w:hint="eastAsia"/>
                <w:sz w:val="24"/>
              </w:rPr>
              <w:t>根据前述给排水和水平衡分析，项目外排废水主要分为生活污水，本项目生活污水排放量为</w:t>
            </w:r>
            <w:r>
              <w:rPr>
                <w:rFonts w:hint="eastAsia"/>
                <w:sz w:val="24"/>
                <w:lang w:val="en-US" w:eastAsia="zh-CN"/>
              </w:rPr>
              <w:t>102</w:t>
            </w:r>
            <w:r>
              <w:rPr>
                <w:rFonts w:hint="eastAsia"/>
                <w:sz w:val="24"/>
              </w:rPr>
              <w:t>m</w:t>
            </w:r>
            <w:r>
              <w:rPr>
                <w:rFonts w:hint="eastAsia"/>
                <w:sz w:val="24"/>
                <w:vertAlign w:val="superscript"/>
              </w:rPr>
              <w:t>3</w:t>
            </w:r>
            <w:r>
              <w:rPr>
                <w:rFonts w:hint="eastAsia"/>
                <w:sz w:val="24"/>
              </w:rPr>
              <w:t>/a，生活污水经化粪池处理后定期清掏用于周边农肥。生产废水经沉淀池沉淀后回用，不外排。</w:t>
            </w:r>
          </w:p>
          <w:p>
            <w:pPr>
              <w:wordWrap w:val="0"/>
              <w:spacing w:line="360" w:lineRule="auto"/>
              <w:ind w:firstLine="480" w:firstLineChars="200"/>
              <w:rPr>
                <w:rFonts w:hint="eastAsia" w:eastAsia="宋体"/>
                <w:sz w:val="24"/>
                <w:lang w:eastAsia="zh-CN"/>
              </w:rPr>
            </w:pPr>
            <w:r>
              <w:rPr>
                <w:rFonts w:hint="eastAsia"/>
                <w:sz w:val="24"/>
                <w:lang w:eastAsia="zh-CN"/>
              </w:rPr>
              <w:t>（</w:t>
            </w:r>
            <w:r>
              <w:rPr>
                <w:rFonts w:hint="eastAsia"/>
                <w:sz w:val="24"/>
                <w:lang w:val="en-US" w:eastAsia="zh-CN"/>
              </w:rPr>
              <w:t>1</w:t>
            </w:r>
            <w:r>
              <w:rPr>
                <w:rFonts w:hint="eastAsia"/>
                <w:sz w:val="24"/>
                <w:lang w:eastAsia="zh-CN"/>
              </w:rPr>
              <w:t>）生活污水</w:t>
            </w:r>
          </w:p>
          <w:p>
            <w:pPr>
              <w:wordWrap w:val="0"/>
              <w:spacing w:line="360" w:lineRule="auto"/>
              <w:ind w:firstLine="480" w:firstLineChars="200"/>
              <w:rPr>
                <w:rFonts w:hint="eastAsia"/>
                <w:sz w:val="24"/>
              </w:rPr>
            </w:pPr>
            <w:r>
              <w:rPr>
                <w:rFonts w:hint="eastAsia"/>
                <w:sz w:val="24"/>
              </w:rPr>
              <w:t>项目生活污水中主要污染物为COD</w:t>
            </w:r>
            <w:r>
              <w:rPr>
                <w:rFonts w:hint="eastAsia"/>
                <w:sz w:val="24"/>
                <w:vertAlign w:val="subscript"/>
              </w:rPr>
              <w:t>Cr</w:t>
            </w:r>
            <w:r>
              <w:rPr>
                <w:rFonts w:hint="eastAsia"/>
                <w:sz w:val="24"/>
              </w:rPr>
              <w:t>、BOD</w:t>
            </w:r>
            <w:r>
              <w:rPr>
                <w:rFonts w:hint="eastAsia"/>
                <w:sz w:val="24"/>
                <w:vertAlign w:val="subscript"/>
              </w:rPr>
              <w:t>5</w:t>
            </w:r>
            <w:r>
              <w:rPr>
                <w:rFonts w:hint="eastAsia"/>
                <w:sz w:val="24"/>
              </w:rPr>
              <w:t>、SS、NH</w:t>
            </w:r>
            <w:r>
              <w:rPr>
                <w:rFonts w:hint="eastAsia"/>
                <w:sz w:val="24"/>
                <w:vertAlign w:val="subscript"/>
              </w:rPr>
              <w:t>3</w:t>
            </w:r>
            <w:r>
              <w:rPr>
                <w:rFonts w:hint="eastAsia"/>
                <w:sz w:val="24"/>
              </w:rPr>
              <w:t>-N，考虑到本项目员工生活污水主要来自日常洗手、上厕所等，生活污水中污染物浓度较一般居民生活污水浓度低，生活污染物浓度参照《环境影响评价工程师职业资格登记培训教材-社会区域类环境影响评价（2007版）》，主要污染物浓度分别为COD</w:t>
            </w:r>
            <w:r>
              <w:rPr>
                <w:rFonts w:hint="eastAsia"/>
                <w:sz w:val="24"/>
                <w:vertAlign w:val="subscript"/>
              </w:rPr>
              <w:t>Cr</w:t>
            </w:r>
            <w:r>
              <w:rPr>
                <w:rFonts w:hint="eastAsia"/>
                <w:sz w:val="24"/>
              </w:rPr>
              <w:t>：350mg/L、BOD</w:t>
            </w:r>
            <w:r>
              <w:rPr>
                <w:rFonts w:hint="eastAsia"/>
                <w:sz w:val="24"/>
                <w:vertAlign w:val="subscript"/>
              </w:rPr>
              <w:t>5</w:t>
            </w:r>
            <w:r>
              <w:rPr>
                <w:rFonts w:hint="eastAsia"/>
                <w:sz w:val="24"/>
              </w:rPr>
              <w:t>：250mg/L、SS：250mg/L、NH</w:t>
            </w:r>
            <w:r>
              <w:rPr>
                <w:rFonts w:hint="eastAsia"/>
                <w:sz w:val="24"/>
                <w:vertAlign w:val="subscript"/>
              </w:rPr>
              <w:t>3</w:t>
            </w:r>
            <w:r>
              <w:rPr>
                <w:rFonts w:hint="eastAsia"/>
                <w:sz w:val="24"/>
              </w:rPr>
              <w:t>-N：35mg/L、</w:t>
            </w:r>
            <w:r>
              <w:rPr>
                <w:color w:val="000000"/>
                <w:kern w:val="0"/>
                <w:sz w:val="24"/>
                <w:lang w:bidi="ar"/>
              </w:rPr>
              <w:t>TN</w:t>
            </w:r>
            <w:r>
              <w:rPr>
                <w:rFonts w:hint="eastAsia"/>
                <w:color w:val="000000"/>
                <w:kern w:val="0"/>
                <w:sz w:val="24"/>
                <w:lang w:bidi="ar"/>
              </w:rPr>
              <w:t>：</w:t>
            </w:r>
            <w:r>
              <w:rPr>
                <w:color w:val="000000"/>
                <w:kern w:val="0"/>
                <w:sz w:val="24"/>
                <w:lang w:bidi="ar"/>
              </w:rPr>
              <w:t>39.4mg/L</w:t>
            </w:r>
            <w:r>
              <w:rPr>
                <w:rFonts w:hint="eastAsia" w:ascii="宋体" w:hAnsi="宋体" w:cs="宋体"/>
                <w:color w:val="000000"/>
                <w:kern w:val="0"/>
                <w:sz w:val="24"/>
                <w:lang w:bidi="ar"/>
              </w:rPr>
              <w:t>、</w:t>
            </w:r>
            <w:r>
              <w:rPr>
                <w:color w:val="000000"/>
                <w:kern w:val="0"/>
                <w:sz w:val="24"/>
                <w:lang w:bidi="ar"/>
              </w:rPr>
              <w:t>TP</w:t>
            </w:r>
            <w:r>
              <w:rPr>
                <w:rFonts w:hint="eastAsia"/>
                <w:color w:val="000000"/>
                <w:kern w:val="0"/>
                <w:sz w:val="24"/>
                <w:lang w:bidi="ar"/>
              </w:rPr>
              <w:t>：</w:t>
            </w:r>
            <w:r>
              <w:rPr>
                <w:color w:val="000000"/>
                <w:kern w:val="0"/>
                <w:sz w:val="24"/>
                <w:lang w:bidi="ar"/>
              </w:rPr>
              <w:t>4.10mg/L</w:t>
            </w:r>
            <w:r>
              <w:rPr>
                <w:rFonts w:hint="eastAsia"/>
                <w:sz w:val="24"/>
              </w:rPr>
              <w:t>。</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表4.2-13：废水污染源产生及排放情况一览表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657"/>
              <w:gridCol w:w="1255"/>
              <w:gridCol w:w="803"/>
              <w:gridCol w:w="1185"/>
              <w:gridCol w:w="913"/>
              <w:gridCol w:w="946"/>
              <w:gridCol w:w="94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noWrap w:val="0"/>
                  <w:vAlign w:val="center"/>
                </w:tcPr>
                <w:p>
                  <w:pPr>
                    <w:pStyle w:val="78"/>
                  </w:pPr>
                  <w:r>
                    <w:t>废水量</w:t>
                  </w:r>
                </w:p>
              </w:tc>
              <w:tc>
                <w:tcPr>
                  <w:tcW w:w="1109" w:type="pct"/>
                  <w:gridSpan w:val="2"/>
                  <w:noWrap w:val="0"/>
                  <w:vAlign w:val="center"/>
                </w:tcPr>
                <w:p>
                  <w:pPr>
                    <w:pStyle w:val="78"/>
                  </w:pPr>
                  <w:r>
                    <w:t>污染因子</w:t>
                  </w:r>
                </w:p>
              </w:tc>
              <w:tc>
                <w:tcPr>
                  <w:tcW w:w="466" w:type="pct"/>
                  <w:noWrap w:val="0"/>
                  <w:vAlign w:val="center"/>
                </w:tcPr>
                <w:p>
                  <w:pPr>
                    <w:pStyle w:val="78"/>
                    <w:rPr>
                      <w:szCs w:val="21"/>
                    </w:rPr>
                  </w:pPr>
                  <w:r>
                    <w:rPr>
                      <w:szCs w:val="21"/>
                    </w:rPr>
                    <w:t>COD</w:t>
                  </w:r>
                  <w:r>
                    <w:rPr>
                      <w:rFonts w:hint="eastAsia"/>
                      <w:szCs w:val="21"/>
                      <w:vertAlign w:val="subscript"/>
                    </w:rPr>
                    <w:t>Cr</w:t>
                  </w:r>
                </w:p>
              </w:tc>
              <w:tc>
                <w:tcPr>
                  <w:tcW w:w="688" w:type="pct"/>
                  <w:noWrap w:val="0"/>
                  <w:vAlign w:val="center"/>
                </w:tcPr>
                <w:p>
                  <w:pPr>
                    <w:pStyle w:val="78"/>
                    <w:rPr>
                      <w:szCs w:val="21"/>
                    </w:rPr>
                  </w:pPr>
                  <w:r>
                    <w:rPr>
                      <w:szCs w:val="21"/>
                    </w:rPr>
                    <w:t>BOD</w:t>
                  </w:r>
                  <w:r>
                    <w:rPr>
                      <w:szCs w:val="21"/>
                      <w:vertAlign w:val="subscript"/>
                    </w:rPr>
                    <w:t>5</w:t>
                  </w:r>
                </w:p>
              </w:tc>
              <w:tc>
                <w:tcPr>
                  <w:tcW w:w="530" w:type="pct"/>
                  <w:noWrap w:val="0"/>
                  <w:vAlign w:val="center"/>
                </w:tcPr>
                <w:p>
                  <w:pPr>
                    <w:pStyle w:val="78"/>
                    <w:rPr>
                      <w:szCs w:val="21"/>
                    </w:rPr>
                  </w:pPr>
                  <w:r>
                    <w:rPr>
                      <w:szCs w:val="21"/>
                    </w:rPr>
                    <w:t>SS</w:t>
                  </w:r>
                </w:p>
              </w:tc>
              <w:tc>
                <w:tcPr>
                  <w:tcW w:w="549" w:type="pct"/>
                  <w:noWrap w:val="0"/>
                  <w:vAlign w:val="center"/>
                </w:tcPr>
                <w:p>
                  <w:pPr>
                    <w:pStyle w:val="78"/>
                    <w:rPr>
                      <w:szCs w:val="21"/>
                    </w:rPr>
                  </w:pPr>
                  <w:r>
                    <w:rPr>
                      <w:szCs w:val="21"/>
                    </w:rPr>
                    <w:t>NH</w:t>
                  </w:r>
                  <w:r>
                    <w:rPr>
                      <w:szCs w:val="21"/>
                      <w:vertAlign w:val="subscript"/>
                    </w:rPr>
                    <w:t>3</w:t>
                  </w:r>
                  <w:r>
                    <w:rPr>
                      <w:szCs w:val="21"/>
                    </w:rPr>
                    <w:t>-N</w:t>
                  </w:r>
                </w:p>
              </w:tc>
              <w:tc>
                <w:tcPr>
                  <w:tcW w:w="546" w:type="pct"/>
                  <w:noWrap w:val="0"/>
                  <w:vAlign w:val="center"/>
                </w:tcPr>
                <w:p>
                  <w:pPr>
                    <w:pStyle w:val="78"/>
                    <w:rPr>
                      <w:szCs w:val="21"/>
                    </w:rPr>
                  </w:pPr>
                  <w:r>
                    <w:rPr>
                      <w:color w:val="000000"/>
                      <w:kern w:val="0"/>
                      <w:szCs w:val="21"/>
                      <w:lang w:bidi="ar"/>
                    </w:rPr>
                    <w:t>TN</w:t>
                  </w:r>
                </w:p>
              </w:tc>
              <w:tc>
                <w:tcPr>
                  <w:tcW w:w="674" w:type="pct"/>
                  <w:noWrap w:val="0"/>
                  <w:vAlign w:val="center"/>
                </w:tcPr>
                <w:p>
                  <w:pPr>
                    <w:pStyle w:val="78"/>
                    <w:rPr>
                      <w:szCs w:val="21"/>
                    </w:rPr>
                  </w:pPr>
                  <w:r>
                    <w:rPr>
                      <w:color w:val="000000"/>
                      <w:kern w:val="0"/>
                      <w:szCs w:val="21"/>
                      <w:lang w:bidi="ar"/>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noWrap w:val="0"/>
                  <w:vAlign w:val="center"/>
                </w:tcPr>
                <w:p>
                  <w:pPr>
                    <w:pStyle w:val="78"/>
                  </w:pPr>
                  <w:r>
                    <w:t>生活</w:t>
                  </w:r>
                  <w:r>
                    <w:rPr>
                      <w:rFonts w:hint="eastAsia"/>
                    </w:rPr>
                    <w:t>污</w:t>
                  </w:r>
                  <w:r>
                    <w:t>水</w:t>
                  </w:r>
                  <w:r>
                    <w:rPr>
                      <w:rFonts w:hint="eastAsia"/>
                      <w:lang w:val="en-US" w:eastAsia="zh-CN"/>
                    </w:rPr>
                    <w:t>102</w:t>
                  </w:r>
                  <w:r>
                    <w:rPr>
                      <w:rFonts w:hint="eastAsia"/>
                    </w:rPr>
                    <w:t>m</w:t>
                  </w:r>
                  <w:r>
                    <w:rPr>
                      <w:rFonts w:hint="eastAsia"/>
                      <w:vertAlign w:val="superscript"/>
                    </w:rPr>
                    <w:t>3</w:t>
                  </w:r>
                  <w:r>
                    <w:t>/a</w:t>
                  </w:r>
                </w:p>
              </w:tc>
              <w:tc>
                <w:tcPr>
                  <w:tcW w:w="1109" w:type="pct"/>
                  <w:gridSpan w:val="2"/>
                  <w:noWrap w:val="0"/>
                  <w:vAlign w:val="center"/>
                </w:tcPr>
                <w:p>
                  <w:pPr>
                    <w:pStyle w:val="78"/>
                    <w:rPr>
                      <w:rFonts w:hint="eastAsia"/>
                    </w:rPr>
                  </w:pPr>
                  <w:r>
                    <w:rPr>
                      <w:rFonts w:hint="eastAsia"/>
                    </w:rPr>
                    <w:t>产生浓度</w:t>
                  </w:r>
                  <w:r>
                    <w:t>（mg/L）</w:t>
                  </w:r>
                </w:p>
              </w:tc>
              <w:tc>
                <w:tcPr>
                  <w:tcW w:w="466" w:type="pct"/>
                  <w:noWrap w:val="0"/>
                  <w:vAlign w:val="center"/>
                </w:tcPr>
                <w:p>
                  <w:pPr>
                    <w:pStyle w:val="78"/>
                    <w:rPr>
                      <w:szCs w:val="21"/>
                    </w:rPr>
                  </w:pPr>
                  <w:r>
                    <w:rPr>
                      <w:rFonts w:hint="eastAsia"/>
                      <w:szCs w:val="21"/>
                    </w:rPr>
                    <w:t>350</w:t>
                  </w:r>
                </w:p>
              </w:tc>
              <w:tc>
                <w:tcPr>
                  <w:tcW w:w="688" w:type="pct"/>
                  <w:noWrap w:val="0"/>
                  <w:vAlign w:val="center"/>
                </w:tcPr>
                <w:p>
                  <w:pPr>
                    <w:pStyle w:val="78"/>
                    <w:rPr>
                      <w:szCs w:val="21"/>
                    </w:rPr>
                  </w:pPr>
                  <w:r>
                    <w:rPr>
                      <w:rFonts w:hint="eastAsia"/>
                      <w:szCs w:val="21"/>
                    </w:rPr>
                    <w:t>250</w:t>
                  </w:r>
                </w:p>
              </w:tc>
              <w:tc>
                <w:tcPr>
                  <w:tcW w:w="530" w:type="pct"/>
                  <w:noWrap w:val="0"/>
                  <w:vAlign w:val="center"/>
                </w:tcPr>
                <w:p>
                  <w:pPr>
                    <w:pStyle w:val="78"/>
                    <w:rPr>
                      <w:szCs w:val="21"/>
                    </w:rPr>
                  </w:pPr>
                  <w:r>
                    <w:rPr>
                      <w:rFonts w:hint="eastAsia"/>
                      <w:szCs w:val="21"/>
                    </w:rPr>
                    <w:t>250</w:t>
                  </w:r>
                </w:p>
              </w:tc>
              <w:tc>
                <w:tcPr>
                  <w:tcW w:w="549" w:type="pct"/>
                  <w:noWrap w:val="0"/>
                  <w:vAlign w:val="center"/>
                </w:tcPr>
                <w:p>
                  <w:pPr>
                    <w:pStyle w:val="78"/>
                    <w:rPr>
                      <w:szCs w:val="21"/>
                    </w:rPr>
                  </w:pPr>
                  <w:r>
                    <w:rPr>
                      <w:rFonts w:hint="eastAsia"/>
                      <w:szCs w:val="21"/>
                    </w:rPr>
                    <w:t>35</w:t>
                  </w:r>
                </w:p>
              </w:tc>
              <w:tc>
                <w:tcPr>
                  <w:tcW w:w="546" w:type="pct"/>
                  <w:noWrap w:val="0"/>
                  <w:vAlign w:val="center"/>
                </w:tcPr>
                <w:p>
                  <w:pPr>
                    <w:pStyle w:val="78"/>
                    <w:rPr>
                      <w:szCs w:val="21"/>
                    </w:rPr>
                  </w:pPr>
                  <w:r>
                    <w:rPr>
                      <w:rFonts w:hint="eastAsia"/>
                      <w:szCs w:val="21"/>
                    </w:rPr>
                    <w:t>39.4</w:t>
                  </w:r>
                </w:p>
              </w:tc>
              <w:tc>
                <w:tcPr>
                  <w:tcW w:w="674" w:type="pct"/>
                  <w:noWrap w:val="0"/>
                  <w:vAlign w:val="center"/>
                </w:tcPr>
                <w:p>
                  <w:pPr>
                    <w:pStyle w:val="78"/>
                    <w:rPr>
                      <w:szCs w:val="21"/>
                    </w:rPr>
                  </w:pPr>
                  <w:r>
                    <w:rPr>
                      <w:rFonts w:hint="eastAsia"/>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noWrap w:val="0"/>
                  <w:vAlign w:val="center"/>
                </w:tcPr>
                <w:p>
                  <w:pPr>
                    <w:pStyle w:val="78"/>
                  </w:pPr>
                </w:p>
              </w:tc>
              <w:tc>
                <w:tcPr>
                  <w:tcW w:w="1109" w:type="pct"/>
                  <w:gridSpan w:val="2"/>
                  <w:noWrap w:val="0"/>
                  <w:vAlign w:val="center"/>
                </w:tcPr>
                <w:p>
                  <w:pPr>
                    <w:pStyle w:val="78"/>
                  </w:pPr>
                  <w:r>
                    <w:rPr>
                      <w:rFonts w:hint="eastAsia"/>
                    </w:rPr>
                    <w:t>产生量</w:t>
                  </w:r>
                  <w:r>
                    <w:t>（t/a）</w:t>
                  </w:r>
                </w:p>
              </w:tc>
              <w:tc>
                <w:tcPr>
                  <w:tcW w:w="803" w:type="dxa"/>
                  <w:noWrap w:val="0"/>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0.0357 </w:t>
                  </w:r>
                </w:p>
              </w:tc>
              <w:tc>
                <w:tcPr>
                  <w:tcW w:w="1185" w:type="dxa"/>
                  <w:noWrap w:val="0"/>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0.0255 </w:t>
                  </w:r>
                </w:p>
              </w:tc>
              <w:tc>
                <w:tcPr>
                  <w:tcW w:w="913" w:type="dxa"/>
                  <w:noWrap w:val="0"/>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0.0255 </w:t>
                  </w:r>
                </w:p>
              </w:tc>
              <w:tc>
                <w:tcPr>
                  <w:tcW w:w="946" w:type="dxa"/>
                  <w:noWrap w:val="0"/>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0.0036 </w:t>
                  </w:r>
                </w:p>
              </w:tc>
              <w:tc>
                <w:tcPr>
                  <w:tcW w:w="941" w:type="dxa"/>
                  <w:noWrap w:val="0"/>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0.0040 </w:t>
                  </w:r>
                </w:p>
              </w:tc>
              <w:tc>
                <w:tcPr>
                  <w:tcW w:w="1162" w:type="dxa"/>
                  <w:noWrap w:val="0"/>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noWrap w:val="0"/>
                  <w:vAlign w:val="center"/>
                </w:tcPr>
                <w:p>
                  <w:pPr>
                    <w:pStyle w:val="78"/>
                  </w:pPr>
                </w:p>
              </w:tc>
              <w:tc>
                <w:tcPr>
                  <w:tcW w:w="381" w:type="pct"/>
                  <w:vMerge w:val="restart"/>
                  <w:noWrap w:val="0"/>
                  <w:vAlign w:val="center"/>
                </w:tcPr>
                <w:p>
                  <w:pPr>
                    <w:pStyle w:val="78"/>
                  </w:pPr>
                  <w:r>
                    <w:rPr>
                      <w:rFonts w:hint="eastAsia"/>
                    </w:rPr>
                    <w:t>厂内处理措施</w:t>
                  </w:r>
                </w:p>
              </w:tc>
              <w:tc>
                <w:tcPr>
                  <w:tcW w:w="728" w:type="pct"/>
                  <w:noWrap w:val="0"/>
                  <w:vAlign w:val="center"/>
                </w:tcPr>
                <w:p>
                  <w:pPr>
                    <w:pStyle w:val="78"/>
                  </w:pPr>
                  <w:r>
                    <w:rPr>
                      <w:rFonts w:hint="eastAsia"/>
                    </w:rPr>
                    <w:t>处理</w:t>
                  </w:r>
                </w:p>
              </w:tc>
              <w:tc>
                <w:tcPr>
                  <w:tcW w:w="3455" w:type="pct"/>
                  <w:gridSpan w:val="6"/>
                  <w:noWrap w:val="0"/>
                  <w:vAlign w:val="center"/>
                </w:tcPr>
                <w:p>
                  <w:pPr>
                    <w:pStyle w:val="78"/>
                  </w:pPr>
                  <w:r>
                    <w:rPr>
                      <w:rFonts w:hint="eastAsia"/>
                    </w:rPr>
                    <w:t>化粪池处理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noWrap w:val="0"/>
                  <w:vAlign w:val="center"/>
                </w:tcPr>
                <w:p>
                  <w:pPr>
                    <w:pStyle w:val="78"/>
                  </w:pPr>
                </w:p>
              </w:tc>
              <w:tc>
                <w:tcPr>
                  <w:tcW w:w="381" w:type="pct"/>
                  <w:vMerge w:val="continue"/>
                  <w:noWrap w:val="0"/>
                  <w:vAlign w:val="center"/>
                </w:tcPr>
                <w:p>
                  <w:pPr>
                    <w:pStyle w:val="78"/>
                  </w:pPr>
                </w:p>
              </w:tc>
              <w:tc>
                <w:tcPr>
                  <w:tcW w:w="728" w:type="pct"/>
                  <w:noWrap w:val="0"/>
                  <w:vAlign w:val="center"/>
                </w:tcPr>
                <w:p>
                  <w:pPr>
                    <w:pStyle w:val="78"/>
                  </w:pPr>
                  <w:r>
                    <w:rPr>
                      <w:rFonts w:hint="eastAsia"/>
                    </w:rPr>
                    <w:t>排水去向</w:t>
                  </w:r>
                </w:p>
              </w:tc>
              <w:tc>
                <w:tcPr>
                  <w:tcW w:w="3455" w:type="pct"/>
                  <w:gridSpan w:val="6"/>
                  <w:noWrap w:val="0"/>
                  <w:vAlign w:val="center"/>
                </w:tcPr>
                <w:p>
                  <w:pPr>
                    <w:pStyle w:val="78"/>
                  </w:pPr>
                  <w:r>
                    <w:rPr>
                      <w:rFonts w:hint="eastAsia"/>
                    </w:rPr>
                    <w:t>定期清掏用于周边农肥</w:t>
                  </w:r>
                </w:p>
              </w:tc>
            </w:tr>
          </w:tbl>
          <w:p>
            <w:pPr>
              <w:numPr>
                <w:ilvl w:val="0"/>
                <w:numId w:val="2"/>
              </w:numPr>
              <w:wordWrap w:val="0"/>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生产废水</w:t>
            </w:r>
          </w:p>
          <w:p>
            <w:pPr>
              <w:wordWrap w:val="0"/>
              <w:spacing w:line="360" w:lineRule="auto"/>
              <w:ind w:firstLine="480" w:firstLineChars="200"/>
              <w:rPr>
                <w:rFonts w:hint="eastAsia"/>
                <w:sz w:val="24"/>
              </w:rPr>
            </w:pPr>
            <w:r>
              <w:rPr>
                <w:rFonts w:hint="eastAsia"/>
                <w:sz w:val="24"/>
              </w:rPr>
              <w:t>生产废水经沉淀池沉淀后回用，</w:t>
            </w:r>
            <w:r>
              <w:rPr>
                <w:rFonts w:hint="eastAsia"/>
                <w:sz w:val="24"/>
                <w:lang w:eastAsia="zh-CN"/>
              </w:rPr>
              <w:t>主要污染物为</w:t>
            </w:r>
            <w:r>
              <w:rPr>
                <w:rFonts w:hint="eastAsia"/>
                <w:sz w:val="24"/>
                <w:lang w:val="en-US" w:eastAsia="zh-CN"/>
              </w:rPr>
              <w:t>SS，</w:t>
            </w:r>
            <w:r>
              <w:rPr>
                <w:rFonts w:hint="eastAsia"/>
                <w:sz w:val="24"/>
              </w:rPr>
              <w:t>不外排。</w:t>
            </w:r>
          </w:p>
          <w:p>
            <w:pPr>
              <w:numPr>
                <w:ilvl w:val="0"/>
                <w:numId w:val="2"/>
              </w:numPr>
              <w:wordWrap w:val="0"/>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雨水</w:t>
            </w:r>
          </w:p>
          <w:p>
            <w:pPr>
              <w:spacing w:line="360" w:lineRule="auto"/>
              <w:ind w:firstLine="480" w:firstLineChars="200"/>
              <w:rPr>
                <w:rFonts w:hint="eastAsia" w:eastAsia="宋体"/>
                <w:sz w:val="24"/>
                <w:lang w:eastAsia="zh-CN"/>
              </w:rPr>
            </w:pPr>
            <w:r>
              <w:rPr>
                <w:rFonts w:hint="eastAsia"/>
                <w:sz w:val="24"/>
                <w:lang w:eastAsia="zh-CN"/>
              </w:rPr>
              <w:t>项目建设时，厂界修建截洪沟，雨季时将四周汇集的雨水接入紫霞湖大道雨水沟内，接入前端修建缓冲池。厂内原料堆场、生产车间和产品仓库四周修建雨水沟，雨水沟接入雨水收集池，沉淀后回用于抑尘。</w:t>
            </w:r>
          </w:p>
          <w:p>
            <w:pPr>
              <w:keepNext/>
              <w:keepLines/>
              <w:wordWrap w:val="0"/>
              <w:spacing w:before="200" w:after="200"/>
              <w:outlineLvl w:val="3"/>
              <w:rPr>
                <w:b/>
                <w:sz w:val="24"/>
              </w:rPr>
            </w:pPr>
            <w:r>
              <w:rPr>
                <w:rFonts w:hint="eastAsia"/>
                <w:b/>
                <w:sz w:val="24"/>
              </w:rPr>
              <w:t>4.2.2.2污水治理设施及排放分析</w:t>
            </w:r>
          </w:p>
          <w:p>
            <w:pPr>
              <w:wordWrap w:val="0"/>
              <w:spacing w:line="360" w:lineRule="auto"/>
              <w:ind w:firstLine="482" w:firstLineChars="200"/>
              <w:rPr>
                <w:rFonts w:hint="eastAsia"/>
                <w:b/>
                <w:bCs/>
                <w:sz w:val="24"/>
              </w:rPr>
            </w:pPr>
            <w:r>
              <w:rPr>
                <w:rFonts w:hint="eastAsia"/>
                <w:b/>
                <w:bCs/>
                <w:sz w:val="24"/>
              </w:rPr>
              <w:t>1、水污染控制和水环境影响减缓措施有效性评价</w:t>
            </w:r>
          </w:p>
          <w:p>
            <w:pPr>
              <w:wordWrap w:val="0"/>
              <w:spacing w:line="360" w:lineRule="auto"/>
              <w:ind w:firstLine="480" w:firstLineChars="200"/>
              <w:rPr>
                <w:sz w:val="24"/>
                <w:u w:val="single"/>
              </w:rPr>
            </w:pPr>
            <w:r>
              <w:rPr>
                <w:rFonts w:hint="eastAsia"/>
                <w:sz w:val="24"/>
                <w:u w:val="single"/>
              </w:rPr>
              <w:t>（1）生活污水处理可行性分析</w:t>
            </w:r>
          </w:p>
          <w:p>
            <w:pPr>
              <w:wordWrap w:val="0"/>
              <w:spacing w:line="360" w:lineRule="auto"/>
              <w:ind w:firstLine="480" w:firstLineChars="200"/>
              <w:rPr>
                <w:rFonts w:hint="eastAsia"/>
                <w:color w:val="000000"/>
                <w:sz w:val="24"/>
                <w:u w:val="single"/>
              </w:rPr>
            </w:pPr>
            <w:r>
              <w:rPr>
                <w:rFonts w:hint="eastAsia"/>
                <w:sz w:val="24"/>
                <w:u w:val="single"/>
              </w:rPr>
              <w:t>根据前文分析计算，本项目生活废水产生量为0.34m³/d、</w:t>
            </w:r>
            <w:r>
              <w:rPr>
                <w:rFonts w:hint="eastAsia"/>
                <w:sz w:val="24"/>
                <w:u w:val="single"/>
                <w:lang w:val="en-US" w:eastAsia="zh-CN"/>
              </w:rPr>
              <w:t>102</w:t>
            </w:r>
            <w:r>
              <w:rPr>
                <w:rFonts w:hint="eastAsia"/>
                <w:sz w:val="24"/>
                <w:u w:val="single"/>
              </w:rPr>
              <w:t>m³/a。化粪池水力停留时间取15d，则化粪池容积不低于5.1m³，项目建设6m³化粪池，满足要求。</w:t>
            </w:r>
            <w:r>
              <w:rPr>
                <w:rFonts w:hint="eastAsia"/>
                <w:color w:val="000000"/>
                <w:sz w:val="24"/>
                <w:u w:val="single"/>
              </w:rPr>
              <w:t>根据土地利用调查可知，项目</w:t>
            </w:r>
            <w:r>
              <w:rPr>
                <w:rFonts w:hint="eastAsia"/>
                <w:color w:val="000000"/>
                <w:sz w:val="24"/>
                <w:u w:val="single"/>
                <w:lang w:eastAsia="zh-CN"/>
              </w:rPr>
              <w:t>东侧</w:t>
            </w:r>
            <w:r>
              <w:rPr>
                <w:rFonts w:hint="eastAsia"/>
                <w:color w:val="000000"/>
                <w:sz w:val="24"/>
                <w:u w:val="single"/>
              </w:rPr>
              <w:t>为旱地和农田，</w:t>
            </w:r>
            <w:r>
              <w:rPr>
                <w:rFonts w:hint="eastAsia"/>
                <w:sz w:val="24"/>
                <w:u w:val="single"/>
              </w:rPr>
              <w:t>主要种植红薯、油菜、辣椒、大豆等农作物，约32.83亩。</w:t>
            </w:r>
            <w:r>
              <w:rPr>
                <w:rFonts w:hint="eastAsia"/>
                <w:color w:val="000000"/>
                <w:sz w:val="24"/>
                <w:u w:val="single"/>
              </w:rPr>
              <w:t>生活污水经化粪池处理后，可用作周边农田和旱地农肥，不外排。</w:t>
            </w:r>
          </w:p>
          <w:p>
            <w:pPr>
              <w:wordWrap w:val="0"/>
              <w:spacing w:line="360" w:lineRule="auto"/>
              <w:ind w:firstLine="480" w:firstLineChars="200"/>
              <w:rPr>
                <w:rFonts w:hint="eastAsia" w:eastAsia="宋体"/>
                <w:sz w:val="24"/>
                <w:u w:val="single"/>
                <w:lang w:eastAsia="zh-CN"/>
              </w:rPr>
            </w:pPr>
            <w:r>
              <w:rPr>
                <w:rFonts w:hint="eastAsia" w:ascii="宋体" w:hAnsi="宋体" w:cs="宋体"/>
                <w:color w:val="000000"/>
                <w:kern w:val="0"/>
                <w:sz w:val="24"/>
                <w:u w:val="single"/>
                <w:lang w:eastAsia="zh-CN" w:bidi="ar"/>
              </w:rPr>
              <w:t>通过</w:t>
            </w:r>
            <w:r>
              <w:rPr>
                <w:rFonts w:hint="eastAsia" w:ascii="宋体" w:hAnsi="宋体" w:cs="宋体"/>
                <w:color w:val="000000"/>
                <w:kern w:val="0"/>
                <w:sz w:val="24"/>
                <w:u w:val="single"/>
                <w:lang w:bidi="ar"/>
              </w:rPr>
              <w:t>《畜禽粪污土地承载力测算技术指南》</w:t>
            </w:r>
            <w:r>
              <w:rPr>
                <w:rFonts w:hint="eastAsia" w:ascii="宋体" w:hAnsi="宋体" w:cs="宋体"/>
                <w:color w:val="000000"/>
                <w:kern w:val="0"/>
                <w:sz w:val="24"/>
                <w:u w:val="single"/>
                <w:lang w:eastAsia="zh-CN" w:bidi="ar"/>
              </w:rPr>
              <w:t>计算分析周边土地</w:t>
            </w:r>
            <w:r>
              <w:rPr>
                <w:rFonts w:hint="eastAsia"/>
                <w:sz w:val="24"/>
                <w:u w:val="single"/>
              </w:rPr>
              <w:t>氮、磷可消纳性</w:t>
            </w:r>
            <w:r>
              <w:rPr>
                <w:rFonts w:hint="eastAsia"/>
                <w:sz w:val="24"/>
                <w:u w:val="single"/>
                <w:lang w:eastAsia="zh-CN"/>
              </w:rPr>
              <w:t>，分析如下：</w:t>
            </w:r>
          </w:p>
          <w:p>
            <w:pPr>
              <w:widowControl/>
              <w:wordWrap w:val="0"/>
              <w:spacing w:line="360" w:lineRule="auto"/>
              <w:ind w:firstLine="480" w:firstLineChars="200"/>
              <w:rPr>
                <w:sz w:val="24"/>
                <w:u w:val="single"/>
              </w:rPr>
            </w:pPr>
            <w:r>
              <w:rPr>
                <w:rFonts w:hint="eastAsia" w:ascii="宋体" w:hAnsi="宋体" w:cs="宋体"/>
                <w:color w:val="000000"/>
                <w:kern w:val="0"/>
                <w:sz w:val="24"/>
                <w:u w:val="single"/>
                <w:lang w:bidi="ar"/>
              </w:rPr>
              <w:t xml:space="preserve">参考《畜禽粪污土地承载力测算技术指南》表 </w:t>
            </w:r>
            <w:r>
              <w:rPr>
                <w:color w:val="000000"/>
                <w:kern w:val="0"/>
                <w:sz w:val="24"/>
                <w:u w:val="single"/>
                <w:lang w:bidi="ar"/>
              </w:rPr>
              <w:t>3-1</w:t>
            </w:r>
            <w:r>
              <w:rPr>
                <w:rFonts w:hint="eastAsia" w:ascii="宋体" w:hAnsi="宋体" w:cs="宋体"/>
                <w:color w:val="000000"/>
                <w:kern w:val="0"/>
                <w:sz w:val="24"/>
                <w:u w:val="single"/>
                <w:lang w:bidi="ar"/>
              </w:rPr>
              <w:t>，红薯的目标产量系数为</w:t>
            </w:r>
            <w:r>
              <w:rPr>
                <w:color w:val="000000"/>
                <w:kern w:val="0"/>
                <w:sz w:val="24"/>
                <w:u w:val="single"/>
                <w:lang w:bidi="ar"/>
              </w:rPr>
              <w:t>20t/hm</w:t>
            </w:r>
            <w:r>
              <w:rPr>
                <w:color w:val="000000"/>
                <w:kern w:val="0"/>
                <w:sz w:val="24"/>
                <w:u w:val="single"/>
                <w:vertAlign w:val="superscript"/>
                <w:lang w:bidi="ar"/>
              </w:rPr>
              <w:t>2</w:t>
            </w:r>
            <w:r>
              <w:rPr>
                <w:rFonts w:hint="eastAsia"/>
                <w:color w:val="000000"/>
                <w:kern w:val="0"/>
                <w:sz w:val="24"/>
                <w:u w:val="single"/>
                <w:lang w:bidi="ar"/>
              </w:rPr>
              <w:t>、水稻的目标产量系数为6t/hm</w:t>
            </w:r>
            <w:r>
              <w:rPr>
                <w:rFonts w:hint="eastAsia"/>
                <w:color w:val="000000"/>
                <w:kern w:val="0"/>
                <w:sz w:val="24"/>
                <w:u w:val="single"/>
                <w:vertAlign w:val="superscript"/>
                <w:lang w:bidi="ar"/>
              </w:rPr>
              <w:t>2</w:t>
            </w:r>
            <w:r>
              <w:rPr>
                <w:rFonts w:hint="eastAsia" w:ascii="宋体" w:hAnsi="宋体" w:cs="宋体"/>
                <w:color w:val="000000"/>
                <w:kern w:val="0"/>
                <w:sz w:val="24"/>
                <w:u w:val="single"/>
                <w:lang w:bidi="ar"/>
              </w:rPr>
              <w:t xml:space="preserve">。 </w:t>
            </w:r>
          </w:p>
          <w:p>
            <w:pPr>
              <w:widowControl/>
              <w:wordWrap w:val="0"/>
              <w:spacing w:line="360" w:lineRule="auto"/>
              <w:ind w:firstLine="480" w:firstLineChars="200"/>
              <w:rPr>
                <w:rFonts w:hint="eastAsia" w:ascii="宋体" w:hAnsi="宋体" w:cs="宋体"/>
                <w:color w:val="000000"/>
                <w:kern w:val="0"/>
                <w:sz w:val="24"/>
                <w:u w:val="single"/>
                <w:lang w:bidi="ar"/>
              </w:rPr>
            </w:pPr>
            <w:r>
              <w:rPr>
                <w:rFonts w:hint="eastAsia" w:ascii="宋体" w:hAnsi="宋体" w:cs="宋体"/>
                <w:color w:val="000000"/>
                <w:kern w:val="0"/>
                <w:sz w:val="24"/>
                <w:u w:val="single"/>
                <w:lang w:bidi="ar"/>
              </w:rPr>
              <w:t>根据《畜禽粪污土地承载力测算技术指南》表</w:t>
            </w:r>
            <w:r>
              <w:rPr>
                <w:color w:val="000000"/>
                <w:kern w:val="0"/>
                <w:sz w:val="24"/>
                <w:u w:val="single"/>
                <w:lang w:bidi="ar"/>
              </w:rPr>
              <w:t>1</w:t>
            </w:r>
            <w:r>
              <w:rPr>
                <w:rFonts w:hint="eastAsia" w:ascii="宋体" w:hAnsi="宋体" w:cs="宋体"/>
                <w:color w:val="000000"/>
                <w:kern w:val="0"/>
                <w:sz w:val="24"/>
                <w:u w:val="single"/>
                <w:lang w:bidi="ar"/>
              </w:rPr>
              <w:t>，不同植物形成</w:t>
            </w:r>
            <w:r>
              <w:rPr>
                <w:color w:val="000000"/>
                <w:kern w:val="0"/>
                <w:sz w:val="24"/>
                <w:u w:val="single"/>
                <w:lang w:bidi="ar"/>
              </w:rPr>
              <w:t>100kg</w:t>
            </w:r>
            <w:r>
              <w:rPr>
                <w:rFonts w:hint="eastAsia" w:ascii="宋体" w:hAnsi="宋体" w:cs="宋体"/>
                <w:color w:val="000000"/>
                <w:kern w:val="0"/>
                <w:sz w:val="24"/>
                <w:u w:val="single"/>
                <w:lang w:bidi="ar"/>
              </w:rPr>
              <w:t>产量需要吸收的氮磷量，水稻氮、磷分别为</w:t>
            </w:r>
            <w:r>
              <w:rPr>
                <w:rFonts w:hint="eastAsia"/>
                <w:color w:val="000000"/>
                <w:kern w:val="0"/>
                <w:sz w:val="24"/>
                <w:u w:val="single"/>
                <w:lang w:bidi="ar"/>
              </w:rPr>
              <w:t>2.2</w:t>
            </w:r>
            <w:r>
              <w:rPr>
                <w:color w:val="000000"/>
                <w:kern w:val="0"/>
                <w:sz w:val="24"/>
                <w:u w:val="single"/>
                <w:lang w:bidi="ar"/>
              </w:rPr>
              <w:t>kg/100kg</w:t>
            </w:r>
            <w:r>
              <w:rPr>
                <w:rFonts w:hint="eastAsia" w:ascii="宋体" w:hAnsi="宋体" w:cs="宋体"/>
                <w:color w:val="000000"/>
                <w:kern w:val="0"/>
                <w:sz w:val="24"/>
                <w:u w:val="single"/>
                <w:lang w:bidi="ar"/>
              </w:rPr>
              <w:t>、</w:t>
            </w:r>
            <w:r>
              <w:rPr>
                <w:rFonts w:hint="eastAsia"/>
                <w:color w:val="000000"/>
                <w:kern w:val="0"/>
                <w:sz w:val="24"/>
                <w:u w:val="single"/>
                <w:lang w:bidi="ar"/>
              </w:rPr>
              <w:t>0.8</w:t>
            </w:r>
            <w:r>
              <w:rPr>
                <w:color w:val="000000"/>
                <w:kern w:val="0"/>
                <w:sz w:val="24"/>
                <w:u w:val="single"/>
                <w:lang w:bidi="ar"/>
              </w:rPr>
              <w:t>kg/100kg</w:t>
            </w:r>
            <w:r>
              <w:rPr>
                <w:rFonts w:hint="eastAsia"/>
                <w:color w:val="000000"/>
                <w:kern w:val="0"/>
                <w:sz w:val="24"/>
                <w:u w:val="single"/>
                <w:lang w:bidi="ar"/>
              </w:rPr>
              <w:t>，红薯氮、磷分别为0.5kg/100kg、0.088kg/100kg</w:t>
            </w:r>
            <w:r>
              <w:rPr>
                <w:rFonts w:hint="eastAsia" w:ascii="宋体" w:hAnsi="宋体" w:cs="宋体"/>
                <w:color w:val="000000"/>
                <w:kern w:val="0"/>
                <w:sz w:val="24"/>
                <w:u w:val="single"/>
                <w:lang w:bidi="ar"/>
              </w:rPr>
              <w:t>。</w:t>
            </w:r>
          </w:p>
          <w:p>
            <w:pPr>
              <w:widowControl/>
              <w:wordWrap w:val="0"/>
              <w:spacing w:line="360" w:lineRule="auto"/>
              <w:ind w:firstLine="480" w:firstLineChars="200"/>
              <w:rPr>
                <w:sz w:val="24"/>
                <w:u w:val="single"/>
              </w:rPr>
            </w:pPr>
            <w:r>
              <w:rPr>
                <w:rFonts w:hint="eastAsia" w:ascii="宋体" w:hAnsi="宋体" w:cs="宋体"/>
                <w:color w:val="000000"/>
                <w:kern w:val="0"/>
                <w:sz w:val="24"/>
                <w:u w:val="single"/>
                <w:lang w:bidi="ar"/>
              </w:rPr>
              <w:t>项目位于湘西州花垣县，属于偏远乡村地区，以施用有机肥为主，施肥比例取</w:t>
            </w:r>
            <w:r>
              <w:rPr>
                <w:color w:val="000000"/>
                <w:kern w:val="0"/>
                <w:sz w:val="24"/>
                <w:u w:val="single"/>
                <w:lang w:bidi="ar"/>
              </w:rPr>
              <w:t>80%</w:t>
            </w:r>
            <w:r>
              <w:rPr>
                <w:rFonts w:hint="eastAsia" w:ascii="宋体" w:hAnsi="宋体" w:cs="宋体"/>
                <w:color w:val="000000"/>
                <w:kern w:val="0"/>
                <w:sz w:val="24"/>
                <w:u w:val="single"/>
                <w:lang w:bidi="ar"/>
              </w:rPr>
              <w:t>，供给养分占比取</w:t>
            </w:r>
            <w:r>
              <w:rPr>
                <w:color w:val="000000"/>
                <w:kern w:val="0"/>
                <w:sz w:val="24"/>
                <w:u w:val="single"/>
                <w:lang w:bidi="ar"/>
              </w:rPr>
              <w:t>55%</w:t>
            </w:r>
            <w:r>
              <w:rPr>
                <w:rFonts w:hint="eastAsia" w:ascii="宋体" w:hAnsi="宋体" w:cs="宋体"/>
                <w:color w:val="000000"/>
                <w:kern w:val="0"/>
                <w:sz w:val="24"/>
                <w:u w:val="single"/>
                <w:lang w:bidi="ar"/>
              </w:rPr>
              <w:t>，当季利用率氮</w:t>
            </w:r>
            <w:r>
              <w:rPr>
                <w:color w:val="000000"/>
                <w:kern w:val="0"/>
                <w:sz w:val="24"/>
                <w:u w:val="single"/>
                <w:lang w:bidi="ar"/>
              </w:rPr>
              <w:t>25%</w:t>
            </w:r>
            <w:r>
              <w:rPr>
                <w:rFonts w:hint="eastAsia" w:ascii="宋体" w:hAnsi="宋体" w:cs="宋体"/>
                <w:color w:val="000000"/>
                <w:kern w:val="0"/>
                <w:sz w:val="24"/>
                <w:u w:val="single"/>
                <w:lang w:bidi="ar"/>
              </w:rPr>
              <w:t>、磷</w:t>
            </w:r>
            <w:r>
              <w:rPr>
                <w:color w:val="000000"/>
                <w:kern w:val="0"/>
                <w:sz w:val="24"/>
                <w:u w:val="single"/>
                <w:lang w:bidi="ar"/>
              </w:rPr>
              <w:t>30%</w:t>
            </w:r>
            <w:r>
              <w:rPr>
                <w:rFonts w:hint="eastAsia" w:ascii="宋体" w:hAnsi="宋体" w:cs="宋体"/>
                <w:color w:val="000000"/>
                <w:kern w:val="0"/>
                <w:sz w:val="24"/>
                <w:u w:val="single"/>
                <w:lang w:bidi="ar"/>
              </w:rPr>
              <w:t xml:space="preserve">。 </w:t>
            </w:r>
          </w:p>
          <w:p>
            <w:pPr>
              <w:widowControl/>
              <w:wordWrap w:val="0"/>
              <w:spacing w:line="360" w:lineRule="auto"/>
              <w:ind w:firstLine="480" w:firstLineChars="200"/>
              <w:rPr>
                <w:rFonts w:hint="eastAsia" w:ascii="宋体" w:hAnsi="宋体" w:cs="宋体"/>
                <w:color w:val="000000"/>
                <w:kern w:val="0"/>
                <w:sz w:val="24"/>
                <w:u w:val="single"/>
                <w:lang w:bidi="ar"/>
              </w:rPr>
            </w:pPr>
            <w:r>
              <w:rPr>
                <w:rFonts w:hint="eastAsia" w:ascii="宋体" w:hAnsi="宋体" w:cs="宋体"/>
                <w:color w:val="000000"/>
                <w:kern w:val="0"/>
                <w:sz w:val="24"/>
                <w:u w:val="single"/>
                <w:lang w:bidi="ar"/>
              </w:rPr>
              <w:t>根据《畜禽粪污土地承载力测算技术指南》中公式计算土地粪肥养分需求量。</w:t>
            </w:r>
          </w:p>
          <w:p>
            <w:pPr>
              <w:widowControl/>
              <w:wordWrap w:val="0"/>
              <w:spacing w:line="360" w:lineRule="auto"/>
              <w:ind w:firstLine="420" w:firstLineChars="200"/>
              <w:rPr>
                <w:sz w:val="24"/>
                <w:u w:val="single"/>
              </w:rPr>
            </w:pPr>
            <m:oMathPara>
              <m:oMath>
                <m:r>
                  <m:rPr>
                    <m:sty m:val="p"/>
                  </m:rPr>
                  <w:rPr>
                    <w:rFonts w:hint="eastAsia" w:ascii="Cambria Math" w:hAnsi="Cambria Math"/>
                    <w:color w:val="000000"/>
                    <w:kern w:val="0"/>
                    <w:u w:val="none"/>
                    <w:lang w:bidi="ar-SA"/>
                  </w:rPr>
                  <m:t>单位土地粪肥养分需求量</m:t>
                </m:r>
                <m:r>
                  <m:rPr>
                    <m:sty m:val="p"/>
                  </m:rPr>
                  <w:rPr>
                    <w:rFonts w:hint="default" w:ascii="Cambria Math" w:hAnsi="Cambria Math"/>
                    <w:color w:val="000000"/>
                    <w:kern w:val="0"/>
                    <w:u w:val="none"/>
                    <w:lang w:bidi="ar-SA"/>
                  </w:rPr>
                  <m:t>=</m:t>
                </m:r>
                <m:f>
                  <m:fPr>
                    <m:ctrlPr>
                      <w:rPr>
                        <w:rFonts w:hint="default" w:ascii="Cambria Math" w:hAnsi="Cambria Math"/>
                        <w:color w:val="000000"/>
                        <w:kern w:val="0"/>
                        <w:u w:val="none"/>
                        <w:lang w:bidi="ar-SA"/>
                      </w:rPr>
                    </m:ctrlPr>
                  </m:fPr>
                  <m:num>
                    <m:r>
                      <m:rPr>
                        <m:sty m:val="p"/>
                      </m:rPr>
                      <w:rPr>
                        <w:rFonts w:hint="default" w:ascii="Cambria Math" w:hAnsi="Cambria Math"/>
                        <w:color w:val="000000"/>
                        <w:kern w:val="0"/>
                        <w:u w:val="none"/>
                        <w:lang w:bidi="ar-SA"/>
                      </w:rPr>
                      <m:t>单位土地养分需求量×施肥供给养分占比×粪肥占施肥比例</m:t>
                    </m:r>
                    <m:ctrlPr>
                      <w:rPr>
                        <w:rFonts w:hint="default" w:ascii="Cambria Math" w:hAnsi="Cambria Math"/>
                        <w:color w:val="000000"/>
                        <w:kern w:val="0"/>
                        <w:u w:val="none"/>
                        <w:lang w:bidi="ar-SA"/>
                      </w:rPr>
                    </m:ctrlPr>
                  </m:num>
                  <m:den>
                    <m:r>
                      <m:rPr>
                        <m:sty m:val="p"/>
                      </m:rPr>
                      <w:rPr>
                        <w:rFonts w:hint="default" w:ascii="Cambria Math" w:hAnsi="Cambria Math"/>
                        <w:color w:val="000000"/>
                        <w:kern w:val="0"/>
                        <w:u w:val="none"/>
                        <w:lang w:bidi="ar-SA"/>
                      </w:rPr>
                      <m:t>粪肥当季利用率</m:t>
                    </m:r>
                    <m:ctrlPr>
                      <w:rPr>
                        <w:rFonts w:hint="default" w:ascii="Cambria Math" w:hAnsi="Cambria Math"/>
                        <w:color w:val="000000"/>
                        <w:kern w:val="0"/>
                        <w:u w:val="none"/>
                        <w:lang w:bidi="ar-SA"/>
                      </w:rPr>
                    </m:ctrlPr>
                  </m:den>
                </m:f>
              </m:oMath>
            </m:oMathPara>
          </w:p>
          <w:p>
            <w:pPr>
              <w:spacing w:line="360" w:lineRule="auto"/>
              <w:ind w:firstLine="480" w:firstLineChars="200"/>
              <w:rPr>
                <w:sz w:val="24"/>
                <w:u w:val="single"/>
              </w:rPr>
            </w:pPr>
            <w:r>
              <w:rPr>
                <w:rFonts w:hint="eastAsia"/>
                <w:sz w:val="24"/>
                <w:u w:val="single"/>
              </w:rPr>
              <w:t>计算得到周边土地粪肥氮、磷养分需求量为0.8941t/a、0.2102t/a。根据前文分析，项目生活污水中总氮、总磷量为</w:t>
            </w:r>
            <w:r>
              <w:rPr>
                <w:rFonts w:hint="eastAsia"/>
                <w:sz w:val="24"/>
                <w:u w:val="single"/>
                <w:lang w:val="en-US" w:eastAsia="zh-CN"/>
              </w:rPr>
              <w:t>0.0040</w:t>
            </w:r>
            <w:r>
              <w:rPr>
                <w:rFonts w:hint="eastAsia"/>
                <w:sz w:val="24"/>
                <w:u w:val="single"/>
              </w:rPr>
              <w:t>t/a、</w:t>
            </w:r>
            <w:r>
              <w:rPr>
                <w:rFonts w:hint="eastAsia"/>
                <w:sz w:val="24"/>
                <w:u w:val="single"/>
                <w:lang w:val="en-US" w:eastAsia="zh-CN"/>
              </w:rPr>
              <w:t>0.0004</w:t>
            </w:r>
            <w:r>
              <w:rPr>
                <w:rFonts w:hint="eastAsia"/>
                <w:sz w:val="24"/>
                <w:u w:val="single"/>
              </w:rPr>
              <w:t>t/a。</w:t>
            </w:r>
            <w:r>
              <w:rPr>
                <w:rFonts w:hint="eastAsia"/>
                <w:color w:val="000000"/>
                <w:sz w:val="24"/>
                <w:u w:val="single"/>
              </w:rPr>
              <w:t>周围土地养分需求量为项目污水可提供量的</w:t>
            </w:r>
            <w:r>
              <w:rPr>
                <w:rFonts w:hint="eastAsia"/>
                <w:color w:val="000000"/>
                <w:sz w:val="24"/>
                <w:u w:val="single"/>
                <w:lang w:val="en-US" w:eastAsia="zh-CN"/>
              </w:rPr>
              <w:t>223</w:t>
            </w:r>
            <w:r>
              <w:rPr>
                <w:rFonts w:hint="eastAsia"/>
                <w:color w:val="000000"/>
                <w:sz w:val="24"/>
                <w:u w:val="single"/>
              </w:rPr>
              <w:t>~</w:t>
            </w:r>
            <w:r>
              <w:rPr>
                <w:rFonts w:hint="eastAsia"/>
                <w:color w:val="000000"/>
                <w:sz w:val="24"/>
                <w:u w:val="single"/>
                <w:lang w:val="en-US" w:eastAsia="zh-CN"/>
              </w:rPr>
              <w:t>525</w:t>
            </w:r>
            <w:r>
              <w:rPr>
                <w:rFonts w:hint="eastAsia"/>
                <w:color w:val="000000"/>
                <w:sz w:val="24"/>
                <w:u w:val="single"/>
              </w:rPr>
              <w:t>倍，说明周围土地完全可以消纳项目粪污中的氮和磷，通过对土壤轮作，不会造成营养过剩。</w:t>
            </w:r>
          </w:p>
          <w:p>
            <w:pPr>
              <w:spacing w:line="360" w:lineRule="auto"/>
              <w:ind w:firstLine="480" w:firstLineChars="200"/>
              <w:rPr>
                <w:sz w:val="24"/>
                <w:u w:val="single"/>
              </w:rPr>
            </w:pPr>
            <w:r>
              <w:rPr>
                <w:rFonts w:hint="eastAsia"/>
                <w:sz w:val="24"/>
                <w:u w:val="single"/>
              </w:rPr>
              <w:t>综上分析，项目生活废水经化粪池定期清掏用作农肥可行。</w:t>
            </w:r>
          </w:p>
          <w:p>
            <w:pPr>
              <w:spacing w:line="360" w:lineRule="auto"/>
              <w:ind w:firstLine="480" w:firstLineChars="200"/>
              <w:rPr>
                <w:rFonts w:hint="eastAsia"/>
                <w:sz w:val="24"/>
              </w:rPr>
            </w:pPr>
            <w:r>
              <w:rPr>
                <w:rFonts w:hint="eastAsia"/>
                <w:color w:val="000000"/>
                <w:sz w:val="24"/>
              </w:rPr>
              <w:t>（2）生产废水</w:t>
            </w:r>
            <w:r>
              <w:rPr>
                <w:rFonts w:hint="eastAsia"/>
                <w:sz w:val="24"/>
              </w:rPr>
              <w:t>处理可行性分析</w:t>
            </w:r>
          </w:p>
          <w:p>
            <w:pPr>
              <w:spacing w:line="360" w:lineRule="auto"/>
              <w:ind w:firstLine="480" w:firstLineChars="200"/>
              <w:rPr>
                <w:rFonts w:hint="eastAsia"/>
                <w:sz w:val="24"/>
              </w:rPr>
            </w:pPr>
            <w:r>
              <w:rPr>
                <w:rFonts w:hint="eastAsia"/>
                <w:sz w:val="24"/>
              </w:rPr>
              <w:t>项目生产废水主要为车辆冲洗废水，主要为车辆运输过程中附带的泥土，因此经沉淀车沉淀后用用于降尘。不外排。</w:t>
            </w:r>
          </w:p>
          <w:p>
            <w:pPr>
              <w:spacing w:line="360" w:lineRule="auto"/>
              <w:ind w:firstLine="480" w:firstLineChars="200"/>
              <w:rPr>
                <w:rFonts w:hint="eastAsia" w:eastAsia="宋体"/>
                <w:sz w:val="24"/>
                <w:lang w:eastAsia="zh-CN"/>
              </w:rPr>
            </w:pPr>
            <w:r>
              <w:rPr>
                <w:rFonts w:hint="eastAsia"/>
                <w:sz w:val="24"/>
                <w:lang w:eastAsia="zh-CN"/>
              </w:rPr>
              <w:t>（</w:t>
            </w:r>
            <w:r>
              <w:rPr>
                <w:rFonts w:hint="eastAsia"/>
                <w:sz w:val="24"/>
                <w:lang w:val="en-US" w:eastAsia="zh-CN"/>
              </w:rPr>
              <w:t>3</w:t>
            </w:r>
            <w:r>
              <w:rPr>
                <w:rFonts w:hint="eastAsia"/>
                <w:sz w:val="24"/>
                <w:lang w:eastAsia="zh-CN"/>
              </w:rPr>
              <w:t>）雨水处理可行性分析</w:t>
            </w:r>
          </w:p>
          <w:p>
            <w:pPr>
              <w:spacing w:line="360" w:lineRule="auto"/>
              <w:ind w:firstLine="480" w:firstLineChars="200"/>
              <w:rPr>
                <w:rFonts w:hint="eastAsia"/>
                <w:sz w:val="24"/>
                <w:u w:val="single"/>
                <w:lang w:eastAsia="zh-CN"/>
              </w:rPr>
            </w:pPr>
            <w:r>
              <w:rPr>
                <w:rFonts w:hint="eastAsia"/>
                <w:sz w:val="24"/>
                <w:u w:val="single"/>
                <w:lang w:eastAsia="zh-CN"/>
              </w:rPr>
              <w:t>项目厂界修建截洪沟和缓冲池，接入紫霞湖大道雨水沟。可防止雨水将厂内沙石和其他污染物冲出场外，对周边环境造成影响。</w:t>
            </w:r>
          </w:p>
          <w:p>
            <w:pPr>
              <w:spacing w:line="360" w:lineRule="auto"/>
              <w:ind w:firstLine="480" w:firstLineChars="200"/>
              <w:rPr>
                <w:rFonts w:hint="eastAsia"/>
                <w:sz w:val="24"/>
                <w:u w:val="single"/>
                <w:lang w:eastAsia="zh-CN"/>
              </w:rPr>
            </w:pPr>
            <w:r>
              <w:rPr>
                <w:rFonts w:hint="eastAsia"/>
                <w:sz w:val="24"/>
                <w:u w:val="single"/>
                <w:lang w:eastAsia="zh-CN"/>
              </w:rPr>
              <w:t>厂内原料堆场、生产车间和产品仓库修建雨水排水沟，将雨水接入雨水收集池（容积应大于</w:t>
            </w:r>
            <w:r>
              <w:rPr>
                <w:rFonts w:hint="eastAsia"/>
                <w:sz w:val="24"/>
                <w:u w:val="single"/>
                <w:lang w:val="en-US" w:eastAsia="zh-CN"/>
              </w:rPr>
              <w:t>231.15m³</w:t>
            </w:r>
            <w:r>
              <w:rPr>
                <w:rFonts w:hint="eastAsia"/>
                <w:sz w:val="24"/>
                <w:u w:val="single"/>
                <w:lang w:eastAsia="zh-CN"/>
              </w:rPr>
              <w:t>），并设置截水阀，控制阀门将前</w:t>
            </w:r>
            <w:r>
              <w:rPr>
                <w:rFonts w:hint="eastAsia"/>
                <w:sz w:val="24"/>
                <w:highlight w:val="none"/>
                <w:u w:val="single"/>
                <w:shd w:val="clear" w:color="auto" w:fill="auto"/>
                <w:lang w:val="en-US" w:eastAsia="zh-CN"/>
              </w:rPr>
              <w:t>15分钟</w:t>
            </w:r>
            <w:r>
              <w:rPr>
                <w:rFonts w:hint="eastAsia"/>
                <w:sz w:val="24"/>
                <w:u w:val="single"/>
                <w:lang w:eastAsia="zh-CN"/>
              </w:rPr>
              <w:t>初期雨水收集与雨水收集池，其余雨水经雨水收集沟汇入周边雨水收集沟内。根据项目地势，项目东南地，西北高，初期雨水设置于项目区东南侧靠近场内道路旁（具体位置见附图</w:t>
            </w:r>
            <w:r>
              <w:rPr>
                <w:rFonts w:hint="eastAsia"/>
                <w:sz w:val="24"/>
                <w:u w:val="single"/>
                <w:lang w:val="en-US" w:eastAsia="zh-CN"/>
              </w:rPr>
              <w:t>4</w:t>
            </w:r>
            <w:r>
              <w:rPr>
                <w:rFonts w:hint="eastAsia"/>
                <w:sz w:val="24"/>
                <w:u w:val="single"/>
                <w:lang w:eastAsia="zh-CN"/>
              </w:rPr>
              <w:t>）。</w:t>
            </w:r>
          </w:p>
          <w:p>
            <w:pPr>
              <w:spacing w:line="360" w:lineRule="auto"/>
              <w:ind w:firstLine="480" w:firstLineChars="200"/>
              <w:rPr>
                <w:rFonts w:hint="eastAsia"/>
                <w:sz w:val="24"/>
                <w:lang w:eastAsia="zh-CN"/>
              </w:rPr>
            </w:pPr>
            <w:r>
              <w:rPr>
                <w:rFonts w:hint="eastAsia"/>
                <w:sz w:val="24"/>
                <w:u w:val="single"/>
                <w:lang w:eastAsia="zh-CN"/>
              </w:rPr>
              <w:t>根据前文初期雨水计算，初期雨水</w:t>
            </w:r>
            <w:r>
              <w:rPr>
                <w:rFonts w:hint="eastAsia"/>
                <w:sz w:val="24"/>
                <w:u w:val="single"/>
                <w:lang w:val="en-US" w:eastAsia="zh-CN"/>
              </w:rPr>
              <w:t>231.15m³/次，为此雨水收集池容积应大于231.15m³。雨水收集池</w:t>
            </w:r>
            <w:r>
              <w:rPr>
                <w:rFonts w:hint="eastAsia"/>
                <w:sz w:val="24"/>
                <w:u w:val="single"/>
                <w:lang w:eastAsia="zh-CN"/>
              </w:rPr>
              <w:t>收集后用于场内洒水抑尘。因此雨水处理措施可行</w:t>
            </w:r>
            <w:r>
              <w:rPr>
                <w:rFonts w:hint="eastAsia"/>
                <w:sz w:val="24"/>
                <w:lang w:eastAsia="zh-CN"/>
              </w:rPr>
              <w:t>。</w:t>
            </w:r>
          </w:p>
          <w:p>
            <w:pPr>
              <w:keepNext/>
              <w:keepLines/>
              <w:wordWrap w:val="0"/>
              <w:spacing w:before="200" w:after="200"/>
              <w:outlineLvl w:val="3"/>
              <w:rPr>
                <w:b/>
                <w:sz w:val="24"/>
              </w:rPr>
            </w:pPr>
            <w:r>
              <w:rPr>
                <w:rFonts w:hint="eastAsia"/>
                <w:b/>
                <w:sz w:val="24"/>
              </w:rPr>
              <w:t>4.2.2.3污染源排放量核算</w:t>
            </w:r>
          </w:p>
          <w:p>
            <w:pPr>
              <w:wordWrap w:val="0"/>
              <w:spacing w:line="360" w:lineRule="auto"/>
              <w:ind w:firstLine="480" w:firstLineChars="200"/>
              <w:rPr>
                <w:rFonts w:hint="eastAsia"/>
                <w:sz w:val="24"/>
              </w:rPr>
            </w:pPr>
            <w:r>
              <w:rPr>
                <w:rFonts w:hint="eastAsia"/>
                <w:sz w:val="24"/>
              </w:rPr>
              <w:t>项目废水污染物排放信息如下。</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表4.2-14：</w:t>
            </w:r>
            <w:r>
              <w:rPr>
                <w:rFonts w:cs="宋体"/>
                <w:b/>
                <w:szCs w:val="21"/>
              </w:rPr>
              <w:t>废水类别、污染物及污染治理设施信息表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688"/>
              <w:gridCol w:w="835"/>
              <w:gridCol w:w="691"/>
              <w:gridCol w:w="1073"/>
              <w:gridCol w:w="745"/>
              <w:gridCol w:w="897"/>
              <w:gridCol w:w="891"/>
              <w:gridCol w:w="809"/>
              <w:gridCol w:w="749"/>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vMerge w:val="restart"/>
                  <w:noWrap w:val="0"/>
                  <w:vAlign w:val="center"/>
                </w:tcPr>
                <w:p>
                  <w:pPr>
                    <w:wordWrap w:val="0"/>
                    <w:jc w:val="center"/>
                  </w:pPr>
                  <w:r>
                    <w:t>序号</w:t>
                  </w:r>
                </w:p>
              </w:tc>
              <w:tc>
                <w:tcPr>
                  <w:tcW w:w="688" w:type="dxa"/>
                  <w:vMerge w:val="restart"/>
                  <w:noWrap w:val="0"/>
                  <w:vAlign w:val="center"/>
                </w:tcPr>
                <w:p>
                  <w:pPr>
                    <w:wordWrap w:val="0"/>
                    <w:jc w:val="center"/>
                  </w:pPr>
                  <w:r>
                    <w:t>废水类别</w:t>
                  </w:r>
                </w:p>
              </w:tc>
              <w:tc>
                <w:tcPr>
                  <w:tcW w:w="835" w:type="dxa"/>
                  <w:vMerge w:val="restart"/>
                  <w:noWrap w:val="0"/>
                  <w:vAlign w:val="center"/>
                </w:tcPr>
                <w:p>
                  <w:pPr>
                    <w:wordWrap w:val="0"/>
                    <w:jc w:val="center"/>
                  </w:pPr>
                  <w:r>
                    <w:t>污染物种类</w:t>
                  </w:r>
                </w:p>
              </w:tc>
              <w:tc>
                <w:tcPr>
                  <w:tcW w:w="691" w:type="dxa"/>
                  <w:vMerge w:val="restart"/>
                  <w:noWrap w:val="0"/>
                  <w:vAlign w:val="center"/>
                </w:tcPr>
                <w:p>
                  <w:pPr>
                    <w:wordWrap w:val="0"/>
                    <w:jc w:val="center"/>
                  </w:pPr>
                  <w:r>
                    <w:t>排放去向</w:t>
                  </w:r>
                </w:p>
              </w:tc>
              <w:tc>
                <w:tcPr>
                  <w:tcW w:w="1073" w:type="dxa"/>
                  <w:vMerge w:val="restart"/>
                  <w:noWrap w:val="0"/>
                  <w:vAlign w:val="center"/>
                </w:tcPr>
                <w:p>
                  <w:pPr>
                    <w:wordWrap w:val="0"/>
                    <w:jc w:val="center"/>
                  </w:pPr>
                  <w:r>
                    <w:t>排放规律</w:t>
                  </w:r>
                </w:p>
              </w:tc>
              <w:tc>
                <w:tcPr>
                  <w:tcW w:w="2533" w:type="dxa"/>
                  <w:gridSpan w:val="3"/>
                  <w:noWrap w:val="0"/>
                  <w:vAlign w:val="center"/>
                </w:tcPr>
                <w:p>
                  <w:pPr>
                    <w:wordWrap w:val="0"/>
                    <w:jc w:val="center"/>
                  </w:pPr>
                  <w:r>
                    <w:t>污染治理设施</w:t>
                  </w:r>
                </w:p>
              </w:tc>
              <w:tc>
                <w:tcPr>
                  <w:tcW w:w="809" w:type="dxa"/>
                  <w:vMerge w:val="restart"/>
                  <w:noWrap w:val="0"/>
                  <w:vAlign w:val="center"/>
                </w:tcPr>
                <w:p>
                  <w:pPr>
                    <w:wordWrap w:val="0"/>
                    <w:jc w:val="center"/>
                  </w:pPr>
                  <w:r>
                    <w:t>排放口编号</w:t>
                  </w:r>
                </w:p>
              </w:tc>
              <w:tc>
                <w:tcPr>
                  <w:tcW w:w="749" w:type="dxa"/>
                  <w:vMerge w:val="restart"/>
                  <w:noWrap w:val="0"/>
                  <w:vAlign w:val="center"/>
                </w:tcPr>
                <w:p>
                  <w:pPr>
                    <w:wordWrap w:val="0"/>
                    <w:jc w:val="center"/>
                  </w:pPr>
                  <w:r>
                    <w:t>排放口设置是否符合要求</w:t>
                  </w:r>
                </w:p>
              </w:tc>
              <w:tc>
                <w:tcPr>
                  <w:tcW w:w="775" w:type="dxa"/>
                  <w:vMerge w:val="restart"/>
                  <w:noWrap w:val="0"/>
                  <w:vAlign w:val="center"/>
                </w:tcPr>
                <w:p>
                  <w:pPr>
                    <w:wordWrap w:val="0"/>
                    <w:jc w:val="center"/>
                  </w:pPr>
                  <w: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vMerge w:val="continue"/>
                  <w:noWrap w:val="0"/>
                  <w:vAlign w:val="center"/>
                </w:tcPr>
                <w:p>
                  <w:pPr>
                    <w:wordWrap w:val="0"/>
                    <w:jc w:val="center"/>
                  </w:pPr>
                </w:p>
              </w:tc>
              <w:tc>
                <w:tcPr>
                  <w:tcW w:w="688" w:type="dxa"/>
                  <w:vMerge w:val="continue"/>
                  <w:noWrap w:val="0"/>
                  <w:vAlign w:val="center"/>
                </w:tcPr>
                <w:p>
                  <w:pPr>
                    <w:wordWrap w:val="0"/>
                    <w:jc w:val="center"/>
                  </w:pPr>
                </w:p>
              </w:tc>
              <w:tc>
                <w:tcPr>
                  <w:tcW w:w="835" w:type="dxa"/>
                  <w:vMerge w:val="continue"/>
                  <w:noWrap w:val="0"/>
                  <w:vAlign w:val="center"/>
                </w:tcPr>
                <w:p>
                  <w:pPr>
                    <w:wordWrap w:val="0"/>
                    <w:jc w:val="center"/>
                  </w:pPr>
                </w:p>
              </w:tc>
              <w:tc>
                <w:tcPr>
                  <w:tcW w:w="691" w:type="dxa"/>
                  <w:vMerge w:val="continue"/>
                  <w:noWrap w:val="0"/>
                  <w:vAlign w:val="center"/>
                </w:tcPr>
                <w:p>
                  <w:pPr>
                    <w:wordWrap w:val="0"/>
                    <w:jc w:val="center"/>
                  </w:pPr>
                </w:p>
              </w:tc>
              <w:tc>
                <w:tcPr>
                  <w:tcW w:w="1073" w:type="dxa"/>
                  <w:vMerge w:val="continue"/>
                  <w:noWrap w:val="0"/>
                  <w:vAlign w:val="center"/>
                </w:tcPr>
                <w:p>
                  <w:pPr>
                    <w:wordWrap w:val="0"/>
                    <w:jc w:val="center"/>
                  </w:pPr>
                </w:p>
              </w:tc>
              <w:tc>
                <w:tcPr>
                  <w:tcW w:w="745" w:type="dxa"/>
                  <w:noWrap w:val="0"/>
                  <w:vAlign w:val="center"/>
                </w:tcPr>
                <w:p>
                  <w:pPr>
                    <w:wordWrap w:val="0"/>
                    <w:jc w:val="center"/>
                  </w:pPr>
                  <w:r>
                    <w:t>污染治理设施编号</w:t>
                  </w:r>
                </w:p>
              </w:tc>
              <w:tc>
                <w:tcPr>
                  <w:tcW w:w="897" w:type="dxa"/>
                  <w:noWrap w:val="0"/>
                  <w:vAlign w:val="center"/>
                </w:tcPr>
                <w:p>
                  <w:pPr>
                    <w:wordWrap w:val="0"/>
                    <w:jc w:val="center"/>
                  </w:pPr>
                  <w:r>
                    <w:t>污染治理设施名称</w:t>
                  </w:r>
                </w:p>
              </w:tc>
              <w:tc>
                <w:tcPr>
                  <w:tcW w:w="891" w:type="dxa"/>
                  <w:noWrap w:val="0"/>
                  <w:vAlign w:val="center"/>
                </w:tcPr>
                <w:p>
                  <w:pPr>
                    <w:wordWrap w:val="0"/>
                    <w:jc w:val="center"/>
                  </w:pPr>
                  <w:r>
                    <w:t>污染治理设施工艺</w:t>
                  </w:r>
                </w:p>
              </w:tc>
              <w:tc>
                <w:tcPr>
                  <w:tcW w:w="809" w:type="dxa"/>
                  <w:vMerge w:val="continue"/>
                  <w:noWrap w:val="0"/>
                  <w:vAlign w:val="center"/>
                </w:tcPr>
                <w:p>
                  <w:pPr>
                    <w:wordWrap w:val="0"/>
                    <w:jc w:val="center"/>
                  </w:pPr>
                </w:p>
              </w:tc>
              <w:tc>
                <w:tcPr>
                  <w:tcW w:w="749" w:type="dxa"/>
                  <w:vMerge w:val="continue"/>
                  <w:noWrap w:val="0"/>
                  <w:vAlign w:val="center"/>
                </w:tcPr>
                <w:p>
                  <w:pPr>
                    <w:wordWrap w:val="0"/>
                    <w:jc w:val="center"/>
                  </w:pPr>
                </w:p>
              </w:tc>
              <w:tc>
                <w:tcPr>
                  <w:tcW w:w="775" w:type="dxa"/>
                  <w:vMerge w:val="continue"/>
                  <w:noWrap w:val="0"/>
                  <w:vAlign w:val="center"/>
                </w:tcPr>
                <w:p>
                  <w:pPr>
                    <w:wordWrap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noWrap w:val="0"/>
                  <w:vAlign w:val="center"/>
                </w:tcPr>
                <w:p>
                  <w:pPr>
                    <w:wordWrap w:val="0"/>
                    <w:jc w:val="center"/>
                  </w:pPr>
                  <w:r>
                    <w:t>1</w:t>
                  </w:r>
                </w:p>
              </w:tc>
              <w:tc>
                <w:tcPr>
                  <w:tcW w:w="688" w:type="dxa"/>
                  <w:noWrap w:val="0"/>
                  <w:vAlign w:val="center"/>
                </w:tcPr>
                <w:p>
                  <w:pPr>
                    <w:wordWrap w:val="0"/>
                    <w:jc w:val="center"/>
                    <w:rPr>
                      <w:rFonts w:hint="eastAsia"/>
                    </w:rPr>
                  </w:pPr>
                  <w:r>
                    <w:rPr>
                      <w:rFonts w:hint="eastAsia"/>
                    </w:rPr>
                    <w:t>生活污水</w:t>
                  </w:r>
                </w:p>
              </w:tc>
              <w:tc>
                <w:tcPr>
                  <w:tcW w:w="835" w:type="dxa"/>
                  <w:noWrap w:val="0"/>
                  <w:vAlign w:val="center"/>
                </w:tcPr>
                <w:p>
                  <w:pPr>
                    <w:wordWrap w:val="0"/>
                    <w:jc w:val="center"/>
                  </w:pPr>
                  <w:r>
                    <w:t>COD、BOD</w:t>
                  </w:r>
                  <w:r>
                    <w:rPr>
                      <w:vertAlign w:val="subscript"/>
                    </w:rPr>
                    <w:t>5</w:t>
                  </w:r>
                  <w:r>
                    <w:t>、SS、氨氮</w:t>
                  </w:r>
                </w:p>
              </w:tc>
              <w:tc>
                <w:tcPr>
                  <w:tcW w:w="691" w:type="dxa"/>
                  <w:noWrap w:val="0"/>
                  <w:vAlign w:val="center"/>
                </w:tcPr>
                <w:p>
                  <w:pPr>
                    <w:wordWrap w:val="0"/>
                    <w:jc w:val="center"/>
                  </w:pPr>
                  <w:r>
                    <w:rPr>
                      <w:rFonts w:hint="eastAsia"/>
                    </w:rPr>
                    <w:t>周边农田农肥</w:t>
                  </w:r>
                </w:p>
              </w:tc>
              <w:tc>
                <w:tcPr>
                  <w:tcW w:w="1073" w:type="dxa"/>
                  <w:noWrap w:val="0"/>
                  <w:vAlign w:val="center"/>
                </w:tcPr>
                <w:p>
                  <w:pPr>
                    <w:wordWrap w:val="0"/>
                    <w:jc w:val="center"/>
                    <w:rPr>
                      <w:rFonts w:hint="eastAsia"/>
                    </w:rPr>
                  </w:pPr>
                  <w:r>
                    <w:rPr>
                      <w:rFonts w:hint="eastAsia"/>
                    </w:rPr>
                    <w:t>间断排放，排放期间流量不稳定，但有周期性规律</w:t>
                  </w:r>
                </w:p>
              </w:tc>
              <w:tc>
                <w:tcPr>
                  <w:tcW w:w="745" w:type="dxa"/>
                  <w:noWrap w:val="0"/>
                  <w:vAlign w:val="center"/>
                </w:tcPr>
                <w:p>
                  <w:pPr>
                    <w:wordWrap w:val="0"/>
                    <w:jc w:val="center"/>
                  </w:pPr>
                  <w:r>
                    <w:rPr>
                      <w:rFonts w:hint="eastAsia"/>
                    </w:rPr>
                    <w:t>TW001</w:t>
                  </w:r>
                </w:p>
              </w:tc>
              <w:tc>
                <w:tcPr>
                  <w:tcW w:w="897" w:type="dxa"/>
                  <w:noWrap w:val="0"/>
                  <w:vAlign w:val="center"/>
                </w:tcPr>
                <w:p>
                  <w:pPr>
                    <w:wordWrap w:val="0"/>
                    <w:jc w:val="center"/>
                  </w:pPr>
                  <w:r>
                    <w:t>化粪池</w:t>
                  </w:r>
                </w:p>
              </w:tc>
              <w:tc>
                <w:tcPr>
                  <w:tcW w:w="891" w:type="dxa"/>
                  <w:noWrap w:val="0"/>
                  <w:vAlign w:val="center"/>
                </w:tcPr>
                <w:p>
                  <w:pPr>
                    <w:wordWrap w:val="0"/>
                    <w:jc w:val="center"/>
                    <w:rPr>
                      <w:rFonts w:hint="eastAsia"/>
                    </w:rPr>
                  </w:pPr>
                  <w:r>
                    <w:rPr>
                      <w:rFonts w:hint="eastAsia"/>
                    </w:rPr>
                    <w:t>厌氧分解</w:t>
                  </w:r>
                </w:p>
              </w:tc>
              <w:tc>
                <w:tcPr>
                  <w:tcW w:w="809" w:type="dxa"/>
                  <w:noWrap w:val="0"/>
                  <w:vAlign w:val="center"/>
                </w:tcPr>
                <w:p>
                  <w:pPr>
                    <w:wordWrap w:val="0"/>
                    <w:jc w:val="center"/>
                  </w:pPr>
                  <w:r>
                    <w:rPr>
                      <w:rFonts w:hint="eastAsia"/>
                    </w:rPr>
                    <w:t>/</w:t>
                  </w:r>
                </w:p>
              </w:tc>
              <w:tc>
                <w:tcPr>
                  <w:tcW w:w="749" w:type="dxa"/>
                  <w:noWrap w:val="0"/>
                  <w:vAlign w:val="center"/>
                </w:tcPr>
                <w:p>
                  <w:pPr>
                    <w:wordWrap w:val="0"/>
                    <w:jc w:val="center"/>
                  </w:pPr>
                  <w:r>
                    <w:rPr>
                      <w:rFonts w:hint="eastAsia"/>
                    </w:rPr>
                    <w:t>/</w:t>
                  </w:r>
                </w:p>
              </w:tc>
              <w:tc>
                <w:tcPr>
                  <w:tcW w:w="775" w:type="dxa"/>
                  <w:noWrap w:val="0"/>
                  <w:vAlign w:val="center"/>
                </w:tcPr>
                <w:p>
                  <w:pPr>
                    <w:wordWrap w:val="0"/>
                    <w:jc w:val="center"/>
                  </w:pPr>
                  <w:r>
                    <w:rPr>
                      <w:rFonts w:hint="eastAsia"/>
                    </w:rPr>
                    <w:t>/</w:t>
                  </w:r>
                </w:p>
              </w:tc>
            </w:tr>
          </w:tbl>
          <w:p>
            <w:pPr>
              <w:keepNext/>
              <w:keepLines/>
              <w:wordWrap w:val="0"/>
              <w:spacing w:before="200" w:after="200"/>
              <w:outlineLvl w:val="3"/>
              <w:rPr>
                <w:b/>
                <w:sz w:val="24"/>
              </w:rPr>
            </w:pPr>
            <w:r>
              <w:rPr>
                <w:rFonts w:hint="eastAsia"/>
                <w:b/>
                <w:sz w:val="24"/>
              </w:rPr>
              <w:t>4.2.2.3自行监测计划</w:t>
            </w:r>
          </w:p>
          <w:p>
            <w:pPr>
              <w:wordWrap w:val="0"/>
              <w:spacing w:line="360" w:lineRule="auto"/>
              <w:ind w:firstLine="480" w:firstLineChars="200"/>
              <w:rPr>
                <w:sz w:val="24"/>
              </w:rPr>
            </w:pPr>
            <w:r>
              <w:rPr>
                <w:rFonts w:hint="eastAsia"/>
                <w:sz w:val="24"/>
              </w:rPr>
              <w:t>根据《排污许可证申请与核发技术规范总则》（HJ</w:t>
            </w:r>
            <w:r>
              <w:rPr>
                <w:sz w:val="24"/>
              </w:rPr>
              <w:t>942</w:t>
            </w:r>
            <w:r>
              <w:rPr>
                <w:rFonts w:hint="eastAsia"/>
                <w:sz w:val="24"/>
              </w:rPr>
              <w:t>-201</w:t>
            </w:r>
            <w:r>
              <w:rPr>
                <w:sz w:val="24"/>
              </w:rPr>
              <w:t>8</w:t>
            </w:r>
            <w:r>
              <w:rPr>
                <w:rFonts w:hint="eastAsia"/>
                <w:sz w:val="24"/>
              </w:rPr>
              <w:t>）、《排污单位自行监测技术指南-总则》（HJ819-2017）及《排污单位自行监测技术指南工业固体废物和危险废物治理》（HJ1250-2022）中自行监测管理要求，间接排放的生活污水不需要监测，说明去向即可。</w:t>
            </w:r>
          </w:p>
          <w:p>
            <w:pPr>
              <w:keepNext/>
              <w:keepLines/>
              <w:wordWrap w:val="0"/>
              <w:spacing w:before="192" w:beforeLines="80" w:after="192" w:afterLines="80"/>
              <w:outlineLvl w:val="2"/>
              <w:rPr>
                <w:b/>
                <w:bCs/>
                <w:sz w:val="28"/>
                <w:szCs w:val="32"/>
              </w:rPr>
            </w:pPr>
            <w:bookmarkStart w:id="114" w:name="_Toc111721079"/>
            <w:bookmarkStart w:id="115" w:name="_Toc109630693"/>
            <w:bookmarkStart w:id="116" w:name="_Toc110446497"/>
            <w:bookmarkStart w:id="117" w:name="_Toc109294489"/>
            <w:bookmarkStart w:id="118" w:name="_Toc109734394"/>
            <w:r>
              <w:rPr>
                <w:rFonts w:hint="eastAsia"/>
                <w:b/>
                <w:bCs/>
                <w:sz w:val="28"/>
                <w:szCs w:val="32"/>
              </w:rPr>
              <w:t>4</w:t>
            </w:r>
            <w:r>
              <w:rPr>
                <w:b/>
                <w:bCs/>
                <w:sz w:val="28"/>
                <w:szCs w:val="32"/>
              </w:rPr>
              <w:t>.2.3</w:t>
            </w:r>
            <w:bookmarkEnd w:id="114"/>
            <w:bookmarkEnd w:id="115"/>
            <w:bookmarkEnd w:id="116"/>
            <w:bookmarkEnd w:id="117"/>
            <w:bookmarkEnd w:id="118"/>
            <w:r>
              <w:rPr>
                <w:rFonts w:hint="eastAsia"/>
                <w:b/>
                <w:bCs/>
                <w:sz w:val="28"/>
                <w:szCs w:val="32"/>
              </w:rPr>
              <w:t>噪声</w:t>
            </w:r>
          </w:p>
          <w:p>
            <w:pPr>
              <w:keepNext/>
              <w:keepLines/>
              <w:wordWrap w:val="0"/>
              <w:spacing w:before="200" w:after="200"/>
              <w:outlineLvl w:val="3"/>
              <w:rPr>
                <w:b/>
                <w:sz w:val="24"/>
              </w:rPr>
            </w:pPr>
            <w:r>
              <w:rPr>
                <w:rFonts w:hint="eastAsia"/>
                <w:b/>
                <w:sz w:val="24"/>
              </w:rPr>
              <w:t>4.2.3.1主要噪声源</w:t>
            </w:r>
          </w:p>
          <w:p>
            <w:pPr>
              <w:wordWrap w:val="0"/>
              <w:spacing w:line="360" w:lineRule="auto"/>
              <w:ind w:firstLine="480" w:firstLineChars="200"/>
              <w:rPr>
                <w:rFonts w:hint="eastAsia"/>
                <w:sz w:val="24"/>
              </w:rPr>
            </w:pPr>
            <w:r>
              <w:rPr>
                <w:rFonts w:hint="eastAsia"/>
                <w:sz w:val="24"/>
              </w:rPr>
              <w:t>项目营运期噪声污染源主要为喂料机、破碎机、滚筒筛、筛分机等设备运行噪声，布置在生产厂房内；运输车辆交通噪声，具体设备噪声声源强见下表。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表4.2-15：项目噪声源强一览表单位：dB（A）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5"/>
              <w:gridCol w:w="1090"/>
              <w:gridCol w:w="681"/>
              <w:gridCol w:w="1216"/>
              <w:gridCol w:w="1359"/>
              <w:gridCol w:w="891"/>
              <w:gridCol w:w="705"/>
              <w:gridCol w:w="1134"/>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szCs w:val="20"/>
                    </w:rPr>
                  </w:pPr>
                  <w:r>
                    <w:rPr>
                      <w:rFonts w:hint="eastAsia"/>
                      <w:szCs w:val="20"/>
                    </w:rPr>
                    <w:t>序号</w:t>
                  </w:r>
                </w:p>
              </w:tc>
              <w:tc>
                <w:tcPr>
                  <w:tcW w:w="632" w:type="pct"/>
                  <w:noWrap w:val="0"/>
                  <w:vAlign w:val="center"/>
                </w:tcPr>
                <w:p>
                  <w:pPr>
                    <w:wordWrap w:val="0"/>
                    <w:adjustRightInd w:val="0"/>
                    <w:jc w:val="center"/>
                    <w:textAlignment w:val="baseline"/>
                    <w:rPr>
                      <w:szCs w:val="20"/>
                    </w:rPr>
                  </w:pPr>
                  <w:r>
                    <w:rPr>
                      <w:szCs w:val="20"/>
                    </w:rPr>
                    <w:t>噪声源</w:t>
                  </w:r>
                </w:p>
              </w:tc>
              <w:tc>
                <w:tcPr>
                  <w:tcW w:w="395" w:type="pct"/>
                  <w:noWrap w:val="0"/>
                  <w:vAlign w:val="center"/>
                </w:tcPr>
                <w:p>
                  <w:pPr>
                    <w:wordWrap w:val="0"/>
                    <w:adjustRightInd w:val="0"/>
                    <w:jc w:val="center"/>
                    <w:textAlignment w:val="baseline"/>
                    <w:rPr>
                      <w:rFonts w:hint="eastAsia"/>
                      <w:szCs w:val="20"/>
                    </w:rPr>
                  </w:pPr>
                  <w:r>
                    <w:rPr>
                      <w:rFonts w:hint="eastAsia"/>
                      <w:szCs w:val="20"/>
                    </w:rPr>
                    <w:t>数量</w:t>
                  </w:r>
                </w:p>
              </w:tc>
              <w:tc>
                <w:tcPr>
                  <w:tcW w:w="705" w:type="pct"/>
                  <w:noWrap w:val="0"/>
                  <w:vAlign w:val="center"/>
                </w:tcPr>
                <w:p>
                  <w:pPr>
                    <w:wordWrap w:val="0"/>
                    <w:adjustRightInd w:val="0"/>
                    <w:jc w:val="center"/>
                    <w:textAlignment w:val="baseline"/>
                    <w:rPr>
                      <w:szCs w:val="20"/>
                    </w:rPr>
                  </w:pPr>
                  <w:r>
                    <w:rPr>
                      <w:rFonts w:hint="eastAsia"/>
                      <w:szCs w:val="20"/>
                    </w:rPr>
                    <w:t>声压级（距离设备1m）</w:t>
                  </w:r>
                </w:p>
              </w:tc>
              <w:tc>
                <w:tcPr>
                  <w:tcW w:w="788" w:type="pct"/>
                  <w:noWrap w:val="0"/>
                  <w:vAlign w:val="center"/>
                </w:tcPr>
                <w:p>
                  <w:pPr>
                    <w:wordWrap w:val="0"/>
                    <w:adjustRightInd w:val="0"/>
                    <w:jc w:val="center"/>
                    <w:textAlignment w:val="baseline"/>
                    <w:rPr>
                      <w:szCs w:val="20"/>
                    </w:rPr>
                  </w:pPr>
                  <w:r>
                    <w:rPr>
                      <w:rFonts w:hint="eastAsia"/>
                      <w:szCs w:val="20"/>
                    </w:rPr>
                    <w:t>声源控制</w:t>
                  </w:r>
                  <w:r>
                    <w:rPr>
                      <w:szCs w:val="20"/>
                    </w:rPr>
                    <w:t>措施</w:t>
                  </w:r>
                </w:p>
              </w:tc>
              <w:tc>
                <w:tcPr>
                  <w:tcW w:w="517" w:type="pct"/>
                  <w:noWrap w:val="0"/>
                  <w:vAlign w:val="center"/>
                </w:tcPr>
                <w:p>
                  <w:pPr>
                    <w:wordWrap w:val="0"/>
                    <w:adjustRightInd w:val="0"/>
                    <w:jc w:val="center"/>
                    <w:textAlignment w:val="baseline"/>
                    <w:rPr>
                      <w:rFonts w:hint="eastAsia"/>
                      <w:szCs w:val="20"/>
                    </w:rPr>
                  </w:pPr>
                  <w:r>
                    <w:rPr>
                      <w:rFonts w:hint="eastAsia"/>
                      <w:szCs w:val="20"/>
                    </w:rPr>
                    <w:t>距室内边界距离/m</w:t>
                  </w:r>
                </w:p>
              </w:tc>
              <w:tc>
                <w:tcPr>
                  <w:tcW w:w="409" w:type="pct"/>
                  <w:noWrap w:val="0"/>
                  <w:vAlign w:val="center"/>
                </w:tcPr>
                <w:p>
                  <w:pPr>
                    <w:pStyle w:val="78"/>
                    <w:rPr>
                      <w:rFonts w:hint="eastAsia"/>
                    </w:rPr>
                  </w:pPr>
                  <w:r>
                    <w:rPr>
                      <w:rFonts w:hint="eastAsia"/>
                    </w:rPr>
                    <w:t>降噪效果</w:t>
                  </w:r>
                </w:p>
              </w:tc>
              <w:tc>
                <w:tcPr>
                  <w:tcW w:w="658" w:type="pct"/>
                  <w:noWrap w:val="0"/>
                  <w:vAlign w:val="center"/>
                </w:tcPr>
                <w:p>
                  <w:pPr>
                    <w:wordWrap w:val="0"/>
                    <w:adjustRightInd w:val="0"/>
                    <w:jc w:val="center"/>
                    <w:textAlignment w:val="baseline"/>
                    <w:rPr>
                      <w:szCs w:val="20"/>
                    </w:rPr>
                  </w:pPr>
                  <w:r>
                    <w:rPr>
                      <w:rFonts w:hint="eastAsia"/>
                      <w:szCs w:val="20"/>
                    </w:rPr>
                    <w:t>治理后声压级</w:t>
                  </w:r>
                </w:p>
              </w:tc>
              <w:tc>
                <w:tcPr>
                  <w:tcW w:w="553" w:type="pct"/>
                  <w:noWrap w:val="0"/>
                  <w:vAlign w:val="center"/>
                </w:tcPr>
                <w:p>
                  <w:pPr>
                    <w:wordWrap w:val="0"/>
                    <w:adjustRightInd w:val="0"/>
                    <w:jc w:val="center"/>
                    <w:textAlignment w:val="baseline"/>
                    <w:rPr>
                      <w:rFonts w:hint="eastAsia"/>
                      <w:szCs w:val="20"/>
                    </w:rPr>
                  </w:pPr>
                  <w:r>
                    <w:rPr>
                      <w:rFonts w:hint="eastAsia"/>
                      <w:szCs w:val="20"/>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rFonts w:hint="eastAsia"/>
                      <w:szCs w:val="20"/>
                    </w:rPr>
                  </w:pPr>
                  <w:r>
                    <w:rPr>
                      <w:rFonts w:hint="eastAsia"/>
                      <w:szCs w:val="20"/>
                    </w:rPr>
                    <w:t>1</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喂料机</w:t>
                  </w:r>
                </w:p>
              </w:tc>
              <w:tc>
                <w:tcPr>
                  <w:tcW w:w="395" w:type="pct"/>
                  <w:noWrap w:val="0"/>
                  <w:vAlign w:val="center"/>
                </w:tcPr>
                <w:p>
                  <w:pPr>
                    <w:tabs>
                      <w:tab w:val="left" w:pos="5925"/>
                    </w:tabs>
                    <w:adjustRightInd w:val="0"/>
                    <w:snapToGrid w:val="0"/>
                    <w:jc w:val="center"/>
                    <w:rPr>
                      <w:szCs w:val="21"/>
                    </w:rPr>
                  </w:pPr>
                  <w:r>
                    <w:rPr>
                      <w:rFonts w:hint="eastAsia"/>
                      <w:szCs w:val="21"/>
                    </w:rPr>
                    <w:t>1</w:t>
                  </w:r>
                </w:p>
              </w:tc>
              <w:tc>
                <w:tcPr>
                  <w:tcW w:w="705" w:type="pct"/>
                  <w:noWrap w:val="0"/>
                  <w:vAlign w:val="center"/>
                </w:tcPr>
                <w:p>
                  <w:pPr>
                    <w:tabs>
                      <w:tab w:val="left" w:pos="5925"/>
                    </w:tabs>
                    <w:adjustRightInd w:val="0"/>
                    <w:snapToGrid w:val="0"/>
                    <w:jc w:val="center"/>
                    <w:rPr>
                      <w:rFonts w:hint="eastAsia"/>
                      <w:szCs w:val="21"/>
                    </w:rPr>
                  </w:pPr>
                  <w:r>
                    <w:rPr>
                      <w:szCs w:val="21"/>
                    </w:rPr>
                    <w:t>80</w:t>
                  </w:r>
                  <w:r>
                    <w:rPr>
                      <w:rFonts w:hint="eastAsia"/>
                      <w:szCs w:val="21"/>
                    </w:rPr>
                    <w:t>～</w:t>
                  </w:r>
                  <w:r>
                    <w:rPr>
                      <w:szCs w:val="21"/>
                    </w:rPr>
                    <w:t>95</w:t>
                  </w:r>
                </w:p>
              </w:tc>
              <w:tc>
                <w:tcPr>
                  <w:tcW w:w="788" w:type="pct"/>
                  <w:vMerge w:val="restart"/>
                  <w:noWrap w:val="0"/>
                  <w:vAlign w:val="center"/>
                </w:tcPr>
                <w:p>
                  <w:pPr>
                    <w:wordWrap w:val="0"/>
                    <w:adjustRightInd w:val="0"/>
                    <w:jc w:val="center"/>
                    <w:textAlignment w:val="baseline"/>
                    <w:rPr>
                      <w:szCs w:val="20"/>
                    </w:rPr>
                  </w:pPr>
                  <w:r>
                    <w:rPr>
                      <w:rFonts w:hint="eastAsia"/>
                      <w:szCs w:val="20"/>
                    </w:rPr>
                    <w:t>低噪设备、设备布置在密闭车间内，风机安装消音器，并进行基础减振降噪</w:t>
                  </w:r>
                </w:p>
              </w:tc>
              <w:tc>
                <w:tcPr>
                  <w:tcW w:w="517" w:type="pct"/>
                  <w:noWrap w:val="0"/>
                  <w:vAlign w:val="center"/>
                </w:tcPr>
                <w:p>
                  <w:pPr>
                    <w:wordWrap w:val="0"/>
                    <w:adjustRightInd w:val="0"/>
                    <w:jc w:val="center"/>
                    <w:textAlignment w:val="baseline"/>
                    <w:rPr>
                      <w:rFonts w:hint="default" w:eastAsia="宋体"/>
                      <w:szCs w:val="20"/>
                      <w:lang w:val="en-US" w:eastAsia="zh-CN"/>
                    </w:rPr>
                  </w:pPr>
                  <w:r>
                    <w:rPr>
                      <w:rFonts w:hint="eastAsia"/>
                      <w:szCs w:val="20"/>
                      <w:lang w:val="en-US" w:eastAsia="zh-CN"/>
                    </w:rPr>
                    <w:t>10</w:t>
                  </w:r>
                </w:p>
              </w:tc>
              <w:tc>
                <w:tcPr>
                  <w:tcW w:w="409" w:type="pct"/>
                  <w:noWrap w:val="0"/>
                  <w:vAlign w:val="center"/>
                </w:tcPr>
                <w:p>
                  <w:pPr>
                    <w:pStyle w:val="78"/>
                    <w:rPr>
                      <w:rFonts w:hint="eastAsia"/>
                    </w:rPr>
                  </w:pPr>
                  <w:r>
                    <w:rPr>
                      <w:rFonts w:hint="eastAsia"/>
                    </w:rPr>
                    <w:t>20</w:t>
                  </w:r>
                </w:p>
              </w:tc>
              <w:tc>
                <w:tcPr>
                  <w:tcW w:w="658" w:type="pct"/>
                  <w:noWrap w:val="0"/>
                  <w:vAlign w:val="center"/>
                </w:tcPr>
                <w:p>
                  <w:pPr>
                    <w:pStyle w:val="78"/>
                  </w:pPr>
                  <w:r>
                    <w:rPr>
                      <w:rFonts w:hint="eastAsia"/>
                    </w:rPr>
                    <w:t>60~75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rFonts w:hint="eastAsia"/>
                      <w:szCs w:val="20"/>
                    </w:rPr>
                  </w:pPr>
                  <w:r>
                    <w:rPr>
                      <w:rFonts w:hint="eastAsia"/>
                      <w:szCs w:val="20"/>
                    </w:rPr>
                    <w:t>2</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振动筛</w:t>
                  </w:r>
                </w:p>
              </w:tc>
              <w:tc>
                <w:tcPr>
                  <w:tcW w:w="395" w:type="pct"/>
                  <w:noWrap w:val="0"/>
                  <w:vAlign w:val="center"/>
                </w:tcPr>
                <w:p>
                  <w:pPr>
                    <w:tabs>
                      <w:tab w:val="left" w:pos="5925"/>
                    </w:tabs>
                    <w:adjustRightInd w:val="0"/>
                    <w:snapToGrid w:val="0"/>
                    <w:jc w:val="center"/>
                    <w:rPr>
                      <w:szCs w:val="21"/>
                    </w:rPr>
                  </w:pPr>
                  <w:r>
                    <w:rPr>
                      <w:rFonts w:hint="eastAsia"/>
                      <w:szCs w:val="21"/>
                    </w:rPr>
                    <w:t>1</w:t>
                  </w:r>
                </w:p>
              </w:tc>
              <w:tc>
                <w:tcPr>
                  <w:tcW w:w="705" w:type="pct"/>
                  <w:noWrap w:val="0"/>
                  <w:vAlign w:val="center"/>
                </w:tcPr>
                <w:p>
                  <w:pPr>
                    <w:tabs>
                      <w:tab w:val="left" w:pos="5925"/>
                    </w:tabs>
                    <w:adjustRightInd w:val="0"/>
                    <w:snapToGrid w:val="0"/>
                    <w:jc w:val="center"/>
                    <w:rPr>
                      <w:rFonts w:hint="eastAsia"/>
                      <w:szCs w:val="21"/>
                    </w:rPr>
                  </w:pPr>
                  <w:r>
                    <w:rPr>
                      <w:szCs w:val="21"/>
                    </w:rPr>
                    <w:t>80</w:t>
                  </w:r>
                  <w:r>
                    <w:rPr>
                      <w:rFonts w:hint="eastAsia"/>
                      <w:szCs w:val="21"/>
                    </w:rPr>
                    <w:t>～</w:t>
                  </w:r>
                  <w:r>
                    <w:rPr>
                      <w:szCs w:val="21"/>
                    </w:rPr>
                    <w:t>95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rFonts w:hint="default" w:eastAsia="宋体"/>
                      <w:szCs w:val="20"/>
                      <w:lang w:val="en-US" w:eastAsia="zh-CN"/>
                    </w:rPr>
                  </w:pPr>
                  <w:r>
                    <w:rPr>
                      <w:rFonts w:hint="eastAsia"/>
                      <w:szCs w:val="20"/>
                      <w:lang w:val="en-US" w:eastAsia="zh-CN"/>
                    </w:rPr>
                    <w:t>15</w:t>
                  </w:r>
                </w:p>
              </w:tc>
              <w:tc>
                <w:tcPr>
                  <w:tcW w:w="409" w:type="pct"/>
                  <w:noWrap w:val="0"/>
                  <w:vAlign w:val="center"/>
                </w:tcPr>
                <w:p>
                  <w:pPr>
                    <w:pStyle w:val="78"/>
                    <w:rPr>
                      <w:rFonts w:hint="eastAsia"/>
                    </w:rPr>
                  </w:pPr>
                  <w:r>
                    <w:rPr>
                      <w:rFonts w:hint="eastAsia"/>
                    </w:rPr>
                    <w:t>20</w:t>
                  </w:r>
                </w:p>
              </w:tc>
              <w:tc>
                <w:tcPr>
                  <w:tcW w:w="658" w:type="pct"/>
                  <w:noWrap w:val="0"/>
                  <w:vAlign w:val="center"/>
                </w:tcPr>
                <w:p>
                  <w:pPr>
                    <w:pStyle w:val="78"/>
                  </w:pPr>
                  <w:r>
                    <w:rPr>
                      <w:rFonts w:hint="eastAsia"/>
                    </w:rPr>
                    <w:t>60~75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szCs w:val="20"/>
                    </w:rPr>
                  </w:pPr>
                  <w:r>
                    <w:rPr>
                      <w:rFonts w:hint="eastAsia"/>
                      <w:szCs w:val="20"/>
                    </w:rPr>
                    <w:t>3</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破碎机</w:t>
                  </w:r>
                </w:p>
              </w:tc>
              <w:tc>
                <w:tcPr>
                  <w:tcW w:w="395" w:type="pct"/>
                  <w:noWrap w:val="0"/>
                  <w:vAlign w:val="center"/>
                </w:tcPr>
                <w:p>
                  <w:pPr>
                    <w:tabs>
                      <w:tab w:val="left" w:pos="5925"/>
                    </w:tabs>
                    <w:adjustRightInd w:val="0"/>
                    <w:snapToGrid w:val="0"/>
                    <w:jc w:val="center"/>
                    <w:rPr>
                      <w:szCs w:val="21"/>
                    </w:rPr>
                  </w:pPr>
                  <w:r>
                    <w:rPr>
                      <w:rFonts w:hint="eastAsia"/>
                      <w:szCs w:val="21"/>
                    </w:rPr>
                    <w:t>1</w:t>
                  </w:r>
                </w:p>
              </w:tc>
              <w:tc>
                <w:tcPr>
                  <w:tcW w:w="705" w:type="pct"/>
                  <w:noWrap w:val="0"/>
                  <w:vAlign w:val="center"/>
                </w:tcPr>
                <w:p>
                  <w:pPr>
                    <w:tabs>
                      <w:tab w:val="left" w:pos="5925"/>
                    </w:tabs>
                    <w:adjustRightInd w:val="0"/>
                    <w:snapToGrid w:val="0"/>
                    <w:jc w:val="center"/>
                    <w:rPr>
                      <w:rFonts w:hint="eastAsia"/>
                      <w:szCs w:val="21"/>
                    </w:rPr>
                  </w:pPr>
                  <w:r>
                    <w:rPr>
                      <w:rFonts w:hint="eastAsia"/>
                      <w:szCs w:val="21"/>
                    </w:rPr>
                    <w:t>9</w:t>
                  </w:r>
                  <w:r>
                    <w:rPr>
                      <w:szCs w:val="21"/>
                    </w:rPr>
                    <w:t>0</w:t>
                  </w:r>
                  <w:r>
                    <w:rPr>
                      <w:rFonts w:hint="eastAsia"/>
                      <w:szCs w:val="21"/>
                    </w:rPr>
                    <w:t>～105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rFonts w:hint="default" w:eastAsia="宋体"/>
                      <w:szCs w:val="20"/>
                      <w:lang w:val="en-US" w:eastAsia="zh-CN"/>
                    </w:rPr>
                  </w:pPr>
                  <w:r>
                    <w:rPr>
                      <w:rFonts w:hint="eastAsia"/>
                      <w:szCs w:val="20"/>
                      <w:lang w:val="en-US" w:eastAsia="zh-CN"/>
                    </w:rPr>
                    <w:t>16</w:t>
                  </w:r>
                </w:p>
              </w:tc>
              <w:tc>
                <w:tcPr>
                  <w:tcW w:w="409" w:type="pct"/>
                  <w:noWrap w:val="0"/>
                  <w:vAlign w:val="center"/>
                </w:tcPr>
                <w:p>
                  <w:pPr>
                    <w:pStyle w:val="78"/>
                    <w:rPr>
                      <w:rFonts w:hint="eastAsia"/>
                    </w:rPr>
                  </w:pPr>
                  <w:r>
                    <w:rPr>
                      <w:rFonts w:hint="eastAsia"/>
                    </w:rPr>
                    <w:t>20</w:t>
                  </w:r>
                </w:p>
              </w:tc>
              <w:tc>
                <w:tcPr>
                  <w:tcW w:w="658" w:type="pct"/>
                  <w:noWrap w:val="0"/>
                  <w:vAlign w:val="center"/>
                </w:tcPr>
                <w:p>
                  <w:pPr>
                    <w:pStyle w:val="78"/>
                  </w:pPr>
                  <w:r>
                    <w:rPr>
                      <w:rFonts w:hint="eastAsia"/>
                    </w:rPr>
                    <w:t>70~85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szCs w:val="20"/>
                    </w:rPr>
                  </w:pPr>
                  <w:r>
                    <w:rPr>
                      <w:rFonts w:hint="eastAsia"/>
                      <w:szCs w:val="20"/>
                    </w:rPr>
                    <w:t>4</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滚筒筛</w:t>
                  </w:r>
                </w:p>
              </w:tc>
              <w:tc>
                <w:tcPr>
                  <w:tcW w:w="395" w:type="pct"/>
                  <w:noWrap w:val="0"/>
                  <w:vAlign w:val="center"/>
                </w:tcPr>
                <w:p>
                  <w:pPr>
                    <w:tabs>
                      <w:tab w:val="left" w:pos="5925"/>
                    </w:tabs>
                    <w:adjustRightInd w:val="0"/>
                    <w:snapToGrid w:val="0"/>
                    <w:jc w:val="center"/>
                    <w:rPr>
                      <w:szCs w:val="21"/>
                    </w:rPr>
                  </w:pPr>
                  <w:r>
                    <w:rPr>
                      <w:rFonts w:hint="eastAsia"/>
                      <w:szCs w:val="21"/>
                    </w:rPr>
                    <w:t>1</w:t>
                  </w:r>
                </w:p>
              </w:tc>
              <w:tc>
                <w:tcPr>
                  <w:tcW w:w="705" w:type="pct"/>
                  <w:noWrap w:val="0"/>
                  <w:vAlign w:val="center"/>
                </w:tcPr>
                <w:p>
                  <w:pPr>
                    <w:tabs>
                      <w:tab w:val="left" w:pos="5925"/>
                    </w:tabs>
                    <w:adjustRightInd w:val="0"/>
                    <w:snapToGrid w:val="0"/>
                    <w:jc w:val="center"/>
                    <w:rPr>
                      <w:rFonts w:hint="eastAsia"/>
                      <w:szCs w:val="21"/>
                    </w:rPr>
                  </w:pPr>
                  <w:r>
                    <w:rPr>
                      <w:rFonts w:hint="eastAsia"/>
                      <w:szCs w:val="21"/>
                    </w:rPr>
                    <w:t>9</w:t>
                  </w:r>
                  <w:r>
                    <w:rPr>
                      <w:szCs w:val="21"/>
                    </w:rPr>
                    <w:t>0</w:t>
                  </w:r>
                  <w:r>
                    <w:rPr>
                      <w:rFonts w:hint="eastAsia"/>
                      <w:szCs w:val="21"/>
                    </w:rPr>
                    <w:t>～105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szCs w:val="20"/>
                    </w:rPr>
                  </w:pPr>
                  <w:r>
                    <w:rPr>
                      <w:rFonts w:hint="eastAsia"/>
                      <w:szCs w:val="20"/>
                      <w:lang w:val="en-US" w:eastAsia="zh-CN"/>
                    </w:rPr>
                    <w:t>15</w:t>
                  </w:r>
                </w:p>
              </w:tc>
              <w:tc>
                <w:tcPr>
                  <w:tcW w:w="409" w:type="pct"/>
                  <w:noWrap w:val="0"/>
                  <w:vAlign w:val="center"/>
                </w:tcPr>
                <w:p>
                  <w:pPr>
                    <w:pStyle w:val="78"/>
                    <w:rPr>
                      <w:rFonts w:hint="eastAsia"/>
                    </w:rPr>
                  </w:pPr>
                  <w:r>
                    <w:rPr>
                      <w:rFonts w:hint="eastAsia"/>
                    </w:rPr>
                    <w:t>20</w:t>
                  </w:r>
                </w:p>
              </w:tc>
              <w:tc>
                <w:tcPr>
                  <w:tcW w:w="658" w:type="pct"/>
                  <w:noWrap w:val="0"/>
                  <w:vAlign w:val="center"/>
                </w:tcPr>
                <w:p>
                  <w:pPr>
                    <w:pStyle w:val="78"/>
                  </w:pPr>
                  <w:r>
                    <w:rPr>
                      <w:rFonts w:hint="eastAsia"/>
                    </w:rPr>
                    <w:t>70~85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szCs w:val="20"/>
                    </w:rPr>
                  </w:pPr>
                  <w:r>
                    <w:rPr>
                      <w:rFonts w:hint="eastAsia"/>
                      <w:szCs w:val="20"/>
                    </w:rPr>
                    <w:t>5</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皮带输送机</w:t>
                  </w:r>
                </w:p>
              </w:tc>
              <w:tc>
                <w:tcPr>
                  <w:tcW w:w="395" w:type="pct"/>
                  <w:noWrap w:val="0"/>
                  <w:vAlign w:val="center"/>
                </w:tcPr>
                <w:p>
                  <w:pPr>
                    <w:tabs>
                      <w:tab w:val="left" w:pos="5925"/>
                    </w:tabs>
                    <w:adjustRightInd w:val="0"/>
                    <w:snapToGrid w:val="0"/>
                    <w:jc w:val="center"/>
                    <w:rPr>
                      <w:szCs w:val="21"/>
                    </w:rPr>
                  </w:pPr>
                  <w:r>
                    <w:rPr>
                      <w:rFonts w:hint="eastAsia"/>
                      <w:szCs w:val="21"/>
                    </w:rPr>
                    <w:t>4</w:t>
                  </w:r>
                </w:p>
              </w:tc>
              <w:tc>
                <w:tcPr>
                  <w:tcW w:w="705" w:type="pct"/>
                  <w:noWrap w:val="0"/>
                  <w:vAlign w:val="center"/>
                </w:tcPr>
                <w:p>
                  <w:pPr>
                    <w:tabs>
                      <w:tab w:val="left" w:pos="5925"/>
                    </w:tabs>
                    <w:adjustRightInd w:val="0"/>
                    <w:snapToGrid w:val="0"/>
                    <w:jc w:val="center"/>
                    <w:rPr>
                      <w:rFonts w:hint="eastAsia"/>
                      <w:szCs w:val="21"/>
                    </w:rPr>
                  </w:pPr>
                  <w:r>
                    <w:rPr>
                      <w:szCs w:val="21"/>
                    </w:rPr>
                    <w:t>80</w:t>
                  </w:r>
                  <w:r>
                    <w:rPr>
                      <w:rFonts w:hint="eastAsia"/>
                      <w:szCs w:val="21"/>
                    </w:rPr>
                    <w:t>～</w:t>
                  </w:r>
                  <w:r>
                    <w:rPr>
                      <w:szCs w:val="21"/>
                    </w:rPr>
                    <w:t>95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rFonts w:hint="default" w:eastAsia="宋体"/>
                      <w:szCs w:val="20"/>
                      <w:lang w:val="en-US" w:eastAsia="zh-CN"/>
                    </w:rPr>
                  </w:pPr>
                  <w:r>
                    <w:rPr>
                      <w:rFonts w:hint="eastAsia"/>
                      <w:szCs w:val="20"/>
                      <w:lang w:val="en-US" w:eastAsia="zh-CN"/>
                    </w:rPr>
                    <w:t>16</w:t>
                  </w:r>
                </w:p>
              </w:tc>
              <w:tc>
                <w:tcPr>
                  <w:tcW w:w="409" w:type="pct"/>
                  <w:noWrap w:val="0"/>
                  <w:vAlign w:val="center"/>
                </w:tcPr>
                <w:p>
                  <w:pPr>
                    <w:pStyle w:val="78"/>
                    <w:rPr>
                      <w:rFonts w:hint="eastAsia"/>
                    </w:rPr>
                  </w:pPr>
                  <w:r>
                    <w:rPr>
                      <w:rFonts w:hint="eastAsia"/>
                    </w:rPr>
                    <w:t>20</w:t>
                  </w:r>
                </w:p>
              </w:tc>
              <w:tc>
                <w:tcPr>
                  <w:tcW w:w="658" w:type="pct"/>
                  <w:noWrap w:val="0"/>
                  <w:vAlign w:val="center"/>
                </w:tcPr>
                <w:p>
                  <w:pPr>
                    <w:pStyle w:val="78"/>
                    <w:rPr>
                      <w:rFonts w:hint="eastAsia"/>
                    </w:rPr>
                  </w:pPr>
                  <w:r>
                    <w:rPr>
                      <w:rFonts w:hint="eastAsia"/>
                    </w:rPr>
                    <w:t>60~75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szCs w:val="20"/>
                    </w:rPr>
                  </w:pPr>
                  <w:r>
                    <w:rPr>
                      <w:rFonts w:hint="eastAsia"/>
                      <w:szCs w:val="20"/>
                    </w:rPr>
                    <w:t>6</w:t>
                  </w:r>
                </w:p>
              </w:tc>
              <w:tc>
                <w:tcPr>
                  <w:tcW w:w="632" w:type="pct"/>
                  <w:noWrap w:val="0"/>
                  <w:vAlign w:val="center"/>
                </w:tcPr>
                <w:p>
                  <w:pPr>
                    <w:tabs>
                      <w:tab w:val="left" w:pos="5925"/>
                    </w:tabs>
                    <w:adjustRightInd w:val="0"/>
                    <w:snapToGrid w:val="0"/>
                    <w:jc w:val="center"/>
                    <w:rPr>
                      <w:rFonts w:hint="eastAsia"/>
                      <w:szCs w:val="21"/>
                    </w:rPr>
                  </w:pPr>
                  <w:r>
                    <w:rPr>
                      <w:rFonts w:hint="eastAsia"/>
                      <w:szCs w:val="21"/>
                    </w:rPr>
                    <w:t>风机</w:t>
                  </w:r>
                </w:p>
              </w:tc>
              <w:tc>
                <w:tcPr>
                  <w:tcW w:w="395" w:type="pct"/>
                  <w:noWrap w:val="0"/>
                  <w:vAlign w:val="center"/>
                </w:tcPr>
                <w:p>
                  <w:pPr>
                    <w:tabs>
                      <w:tab w:val="left" w:pos="5925"/>
                    </w:tabs>
                    <w:adjustRightInd w:val="0"/>
                    <w:snapToGrid w:val="0"/>
                    <w:jc w:val="center"/>
                    <w:rPr>
                      <w:szCs w:val="21"/>
                    </w:rPr>
                  </w:pPr>
                  <w:r>
                    <w:rPr>
                      <w:rFonts w:hint="eastAsia"/>
                      <w:szCs w:val="21"/>
                    </w:rPr>
                    <w:t>1</w:t>
                  </w:r>
                </w:p>
              </w:tc>
              <w:tc>
                <w:tcPr>
                  <w:tcW w:w="705" w:type="pct"/>
                  <w:noWrap w:val="0"/>
                  <w:vAlign w:val="center"/>
                </w:tcPr>
                <w:p>
                  <w:pPr>
                    <w:tabs>
                      <w:tab w:val="left" w:pos="5925"/>
                    </w:tabs>
                    <w:adjustRightInd w:val="0"/>
                    <w:snapToGrid w:val="0"/>
                    <w:jc w:val="center"/>
                    <w:rPr>
                      <w:szCs w:val="21"/>
                    </w:rPr>
                  </w:pPr>
                  <w:r>
                    <w:rPr>
                      <w:szCs w:val="21"/>
                    </w:rPr>
                    <w:t>80</w:t>
                  </w:r>
                  <w:r>
                    <w:rPr>
                      <w:rFonts w:hint="eastAsia"/>
                      <w:szCs w:val="21"/>
                    </w:rPr>
                    <w:t>～</w:t>
                  </w:r>
                  <w:r>
                    <w:rPr>
                      <w:szCs w:val="21"/>
                    </w:rPr>
                    <w:t>95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rFonts w:hint="default" w:eastAsia="宋体"/>
                      <w:szCs w:val="20"/>
                      <w:lang w:val="en-US" w:eastAsia="zh-CN"/>
                    </w:rPr>
                  </w:pPr>
                  <w:r>
                    <w:rPr>
                      <w:rFonts w:hint="eastAsia"/>
                      <w:szCs w:val="20"/>
                      <w:lang w:val="en-US" w:eastAsia="zh-CN"/>
                    </w:rPr>
                    <w:t>10</w:t>
                  </w:r>
                </w:p>
              </w:tc>
              <w:tc>
                <w:tcPr>
                  <w:tcW w:w="409" w:type="pct"/>
                  <w:noWrap w:val="0"/>
                  <w:vAlign w:val="center"/>
                </w:tcPr>
                <w:p>
                  <w:pPr>
                    <w:pStyle w:val="78"/>
                  </w:pPr>
                  <w:r>
                    <w:rPr>
                      <w:rFonts w:hint="eastAsia"/>
                    </w:rPr>
                    <w:t>20</w:t>
                  </w:r>
                </w:p>
              </w:tc>
              <w:tc>
                <w:tcPr>
                  <w:tcW w:w="658" w:type="pct"/>
                  <w:noWrap w:val="0"/>
                  <w:vAlign w:val="center"/>
                </w:tcPr>
                <w:p>
                  <w:pPr>
                    <w:pStyle w:val="78"/>
                    <w:rPr>
                      <w:rFonts w:hint="eastAsia"/>
                    </w:rPr>
                  </w:pPr>
                  <w:r>
                    <w:rPr>
                      <w:rFonts w:hint="eastAsia"/>
                    </w:rPr>
                    <w:t>60~75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9" w:type="pct"/>
                  <w:noWrap w:val="0"/>
                  <w:vAlign w:val="center"/>
                </w:tcPr>
                <w:p>
                  <w:pPr>
                    <w:wordWrap w:val="0"/>
                    <w:adjustRightInd w:val="0"/>
                    <w:jc w:val="center"/>
                    <w:textAlignment w:val="baseline"/>
                    <w:rPr>
                      <w:rFonts w:hint="eastAsia" w:eastAsia="宋体"/>
                      <w:szCs w:val="20"/>
                      <w:lang w:val="en-US" w:eastAsia="zh-CN"/>
                    </w:rPr>
                  </w:pPr>
                  <w:r>
                    <w:rPr>
                      <w:rFonts w:hint="eastAsia"/>
                      <w:szCs w:val="20"/>
                      <w:lang w:val="en-US" w:eastAsia="zh-CN"/>
                    </w:rPr>
                    <w:t>7</w:t>
                  </w:r>
                </w:p>
              </w:tc>
              <w:tc>
                <w:tcPr>
                  <w:tcW w:w="632" w:type="pct"/>
                  <w:noWrap w:val="0"/>
                  <w:vAlign w:val="center"/>
                </w:tcPr>
                <w:p>
                  <w:pPr>
                    <w:tabs>
                      <w:tab w:val="left" w:pos="5925"/>
                    </w:tabs>
                    <w:adjustRightInd w:val="0"/>
                    <w:snapToGrid w:val="0"/>
                    <w:jc w:val="center"/>
                    <w:rPr>
                      <w:rFonts w:hint="eastAsia" w:eastAsia="宋体"/>
                      <w:szCs w:val="21"/>
                      <w:lang w:eastAsia="zh-CN"/>
                    </w:rPr>
                  </w:pPr>
                  <w:r>
                    <w:rPr>
                      <w:rFonts w:hint="eastAsia"/>
                      <w:szCs w:val="21"/>
                      <w:lang w:eastAsia="zh-CN"/>
                    </w:rPr>
                    <w:t>装载机</w:t>
                  </w:r>
                </w:p>
              </w:tc>
              <w:tc>
                <w:tcPr>
                  <w:tcW w:w="395" w:type="pct"/>
                  <w:noWrap w:val="0"/>
                  <w:vAlign w:val="center"/>
                </w:tcPr>
                <w:p>
                  <w:pPr>
                    <w:tabs>
                      <w:tab w:val="left" w:pos="5925"/>
                    </w:tabs>
                    <w:adjustRightInd w:val="0"/>
                    <w:snapToGrid w:val="0"/>
                    <w:jc w:val="center"/>
                    <w:rPr>
                      <w:rFonts w:hint="eastAsia" w:eastAsia="宋体"/>
                      <w:szCs w:val="21"/>
                      <w:lang w:val="en-US" w:eastAsia="zh-CN"/>
                    </w:rPr>
                  </w:pPr>
                  <w:r>
                    <w:rPr>
                      <w:rFonts w:hint="eastAsia"/>
                      <w:szCs w:val="21"/>
                      <w:lang w:val="en-US" w:eastAsia="zh-CN"/>
                    </w:rPr>
                    <w:t>2</w:t>
                  </w:r>
                </w:p>
              </w:tc>
              <w:tc>
                <w:tcPr>
                  <w:tcW w:w="705" w:type="pct"/>
                  <w:noWrap w:val="0"/>
                  <w:vAlign w:val="center"/>
                </w:tcPr>
                <w:p>
                  <w:pPr>
                    <w:tabs>
                      <w:tab w:val="left" w:pos="5925"/>
                    </w:tabs>
                    <w:adjustRightInd w:val="0"/>
                    <w:snapToGrid w:val="0"/>
                    <w:jc w:val="center"/>
                    <w:rPr>
                      <w:szCs w:val="21"/>
                    </w:rPr>
                  </w:pPr>
                  <w:r>
                    <w:rPr>
                      <w:szCs w:val="21"/>
                    </w:rPr>
                    <w:t>80</w:t>
                  </w:r>
                  <w:r>
                    <w:rPr>
                      <w:rFonts w:hint="eastAsia"/>
                      <w:szCs w:val="21"/>
                    </w:rPr>
                    <w:t>～</w:t>
                  </w:r>
                  <w:r>
                    <w:rPr>
                      <w:szCs w:val="21"/>
                    </w:rPr>
                    <w:t>95</w:t>
                  </w:r>
                </w:p>
              </w:tc>
              <w:tc>
                <w:tcPr>
                  <w:tcW w:w="788" w:type="pct"/>
                  <w:vMerge w:val="continue"/>
                  <w:noWrap w:val="0"/>
                  <w:vAlign w:val="center"/>
                </w:tcPr>
                <w:p>
                  <w:pPr>
                    <w:wordWrap w:val="0"/>
                    <w:adjustRightInd w:val="0"/>
                    <w:jc w:val="center"/>
                    <w:textAlignment w:val="baseline"/>
                    <w:rPr>
                      <w:szCs w:val="20"/>
                    </w:rPr>
                  </w:pPr>
                </w:p>
              </w:tc>
              <w:tc>
                <w:tcPr>
                  <w:tcW w:w="517" w:type="pct"/>
                  <w:noWrap w:val="0"/>
                  <w:vAlign w:val="center"/>
                </w:tcPr>
                <w:p>
                  <w:pPr>
                    <w:wordWrap w:val="0"/>
                    <w:adjustRightInd w:val="0"/>
                    <w:jc w:val="center"/>
                    <w:textAlignment w:val="baseline"/>
                    <w:rPr>
                      <w:rFonts w:hint="default"/>
                      <w:szCs w:val="20"/>
                      <w:lang w:val="en-US" w:eastAsia="zh-CN"/>
                    </w:rPr>
                  </w:pPr>
                  <w:r>
                    <w:rPr>
                      <w:rFonts w:hint="eastAsia"/>
                      <w:szCs w:val="20"/>
                      <w:lang w:val="en-US" w:eastAsia="zh-CN"/>
                    </w:rPr>
                    <w:t>15</w:t>
                  </w:r>
                </w:p>
              </w:tc>
              <w:tc>
                <w:tcPr>
                  <w:tcW w:w="409" w:type="pct"/>
                  <w:noWrap w:val="0"/>
                  <w:vAlign w:val="center"/>
                </w:tcPr>
                <w:p>
                  <w:pPr>
                    <w:pStyle w:val="78"/>
                    <w:rPr>
                      <w:rFonts w:hint="default" w:eastAsia="宋体"/>
                      <w:lang w:val="en-US" w:eastAsia="zh-CN"/>
                    </w:rPr>
                  </w:pPr>
                  <w:r>
                    <w:rPr>
                      <w:rFonts w:hint="eastAsia"/>
                      <w:lang w:val="en-US" w:eastAsia="zh-CN"/>
                    </w:rPr>
                    <w:t>20</w:t>
                  </w:r>
                </w:p>
              </w:tc>
              <w:tc>
                <w:tcPr>
                  <w:tcW w:w="658" w:type="pct"/>
                  <w:noWrap w:val="0"/>
                  <w:vAlign w:val="center"/>
                </w:tcPr>
                <w:p>
                  <w:pPr>
                    <w:pStyle w:val="78"/>
                    <w:rPr>
                      <w:rFonts w:hint="eastAsia"/>
                    </w:rPr>
                  </w:pPr>
                  <w:r>
                    <w:rPr>
                      <w:rFonts w:hint="eastAsia"/>
                    </w:rPr>
                    <w:t>60~75</w:t>
                  </w:r>
                </w:p>
              </w:tc>
              <w:tc>
                <w:tcPr>
                  <w:tcW w:w="553" w:type="pct"/>
                  <w:noWrap w:val="0"/>
                  <w:vAlign w:val="center"/>
                </w:tcPr>
                <w:p>
                  <w:pPr>
                    <w:wordWrap w:val="0"/>
                    <w:adjustRightInd w:val="0"/>
                    <w:jc w:val="center"/>
                    <w:textAlignment w:val="baseline"/>
                    <w:rPr>
                      <w:rFonts w:hint="eastAsia"/>
                      <w:szCs w:val="20"/>
                    </w:rPr>
                  </w:pPr>
                  <w:r>
                    <w:rPr>
                      <w:rFonts w:hint="eastAsia"/>
                      <w:szCs w:val="20"/>
                    </w:rPr>
                    <w:t>昼间</w:t>
                  </w:r>
                </w:p>
              </w:tc>
            </w:tr>
          </w:tbl>
          <w:p>
            <w:pPr>
              <w:keepNext/>
              <w:keepLines/>
              <w:wordWrap w:val="0"/>
              <w:spacing w:before="200" w:after="200"/>
              <w:outlineLvl w:val="3"/>
              <w:rPr>
                <w:b/>
                <w:sz w:val="24"/>
              </w:rPr>
            </w:pPr>
            <w:r>
              <w:rPr>
                <w:rFonts w:hint="eastAsia"/>
                <w:b/>
                <w:sz w:val="24"/>
              </w:rPr>
              <w:t>4.2.3.2噪声污染治理措施</w:t>
            </w:r>
          </w:p>
          <w:p>
            <w:pPr>
              <w:wordWrap w:val="0"/>
              <w:spacing w:line="360" w:lineRule="auto"/>
              <w:ind w:firstLine="480" w:firstLineChars="200"/>
              <w:rPr>
                <w:rFonts w:hint="eastAsia"/>
                <w:sz w:val="24"/>
              </w:rPr>
            </w:pPr>
            <w:r>
              <w:rPr>
                <w:rFonts w:hint="eastAsia"/>
                <w:sz w:val="24"/>
              </w:rPr>
              <w:t>本项目采取的降噪措施包括：</w:t>
            </w:r>
          </w:p>
          <w:p>
            <w:pPr>
              <w:wordWrap w:val="0"/>
              <w:spacing w:line="360" w:lineRule="auto"/>
              <w:ind w:firstLine="480" w:firstLineChars="200"/>
              <w:rPr>
                <w:rFonts w:hint="eastAsia"/>
                <w:sz w:val="24"/>
              </w:rPr>
            </w:pPr>
            <w:r>
              <w:rPr>
                <w:rFonts w:hint="eastAsia"/>
                <w:sz w:val="24"/>
              </w:rPr>
              <w:t>（1）选用低噪声设备，并定期对设备进行检修和保养；</w:t>
            </w:r>
          </w:p>
          <w:p>
            <w:pPr>
              <w:wordWrap w:val="0"/>
              <w:spacing w:line="360" w:lineRule="auto"/>
              <w:ind w:firstLine="480" w:firstLineChars="200"/>
              <w:rPr>
                <w:rFonts w:hint="eastAsia"/>
                <w:sz w:val="24"/>
              </w:rPr>
            </w:pPr>
            <w:r>
              <w:rPr>
                <w:rFonts w:hint="eastAsia"/>
                <w:sz w:val="24"/>
              </w:rPr>
              <w:t>（2）高噪声设备布置在厂房内，加强基础减振、建筑隔声处理，空气动力噪声采取消声措施；</w:t>
            </w:r>
          </w:p>
          <w:p>
            <w:pPr>
              <w:wordWrap w:val="0"/>
              <w:spacing w:line="360" w:lineRule="auto"/>
              <w:ind w:firstLine="480" w:firstLineChars="200"/>
              <w:rPr>
                <w:rFonts w:hint="eastAsia"/>
                <w:sz w:val="24"/>
              </w:rPr>
            </w:pPr>
            <w:r>
              <w:rPr>
                <w:rFonts w:hint="eastAsia"/>
                <w:sz w:val="24"/>
              </w:rPr>
              <w:t>（3）合理布局，噪声较大的设备布置在远离厂界的位置。</w:t>
            </w:r>
          </w:p>
          <w:p>
            <w:pPr>
              <w:wordWrap w:val="0"/>
              <w:spacing w:line="360" w:lineRule="auto"/>
              <w:ind w:firstLine="480" w:firstLineChars="200"/>
              <w:rPr>
                <w:sz w:val="24"/>
              </w:rPr>
            </w:pPr>
            <w:r>
              <w:rPr>
                <w:rFonts w:hint="eastAsia"/>
                <w:sz w:val="24"/>
              </w:rPr>
              <w:t>通过以上综合降噪措施后，降噪效果可以达到15～25dB（A）。</w:t>
            </w:r>
          </w:p>
          <w:p>
            <w:pPr>
              <w:keepNext/>
              <w:keepLines/>
              <w:wordWrap w:val="0"/>
              <w:spacing w:before="200" w:after="200"/>
              <w:outlineLvl w:val="3"/>
              <w:rPr>
                <w:b/>
                <w:sz w:val="24"/>
              </w:rPr>
            </w:pPr>
            <w:r>
              <w:rPr>
                <w:rFonts w:hint="eastAsia"/>
                <w:b/>
                <w:sz w:val="24"/>
              </w:rPr>
              <w:t>4.2.3.3噪声影响分析</w:t>
            </w:r>
          </w:p>
          <w:p>
            <w:pPr>
              <w:wordWrap w:val="0"/>
              <w:spacing w:line="360" w:lineRule="auto"/>
              <w:ind w:firstLine="482" w:firstLineChars="200"/>
              <w:rPr>
                <w:rFonts w:hint="eastAsia"/>
                <w:b/>
                <w:sz w:val="24"/>
              </w:rPr>
            </w:pPr>
            <w:r>
              <w:rPr>
                <w:rFonts w:hint="eastAsia"/>
                <w:b/>
                <w:sz w:val="24"/>
              </w:rPr>
              <w:t>（1）预测模式选择</w:t>
            </w:r>
          </w:p>
          <w:p>
            <w:pPr>
              <w:spacing w:line="360" w:lineRule="auto"/>
              <w:ind w:firstLine="480" w:firstLineChars="200"/>
              <w:rPr>
                <w:color w:val="000000"/>
                <w:sz w:val="24"/>
              </w:rPr>
            </w:pPr>
            <w:r>
              <w:rPr>
                <w:rFonts w:hint="eastAsia" w:ascii="宋体" w:hAnsi="宋体"/>
                <w:color w:val="000000"/>
                <w:sz w:val="24"/>
              </w:rPr>
              <w:t>①</w:t>
            </w:r>
            <w:r>
              <w:rPr>
                <w:rFonts w:hint="eastAsia"/>
                <w:color w:val="000000"/>
                <w:sz w:val="24"/>
              </w:rPr>
              <w:t>项目各设备作业声源相对集中，可将各声源视为点声源。预测模式采用《环境影响评价技术导则</w:t>
            </w:r>
            <w:r>
              <w:rPr>
                <w:color w:val="000000"/>
                <w:sz w:val="24"/>
              </w:rPr>
              <w:t>—</w:t>
            </w:r>
            <w:r>
              <w:rPr>
                <w:rFonts w:hint="eastAsia"/>
                <w:color w:val="000000"/>
                <w:sz w:val="24"/>
              </w:rPr>
              <w:t>声环境》（</w:t>
            </w:r>
            <w:r>
              <w:rPr>
                <w:color w:val="000000"/>
                <w:sz w:val="24"/>
              </w:rPr>
              <w:t>HJ2.4-</w:t>
            </w:r>
            <w:r>
              <w:rPr>
                <w:rFonts w:hint="eastAsia"/>
                <w:color w:val="000000"/>
                <w:sz w:val="24"/>
              </w:rPr>
              <w:t>2021）推荐的噪声点源衰减预测模式。</w:t>
            </w:r>
          </w:p>
          <w:p>
            <w:pPr>
              <w:adjustRightInd w:val="0"/>
              <w:snapToGrid w:val="0"/>
              <w:spacing w:line="360" w:lineRule="auto"/>
              <w:ind w:firstLine="1260" w:firstLineChars="525"/>
              <w:rPr>
                <w:snapToGrid w:val="0"/>
                <w:color w:val="000000"/>
                <w:kern w:val="0"/>
                <w:sz w:val="24"/>
                <w:lang w:val="pt-BR"/>
              </w:rPr>
            </w:pPr>
            <w:bookmarkStart w:id="119" w:name="_Toc113737579"/>
            <w:r>
              <w:rPr>
                <w:snapToGrid w:val="0"/>
                <w:color w:val="000000"/>
                <w:kern w:val="0"/>
                <w:sz w:val="24"/>
                <w:lang w:val="pt-BR"/>
              </w:rPr>
              <w:t>L</w:t>
            </w:r>
            <w:r>
              <w:rPr>
                <w:snapToGrid w:val="0"/>
                <w:color w:val="000000"/>
                <w:kern w:val="0"/>
                <w:sz w:val="24"/>
                <w:vertAlign w:val="subscript"/>
                <w:lang w:val="pt-BR"/>
              </w:rPr>
              <w:t>i</w:t>
            </w:r>
            <w:r>
              <w:rPr>
                <w:snapToGrid w:val="0"/>
                <w:color w:val="000000"/>
                <w:kern w:val="0"/>
                <w:sz w:val="24"/>
                <w:lang w:val="pt-BR"/>
              </w:rPr>
              <w:t>=L</w:t>
            </w:r>
            <w:r>
              <w:rPr>
                <w:snapToGrid w:val="0"/>
                <w:color w:val="000000"/>
                <w:kern w:val="0"/>
                <w:sz w:val="24"/>
                <w:vertAlign w:val="subscript"/>
                <w:lang w:val="pt-BR"/>
              </w:rPr>
              <w:t>o</w:t>
            </w:r>
            <w:r>
              <w:rPr>
                <w:snapToGrid w:val="0"/>
                <w:color w:val="000000"/>
                <w:kern w:val="0"/>
                <w:sz w:val="24"/>
                <w:lang w:val="pt-BR"/>
              </w:rPr>
              <w:t>-20lg</w:t>
            </w:r>
            <w:r>
              <w:rPr>
                <w:rFonts w:hint="eastAsia"/>
                <w:snapToGrid w:val="0"/>
                <w:color w:val="000000"/>
                <w:kern w:val="0"/>
                <w:sz w:val="24"/>
                <w:lang w:val="pt-BR"/>
              </w:rPr>
              <w:t>（</w:t>
            </w:r>
            <w:r>
              <w:rPr>
                <w:snapToGrid w:val="0"/>
                <w:color w:val="000000"/>
                <w:kern w:val="0"/>
                <w:sz w:val="24"/>
                <w:lang w:val="pt-BR"/>
              </w:rPr>
              <w:t>r</w:t>
            </w:r>
            <w:r>
              <w:rPr>
                <w:snapToGrid w:val="0"/>
                <w:color w:val="000000"/>
                <w:kern w:val="0"/>
                <w:sz w:val="24"/>
                <w:vertAlign w:val="subscript"/>
                <w:lang w:val="pt-BR"/>
              </w:rPr>
              <w:t>i</w:t>
            </w:r>
            <w:r>
              <w:rPr>
                <w:snapToGrid w:val="0"/>
                <w:color w:val="000000"/>
                <w:kern w:val="0"/>
                <w:sz w:val="24"/>
                <w:lang w:val="pt-BR"/>
              </w:rPr>
              <w:t>/r</w:t>
            </w:r>
            <w:r>
              <w:rPr>
                <w:snapToGrid w:val="0"/>
                <w:color w:val="000000"/>
                <w:kern w:val="0"/>
                <w:sz w:val="24"/>
                <w:vertAlign w:val="subscript"/>
                <w:lang w:val="pt-BR"/>
              </w:rPr>
              <w:t>o</w:t>
            </w:r>
            <w:r>
              <w:rPr>
                <w:rFonts w:hint="eastAsia"/>
                <w:snapToGrid w:val="0"/>
                <w:color w:val="000000"/>
                <w:kern w:val="0"/>
                <w:sz w:val="24"/>
                <w:lang w:val="pt-BR"/>
              </w:rPr>
              <w:t>）</w:t>
            </w:r>
            <w:bookmarkEnd w:id="119"/>
          </w:p>
          <w:p>
            <w:pPr>
              <w:adjustRightInd w:val="0"/>
              <w:snapToGrid w:val="0"/>
              <w:spacing w:line="360" w:lineRule="auto"/>
              <w:rPr>
                <w:snapToGrid w:val="0"/>
                <w:color w:val="000000"/>
                <w:kern w:val="0"/>
                <w:sz w:val="24"/>
                <w:lang w:val="pt-BR"/>
              </w:rPr>
            </w:pPr>
            <w:r>
              <w:rPr>
                <w:rFonts w:hint="eastAsia"/>
                <w:snapToGrid w:val="0"/>
                <w:color w:val="000000"/>
                <w:kern w:val="0"/>
                <w:sz w:val="24"/>
              </w:rPr>
              <w:t>式中</w:t>
            </w:r>
            <w:r>
              <w:rPr>
                <w:rFonts w:hint="eastAsia"/>
                <w:snapToGrid w:val="0"/>
                <w:color w:val="000000"/>
                <w:kern w:val="0"/>
                <w:sz w:val="24"/>
                <w:lang w:val="pt-BR"/>
              </w:rPr>
              <w:t>：</w:t>
            </w:r>
            <w:r>
              <w:rPr>
                <w:snapToGrid w:val="0"/>
                <w:color w:val="000000"/>
                <w:kern w:val="0"/>
                <w:sz w:val="24"/>
                <w:lang w:val="pt-BR"/>
              </w:rPr>
              <w:t>L</w:t>
            </w:r>
            <w:r>
              <w:rPr>
                <w:snapToGrid w:val="0"/>
                <w:color w:val="000000"/>
                <w:kern w:val="0"/>
                <w:sz w:val="24"/>
                <w:vertAlign w:val="subscript"/>
                <w:lang w:val="pt-BR"/>
              </w:rPr>
              <w:t>i</w:t>
            </w:r>
            <w:r>
              <w:rPr>
                <w:snapToGrid w:val="0"/>
                <w:color w:val="000000"/>
                <w:kern w:val="0"/>
                <w:sz w:val="24"/>
                <w:lang w:val="pt-BR"/>
              </w:rPr>
              <w:t>—r</w:t>
            </w:r>
            <w:r>
              <w:rPr>
                <w:snapToGrid w:val="0"/>
                <w:color w:val="000000"/>
                <w:kern w:val="0"/>
                <w:sz w:val="24"/>
                <w:vertAlign w:val="subscript"/>
                <w:lang w:val="pt-BR"/>
              </w:rPr>
              <w:t>i</w:t>
            </w:r>
            <w:r>
              <w:rPr>
                <w:rFonts w:hint="eastAsia"/>
                <w:snapToGrid w:val="0"/>
                <w:color w:val="000000"/>
                <w:kern w:val="0"/>
                <w:sz w:val="24"/>
              </w:rPr>
              <w:t>处的噪声值</w:t>
            </w:r>
            <w:r>
              <w:rPr>
                <w:snapToGrid w:val="0"/>
                <w:color w:val="000000"/>
                <w:kern w:val="0"/>
                <w:sz w:val="24"/>
                <w:lang w:val="pt-BR"/>
              </w:rPr>
              <w:t>[dB</w:t>
            </w:r>
            <w:r>
              <w:rPr>
                <w:rFonts w:hint="eastAsia"/>
                <w:snapToGrid w:val="0"/>
                <w:color w:val="000000"/>
                <w:kern w:val="0"/>
                <w:sz w:val="24"/>
                <w:lang w:val="pt-BR"/>
              </w:rPr>
              <w:t>（</w:t>
            </w:r>
            <w:r>
              <w:rPr>
                <w:snapToGrid w:val="0"/>
                <w:color w:val="000000"/>
                <w:kern w:val="0"/>
                <w:sz w:val="24"/>
                <w:lang w:val="pt-BR"/>
              </w:rPr>
              <w:t>A</w:t>
            </w:r>
            <w:r>
              <w:rPr>
                <w:rFonts w:hint="eastAsia"/>
                <w:snapToGrid w:val="0"/>
                <w:color w:val="000000"/>
                <w:kern w:val="0"/>
                <w:sz w:val="24"/>
                <w:lang w:val="pt-BR"/>
              </w:rPr>
              <w:t>）</w:t>
            </w:r>
            <w:r>
              <w:rPr>
                <w:snapToGrid w:val="0"/>
                <w:color w:val="000000"/>
                <w:kern w:val="0"/>
                <w:sz w:val="24"/>
                <w:lang w:val="pt-BR"/>
              </w:rPr>
              <w:t>]</w:t>
            </w:r>
            <w:r>
              <w:rPr>
                <w:rFonts w:hint="eastAsia"/>
                <w:snapToGrid w:val="0"/>
                <w:color w:val="000000"/>
                <w:kern w:val="0"/>
                <w:sz w:val="24"/>
                <w:lang w:val="pt-BR"/>
              </w:rPr>
              <w:t>；</w:t>
            </w:r>
          </w:p>
          <w:p>
            <w:pPr>
              <w:adjustRightInd w:val="0"/>
              <w:snapToGrid w:val="0"/>
              <w:spacing w:line="360" w:lineRule="auto"/>
              <w:ind w:firstLine="720" w:firstLineChars="300"/>
              <w:rPr>
                <w:snapToGrid w:val="0"/>
                <w:color w:val="000000"/>
                <w:kern w:val="0"/>
                <w:sz w:val="24"/>
                <w:lang w:val="pt-BR"/>
              </w:rPr>
            </w:pPr>
            <w:r>
              <w:rPr>
                <w:snapToGrid w:val="0"/>
                <w:color w:val="000000"/>
                <w:kern w:val="0"/>
                <w:sz w:val="24"/>
                <w:lang w:val="pt-BR"/>
              </w:rPr>
              <w:t>L</w:t>
            </w:r>
            <w:r>
              <w:rPr>
                <w:snapToGrid w:val="0"/>
                <w:color w:val="000000"/>
                <w:kern w:val="0"/>
                <w:sz w:val="24"/>
                <w:vertAlign w:val="subscript"/>
                <w:lang w:val="pt-BR"/>
              </w:rPr>
              <w:t>o</w:t>
            </w:r>
            <w:r>
              <w:rPr>
                <w:snapToGrid w:val="0"/>
                <w:color w:val="000000"/>
                <w:kern w:val="0"/>
                <w:sz w:val="24"/>
                <w:lang w:val="pt-BR"/>
              </w:rPr>
              <w:t>—r</w:t>
            </w:r>
            <w:r>
              <w:rPr>
                <w:snapToGrid w:val="0"/>
                <w:color w:val="000000"/>
                <w:kern w:val="0"/>
                <w:sz w:val="24"/>
                <w:vertAlign w:val="subscript"/>
                <w:lang w:val="pt-BR"/>
              </w:rPr>
              <w:t>o</w:t>
            </w:r>
            <w:r>
              <w:rPr>
                <w:rFonts w:hint="eastAsia"/>
                <w:snapToGrid w:val="0"/>
                <w:color w:val="000000"/>
                <w:kern w:val="0"/>
                <w:sz w:val="24"/>
              </w:rPr>
              <w:t>处的噪声值</w:t>
            </w:r>
            <w:r>
              <w:rPr>
                <w:snapToGrid w:val="0"/>
                <w:color w:val="000000"/>
                <w:kern w:val="0"/>
                <w:sz w:val="24"/>
                <w:lang w:val="pt-BR"/>
              </w:rPr>
              <w:t>[dB</w:t>
            </w:r>
            <w:r>
              <w:rPr>
                <w:rFonts w:hint="eastAsia"/>
                <w:snapToGrid w:val="0"/>
                <w:color w:val="000000"/>
                <w:kern w:val="0"/>
                <w:sz w:val="24"/>
                <w:lang w:val="pt-BR"/>
              </w:rPr>
              <w:t>（</w:t>
            </w:r>
            <w:r>
              <w:rPr>
                <w:snapToGrid w:val="0"/>
                <w:color w:val="000000"/>
                <w:kern w:val="0"/>
                <w:sz w:val="24"/>
                <w:lang w:val="pt-BR"/>
              </w:rPr>
              <w:t>A</w:t>
            </w:r>
            <w:r>
              <w:rPr>
                <w:rFonts w:hint="eastAsia"/>
                <w:snapToGrid w:val="0"/>
                <w:color w:val="000000"/>
                <w:kern w:val="0"/>
                <w:sz w:val="24"/>
                <w:lang w:val="pt-BR"/>
              </w:rPr>
              <w:t>）</w:t>
            </w:r>
            <w:r>
              <w:rPr>
                <w:snapToGrid w:val="0"/>
                <w:color w:val="000000"/>
                <w:kern w:val="0"/>
                <w:sz w:val="24"/>
                <w:lang w:val="pt-BR"/>
              </w:rPr>
              <w:t>]</w:t>
            </w:r>
            <w:r>
              <w:rPr>
                <w:rFonts w:hint="eastAsia"/>
                <w:snapToGrid w:val="0"/>
                <w:color w:val="000000"/>
                <w:kern w:val="0"/>
                <w:sz w:val="24"/>
                <w:lang w:val="pt-BR"/>
              </w:rPr>
              <w:t>；</w:t>
            </w:r>
          </w:p>
          <w:p>
            <w:pPr>
              <w:adjustRightInd w:val="0"/>
              <w:snapToGrid w:val="0"/>
              <w:spacing w:line="360" w:lineRule="auto"/>
              <w:ind w:firstLine="720" w:firstLineChars="300"/>
              <w:rPr>
                <w:snapToGrid w:val="0"/>
                <w:color w:val="000000"/>
                <w:kern w:val="0"/>
                <w:sz w:val="24"/>
              </w:rPr>
            </w:pPr>
            <w:r>
              <w:rPr>
                <w:snapToGrid w:val="0"/>
                <w:color w:val="000000"/>
                <w:kern w:val="0"/>
                <w:sz w:val="24"/>
              </w:rPr>
              <w:t>r</w:t>
            </w:r>
            <w:r>
              <w:rPr>
                <w:snapToGrid w:val="0"/>
                <w:color w:val="000000"/>
                <w:kern w:val="0"/>
                <w:sz w:val="24"/>
                <w:vertAlign w:val="subscript"/>
              </w:rPr>
              <w:t>i</w:t>
            </w:r>
            <w:r>
              <w:rPr>
                <w:snapToGrid w:val="0"/>
                <w:color w:val="000000"/>
                <w:kern w:val="0"/>
                <w:sz w:val="24"/>
              </w:rPr>
              <w:t>—</w:t>
            </w:r>
            <w:r>
              <w:rPr>
                <w:rFonts w:hint="eastAsia"/>
                <w:snapToGrid w:val="0"/>
                <w:color w:val="000000"/>
                <w:kern w:val="0"/>
                <w:sz w:val="24"/>
              </w:rPr>
              <w:t>预测点至噪声源距离；</w:t>
            </w:r>
          </w:p>
          <w:p>
            <w:pPr>
              <w:adjustRightInd w:val="0"/>
              <w:snapToGrid w:val="0"/>
              <w:spacing w:line="360" w:lineRule="auto"/>
              <w:ind w:firstLine="720" w:firstLineChars="300"/>
              <w:rPr>
                <w:snapToGrid w:val="0"/>
                <w:color w:val="000000"/>
                <w:kern w:val="0"/>
                <w:sz w:val="24"/>
              </w:rPr>
            </w:pPr>
            <w:r>
              <w:rPr>
                <w:snapToGrid w:val="0"/>
                <w:color w:val="000000"/>
                <w:kern w:val="0"/>
                <w:sz w:val="24"/>
              </w:rPr>
              <w:t>r</w:t>
            </w:r>
            <w:r>
              <w:rPr>
                <w:snapToGrid w:val="0"/>
                <w:color w:val="000000"/>
                <w:kern w:val="0"/>
                <w:sz w:val="24"/>
                <w:vertAlign w:val="subscript"/>
              </w:rPr>
              <w:t>o</w:t>
            </w:r>
            <w:r>
              <w:rPr>
                <w:snapToGrid w:val="0"/>
                <w:color w:val="000000"/>
                <w:kern w:val="0"/>
                <w:sz w:val="24"/>
              </w:rPr>
              <w:t>—</w:t>
            </w:r>
            <w:r>
              <w:rPr>
                <w:rFonts w:hint="eastAsia"/>
                <w:snapToGrid w:val="0"/>
                <w:color w:val="000000"/>
                <w:kern w:val="0"/>
                <w:sz w:val="24"/>
              </w:rPr>
              <w:t>监测距离。</w:t>
            </w:r>
          </w:p>
          <w:p>
            <w:pPr>
              <w:adjustRightInd w:val="0"/>
              <w:snapToGrid w:val="0"/>
              <w:spacing w:line="360" w:lineRule="auto"/>
              <w:ind w:firstLine="480" w:firstLineChars="200"/>
              <w:rPr>
                <w:color w:val="000000"/>
                <w:sz w:val="24"/>
              </w:rPr>
            </w:pPr>
            <w:r>
              <w:rPr>
                <w:rFonts w:hint="eastAsia" w:ascii="宋体" w:hAnsi="宋体"/>
                <w:snapToGrid w:val="0"/>
                <w:color w:val="000000"/>
                <w:kern w:val="0"/>
                <w:sz w:val="24"/>
              </w:rPr>
              <w:t>②</w:t>
            </w:r>
            <w:r>
              <w:rPr>
                <w:color w:val="000000"/>
                <w:sz w:val="24"/>
              </w:rPr>
              <w:t>对室内噪声源采用室内声源噪声模式并换算成等效的室外声源：</w:t>
            </w:r>
          </w:p>
          <w:p>
            <w:pPr>
              <w:spacing w:line="360" w:lineRule="auto"/>
              <w:ind w:firstLine="1200" w:firstLineChars="500"/>
              <w:jc w:val="left"/>
              <w:rPr>
                <w:color w:val="000000"/>
                <w:sz w:val="24"/>
              </w:rPr>
            </w:pPr>
            <w:r>
              <w:rPr>
                <w:color w:val="000000"/>
                <w:position w:val="-24"/>
                <w:sz w:val="24"/>
              </w:rPr>
              <w:drawing>
                <wp:inline distT="0" distB="0" distL="114300" distR="114300">
                  <wp:extent cx="1594485" cy="387985"/>
                  <wp:effectExtent l="0" t="0" r="5715" b="12700"/>
                  <wp:docPr id="1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7"/>
                          <pic:cNvPicPr>
                            <a:picLocks noChangeAspect="1"/>
                          </pic:cNvPicPr>
                        </pic:nvPicPr>
                        <pic:blipFill>
                          <a:blip r:embed="rId32"/>
                          <a:stretch>
                            <a:fillRect/>
                          </a:stretch>
                        </pic:blipFill>
                        <pic:spPr>
                          <a:xfrm>
                            <a:off x="0" y="0"/>
                            <a:ext cx="1594485" cy="387985"/>
                          </a:xfrm>
                          <a:prstGeom prst="rect">
                            <a:avLst/>
                          </a:prstGeom>
                          <a:noFill/>
                          <a:ln>
                            <a:noFill/>
                          </a:ln>
                        </pic:spPr>
                      </pic:pic>
                    </a:graphicData>
                  </a:graphic>
                </wp:inline>
              </w:drawing>
            </w:r>
          </w:p>
          <w:p>
            <w:pPr>
              <w:spacing w:line="360" w:lineRule="auto"/>
              <w:ind w:firstLine="1200" w:firstLineChars="500"/>
              <w:jc w:val="left"/>
              <w:rPr>
                <w:color w:val="000000"/>
                <w:sz w:val="24"/>
              </w:rPr>
            </w:pPr>
            <w:r>
              <w:rPr>
                <w:color w:val="000000"/>
                <w:position w:val="-12"/>
                <w:sz w:val="24"/>
              </w:rPr>
              <w:drawing>
                <wp:inline distT="0" distB="0" distL="114300" distR="114300">
                  <wp:extent cx="1638300" cy="234315"/>
                  <wp:effectExtent l="0" t="0" r="0" b="14605"/>
                  <wp:docPr id="1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8"/>
                          <pic:cNvPicPr>
                            <a:picLocks noChangeAspect="1"/>
                          </pic:cNvPicPr>
                        </pic:nvPicPr>
                        <pic:blipFill>
                          <a:blip r:embed="rId33"/>
                          <a:stretch>
                            <a:fillRect/>
                          </a:stretch>
                        </pic:blipFill>
                        <pic:spPr>
                          <a:xfrm>
                            <a:off x="0" y="0"/>
                            <a:ext cx="1638300" cy="234315"/>
                          </a:xfrm>
                          <a:prstGeom prst="rect">
                            <a:avLst/>
                          </a:prstGeom>
                          <a:noFill/>
                          <a:ln>
                            <a:noFill/>
                          </a:ln>
                        </pic:spPr>
                      </pic:pic>
                    </a:graphicData>
                  </a:graphic>
                </wp:inline>
              </w:drawing>
            </w:r>
          </w:p>
          <w:p>
            <w:pPr>
              <w:spacing w:line="360" w:lineRule="auto"/>
              <w:ind w:firstLine="720" w:firstLineChars="300"/>
              <w:rPr>
                <w:color w:val="000000"/>
                <w:sz w:val="24"/>
              </w:rPr>
            </w:pPr>
            <w:r>
              <w:rPr>
                <w:color w:val="000000"/>
                <w:sz w:val="24"/>
              </w:rPr>
              <w:t>式中：L</w:t>
            </w:r>
            <w:r>
              <w:rPr>
                <w:color w:val="000000"/>
                <w:sz w:val="24"/>
                <w:vertAlign w:val="subscript"/>
              </w:rPr>
              <w:t>n</w:t>
            </w:r>
            <w:r>
              <w:rPr>
                <w:i/>
                <w:iCs/>
                <w:color w:val="000000"/>
                <w:sz w:val="24"/>
              </w:rPr>
              <w:t>——</w:t>
            </w:r>
            <w:r>
              <w:rPr>
                <w:color w:val="000000"/>
                <w:sz w:val="24"/>
              </w:rPr>
              <w:t>室内靠近围护结构处产生的声压级，dB；</w:t>
            </w:r>
          </w:p>
          <w:p>
            <w:pPr>
              <w:spacing w:line="360" w:lineRule="auto"/>
              <w:ind w:firstLine="720" w:firstLineChars="300"/>
              <w:jc w:val="left"/>
              <w:rPr>
                <w:color w:val="000000"/>
                <w:sz w:val="24"/>
              </w:rPr>
            </w:pPr>
            <w:r>
              <w:rPr>
                <w:color w:val="000000"/>
                <w:sz w:val="24"/>
              </w:rPr>
              <w:t>L</w:t>
            </w:r>
            <w:r>
              <w:rPr>
                <w:color w:val="000000"/>
                <w:sz w:val="24"/>
                <w:vertAlign w:val="subscript"/>
              </w:rPr>
              <w:t>W</w:t>
            </w:r>
            <w:r>
              <w:rPr>
                <w:i/>
                <w:iCs/>
                <w:color w:val="000000"/>
                <w:sz w:val="24"/>
              </w:rPr>
              <w:t>——</w:t>
            </w:r>
            <w:r>
              <w:rPr>
                <w:color w:val="000000"/>
                <w:sz w:val="24"/>
              </w:rPr>
              <w:t>室外靠近围护结构处产生的声压级，dB；</w:t>
            </w:r>
          </w:p>
          <w:p>
            <w:pPr>
              <w:spacing w:line="360" w:lineRule="auto"/>
              <w:ind w:firstLine="720" w:firstLineChars="300"/>
              <w:jc w:val="left"/>
              <w:rPr>
                <w:color w:val="000000"/>
                <w:sz w:val="24"/>
              </w:rPr>
            </w:pPr>
            <w:r>
              <w:rPr>
                <w:color w:val="000000"/>
                <w:sz w:val="24"/>
              </w:rPr>
              <w:t>L</w:t>
            </w:r>
            <w:r>
              <w:rPr>
                <w:color w:val="000000"/>
                <w:sz w:val="24"/>
                <w:vertAlign w:val="subscript"/>
              </w:rPr>
              <w:t>e</w:t>
            </w:r>
            <w:r>
              <w:rPr>
                <w:i/>
                <w:iCs/>
                <w:color w:val="000000"/>
                <w:sz w:val="24"/>
              </w:rPr>
              <w:t>——</w:t>
            </w:r>
            <w:r>
              <w:rPr>
                <w:color w:val="000000"/>
                <w:sz w:val="24"/>
              </w:rPr>
              <w:t>声源的声压级，dB；</w:t>
            </w:r>
          </w:p>
          <w:p>
            <w:pPr>
              <w:spacing w:line="360" w:lineRule="auto"/>
              <w:ind w:firstLine="720" w:firstLineChars="300"/>
              <w:jc w:val="left"/>
              <w:rPr>
                <w:color w:val="000000"/>
                <w:sz w:val="24"/>
              </w:rPr>
            </w:pPr>
            <w:r>
              <w:rPr>
                <w:color w:val="000000"/>
                <w:sz w:val="24"/>
              </w:rPr>
              <w:t>r</w:t>
            </w:r>
            <w:r>
              <w:rPr>
                <w:i/>
                <w:iCs/>
                <w:color w:val="000000"/>
                <w:sz w:val="24"/>
              </w:rPr>
              <w:t>——</w:t>
            </w:r>
            <w:r>
              <w:rPr>
                <w:color w:val="000000"/>
                <w:sz w:val="24"/>
              </w:rPr>
              <w:t>声源与室内靠近围护结构处的距离，m；</w:t>
            </w:r>
          </w:p>
          <w:p>
            <w:pPr>
              <w:spacing w:line="360" w:lineRule="auto"/>
              <w:ind w:firstLine="720" w:firstLineChars="300"/>
              <w:jc w:val="left"/>
              <w:rPr>
                <w:color w:val="000000"/>
                <w:sz w:val="24"/>
              </w:rPr>
            </w:pPr>
            <w:r>
              <w:rPr>
                <w:color w:val="000000"/>
                <w:sz w:val="24"/>
              </w:rPr>
              <w:t>R</w:t>
            </w:r>
            <w:r>
              <w:rPr>
                <w:i/>
                <w:iCs/>
                <w:color w:val="000000"/>
                <w:sz w:val="24"/>
              </w:rPr>
              <w:t>——</w:t>
            </w:r>
            <w:r>
              <w:rPr>
                <w:color w:val="000000"/>
                <w:sz w:val="24"/>
              </w:rPr>
              <w:t>房间常数，m</w:t>
            </w:r>
            <w:r>
              <w:rPr>
                <w:color w:val="000000"/>
                <w:sz w:val="24"/>
                <w:vertAlign w:val="superscript"/>
              </w:rPr>
              <w:t>2</w:t>
            </w:r>
            <w:r>
              <w:rPr>
                <w:color w:val="000000"/>
                <w:sz w:val="24"/>
              </w:rPr>
              <w:t>；</w:t>
            </w:r>
          </w:p>
          <w:p>
            <w:pPr>
              <w:spacing w:line="360" w:lineRule="auto"/>
              <w:ind w:firstLine="720" w:firstLineChars="300"/>
              <w:jc w:val="left"/>
              <w:rPr>
                <w:color w:val="000000"/>
                <w:sz w:val="24"/>
              </w:rPr>
            </w:pPr>
            <w:r>
              <w:rPr>
                <w:color w:val="000000"/>
                <w:sz w:val="24"/>
              </w:rPr>
              <w:t>Q</w:t>
            </w:r>
            <w:r>
              <w:rPr>
                <w:i/>
                <w:iCs/>
                <w:color w:val="000000"/>
                <w:sz w:val="24"/>
              </w:rPr>
              <w:t>——</w:t>
            </w:r>
            <w:r>
              <w:rPr>
                <w:color w:val="000000"/>
                <w:sz w:val="24"/>
              </w:rPr>
              <w:t>方向性因子；</w:t>
            </w:r>
          </w:p>
          <w:p>
            <w:pPr>
              <w:spacing w:line="360" w:lineRule="auto"/>
              <w:ind w:firstLine="720" w:firstLineChars="300"/>
              <w:jc w:val="left"/>
              <w:rPr>
                <w:color w:val="000000"/>
                <w:sz w:val="24"/>
              </w:rPr>
            </w:pPr>
            <w:r>
              <w:rPr>
                <w:color w:val="000000"/>
                <w:sz w:val="24"/>
              </w:rPr>
              <w:t>TL</w:t>
            </w:r>
            <w:r>
              <w:rPr>
                <w:i/>
                <w:iCs/>
                <w:color w:val="000000"/>
                <w:sz w:val="24"/>
              </w:rPr>
              <w:t>——</w:t>
            </w:r>
            <w:r>
              <w:rPr>
                <w:color w:val="000000"/>
                <w:sz w:val="24"/>
              </w:rPr>
              <w:t>围护结构的传输损失，dB；</w:t>
            </w:r>
          </w:p>
          <w:p>
            <w:pPr>
              <w:spacing w:line="360" w:lineRule="auto"/>
              <w:ind w:firstLine="720" w:firstLineChars="300"/>
              <w:jc w:val="left"/>
              <w:rPr>
                <w:color w:val="000000"/>
                <w:sz w:val="24"/>
              </w:rPr>
            </w:pPr>
            <w:r>
              <w:rPr>
                <w:color w:val="000000"/>
                <w:sz w:val="24"/>
              </w:rPr>
              <w:t>S</w:t>
            </w:r>
            <w:r>
              <w:rPr>
                <w:i/>
                <w:iCs/>
                <w:color w:val="000000"/>
                <w:sz w:val="24"/>
              </w:rPr>
              <w:t>——</w:t>
            </w:r>
            <w:r>
              <w:rPr>
                <w:color w:val="000000"/>
                <w:sz w:val="24"/>
              </w:rPr>
              <w:t>透声面积，m</w:t>
            </w:r>
            <w:r>
              <w:rPr>
                <w:color w:val="000000"/>
                <w:sz w:val="24"/>
                <w:vertAlign w:val="superscript"/>
              </w:rPr>
              <w:t>2</w:t>
            </w:r>
          </w:p>
          <w:p>
            <w:pPr>
              <w:adjustRightInd w:val="0"/>
              <w:snapToGrid w:val="0"/>
              <w:spacing w:line="360" w:lineRule="auto"/>
              <w:ind w:firstLine="480" w:firstLineChars="200"/>
              <w:rPr>
                <w:snapToGrid w:val="0"/>
                <w:color w:val="000000"/>
                <w:kern w:val="0"/>
                <w:sz w:val="24"/>
              </w:rPr>
            </w:pPr>
            <w:r>
              <w:rPr>
                <w:rFonts w:hint="eastAsia" w:ascii="宋体" w:hAnsi="宋体"/>
                <w:snapToGrid w:val="0"/>
                <w:color w:val="000000"/>
                <w:kern w:val="0"/>
                <w:sz w:val="24"/>
              </w:rPr>
              <w:t>③</w:t>
            </w:r>
            <w:r>
              <w:rPr>
                <w:rFonts w:hint="eastAsia"/>
                <w:snapToGrid w:val="0"/>
                <w:color w:val="000000"/>
                <w:kern w:val="0"/>
                <w:sz w:val="24"/>
              </w:rPr>
              <w:t>各声源噪声叠加公式如下：</w:t>
            </w:r>
          </w:p>
          <w:p>
            <w:pPr>
              <w:adjustRightInd w:val="0"/>
              <w:snapToGrid w:val="0"/>
              <w:spacing w:line="360" w:lineRule="auto"/>
              <w:ind w:firstLine="480" w:firstLineChars="200"/>
              <w:rPr>
                <w:snapToGrid w:val="0"/>
                <w:color w:val="000000"/>
                <w:kern w:val="0"/>
                <w:sz w:val="24"/>
              </w:rPr>
            </w:pPr>
            <w:r>
              <w:rPr>
                <w:sz w:val="24"/>
              </w:rPr>
              <w:drawing>
                <wp:anchor distT="0" distB="0" distL="114300" distR="114300" simplePos="0" relativeHeight="251662336" behindDoc="0" locked="0" layoutInCell="1" allowOverlap="1">
                  <wp:simplePos x="0" y="0"/>
                  <wp:positionH relativeFrom="column">
                    <wp:posOffset>1682750</wp:posOffset>
                  </wp:positionH>
                  <wp:positionV relativeFrom="paragraph">
                    <wp:posOffset>138430</wp:posOffset>
                  </wp:positionV>
                  <wp:extent cx="1358900" cy="457200"/>
                  <wp:effectExtent l="0" t="0" r="12700" b="0"/>
                  <wp:wrapTopAndBottom/>
                  <wp:docPr id="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2"/>
                          <pic:cNvPicPr>
                            <a:picLocks noChangeAspect="1"/>
                          </pic:cNvPicPr>
                        </pic:nvPicPr>
                        <pic:blipFill>
                          <a:blip r:embed="rId34"/>
                          <a:stretch>
                            <a:fillRect/>
                          </a:stretch>
                        </pic:blipFill>
                        <pic:spPr>
                          <a:xfrm>
                            <a:off x="0" y="0"/>
                            <a:ext cx="1358900" cy="457200"/>
                          </a:xfrm>
                          <a:prstGeom prst="rect">
                            <a:avLst/>
                          </a:prstGeom>
                          <a:noFill/>
                          <a:ln>
                            <a:noFill/>
                          </a:ln>
                        </pic:spPr>
                      </pic:pic>
                    </a:graphicData>
                  </a:graphic>
                </wp:anchor>
              </w:drawing>
            </w:r>
            <w:r>
              <w:rPr>
                <w:rFonts w:hint="eastAsia"/>
                <w:snapToGrid w:val="0"/>
                <w:color w:val="000000"/>
                <w:kern w:val="0"/>
                <w:sz w:val="24"/>
              </w:rPr>
              <w:t>式中：</w:t>
            </w:r>
            <w:r>
              <w:rPr>
                <w:snapToGrid w:val="0"/>
                <w:color w:val="000000"/>
                <w:kern w:val="0"/>
                <w:sz w:val="24"/>
              </w:rPr>
              <w:t>n—</w:t>
            </w:r>
            <w:r>
              <w:rPr>
                <w:rFonts w:hint="eastAsia"/>
                <w:snapToGrid w:val="0"/>
                <w:color w:val="000000"/>
                <w:kern w:val="0"/>
                <w:sz w:val="24"/>
              </w:rPr>
              <w:t>声源个数；</w:t>
            </w:r>
          </w:p>
          <w:p>
            <w:pPr>
              <w:adjustRightInd w:val="0"/>
              <w:spacing w:line="360" w:lineRule="auto"/>
              <w:ind w:firstLine="720" w:firstLineChars="300"/>
              <w:rPr>
                <w:snapToGrid w:val="0"/>
                <w:color w:val="000000"/>
                <w:kern w:val="0"/>
                <w:sz w:val="24"/>
              </w:rPr>
            </w:pPr>
            <w:r>
              <w:rPr>
                <w:snapToGrid w:val="0"/>
                <w:color w:val="000000"/>
                <w:kern w:val="0"/>
                <w:sz w:val="24"/>
              </w:rPr>
              <w:t>L</w:t>
            </w:r>
            <w:r>
              <w:rPr>
                <w:snapToGrid w:val="0"/>
                <w:color w:val="000000"/>
                <w:kern w:val="0"/>
                <w:sz w:val="24"/>
                <w:vertAlign w:val="subscript"/>
              </w:rPr>
              <w:t>i</w:t>
            </w:r>
            <w:r>
              <w:rPr>
                <w:snapToGrid w:val="0"/>
                <w:color w:val="000000"/>
                <w:kern w:val="0"/>
                <w:sz w:val="24"/>
              </w:rPr>
              <w:t>—</w:t>
            </w:r>
            <w:r>
              <w:rPr>
                <w:rFonts w:hint="eastAsia"/>
                <w:snapToGrid w:val="0"/>
                <w:color w:val="000000"/>
                <w:kern w:val="0"/>
                <w:sz w:val="24"/>
              </w:rPr>
              <w:t>第</w:t>
            </w:r>
            <w:r>
              <w:rPr>
                <w:snapToGrid w:val="0"/>
                <w:color w:val="000000"/>
                <w:kern w:val="0"/>
                <w:sz w:val="24"/>
              </w:rPr>
              <w:t>i</w:t>
            </w:r>
            <w:r>
              <w:rPr>
                <w:rFonts w:hint="eastAsia"/>
                <w:snapToGrid w:val="0"/>
                <w:color w:val="000000"/>
                <w:kern w:val="0"/>
                <w:sz w:val="24"/>
              </w:rPr>
              <w:t>个声源的噪声值，</w:t>
            </w:r>
            <w:r>
              <w:rPr>
                <w:snapToGrid w:val="0"/>
                <w:color w:val="000000"/>
                <w:kern w:val="0"/>
                <w:sz w:val="24"/>
              </w:rPr>
              <w:t>dB</w:t>
            </w:r>
            <w:r>
              <w:rPr>
                <w:rFonts w:hint="eastAsia"/>
                <w:snapToGrid w:val="0"/>
                <w:color w:val="000000"/>
                <w:kern w:val="0"/>
                <w:sz w:val="24"/>
              </w:rPr>
              <w:t>（</w:t>
            </w:r>
            <w:r>
              <w:rPr>
                <w:snapToGrid w:val="0"/>
                <w:color w:val="000000"/>
                <w:kern w:val="0"/>
                <w:sz w:val="24"/>
              </w:rPr>
              <w:t>A</w:t>
            </w:r>
            <w:r>
              <w:rPr>
                <w:rFonts w:hint="eastAsia"/>
                <w:snapToGrid w:val="0"/>
                <w:color w:val="000000"/>
                <w:kern w:val="0"/>
                <w:sz w:val="24"/>
              </w:rPr>
              <w:t>）；</w:t>
            </w:r>
          </w:p>
          <w:p>
            <w:pPr>
              <w:wordWrap w:val="0"/>
              <w:spacing w:line="360" w:lineRule="auto"/>
              <w:ind w:firstLine="480" w:firstLineChars="200"/>
              <w:rPr>
                <w:rFonts w:hint="eastAsia"/>
                <w:sz w:val="24"/>
              </w:rPr>
            </w:pPr>
            <w:r>
              <w:rPr>
                <w:snapToGrid w:val="0"/>
                <w:color w:val="000000"/>
                <w:kern w:val="0"/>
                <w:sz w:val="24"/>
              </w:rPr>
              <w:t>L</w:t>
            </w:r>
            <w:r>
              <w:rPr>
                <w:snapToGrid w:val="0"/>
                <w:color w:val="000000"/>
                <w:kern w:val="0"/>
                <w:sz w:val="24"/>
                <w:vertAlign w:val="subscript"/>
              </w:rPr>
              <w:t>A</w:t>
            </w:r>
            <w:r>
              <w:rPr>
                <w:snapToGrid w:val="0"/>
                <w:color w:val="000000"/>
                <w:kern w:val="0"/>
                <w:sz w:val="24"/>
              </w:rPr>
              <w:t>—</w:t>
            </w:r>
            <w:r>
              <w:rPr>
                <w:rFonts w:hint="eastAsia"/>
                <w:snapToGrid w:val="0"/>
                <w:color w:val="000000"/>
                <w:kern w:val="0"/>
                <w:sz w:val="24"/>
              </w:rPr>
              <w:t>合成声源噪声值，</w:t>
            </w:r>
            <w:r>
              <w:rPr>
                <w:snapToGrid w:val="0"/>
                <w:color w:val="000000"/>
                <w:kern w:val="0"/>
                <w:sz w:val="24"/>
              </w:rPr>
              <w:t>dB</w:t>
            </w:r>
            <w:r>
              <w:rPr>
                <w:rFonts w:hint="eastAsia"/>
                <w:snapToGrid w:val="0"/>
                <w:color w:val="000000"/>
                <w:kern w:val="0"/>
                <w:sz w:val="24"/>
              </w:rPr>
              <w:t>（</w:t>
            </w:r>
            <w:r>
              <w:rPr>
                <w:snapToGrid w:val="0"/>
                <w:color w:val="000000"/>
                <w:kern w:val="0"/>
                <w:sz w:val="24"/>
              </w:rPr>
              <w:t>A</w:t>
            </w:r>
            <w:r>
              <w:rPr>
                <w:rFonts w:hint="eastAsia"/>
                <w:snapToGrid w:val="0"/>
                <w:color w:val="000000"/>
                <w:kern w:val="0"/>
                <w:sz w:val="24"/>
              </w:rPr>
              <w:t>）；</w:t>
            </w:r>
          </w:p>
          <w:p>
            <w:pPr>
              <w:wordWrap w:val="0"/>
              <w:autoSpaceDE w:val="0"/>
              <w:autoSpaceDN w:val="0"/>
              <w:spacing w:line="360" w:lineRule="auto"/>
              <w:ind w:firstLine="480" w:firstLineChars="200"/>
              <w:jc w:val="left"/>
              <w:rPr>
                <w:rFonts w:hint="eastAsia" w:ascii="宋体" w:hAnsi="宋体" w:cs="宋体"/>
                <w:color w:val="000000"/>
                <w:kern w:val="0"/>
                <w:sz w:val="24"/>
                <w:szCs w:val="22"/>
                <w:u w:val="single"/>
              </w:rPr>
            </w:pPr>
            <w:r>
              <w:rPr>
                <w:rFonts w:hint="eastAsia" w:ascii="宋体" w:hAnsi="宋体" w:cs="宋体"/>
                <w:color w:val="000000"/>
                <w:kern w:val="0"/>
                <w:sz w:val="24"/>
                <w:szCs w:val="22"/>
                <w:u w:val="single"/>
              </w:rPr>
              <w:t>（2）预测结果</w:t>
            </w:r>
          </w:p>
          <w:p>
            <w:pPr>
              <w:wordWrap w:val="0"/>
              <w:spacing w:line="360" w:lineRule="auto"/>
              <w:ind w:firstLine="480" w:firstLineChars="200"/>
              <w:rPr>
                <w:sz w:val="24"/>
                <w:u w:val="single"/>
              </w:rPr>
            </w:pPr>
            <w:r>
              <w:rPr>
                <w:rFonts w:hint="eastAsia"/>
                <w:sz w:val="24"/>
                <w:u w:val="single"/>
              </w:rPr>
              <w:t>厂界噪声预测结果见下表：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u w:val="single"/>
              </w:rPr>
            </w:pPr>
            <w:r>
              <w:rPr>
                <w:rFonts w:hint="eastAsia" w:cs="宋体"/>
                <w:b/>
                <w:szCs w:val="21"/>
                <w:u w:val="single"/>
              </w:rPr>
              <w:t>表4.2-16：厂界噪声预测结果（单位：dB（A））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702"/>
              <w:gridCol w:w="2187"/>
              <w:gridCol w:w="1861"/>
              <w:gridCol w:w="18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568" w:type="pct"/>
                  <w:vMerge w:val="restart"/>
                  <w:noWrap w:val="0"/>
                  <w:vAlign w:val="center"/>
                </w:tcPr>
                <w:p>
                  <w:pPr>
                    <w:wordWrap w:val="0"/>
                    <w:adjustRightInd w:val="0"/>
                    <w:jc w:val="center"/>
                    <w:rPr>
                      <w:b/>
                      <w:color w:val="000000"/>
                      <w:kern w:val="0"/>
                      <w:szCs w:val="21"/>
                      <w:u w:val="single"/>
                    </w:rPr>
                  </w:pPr>
                  <w:r>
                    <w:rPr>
                      <w:b/>
                      <w:color w:val="000000"/>
                      <w:kern w:val="0"/>
                      <w:szCs w:val="21"/>
                      <w:u w:val="single"/>
                    </w:rPr>
                    <w:t>位置</w:t>
                  </w:r>
                </w:p>
              </w:tc>
              <w:tc>
                <w:tcPr>
                  <w:tcW w:w="1269" w:type="pct"/>
                  <w:vMerge w:val="restart"/>
                  <w:noWrap w:val="0"/>
                  <w:vAlign w:val="center"/>
                </w:tcPr>
                <w:p>
                  <w:pPr>
                    <w:wordWrap w:val="0"/>
                    <w:adjustRightInd w:val="0"/>
                    <w:jc w:val="center"/>
                    <w:rPr>
                      <w:b/>
                      <w:color w:val="000000"/>
                      <w:kern w:val="0"/>
                      <w:szCs w:val="21"/>
                      <w:u w:val="single"/>
                    </w:rPr>
                  </w:pPr>
                  <w:r>
                    <w:rPr>
                      <w:b/>
                      <w:color w:val="000000"/>
                      <w:kern w:val="0"/>
                      <w:szCs w:val="21"/>
                      <w:u w:val="single"/>
                    </w:rPr>
                    <w:t>贡献值</w:t>
                  </w:r>
                </w:p>
              </w:tc>
              <w:tc>
                <w:tcPr>
                  <w:tcW w:w="2162" w:type="pct"/>
                  <w:gridSpan w:val="2"/>
                  <w:noWrap w:val="0"/>
                  <w:vAlign w:val="center"/>
                </w:tcPr>
                <w:p>
                  <w:pPr>
                    <w:wordWrap w:val="0"/>
                    <w:adjustRightInd w:val="0"/>
                    <w:jc w:val="center"/>
                    <w:rPr>
                      <w:b/>
                      <w:color w:val="000000"/>
                      <w:kern w:val="0"/>
                      <w:szCs w:val="21"/>
                      <w:u w:val="single"/>
                    </w:rPr>
                  </w:pPr>
                  <w:r>
                    <w:rPr>
                      <w:b/>
                      <w:color w:val="000000"/>
                      <w:kern w:val="0"/>
                      <w:szCs w:val="21"/>
                      <w:u w:val="single"/>
                    </w:rPr>
                    <w:t>昼间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568" w:type="pct"/>
                  <w:vMerge w:val="continue"/>
                  <w:noWrap w:val="0"/>
                  <w:vAlign w:val="center"/>
                </w:tcPr>
                <w:p>
                  <w:pPr>
                    <w:widowControl/>
                    <w:wordWrap w:val="0"/>
                    <w:adjustRightInd w:val="0"/>
                    <w:jc w:val="center"/>
                    <w:rPr>
                      <w:b/>
                      <w:color w:val="000000"/>
                      <w:kern w:val="0"/>
                      <w:szCs w:val="21"/>
                      <w:u w:val="single"/>
                    </w:rPr>
                  </w:pPr>
                </w:p>
              </w:tc>
              <w:tc>
                <w:tcPr>
                  <w:tcW w:w="1269" w:type="pct"/>
                  <w:vMerge w:val="continue"/>
                  <w:noWrap w:val="0"/>
                  <w:vAlign w:val="center"/>
                </w:tcPr>
                <w:p>
                  <w:pPr>
                    <w:widowControl/>
                    <w:wordWrap w:val="0"/>
                    <w:adjustRightInd w:val="0"/>
                    <w:jc w:val="center"/>
                    <w:rPr>
                      <w:b/>
                      <w:color w:val="000000"/>
                      <w:kern w:val="0"/>
                      <w:szCs w:val="21"/>
                      <w:u w:val="single"/>
                    </w:rPr>
                  </w:pPr>
                </w:p>
              </w:tc>
              <w:tc>
                <w:tcPr>
                  <w:tcW w:w="1080" w:type="pct"/>
                  <w:noWrap w:val="0"/>
                  <w:vAlign w:val="center"/>
                </w:tcPr>
                <w:p>
                  <w:pPr>
                    <w:widowControl/>
                    <w:wordWrap w:val="0"/>
                    <w:adjustRightInd w:val="0"/>
                    <w:jc w:val="center"/>
                    <w:rPr>
                      <w:b/>
                      <w:color w:val="000000"/>
                      <w:kern w:val="0"/>
                      <w:szCs w:val="21"/>
                      <w:u w:val="single"/>
                    </w:rPr>
                  </w:pPr>
                  <w:r>
                    <w:rPr>
                      <w:b/>
                      <w:color w:val="000000"/>
                      <w:kern w:val="0"/>
                      <w:szCs w:val="21"/>
                      <w:u w:val="single"/>
                    </w:rPr>
                    <w:t>标准限值</w:t>
                  </w:r>
                </w:p>
              </w:tc>
              <w:tc>
                <w:tcPr>
                  <w:tcW w:w="1081" w:type="pct"/>
                  <w:noWrap w:val="0"/>
                  <w:vAlign w:val="center"/>
                </w:tcPr>
                <w:p>
                  <w:pPr>
                    <w:widowControl/>
                    <w:wordWrap w:val="0"/>
                    <w:adjustRightInd w:val="0"/>
                    <w:jc w:val="center"/>
                    <w:rPr>
                      <w:b/>
                      <w:color w:val="000000"/>
                      <w:kern w:val="0"/>
                      <w:szCs w:val="21"/>
                      <w:u w:val="single"/>
                    </w:rPr>
                  </w:pPr>
                  <w:r>
                    <w:rPr>
                      <w:b/>
                      <w:color w:val="000000"/>
                      <w:kern w:val="0"/>
                      <w:szCs w:val="21"/>
                      <w:u w:val="single"/>
                    </w:rPr>
                    <w:t>达标判断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568" w:type="pct"/>
                  <w:noWrap w:val="0"/>
                  <w:vAlign w:val="center"/>
                </w:tcPr>
                <w:p>
                  <w:pPr>
                    <w:widowControl/>
                    <w:wordWrap w:val="0"/>
                    <w:adjustRightInd w:val="0"/>
                    <w:jc w:val="center"/>
                    <w:rPr>
                      <w:rFonts w:hint="eastAsia" w:eastAsia="宋体"/>
                      <w:color w:val="000000"/>
                      <w:kern w:val="0"/>
                      <w:szCs w:val="21"/>
                      <w:u w:val="single"/>
                      <w:lang w:eastAsia="zh-CN"/>
                    </w:rPr>
                  </w:pPr>
                  <w:r>
                    <w:rPr>
                      <w:color w:val="000000"/>
                      <w:kern w:val="0"/>
                      <w:szCs w:val="21"/>
                      <w:u w:val="single"/>
                    </w:rPr>
                    <w:t>场界东</w:t>
                  </w:r>
                  <w:r>
                    <w:rPr>
                      <w:rFonts w:hint="eastAsia"/>
                      <w:color w:val="000000"/>
                      <w:kern w:val="0"/>
                      <w:szCs w:val="21"/>
                      <w:u w:val="single"/>
                      <w:lang w:eastAsia="zh-CN"/>
                    </w:rPr>
                    <w:t>侧</w:t>
                  </w:r>
                  <w:r>
                    <w:rPr>
                      <w:color w:val="000000"/>
                      <w:kern w:val="0"/>
                      <w:szCs w:val="21"/>
                      <w:u w:val="single"/>
                    </w:rPr>
                    <w:t>1m</w:t>
                  </w:r>
                  <w:r>
                    <w:rPr>
                      <w:rFonts w:hint="eastAsia"/>
                      <w:color w:val="000000"/>
                      <w:kern w:val="0"/>
                      <w:szCs w:val="21"/>
                      <w:u w:val="single"/>
                      <w:lang w:eastAsia="zh-CN"/>
                    </w:rPr>
                    <w:t>处</w:t>
                  </w:r>
                </w:p>
              </w:tc>
              <w:tc>
                <w:tcPr>
                  <w:tcW w:w="1269" w:type="pct"/>
                  <w:noWrap w:val="0"/>
                  <w:vAlign w:val="center"/>
                </w:tcPr>
                <w:p>
                  <w:pPr>
                    <w:wordWrap w:val="0"/>
                    <w:adjustRightInd w:val="0"/>
                    <w:jc w:val="center"/>
                    <w:rPr>
                      <w:color w:val="000000"/>
                      <w:szCs w:val="21"/>
                      <w:u w:val="single"/>
                    </w:rPr>
                  </w:pPr>
                  <w:r>
                    <w:rPr>
                      <w:rFonts w:hint="eastAsia"/>
                      <w:color w:val="000000"/>
                      <w:szCs w:val="21"/>
                      <w:u w:val="single"/>
                    </w:rPr>
                    <w:t>35.76</w:t>
                  </w:r>
                </w:p>
              </w:tc>
              <w:tc>
                <w:tcPr>
                  <w:tcW w:w="1080" w:type="pct"/>
                  <w:tcBorders>
                    <w:bottom w:val="single" w:color="auto" w:sz="4" w:space="0"/>
                  </w:tcBorders>
                  <w:noWrap w:val="0"/>
                  <w:vAlign w:val="center"/>
                </w:tcPr>
                <w:p>
                  <w:pPr>
                    <w:widowControl/>
                    <w:wordWrap w:val="0"/>
                    <w:adjustRightInd w:val="0"/>
                    <w:jc w:val="center"/>
                    <w:rPr>
                      <w:color w:val="000000"/>
                      <w:kern w:val="0"/>
                      <w:szCs w:val="21"/>
                      <w:u w:val="single"/>
                    </w:rPr>
                  </w:pPr>
                  <w:r>
                    <w:rPr>
                      <w:rFonts w:hint="eastAsia"/>
                      <w:color w:val="000000"/>
                      <w:kern w:val="0"/>
                      <w:szCs w:val="21"/>
                      <w:u w:val="single"/>
                    </w:rPr>
                    <w:t>70</w:t>
                  </w:r>
                </w:p>
              </w:tc>
              <w:tc>
                <w:tcPr>
                  <w:tcW w:w="1081" w:type="pct"/>
                  <w:noWrap w:val="0"/>
                  <w:vAlign w:val="center"/>
                </w:tcPr>
                <w:p>
                  <w:pPr>
                    <w:widowControl/>
                    <w:wordWrap w:val="0"/>
                    <w:adjustRightInd w:val="0"/>
                    <w:jc w:val="center"/>
                    <w:rPr>
                      <w:color w:val="000000"/>
                      <w:kern w:val="0"/>
                      <w:szCs w:val="21"/>
                      <w:u w:val="single"/>
                    </w:rPr>
                  </w:pPr>
                  <w:r>
                    <w:rPr>
                      <w:color w:val="000000"/>
                      <w:kern w:val="0"/>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568" w:type="pct"/>
                  <w:noWrap w:val="0"/>
                  <w:vAlign w:val="center"/>
                </w:tcPr>
                <w:p>
                  <w:pPr>
                    <w:widowControl/>
                    <w:wordWrap w:val="0"/>
                    <w:adjustRightInd w:val="0"/>
                    <w:jc w:val="center"/>
                    <w:rPr>
                      <w:color w:val="000000"/>
                      <w:kern w:val="0"/>
                      <w:szCs w:val="21"/>
                      <w:u w:val="single"/>
                    </w:rPr>
                  </w:pPr>
                  <w:r>
                    <w:rPr>
                      <w:color w:val="000000"/>
                      <w:kern w:val="0"/>
                      <w:szCs w:val="21"/>
                      <w:u w:val="single"/>
                    </w:rPr>
                    <w:t>场界南</w:t>
                  </w:r>
                  <w:r>
                    <w:rPr>
                      <w:rFonts w:hint="eastAsia"/>
                      <w:color w:val="000000"/>
                      <w:kern w:val="0"/>
                      <w:szCs w:val="21"/>
                      <w:u w:val="single"/>
                      <w:lang w:eastAsia="zh-CN"/>
                    </w:rPr>
                    <w:t>侧</w:t>
                  </w:r>
                  <w:r>
                    <w:rPr>
                      <w:color w:val="000000"/>
                      <w:kern w:val="0"/>
                      <w:szCs w:val="21"/>
                      <w:u w:val="single"/>
                    </w:rPr>
                    <w:t>1m</w:t>
                  </w:r>
                  <w:r>
                    <w:rPr>
                      <w:rFonts w:hint="eastAsia"/>
                      <w:color w:val="000000"/>
                      <w:kern w:val="0"/>
                      <w:szCs w:val="21"/>
                      <w:u w:val="single"/>
                      <w:lang w:eastAsia="zh-CN"/>
                    </w:rPr>
                    <w:t>处</w:t>
                  </w:r>
                </w:p>
              </w:tc>
              <w:tc>
                <w:tcPr>
                  <w:tcW w:w="1269" w:type="pct"/>
                  <w:noWrap w:val="0"/>
                  <w:vAlign w:val="center"/>
                </w:tcPr>
                <w:p>
                  <w:pPr>
                    <w:wordWrap w:val="0"/>
                    <w:adjustRightInd w:val="0"/>
                    <w:jc w:val="center"/>
                    <w:rPr>
                      <w:color w:val="000000"/>
                      <w:szCs w:val="21"/>
                      <w:u w:val="single"/>
                    </w:rPr>
                  </w:pPr>
                  <w:r>
                    <w:rPr>
                      <w:rFonts w:hint="eastAsia"/>
                      <w:color w:val="000000"/>
                      <w:szCs w:val="21"/>
                      <w:u w:val="single"/>
                    </w:rPr>
                    <w:t>24.99</w:t>
                  </w:r>
                </w:p>
              </w:tc>
              <w:tc>
                <w:tcPr>
                  <w:tcW w:w="1080" w:type="pct"/>
                  <w:vMerge w:val="restart"/>
                  <w:tcBorders>
                    <w:top w:val="single" w:color="auto" w:sz="4" w:space="0"/>
                  </w:tcBorders>
                  <w:noWrap w:val="0"/>
                  <w:vAlign w:val="center"/>
                </w:tcPr>
                <w:p>
                  <w:pPr>
                    <w:widowControl/>
                    <w:wordWrap w:val="0"/>
                    <w:adjustRightInd w:val="0"/>
                    <w:jc w:val="center"/>
                    <w:rPr>
                      <w:color w:val="000000"/>
                      <w:kern w:val="0"/>
                      <w:szCs w:val="21"/>
                      <w:u w:val="single"/>
                    </w:rPr>
                  </w:pPr>
                  <w:r>
                    <w:rPr>
                      <w:color w:val="000000"/>
                      <w:kern w:val="0"/>
                      <w:szCs w:val="21"/>
                      <w:u w:val="single"/>
                    </w:rPr>
                    <w:t>60</w:t>
                  </w:r>
                </w:p>
              </w:tc>
              <w:tc>
                <w:tcPr>
                  <w:tcW w:w="1081" w:type="pct"/>
                  <w:noWrap w:val="0"/>
                  <w:vAlign w:val="center"/>
                </w:tcPr>
                <w:p>
                  <w:pPr>
                    <w:widowControl/>
                    <w:wordWrap w:val="0"/>
                    <w:adjustRightInd w:val="0"/>
                    <w:jc w:val="center"/>
                    <w:rPr>
                      <w:color w:val="000000"/>
                      <w:kern w:val="0"/>
                      <w:szCs w:val="21"/>
                      <w:u w:val="single"/>
                    </w:rPr>
                  </w:pPr>
                  <w:r>
                    <w:rPr>
                      <w:color w:val="000000"/>
                      <w:kern w:val="0"/>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568" w:type="pct"/>
                  <w:noWrap w:val="0"/>
                  <w:vAlign w:val="center"/>
                </w:tcPr>
                <w:p>
                  <w:pPr>
                    <w:widowControl/>
                    <w:wordWrap w:val="0"/>
                    <w:adjustRightInd w:val="0"/>
                    <w:jc w:val="center"/>
                    <w:rPr>
                      <w:color w:val="000000"/>
                      <w:kern w:val="0"/>
                      <w:szCs w:val="21"/>
                      <w:u w:val="single"/>
                    </w:rPr>
                  </w:pPr>
                  <w:r>
                    <w:rPr>
                      <w:color w:val="000000"/>
                      <w:kern w:val="0"/>
                      <w:szCs w:val="21"/>
                      <w:u w:val="single"/>
                    </w:rPr>
                    <w:t>场界西</w:t>
                  </w:r>
                  <w:r>
                    <w:rPr>
                      <w:rFonts w:hint="eastAsia"/>
                      <w:color w:val="000000"/>
                      <w:kern w:val="0"/>
                      <w:szCs w:val="21"/>
                      <w:u w:val="single"/>
                      <w:lang w:eastAsia="zh-CN"/>
                    </w:rPr>
                    <w:t>侧</w:t>
                  </w:r>
                  <w:r>
                    <w:rPr>
                      <w:color w:val="000000"/>
                      <w:kern w:val="0"/>
                      <w:szCs w:val="21"/>
                      <w:u w:val="single"/>
                    </w:rPr>
                    <w:t>1m</w:t>
                  </w:r>
                  <w:r>
                    <w:rPr>
                      <w:rFonts w:hint="eastAsia"/>
                      <w:color w:val="000000"/>
                      <w:kern w:val="0"/>
                      <w:szCs w:val="21"/>
                      <w:u w:val="single"/>
                      <w:lang w:eastAsia="zh-CN"/>
                    </w:rPr>
                    <w:t>处</w:t>
                  </w:r>
                </w:p>
              </w:tc>
              <w:tc>
                <w:tcPr>
                  <w:tcW w:w="1269" w:type="pct"/>
                  <w:noWrap w:val="0"/>
                  <w:vAlign w:val="center"/>
                </w:tcPr>
                <w:p>
                  <w:pPr>
                    <w:wordWrap w:val="0"/>
                    <w:adjustRightInd w:val="0"/>
                    <w:jc w:val="center"/>
                    <w:rPr>
                      <w:color w:val="000000"/>
                      <w:szCs w:val="21"/>
                      <w:u w:val="single"/>
                    </w:rPr>
                  </w:pPr>
                  <w:r>
                    <w:rPr>
                      <w:rFonts w:hint="eastAsia"/>
                      <w:color w:val="000000"/>
                      <w:szCs w:val="21"/>
                      <w:u w:val="single"/>
                    </w:rPr>
                    <w:t>55.31</w:t>
                  </w:r>
                </w:p>
              </w:tc>
              <w:tc>
                <w:tcPr>
                  <w:tcW w:w="1080" w:type="pct"/>
                  <w:vMerge w:val="continue"/>
                  <w:tcBorders>
                    <w:top w:val="single" w:color="auto" w:sz="4" w:space="0"/>
                    <w:bottom w:val="single" w:color="auto" w:sz="4" w:space="0"/>
                  </w:tcBorders>
                  <w:noWrap w:val="0"/>
                  <w:vAlign w:val="center"/>
                </w:tcPr>
                <w:p>
                  <w:pPr>
                    <w:widowControl/>
                    <w:wordWrap w:val="0"/>
                    <w:adjustRightInd w:val="0"/>
                    <w:jc w:val="center"/>
                    <w:rPr>
                      <w:color w:val="000000"/>
                      <w:kern w:val="0"/>
                      <w:szCs w:val="21"/>
                      <w:u w:val="single"/>
                    </w:rPr>
                  </w:pPr>
                </w:p>
              </w:tc>
              <w:tc>
                <w:tcPr>
                  <w:tcW w:w="1081" w:type="pct"/>
                  <w:noWrap w:val="0"/>
                  <w:vAlign w:val="center"/>
                </w:tcPr>
                <w:p>
                  <w:pPr>
                    <w:widowControl/>
                    <w:wordWrap w:val="0"/>
                    <w:adjustRightInd w:val="0"/>
                    <w:jc w:val="center"/>
                    <w:rPr>
                      <w:color w:val="000000"/>
                      <w:kern w:val="0"/>
                      <w:szCs w:val="21"/>
                      <w:u w:val="single"/>
                    </w:rPr>
                  </w:pPr>
                  <w:r>
                    <w:rPr>
                      <w:color w:val="000000"/>
                      <w:kern w:val="0"/>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568" w:type="pct"/>
                  <w:noWrap w:val="0"/>
                  <w:vAlign w:val="center"/>
                </w:tcPr>
                <w:p>
                  <w:pPr>
                    <w:widowControl/>
                    <w:wordWrap w:val="0"/>
                    <w:adjustRightInd w:val="0"/>
                    <w:jc w:val="center"/>
                    <w:rPr>
                      <w:color w:val="000000"/>
                      <w:kern w:val="0"/>
                      <w:szCs w:val="21"/>
                      <w:u w:val="single"/>
                    </w:rPr>
                  </w:pPr>
                  <w:r>
                    <w:rPr>
                      <w:color w:val="000000"/>
                      <w:kern w:val="0"/>
                      <w:szCs w:val="21"/>
                      <w:u w:val="single"/>
                    </w:rPr>
                    <w:t>场界北</w:t>
                  </w:r>
                  <w:r>
                    <w:rPr>
                      <w:rFonts w:hint="eastAsia"/>
                      <w:color w:val="000000"/>
                      <w:kern w:val="0"/>
                      <w:szCs w:val="21"/>
                      <w:u w:val="single"/>
                      <w:lang w:eastAsia="zh-CN"/>
                    </w:rPr>
                    <w:t>侧</w:t>
                  </w:r>
                  <w:r>
                    <w:rPr>
                      <w:color w:val="000000"/>
                      <w:kern w:val="0"/>
                      <w:szCs w:val="21"/>
                      <w:u w:val="single"/>
                    </w:rPr>
                    <w:t>1m</w:t>
                  </w:r>
                  <w:r>
                    <w:rPr>
                      <w:rFonts w:hint="eastAsia"/>
                      <w:color w:val="000000"/>
                      <w:kern w:val="0"/>
                      <w:szCs w:val="21"/>
                      <w:u w:val="single"/>
                      <w:lang w:eastAsia="zh-CN"/>
                    </w:rPr>
                    <w:t>处</w:t>
                  </w:r>
                </w:p>
              </w:tc>
              <w:tc>
                <w:tcPr>
                  <w:tcW w:w="1269" w:type="pct"/>
                  <w:noWrap w:val="0"/>
                  <w:vAlign w:val="center"/>
                </w:tcPr>
                <w:p>
                  <w:pPr>
                    <w:widowControl/>
                    <w:wordWrap w:val="0"/>
                    <w:adjustRightInd w:val="0"/>
                    <w:jc w:val="center"/>
                    <w:rPr>
                      <w:color w:val="000000"/>
                      <w:kern w:val="0"/>
                      <w:szCs w:val="21"/>
                      <w:u w:val="single"/>
                    </w:rPr>
                  </w:pPr>
                  <w:r>
                    <w:rPr>
                      <w:rFonts w:hint="eastAsia"/>
                      <w:color w:val="000000"/>
                      <w:kern w:val="0"/>
                      <w:szCs w:val="21"/>
                      <w:u w:val="single"/>
                    </w:rPr>
                    <w:t>42.33</w:t>
                  </w:r>
                </w:p>
              </w:tc>
              <w:tc>
                <w:tcPr>
                  <w:tcW w:w="1080" w:type="pct"/>
                  <w:vMerge w:val="continue"/>
                  <w:tcBorders>
                    <w:top w:val="single" w:color="auto" w:sz="4" w:space="0"/>
                    <w:bottom w:val="single" w:color="auto" w:sz="4" w:space="0"/>
                  </w:tcBorders>
                  <w:noWrap w:val="0"/>
                  <w:vAlign w:val="center"/>
                </w:tcPr>
                <w:p>
                  <w:pPr>
                    <w:widowControl/>
                    <w:wordWrap w:val="0"/>
                    <w:adjustRightInd w:val="0"/>
                    <w:jc w:val="center"/>
                    <w:rPr>
                      <w:color w:val="000000"/>
                      <w:kern w:val="0"/>
                      <w:szCs w:val="21"/>
                      <w:u w:val="single"/>
                    </w:rPr>
                  </w:pPr>
                </w:p>
              </w:tc>
              <w:tc>
                <w:tcPr>
                  <w:tcW w:w="1081" w:type="pct"/>
                  <w:noWrap w:val="0"/>
                  <w:vAlign w:val="center"/>
                </w:tcPr>
                <w:p>
                  <w:pPr>
                    <w:widowControl/>
                    <w:wordWrap w:val="0"/>
                    <w:adjustRightInd w:val="0"/>
                    <w:jc w:val="center"/>
                    <w:rPr>
                      <w:color w:val="000000"/>
                      <w:kern w:val="0"/>
                      <w:szCs w:val="21"/>
                      <w:u w:val="single"/>
                    </w:rPr>
                  </w:pPr>
                  <w:r>
                    <w:rPr>
                      <w:color w:val="000000"/>
                      <w:kern w:val="0"/>
                      <w:szCs w:val="21"/>
                      <w:u w:val="single"/>
                    </w:rPr>
                    <w:t>达</w:t>
                  </w:r>
                  <w:r>
                    <w:rPr>
                      <w:rFonts w:hint="eastAsia"/>
                      <w:color w:val="000000"/>
                      <w:kern w:val="0"/>
                      <w:szCs w:val="21"/>
                      <w:u w:val="single"/>
                    </w:rPr>
                    <w:t>标</w:t>
                  </w:r>
                  <w:r>
                    <w:rPr>
                      <w:color w:val="000000"/>
                      <w:kern w:val="0"/>
                      <w:szCs w:val="21"/>
                      <w:u w:val="single"/>
                    </w:rPr>
                    <w:cr/>
                  </w:r>
                </w:p>
              </w:tc>
            </w:tr>
          </w:tbl>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drawing>
                <wp:inline distT="0" distB="0" distL="114300" distR="114300">
                  <wp:extent cx="5028565" cy="3557905"/>
                  <wp:effectExtent l="0" t="0" r="635" b="4445"/>
                  <wp:docPr id="17" name="图片 1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1" descr="12"/>
                          <pic:cNvPicPr>
                            <a:picLocks noChangeAspect="1"/>
                          </pic:cNvPicPr>
                        </pic:nvPicPr>
                        <pic:blipFill>
                          <a:blip r:embed="rId35"/>
                          <a:stretch>
                            <a:fillRect/>
                          </a:stretch>
                        </pic:blipFill>
                        <pic:spPr>
                          <a:xfrm>
                            <a:off x="0" y="0"/>
                            <a:ext cx="5028565" cy="3557905"/>
                          </a:xfrm>
                          <a:prstGeom prst="rect">
                            <a:avLst/>
                          </a:prstGeom>
                          <a:noFill/>
                          <a:ln>
                            <a:noFill/>
                          </a:ln>
                        </pic:spPr>
                      </pic:pic>
                    </a:graphicData>
                  </a:graphic>
                </wp:inline>
              </w:drawing>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图4.2-3：噪声预测结果图</w:t>
            </w:r>
          </w:p>
          <w:p>
            <w:pPr>
              <w:wordWrap w:val="0"/>
              <w:spacing w:line="360" w:lineRule="auto"/>
              <w:ind w:firstLine="480" w:firstLineChars="200"/>
              <w:rPr>
                <w:sz w:val="24"/>
                <w:u w:val="single"/>
              </w:rPr>
            </w:pPr>
            <w:r>
              <w:rPr>
                <w:rFonts w:hint="eastAsia"/>
                <w:sz w:val="24"/>
                <w:u w:val="single"/>
              </w:rPr>
              <w:t>根据以上图、表可知：项目厂界南侧、西侧、北侧昼间（夜间不生产）噪声预测值能达到《工业企业厂界环境噪声排放标准》（GB12348-2008）2类区标准要求，东侧能达到4类标准要求，满足相应功能区要求。</w:t>
            </w:r>
          </w:p>
          <w:p>
            <w:pPr>
              <w:keepNext/>
              <w:keepLines/>
              <w:wordWrap w:val="0"/>
              <w:spacing w:before="200" w:after="200"/>
              <w:outlineLvl w:val="3"/>
              <w:rPr>
                <w:b/>
                <w:sz w:val="24"/>
              </w:rPr>
            </w:pPr>
            <w:r>
              <w:rPr>
                <w:rFonts w:hint="eastAsia"/>
                <w:b/>
                <w:sz w:val="24"/>
              </w:rPr>
              <w:t>4.2.3.4自行监测</w:t>
            </w:r>
          </w:p>
          <w:p>
            <w:pPr>
              <w:wordWrap w:val="0"/>
              <w:spacing w:line="360" w:lineRule="auto"/>
              <w:ind w:firstLine="480" w:firstLineChars="200"/>
              <w:rPr>
                <w:sz w:val="24"/>
                <w:u w:val="single"/>
              </w:rPr>
            </w:pPr>
            <w:r>
              <w:rPr>
                <w:rFonts w:hint="eastAsia"/>
                <w:sz w:val="24"/>
                <w:u w:val="single"/>
              </w:rPr>
              <w:t>根据《排污单位自行监测技术指南总则》（HJ 819-2017），项目运营期噪声自行监测计划见下表。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u w:val="single"/>
              </w:rPr>
            </w:pPr>
            <w:r>
              <w:rPr>
                <w:rFonts w:hint="eastAsia" w:cs="宋体"/>
                <w:b/>
                <w:szCs w:val="21"/>
                <w:u w:val="single"/>
              </w:rPr>
              <w:t>表4.2-17：监测计划</w:t>
            </w:r>
          </w:p>
          <w:tbl>
            <w:tblPr>
              <w:tblStyle w:val="24"/>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370"/>
              <w:gridCol w:w="1584"/>
              <w:gridCol w:w="1601"/>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99" w:type="dxa"/>
                  <w:noWrap w:val="0"/>
                  <w:vAlign w:val="center"/>
                </w:tcPr>
                <w:p>
                  <w:pPr>
                    <w:widowControl/>
                    <w:jc w:val="center"/>
                    <w:rPr>
                      <w:b/>
                      <w:bCs/>
                      <w:color w:val="000000"/>
                      <w:u w:val="single"/>
                    </w:rPr>
                  </w:pPr>
                  <w:r>
                    <w:rPr>
                      <w:rFonts w:hint="eastAsia"/>
                      <w:b/>
                      <w:bCs/>
                      <w:color w:val="000000"/>
                      <w:u w:val="single"/>
                    </w:rPr>
                    <w:t>监测内容</w:t>
                  </w:r>
                </w:p>
              </w:tc>
              <w:tc>
                <w:tcPr>
                  <w:tcW w:w="1370" w:type="dxa"/>
                  <w:noWrap w:val="0"/>
                  <w:vAlign w:val="center"/>
                </w:tcPr>
                <w:p>
                  <w:pPr>
                    <w:widowControl/>
                    <w:jc w:val="center"/>
                    <w:rPr>
                      <w:b/>
                      <w:bCs/>
                      <w:color w:val="000000"/>
                      <w:u w:val="single"/>
                    </w:rPr>
                  </w:pPr>
                  <w:r>
                    <w:rPr>
                      <w:rFonts w:hint="eastAsia"/>
                      <w:b/>
                      <w:bCs/>
                      <w:color w:val="000000"/>
                      <w:u w:val="single"/>
                    </w:rPr>
                    <w:t>监测项目</w:t>
                  </w:r>
                </w:p>
              </w:tc>
              <w:tc>
                <w:tcPr>
                  <w:tcW w:w="1584" w:type="dxa"/>
                  <w:noWrap w:val="0"/>
                  <w:vAlign w:val="center"/>
                </w:tcPr>
                <w:p>
                  <w:pPr>
                    <w:widowControl/>
                    <w:jc w:val="center"/>
                    <w:rPr>
                      <w:b/>
                      <w:bCs/>
                      <w:color w:val="000000"/>
                      <w:u w:val="single"/>
                    </w:rPr>
                  </w:pPr>
                  <w:r>
                    <w:rPr>
                      <w:rFonts w:hint="eastAsia"/>
                      <w:b/>
                      <w:bCs/>
                      <w:color w:val="000000"/>
                      <w:u w:val="single"/>
                    </w:rPr>
                    <w:t>监测点设置</w:t>
                  </w:r>
                </w:p>
              </w:tc>
              <w:tc>
                <w:tcPr>
                  <w:tcW w:w="1601" w:type="dxa"/>
                  <w:noWrap w:val="0"/>
                  <w:vAlign w:val="center"/>
                </w:tcPr>
                <w:p>
                  <w:pPr>
                    <w:widowControl/>
                    <w:jc w:val="center"/>
                    <w:rPr>
                      <w:b/>
                      <w:bCs/>
                      <w:color w:val="000000"/>
                      <w:u w:val="single"/>
                    </w:rPr>
                  </w:pPr>
                  <w:r>
                    <w:rPr>
                      <w:rFonts w:hint="eastAsia"/>
                      <w:b/>
                      <w:bCs/>
                      <w:color w:val="000000"/>
                      <w:u w:val="single"/>
                    </w:rPr>
                    <w:t>监测频率</w:t>
                  </w:r>
                </w:p>
              </w:tc>
              <w:tc>
                <w:tcPr>
                  <w:tcW w:w="2564" w:type="dxa"/>
                  <w:noWrap w:val="0"/>
                  <w:vAlign w:val="center"/>
                </w:tcPr>
                <w:p>
                  <w:pPr>
                    <w:widowControl/>
                    <w:jc w:val="center"/>
                    <w:rPr>
                      <w:b/>
                      <w:bCs/>
                      <w:color w:val="000000"/>
                      <w:u w:val="single"/>
                    </w:rPr>
                  </w:pPr>
                  <w:r>
                    <w:rPr>
                      <w:rFonts w:hint="eastAsia"/>
                      <w:b/>
                      <w:bCs/>
                      <w:color w:val="000000"/>
                      <w:u w:val="singl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299" w:type="dxa"/>
                  <w:noWrap w:val="0"/>
                  <w:vAlign w:val="center"/>
                </w:tcPr>
                <w:p>
                  <w:pPr>
                    <w:widowControl/>
                    <w:jc w:val="center"/>
                    <w:rPr>
                      <w:color w:val="000000"/>
                      <w:u w:val="single"/>
                    </w:rPr>
                  </w:pPr>
                  <w:r>
                    <w:rPr>
                      <w:rFonts w:hint="eastAsia"/>
                      <w:color w:val="000000"/>
                      <w:u w:val="single"/>
                    </w:rPr>
                    <w:t>噪声</w:t>
                  </w:r>
                </w:p>
              </w:tc>
              <w:tc>
                <w:tcPr>
                  <w:tcW w:w="1370" w:type="dxa"/>
                  <w:noWrap w:val="0"/>
                  <w:vAlign w:val="center"/>
                </w:tcPr>
                <w:p>
                  <w:pPr>
                    <w:widowControl/>
                    <w:jc w:val="center"/>
                    <w:rPr>
                      <w:color w:val="000000"/>
                      <w:u w:val="single"/>
                    </w:rPr>
                  </w:pPr>
                  <w:r>
                    <w:rPr>
                      <w:rFonts w:hint="eastAsia"/>
                      <w:color w:val="000000"/>
                      <w:u w:val="single"/>
                    </w:rPr>
                    <w:t>等效连续A声级</w:t>
                  </w:r>
                </w:p>
              </w:tc>
              <w:tc>
                <w:tcPr>
                  <w:tcW w:w="1584" w:type="dxa"/>
                  <w:noWrap w:val="0"/>
                  <w:vAlign w:val="center"/>
                </w:tcPr>
                <w:p>
                  <w:pPr>
                    <w:widowControl/>
                    <w:jc w:val="center"/>
                    <w:rPr>
                      <w:color w:val="000000"/>
                      <w:u w:val="single"/>
                    </w:rPr>
                  </w:pPr>
                  <w:r>
                    <w:rPr>
                      <w:rFonts w:hint="eastAsia"/>
                      <w:color w:val="000000"/>
                      <w:u w:val="single"/>
                    </w:rPr>
                    <w:t>厂界四周</w:t>
                  </w:r>
                </w:p>
              </w:tc>
              <w:tc>
                <w:tcPr>
                  <w:tcW w:w="1601" w:type="dxa"/>
                  <w:noWrap w:val="0"/>
                  <w:vAlign w:val="center"/>
                </w:tcPr>
                <w:p>
                  <w:pPr>
                    <w:widowControl/>
                    <w:jc w:val="center"/>
                    <w:rPr>
                      <w:rFonts w:hint="eastAsia"/>
                      <w:color w:val="000000"/>
                      <w:u w:val="single"/>
                    </w:rPr>
                  </w:pPr>
                  <w:r>
                    <w:rPr>
                      <w:rFonts w:hint="eastAsia"/>
                      <w:color w:val="000000"/>
                      <w:u w:val="single"/>
                    </w:rPr>
                    <w:t>每季度昼、夜监测1次</w:t>
                  </w:r>
                </w:p>
              </w:tc>
              <w:tc>
                <w:tcPr>
                  <w:tcW w:w="2564" w:type="dxa"/>
                  <w:noWrap w:val="0"/>
                  <w:vAlign w:val="center"/>
                </w:tcPr>
                <w:p>
                  <w:pPr>
                    <w:widowControl/>
                    <w:jc w:val="center"/>
                    <w:rPr>
                      <w:rFonts w:hint="eastAsia"/>
                      <w:color w:val="000000"/>
                      <w:u w:val="single"/>
                    </w:rPr>
                  </w:pPr>
                  <w:r>
                    <w:rPr>
                      <w:rFonts w:hint="eastAsia"/>
                      <w:color w:val="000000"/>
                      <w:u w:val="single"/>
                    </w:rPr>
                    <w:t>《工业企业厂界环境噪声排放标准》(GB12348-2008) 中2类限值，东侧执行4类标准</w:t>
                  </w:r>
                </w:p>
              </w:tc>
            </w:tr>
          </w:tbl>
          <w:p>
            <w:pPr>
              <w:keepNext/>
              <w:keepLines/>
              <w:wordWrap w:val="0"/>
              <w:spacing w:before="192" w:beforeLines="80" w:after="192" w:afterLines="80"/>
              <w:outlineLvl w:val="2"/>
              <w:rPr>
                <w:b/>
                <w:bCs/>
                <w:sz w:val="28"/>
                <w:szCs w:val="32"/>
              </w:rPr>
            </w:pPr>
            <w:bookmarkStart w:id="120" w:name="_Toc109294490"/>
            <w:bookmarkStart w:id="121" w:name="_Toc109734395"/>
            <w:bookmarkStart w:id="122" w:name="_Toc109630694"/>
            <w:bookmarkStart w:id="123" w:name="_Toc110446498"/>
            <w:bookmarkStart w:id="124" w:name="_Toc111721080"/>
            <w:r>
              <w:rPr>
                <w:rFonts w:hint="eastAsia"/>
                <w:b/>
                <w:bCs/>
                <w:sz w:val="28"/>
                <w:szCs w:val="32"/>
              </w:rPr>
              <w:t>4</w:t>
            </w:r>
            <w:r>
              <w:rPr>
                <w:b/>
                <w:bCs/>
                <w:sz w:val="28"/>
                <w:szCs w:val="32"/>
              </w:rPr>
              <w:t>.2.4</w:t>
            </w:r>
            <w:r>
              <w:rPr>
                <w:rFonts w:hint="eastAsia"/>
                <w:b/>
                <w:bCs/>
                <w:sz w:val="28"/>
                <w:szCs w:val="32"/>
              </w:rPr>
              <w:t>固体废物</w:t>
            </w:r>
            <w:bookmarkEnd w:id="120"/>
            <w:bookmarkEnd w:id="121"/>
            <w:bookmarkEnd w:id="122"/>
            <w:bookmarkEnd w:id="123"/>
            <w:bookmarkEnd w:id="124"/>
          </w:p>
          <w:p>
            <w:pPr>
              <w:keepNext/>
              <w:keepLines/>
              <w:wordWrap w:val="0"/>
              <w:spacing w:before="200" w:after="200"/>
              <w:outlineLvl w:val="3"/>
              <w:rPr>
                <w:b/>
                <w:sz w:val="24"/>
              </w:rPr>
            </w:pPr>
            <w:r>
              <w:rPr>
                <w:rFonts w:hint="eastAsia"/>
                <w:b/>
                <w:sz w:val="24"/>
              </w:rPr>
              <w:t>4.2.4.1固废的产生与处理、处置</w:t>
            </w:r>
          </w:p>
          <w:p>
            <w:pPr>
              <w:wordWrap w:val="0"/>
              <w:spacing w:line="360" w:lineRule="auto"/>
              <w:ind w:firstLine="480" w:firstLineChars="200"/>
              <w:rPr>
                <w:rFonts w:hint="eastAsia"/>
                <w:sz w:val="24"/>
              </w:rPr>
            </w:pPr>
            <w:r>
              <w:rPr>
                <w:rFonts w:hint="eastAsia"/>
                <w:sz w:val="24"/>
              </w:rPr>
              <w:t>运营期产生的固体废物为一般工业固体废物、危险废物和生活垃圾。</w:t>
            </w:r>
          </w:p>
          <w:p>
            <w:pPr>
              <w:wordWrap w:val="0"/>
              <w:spacing w:line="360" w:lineRule="auto"/>
              <w:ind w:firstLine="482" w:firstLineChars="200"/>
              <w:rPr>
                <w:rFonts w:hint="eastAsia"/>
                <w:b/>
                <w:sz w:val="24"/>
              </w:rPr>
            </w:pPr>
            <w:r>
              <w:rPr>
                <w:rFonts w:hint="eastAsia"/>
                <w:b/>
                <w:sz w:val="24"/>
              </w:rPr>
              <w:t>1、一般工业固废</w:t>
            </w:r>
          </w:p>
          <w:p>
            <w:pPr>
              <w:wordWrap w:val="0"/>
              <w:autoSpaceDE w:val="0"/>
              <w:autoSpaceDN w:val="0"/>
              <w:spacing w:line="360" w:lineRule="auto"/>
              <w:ind w:firstLine="480" w:firstLineChars="200"/>
              <w:jc w:val="left"/>
              <w:rPr>
                <w:color w:val="000000"/>
                <w:kern w:val="0"/>
                <w:sz w:val="24"/>
                <w:szCs w:val="22"/>
              </w:rPr>
            </w:pPr>
            <w:r>
              <w:rPr>
                <w:color w:val="000000"/>
                <w:kern w:val="0"/>
                <w:sz w:val="24"/>
                <w:szCs w:val="22"/>
              </w:rPr>
              <w:t>（1）布袋除尘粉尘</w:t>
            </w:r>
          </w:p>
          <w:p>
            <w:pPr>
              <w:pStyle w:val="13"/>
              <w:adjustRightInd w:val="0"/>
              <w:snapToGrid w:val="0"/>
              <w:spacing w:after="0" w:line="360" w:lineRule="auto"/>
              <w:ind w:left="0" w:leftChars="0" w:firstLine="480" w:firstLineChars="200"/>
              <w:rPr>
                <w:rFonts w:ascii="Times New Roman" w:hAnsi="Times New Roman" w:cs="Times New Roman"/>
                <w:sz w:val="24"/>
              </w:rPr>
            </w:pPr>
            <w:r>
              <w:rPr>
                <w:rFonts w:ascii="Times New Roman" w:hAnsi="Times New Roman" w:cs="Times New Roman"/>
                <w:sz w:val="24"/>
              </w:rPr>
              <w:t>根据废气核算，经布集气罩收集后由袋除尘器收集的除尘灰为558.6867t/a，该部分除尘灰为细颗粒物，可</w:t>
            </w:r>
            <w:r>
              <w:rPr>
                <w:rFonts w:hint="eastAsia" w:ascii="Times New Roman" w:hAnsi="Times New Roman" w:cs="Times New Roman"/>
                <w:sz w:val="24"/>
              </w:rPr>
              <w:t>自行综合利用和</w:t>
            </w:r>
            <w:r>
              <w:rPr>
                <w:rFonts w:ascii="Times New Roman" w:hAnsi="Times New Roman" w:cs="Times New Roman"/>
                <w:sz w:val="24"/>
              </w:rPr>
              <w:t>外售周边建材厂回收利用。</w:t>
            </w:r>
          </w:p>
          <w:p>
            <w:pPr>
              <w:numPr>
                <w:ilvl w:val="0"/>
                <w:numId w:val="3"/>
              </w:numPr>
              <w:wordWrap w:val="0"/>
              <w:autoSpaceDE w:val="0"/>
              <w:autoSpaceDN w:val="0"/>
              <w:spacing w:line="360" w:lineRule="auto"/>
              <w:ind w:firstLine="480" w:firstLineChars="200"/>
              <w:jc w:val="left"/>
              <w:rPr>
                <w:color w:val="000000"/>
                <w:kern w:val="0"/>
                <w:sz w:val="24"/>
                <w:szCs w:val="22"/>
              </w:rPr>
            </w:pPr>
            <w:r>
              <w:rPr>
                <w:color w:val="000000"/>
                <w:kern w:val="0"/>
                <w:sz w:val="24"/>
                <w:szCs w:val="22"/>
              </w:rPr>
              <w:t>沉淀池沉淀渣</w:t>
            </w:r>
          </w:p>
          <w:p>
            <w:pPr>
              <w:pStyle w:val="13"/>
              <w:adjustRightInd w:val="0"/>
              <w:snapToGrid w:val="0"/>
              <w:spacing w:after="0" w:line="360" w:lineRule="auto"/>
              <w:ind w:left="0" w:leftChars="0" w:firstLine="480" w:firstLineChars="200"/>
              <w:rPr>
                <w:rFonts w:ascii="Times New Roman" w:hAnsi="Times New Roman" w:cs="Times New Roman"/>
                <w:sz w:val="24"/>
              </w:rPr>
            </w:pPr>
            <w:r>
              <w:rPr>
                <w:rFonts w:hint="eastAsia" w:ascii="Times New Roman" w:hAnsi="Times New Roman" w:cs="Times New Roman"/>
                <w:sz w:val="24"/>
              </w:rPr>
              <w:t>本项目1座8m</w:t>
            </w:r>
            <w:r>
              <w:rPr>
                <w:rFonts w:hint="eastAsia" w:ascii="Times New Roman" w:hAnsi="Times New Roman" w:cs="Times New Roman"/>
                <w:sz w:val="24"/>
                <w:vertAlign w:val="superscript"/>
              </w:rPr>
              <w:t>3</w:t>
            </w:r>
            <w:r>
              <w:rPr>
                <w:rFonts w:hint="eastAsia" w:ascii="Times New Roman" w:hAnsi="Times New Roman" w:cs="Times New Roman"/>
                <w:sz w:val="24"/>
              </w:rPr>
              <w:t>沉淀池在处理车辆冲洗废水时底部会产生沉淀渣，沉淀池沉淀渣每月清掏一次，沉淀渣产生量为0.5t/a，清掏的沉淀渣主要成分为泥沙，机械脱水并晾干后外售建材厂综合利用，不在厂区贮存。</w:t>
            </w:r>
          </w:p>
          <w:p>
            <w:pPr>
              <w:wordWrap w:val="0"/>
              <w:spacing w:line="360" w:lineRule="auto"/>
              <w:ind w:firstLine="482" w:firstLineChars="200"/>
              <w:rPr>
                <w:rFonts w:hint="eastAsia"/>
                <w:b/>
                <w:sz w:val="24"/>
              </w:rPr>
            </w:pPr>
            <w:r>
              <w:rPr>
                <w:rFonts w:hint="eastAsia"/>
                <w:b/>
                <w:sz w:val="24"/>
              </w:rPr>
              <w:t>2、危险废物</w:t>
            </w:r>
          </w:p>
          <w:p>
            <w:pPr>
              <w:wordWrap w:val="0"/>
              <w:spacing w:line="360" w:lineRule="auto"/>
              <w:ind w:firstLine="480" w:firstLineChars="200"/>
              <w:rPr>
                <w:sz w:val="24"/>
              </w:rPr>
            </w:pPr>
            <w:r>
              <w:rPr>
                <w:sz w:val="24"/>
              </w:rPr>
              <w:t>（1）废含油抹布：机械维修过程中会产生少量的废含油抹布。类比同类工程，废含油抹布产生量约0.01t/a。根据《国家危险废物名录（2021年版）》，废含油抹布属于危险固废，废物类别为HW49其他废物，危废代码900-041-49，</w:t>
            </w:r>
            <w:r>
              <w:rPr>
                <w:rFonts w:hint="eastAsia"/>
                <w:sz w:val="24"/>
                <w:lang w:eastAsia="zh-CN"/>
              </w:rPr>
              <w:t>通过专用收集桶收集后</w:t>
            </w:r>
            <w:r>
              <w:rPr>
                <w:sz w:val="24"/>
              </w:rPr>
              <w:t>暂存危废贮存间，定期交由有相关资质单位处置。</w:t>
            </w:r>
          </w:p>
          <w:p>
            <w:pPr>
              <w:wordWrap w:val="0"/>
              <w:spacing w:line="360" w:lineRule="auto"/>
              <w:ind w:firstLine="480" w:firstLineChars="200"/>
              <w:rPr>
                <w:rFonts w:hint="eastAsia" w:ascii="Times New Roman" w:hAnsi="Times New Roman" w:eastAsia="宋体" w:cs="Times New Roman"/>
                <w:sz w:val="24"/>
                <w:u w:val="single"/>
                <w:lang w:eastAsia="zh-CN"/>
              </w:rPr>
            </w:pPr>
            <w:r>
              <w:rPr>
                <w:rFonts w:hint="eastAsia" w:ascii="Times New Roman" w:hAnsi="Times New Roman" w:eastAsia="宋体" w:cs="Times New Roman"/>
                <w:sz w:val="24"/>
                <w:u w:val="single"/>
                <w:lang w:eastAsia="zh-CN"/>
              </w:rPr>
              <w:t>（</w:t>
            </w:r>
            <w:r>
              <w:rPr>
                <w:rFonts w:hint="eastAsia" w:ascii="Times New Roman" w:hAnsi="Times New Roman" w:eastAsia="宋体" w:cs="Times New Roman"/>
                <w:sz w:val="24"/>
                <w:u w:val="single"/>
                <w:lang w:val="en-US" w:eastAsia="zh-CN"/>
              </w:rPr>
              <w:t>2</w:t>
            </w:r>
            <w:r>
              <w:rPr>
                <w:rFonts w:hint="eastAsia" w:ascii="Times New Roman" w:hAnsi="Times New Roman" w:eastAsia="宋体" w:cs="Times New Roman"/>
                <w:sz w:val="24"/>
                <w:u w:val="single"/>
                <w:lang w:eastAsia="zh-CN"/>
              </w:rPr>
              <w:t>）废机油：项目在进行日常机械维护保养过程中会产生少量废机油，约</w:t>
            </w:r>
            <w:r>
              <w:rPr>
                <w:rFonts w:hint="eastAsia" w:ascii="Times New Roman" w:hAnsi="Times New Roman" w:eastAsia="宋体" w:cs="Times New Roman"/>
                <w:sz w:val="24"/>
                <w:u w:val="single"/>
                <w:lang w:val="en-US" w:eastAsia="zh-CN"/>
              </w:rPr>
              <w:t>0.01t/a</w:t>
            </w:r>
            <w:r>
              <w:rPr>
                <w:rFonts w:hint="eastAsia" w:ascii="Times New Roman" w:hAnsi="Times New Roman" w:eastAsia="宋体" w:cs="Times New Roman"/>
                <w:sz w:val="24"/>
                <w:u w:val="single"/>
                <w:lang w:eastAsia="zh-CN"/>
              </w:rPr>
              <w:t>，根据《国家危险废物名录》（2021年），属于危险废物，废物类别为HW</w:t>
            </w:r>
            <w:r>
              <w:rPr>
                <w:rFonts w:hint="eastAsia" w:ascii="Times New Roman" w:hAnsi="Times New Roman" w:eastAsia="宋体" w:cs="Times New Roman"/>
                <w:sz w:val="24"/>
                <w:u w:val="single"/>
                <w:lang w:val="en-US" w:eastAsia="zh-CN"/>
              </w:rPr>
              <w:t>08</w:t>
            </w:r>
            <w:r>
              <w:rPr>
                <w:rFonts w:hint="eastAsia" w:ascii="Times New Roman" w:hAnsi="Times New Roman" w:eastAsia="宋体" w:cs="Times New Roman"/>
                <w:sz w:val="24"/>
                <w:u w:val="single"/>
                <w:lang w:eastAsia="zh-CN"/>
              </w:rPr>
              <w:t>废矿物油与含矿物油废物</w:t>
            </w:r>
            <w:r>
              <w:rPr>
                <w:rFonts w:hint="eastAsia" w:ascii="Times New Roman" w:hAnsi="Times New Roman" w:eastAsia="宋体" w:cs="Times New Roman"/>
                <w:sz w:val="24"/>
                <w:u w:val="single"/>
                <w:lang w:val="en-US" w:eastAsia="zh-CN"/>
              </w:rPr>
              <w:t>中的900-039-49</w:t>
            </w:r>
            <w:r>
              <w:rPr>
                <w:rFonts w:hint="eastAsia" w:ascii="Times New Roman" w:hAnsi="Times New Roman" w:eastAsia="宋体" w:cs="Times New Roman"/>
                <w:sz w:val="24"/>
                <w:u w:val="single"/>
                <w:lang w:eastAsia="zh-CN"/>
              </w:rPr>
              <w:t>。废机油通过设置专用的废机油收集桶暂存于危废暂存间，后委托有资质单位处置。</w:t>
            </w:r>
          </w:p>
          <w:p>
            <w:pPr>
              <w:wordWrap w:val="0"/>
              <w:spacing w:line="360" w:lineRule="auto"/>
              <w:ind w:firstLine="482" w:firstLineChars="200"/>
              <w:rPr>
                <w:rFonts w:hint="eastAsia"/>
                <w:b/>
                <w:sz w:val="24"/>
              </w:rPr>
            </w:pPr>
            <w:r>
              <w:rPr>
                <w:rFonts w:hint="eastAsia"/>
                <w:b/>
                <w:sz w:val="24"/>
              </w:rPr>
              <w:t>3、生活垃圾</w:t>
            </w:r>
          </w:p>
          <w:p>
            <w:pPr>
              <w:wordWrap w:val="0"/>
              <w:spacing w:line="360" w:lineRule="auto"/>
              <w:ind w:firstLine="480" w:firstLineChars="200"/>
              <w:rPr>
                <w:rFonts w:hint="eastAsia"/>
                <w:sz w:val="24"/>
              </w:rPr>
            </w:pPr>
            <w:r>
              <w:rPr>
                <w:rFonts w:hint="eastAsia"/>
                <w:sz w:val="24"/>
              </w:rPr>
              <w:t>员工10人，办公垃圾产生定额为0.5kg/（人·d），产生量为1.825t/a，集中收集后统一交由当地环卫部门进行处置。</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表4.2-18：固体废物源强及处理、处置</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959"/>
              <w:gridCol w:w="992"/>
              <w:gridCol w:w="877"/>
              <w:gridCol w:w="657"/>
              <w:gridCol w:w="1027"/>
              <w:gridCol w:w="2631"/>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pPr>
                    <w:pStyle w:val="78"/>
                  </w:pPr>
                  <w:r>
                    <w:t>序号</w:t>
                  </w:r>
                </w:p>
              </w:tc>
              <w:tc>
                <w:tcPr>
                  <w:tcW w:w="556" w:type="pct"/>
                  <w:noWrap w:val="0"/>
                  <w:vAlign w:val="center"/>
                </w:tcPr>
                <w:p>
                  <w:pPr>
                    <w:pStyle w:val="78"/>
                  </w:pPr>
                  <w:r>
                    <w:t>产生工序</w:t>
                  </w:r>
                </w:p>
              </w:tc>
              <w:tc>
                <w:tcPr>
                  <w:tcW w:w="575" w:type="pct"/>
                  <w:noWrap w:val="0"/>
                  <w:vAlign w:val="center"/>
                </w:tcPr>
                <w:p>
                  <w:pPr>
                    <w:pStyle w:val="78"/>
                  </w:pPr>
                  <w:r>
                    <w:t>污染物名称</w:t>
                  </w:r>
                </w:p>
              </w:tc>
              <w:tc>
                <w:tcPr>
                  <w:tcW w:w="509" w:type="pct"/>
                  <w:noWrap w:val="0"/>
                  <w:vAlign w:val="center"/>
                </w:tcPr>
                <w:p>
                  <w:pPr>
                    <w:pStyle w:val="78"/>
                    <w:rPr>
                      <w:rFonts w:hint="eastAsia"/>
                    </w:rPr>
                  </w:pPr>
                  <w:r>
                    <w:rPr>
                      <w:rFonts w:hint="eastAsia"/>
                    </w:rPr>
                    <w:t>属性</w:t>
                  </w:r>
                </w:p>
              </w:tc>
              <w:tc>
                <w:tcPr>
                  <w:tcW w:w="381" w:type="pct"/>
                  <w:noWrap w:val="0"/>
                  <w:vAlign w:val="center"/>
                </w:tcPr>
                <w:p>
                  <w:pPr>
                    <w:pStyle w:val="78"/>
                    <w:rPr>
                      <w:rFonts w:hint="eastAsia"/>
                    </w:rPr>
                  </w:pPr>
                  <w:r>
                    <w:rPr>
                      <w:rFonts w:hint="eastAsia"/>
                    </w:rPr>
                    <w:t>物理性状</w:t>
                  </w:r>
                </w:p>
              </w:tc>
              <w:tc>
                <w:tcPr>
                  <w:tcW w:w="596" w:type="pct"/>
                  <w:noWrap w:val="0"/>
                  <w:vAlign w:val="center"/>
                </w:tcPr>
                <w:p>
                  <w:pPr>
                    <w:pStyle w:val="78"/>
                  </w:pPr>
                  <w:r>
                    <w:t>产生量</w:t>
                  </w:r>
                  <w:r>
                    <w:rPr>
                      <w:rFonts w:hint="eastAsia"/>
                    </w:rPr>
                    <w:t>（</w:t>
                  </w:r>
                  <w:r>
                    <w:t>t/a</w:t>
                  </w:r>
                  <w:r>
                    <w:rPr>
                      <w:rFonts w:hint="eastAsia"/>
                    </w:rPr>
                    <w:t>）</w:t>
                  </w:r>
                </w:p>
              </w:tc>
              <w:tc>
                <w:tcPr>
                  <w:tcW w:w="1527" w:type="pct"/>
                  <w:noWrap w:val="0"/>
                  <w:vAlign w:val="center"/>
                </w:tcPr>
                <w:p>
                  <w:pPr>
                    <w:pStyle w:val="78"/>
                    <w:rPr>
                      <w:rFonts w:hint="eastAsia"/>
                    </w:rPr>
                  </w:pPr>
                  <w:r>
                    <w:rPr>
                      <w:rFonts w:hint="eastAsia"/>
                    </w:rPr>
                    <w:t>处理、处置方式</w:t>
                  </w:r>
                </w:p>
              </w:tc>
              <w:tc>
                <w:tcPr>
                  <w:tcW w:w="560" w:type="pct"/>
                  <w:noWrap w:val="0"/>
                  <w:vAlign w:val="center"/>
                </w:tcPr>
                <w:p>
                  <w:pPr>
                    <w:pStyle w:val="78"/>
                    <w:rPr>
                      <w:rFonts w:hint="eastAsia"/>
                    </w:rPr>
                  </w:pPr>
                  <w:r>
                    <w:rPr>
                      <w:rFonts w:hint="eastAsia"/>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pPr>
                    <w:pStyle w:val="78"/>
                    <w:rPr>
                      <w:rFonts w:hint="eastAsia"/>
                    </w:rPr>
                  </w:pPr>
                  <w:r>
                    <w:rPr>
                      <w:rFonts w:hint="eastAsia"/>
                    </w:rPr>
                    <w:t>1</w:t>
                  </w:r>
                </w:p>
              </w:tc>
              <w:tc>
                <w:tcPr>
                  <w:tcW w:w="556" w:type="pct"/>
                  <w:noWrap w:val="0"/>
                  <w:vAlign w:val="center"/>
                </w:tcPr>
                <w:p>
                  <w:pPr>
                    <w:pStyle w:val="78"/>
                    <w:rPr>
                      <w:rFonts w:hint="eastAsia"/>
                    </w:rPr>
                  </w:pPr>
                  <w:r>
                    <w:rPr>
                      <w:rFonts w:hint="eastAsia"/>
                    </w:rPr>
                    <w:t>喂料、破碎、筛分</w:t>
                  </w:r>
                </w:p>
              </w:tc>
              <w:tc>
                <w:tcPr>
                  <w:tcW w:w="575" w:type="pct"/>
                  <w:noWrap w:val="0"/>
                  <w:vAlign w:val="center"/>
                </w:tcPr>
                <w:p>
                  <w:pPr>
                    <w:pStyle w:val="78"/>
                    <w:rPr>
                      <w:rFonts w:hint="eastAsia"/>
                    </w:rPr>
                  </w:pPr>
                  <w:r>
                    <w:rPr>
                      <w:rFonts w:hint="eastAsia"/>
                    </w:rPr>
                    <w:t>布袋除尘粉尘</w:t>
                  </w:r>
                </w:p>
              </w:tc>
              <w:tc>
                <w:tcPr>
                  <w:tcW w:w="509" w:type="pct"/>
                  <w:noWrap w:val="0"/>
                  <w:vAlign w:val="center"/>
                </w:tcPr>
                <w:p>
                  <w:pPr>
                    <w:pStyle w:val="78"/>
                    <w:rPr>
                      <w:rFonts w:hint="eastAsia"/>
                    </w:rPr>
                  </w:pPr>
                  <w:r>
                    <w:rPr>
                      <w:rFonts w:hint="eastAsia"/>
                    </w:rPr>
                    <w:t>一般固废</w:t>
                  </w:r>
                </w:p>
              </w:tc>
              <w:tc>
                <w:tcPr>
                  <w:tcW w:w="381" w:type="pct"/>
                  <w:noWrap w:val="0"/>
                  <w:vAlign w:val="center"/>
                </w:tcPr>
                <w:p>
                  <w:pPr>
                    <w:pStyle w:val="78"/>
                    <w:rPr>
                      <w:rFonts w:hint="eastAsia"/>
                    </w:rPr>
                  </w:pPr>
                  <w:r>
                    <w:rPr>
                      <w:rFonts w:hint="eastAsia"/>
                    </w:rPr>
                    <w:t>固态</w:t>
                  </w:r>
                </w:p>
              </w:tc>
              <w:tc>
                <w:tcPr>
                  <w:tcW w:w="596" w:type="pct"/>
                  <w:noWrap w:val="0"/>
                  <w:vAlign w:val="center"/>
                </w:tcPr>
                <w:p>
                  <w:pPr>
                    <w:pStyle w:val="78"/>
                    <w:rPr>
                      <w:rFonts w:hint="default" w:eastAsia="宋体"/>
                      <w:lang w:val="en-US" w:eastAsia="zh-CN"/>
                    </w:rPr>
                  </w:pPr>
                  <w:r>
                    <w:rPr>
                      <w:rFonts w:hint="eastAsia"/>
                      <w:lang w:val="en-US" w:eastAsia="zh-CN"/>
                    </w:rPr>
                    <w:t>529.2738</w:t>
                  </w:r>
                </w:p>
              </w:tc>
              <w:tc>
                <w:tcPr>
                  <w:tcW w:w="1527" w:type="pct"/>
                  <w:noWrap w:val="0"/>
                  <w:vAlign w:val="center"/>
                </w:tcPr>
                <w:p>
                  <w:pPr>
                    <w:pStyle w:val="78"/>
                    <w:rPr>
                      <w:rFonts w:hint="eastAsia"/>
                    </w:rPr>
                  </w:pPr>
                  <w:r>
                    <w:rPr>
                      <w:rFonts w:hint="eastAsia"/>
                    </w:rPr>
                    <w:t>集中收集后暂存于一般固废暂存间，自行综合利用和外售周边建材厂回收利用。</w:t>
                  </w:r>
                </w:p>
              </w:tc>
              <w:tc>
                <w:tcPr>
                  <w:tcW w:w="560" w:type="pct"/>
                  <w:noWrap w:val="0"/>
                  <w:vAlign w:val="center"/>
                </w:tcPr>
                <w:p>
                  <w:pPr>
                    <w:pStyle w:val="78"/>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93" w:type="pct"/>
                  <w:vMerge w:val="restart"/>
                  <w:noWrap w:val="0"/>
                  <w:vAlign w:val="center"/>
                </w:tcPr>
                <w:p>
                  <w:pPr>
                    <w:pStyle w:val="78"/>
                    <w:rPr>
                      <w:rFonts w:hint="eastAsia"/>
                    </w:rPr>
                  </w:pPr>
                  <w:r>
                    <w:rPr>
                      <w:rFonts w:hint="eastAsia"/>
                    </w:rPr>
                    <w:t>2</w:t>
                  </w:r>
                </w:p>
              </w:tc>
              <w:tc>
                <w:tcPr>
                  <w:tcW w:w="556" w:type="pct"/>
                  <w:vMerge w:val="restart"/>
                  <w:noWrap w:val="0"/>
                  <w:vAlign w:val="center"/>
                </w:tcPr>
                <w:p>
                  <w:pPr>
                    <w:pStyle w:val="78"/>
                  </w:pPr>
                  <w:r>
                    <w:t>机修</w:t>
                  </w:r>
                </w:p>
              </w:tc>
              <w:tc>
                <w:tcPr>
                  <w:tcW w:w="575" w:type="pct"/>
                  <w:noWrap w:val="0"/>
                  <w:vAlign w:val="center"/>
                </w:tcPr>
                <w:p>
                  <w:pPr>
                    <w:pStyle w:val="78"/>
                  </w:pPr>
                  <w:r>
                    <w:rPr>
                      <w:rFonts w:hint="eastAsia"/>
                    </w:rPr>
                    <w:t>废含油抹布</w:t>
                  </w:r>
                </w:p>
              </w:tc>
              <w:tc>
                <w:tcPr>
                  <w:tcW w:w="509" w:type="pct"/>
                  <w:noWrap w:val="0"/>
                  <w:vAlign w:val="center"/>
                </w:tcPr>
                <w:p>
                  <w:pPr>
                    <w:pStyle w:val="78"/>
                    <w:rPr>
                      <w:rFonts w:hint="eastAsia"/>
                    </w:rPr>
                  </w:pPr>
                  <w:r>
                    <w:rPr>
                      <w:rFonts w:hint="eastAsia"/>
                    </w:rPr>
                    <w:t>危废</w:t>
                  </w:r>
                </w:p>
                <w:p>
                  <w:pPr>
                    <w:pStyle w:val="78"/>
                    <w:rPr>
                      <w:rFonts w:hint="eastAsia"/>
                    </w:rPr>
                  </w:pPr>
                  <w:r>
                    <w:rPr>
                      <w:rFonts w:hint="eastAsia"/>
                    </w:rPr>
                    <w:t>HW49</w:t>
                  </w:r>
                </w:p>
              </w:tc>
              <w:tc>
                <w:tcPr>
                  <w:tcW w:w="381" w:type="pct"/>
                  <w:noWrap w:val="0"/>
                  <w:vAlign w:val="center"/>
                </w:tcPr>
                <w:p>
                  <w:pPr>
                    <w:pStyle w:val="78"/>
                    <w:rPr>
                      <w:rFonts w:hint="eastAsia"/>
                    </w:rPr>
                  </w:pPr>
                  <w:r>
                    <w:rPr>
                      <w:rFonts w:hint="eastAsia"/>
                    </w:rPr>
                    <w:t>固态</w:t>
                  </w:r>
                </w:p>
              </w:tc>
              <w:tc>
                <w:tcPr>
                  <w:tcW w:w="596" w:type="pct"/>
                  <w:noWrap w:val="0"/>
                  <w:vAlign w:val="center"/>
                </w:tcPr>
                <w:p>
                  <w:pPr>
                    <w:pStyle w:val="78"/>
                  </w:pPr>
                  <w:r>
                    <w:rPr>
                      <w:rFonts w:hint="eastAsia"/>
                    </w:rPr>
                    <w:t>0.01</w:t>
                  </w:r>
                </w:p>
              </w:tc>
              <w:tc>
                <w:tcPr>
                  <w:tcW w:w="1527" w:type="pct"/>
                  <w:noWrap w:val="0"/>
                  <w:vAlign w:val="center"/>
                </w:tcPr>
                <w:p>
                  <w:pPr>
                    <w:pStyle w:val="78"/>
                    <w:rPr>
                      <w:rFonts w:hint="eastAsia"/>
                    </w:rPr>
                  </w:pPr>
                  <w:r>
                    <w:rPr>
                      <w:rFonts w:hint="eastAsia"/>
                    </w:rPr>
                    <w:t>采用桶装后暂存于危废贮存间，交由有资质单位处理</w:t>
                  </w:r>
                </w:p>
              </w:tc>
              <w:tc>
                <w:tcPr>
                  <w:tcW w:w="560" w:type="pct"/>
                  <w:noWrap w:val="0"/>
                  <w:vAlign w:val="center"/>
                </w:tcPr>
                <w:p>
                  <w:pPr>
                    <w:pStyle w:val="78"/>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93" w:type="pct"/>
                  <w:vMerge w:val="continue"/>
                  <w:noWrap w:val="0"/>
                  <w:vAlign w:val="center"/>
                </w:tcPr>
                <w:p>
                  <w:pPr>
                    <w:pStyle w:val="78"/>
                    <w:rPr>
                      <w:rFonts w:hint="eastAsia"/>
                    </w:rPr>
                  </w:pPr>
                </w:p>
              </w:tc>
              <w:tc>
                <w:tcPr>
                  <w:tcW w:w="556" w:type="pct"/>
                  <w:vMerge w:val="continue"/>
                  <w:noWrap w:val="0"/>
                  <w:vAlign w:val="center"/>
                </w:tcPr>
                <w:p>
                  <w:pPr>
                    <w:pStyle w:val="78"/>
                  </w:pPr>
                </w:p>
              </w:tc>
              <w:tc>
                <w:tcPr>
                  <w:tcW w:w="575" w:type="pct"/>
                  <w:noWrap w:val="0"/>
                  <w:vAlign w:val="center"/>
                </w:tcPr>
                <w:p>
                  <w:pPr>
                    <w:pStyle w:val="78"/>
                    <w:rPr>
                      <w:rFonts w:hint="eastAsia" w:eastAsia="宋体"/>
                      <w:u w:val="single"/>
                      <w:lang w:eastAsia="zh-CN"/>
                    </w:rPr>
                  </w:pPr>
                  <w:r>
                    <w:rPr>
                      <w:rFonts w:hint="eastAsia"/>
                      <w:u w:val="single"/>
                      <w:lang w:eastAsia="zh-CN"/>
                    </w:rPr>
                    <w:t>废机油</w:t>
                  </w:r>
                </w:p>
              </w:tc>
              <w:tc>
                <w:tcPr>
                  <w:tcW w:w="509" w:type="pct"/>
                  <w:noWrap w:val="0"/>
                  <w:vAlign w:val="center"/>
                </w:tcPr>
                <w:p>
                  <w:pPr>
                    <w:pStyle w:val="78"/>
                    <w:rPr>
                      <w:rFonts w:hint="eastAsia"/>
                      <w:u w:val="single"/>
                      <w:lang w:eastAsia="zh-CN"/>
                    </w:rPr>
                  </w:pPr>
                  <w:r>
                    <w:rPr>
                      <w:rFonts w:hint="eastAsia"/>
                      <w:u w:val="single"/>
                      <w:lang w:eastAsia="zh-CN"/>
                    </w:rPr>
                    <w:t>危废</w:t>
                  </w:r>
                </w:p>
                <w:p>
                  <w:pPr>
                    <w:pStyle w:val="78"/>
                    <w:rPr>
                      <w:rFonts w:hint="eastAsia"/>
                      <w:u w:val="single"/>
                    </w:rPr>
                  </w:pPr>
                  <w:r>
                    <w:rPr>
                      <w:rFonts w:hint="eastAsia"/>
                      <w:u w:val="single"/>
                      <w:lang w:eastAsia="zh-CN"/>
                    </w:rPr>
                    <w:t>HW</w:t>
                  </w:r>
                  <w:r>
                    <w:rPr>
                      <w:rFonts w:hint="eastAsia"/>
                      <w:u w:val="single"/>
                      <w:lang w:val="en-US" w:eastAsia="zh-CN"/>
                    </w:rPr>
                    <w:t>08</w:t>
                  </w:r>
                </w:p>
              </w:tc>
              <w:tc>
                <w:tcPr>
                  <w:tcW w:w="381" w:type="pct"/>
                  <w:noWrap w:val="0"/>
                  <w:vAlign w:val="center"/>
                </w:tcPr>
                <w:p>
                  <w:pPr>
                    <w:pStyle w:val="78"/>
                    <w:rPr>
                      <w:rFonts w:hint="eastAsia" w:eastAsia="宋体"/>
                      <w:u w:val="single"/>
                      <w:lang w:eastAsia="zh-CN"/>
                    </w:rPr>
                  </w:pPr>
                  <w:r>
                    <w:rPr>
                      <w:rFonts w:hint="eastAsia"/>
                      <w:u w:val="single"/>
                      <w:lang w:eastAsia="zh-CN"/>
                    </w:rPr>
                    <w:t>液态</w:t>
                  </w:r>
                </w:p>
              </w:tc>
              <w:tc>
                <w:tcPr>
                  <w:tcW w:w="596" w:type="pct"/>
                  <w:noWrap w:val="0"/>
                  <w:vAlign w:val="center"/>
                </w:tcPr>
                <w:p>
                  <w:pPr>
                    <w:pStyle w:val="78"/>
                    <w:rPr>
                      <w:rFonts w:hint="default" w:eastAsia="宋体"/>
                      <w:u w:val="single"/>
                      <w:lang w:val="en-US" w:eastAsia="zh-CN"/>
                    </w:rPr>
                  </w:pPr>
                  <w:r>
                    <w:rPr>
                      <w:rFonts w:hint="eastAsia"/>
                      <w:u w:val="single"/>
                      <w:lang w:val="en-US" w:eastAsia="zh-CN"/>
                    </w:rPr>
                    <w:t>0.01</w:t>
                  </w:r>
                </w:p>
              </w:tc>
              <w:tc>
                <w:tcPr>
                  <w:tcW w:w="1527" w:type="pct"/>
                  <w:noWrap w:val="0"/>
                  <w:vAlign w:val="center"/>
                </w:tcPr>
                <w:p>
                  <w:pPr>
                    <w:pStyle w:val="78"/>
                    <w:rPr>
                      <w:rFonts w:hint="eastAsia"/>
                      <w:u w:val="single"/>
                    </w:rPr>
                  </w:pPr>
                  <w:r>
                    <w:rPr>
                      <w:rFonts w:hint="eastAsia"/>
                      <w:u w:val="single"/>
                      <w:lang w:eastAsia="zh-CN"/>
                    </w:rPr>
                    <w:t>通过专用废废机油桶</w:t>
                  </w:r>
                  <w:r>
                    <w:rPr>
                      <w:rFonts w:hint="eastAsia"/>
                      <w:u w:val="single"/>
                    </w:rPr>
                    <w:t>桶装后暂存于危废贮存间，交由有资质单位处理</w:t>
                  </w:r>
                </w:p>
              </w:tc>
              <w:tc>
                <w:tcPr>
                  <w:tcW w:w="560" w:type="pct"/>
                  <w:noWrap w:val="0"/>
                  <w:vAlign w:val="center"/>
                </w:tcPr>
                <w:p>
                  <w:pPr>
                    <w:pStyle w:val="78"/>
                    <w:rPr>
                      <w:rFonts w:hint="eastAsia" w:eastAsia="宋体"/>
                      <w:u w:val="single"/>
                      <w:lang w:val="en-US" w:eastAsia="zh-CN"/>
                    </w:rPr>
                  </w:pPr>
                  <w:r>
                    <w:rPr>
                      <w:rFonts w:hint="eastAsia"/>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pPr>
                    <w:pStyle w:val="78"/>
                    <w:rPr>
                      <w:rFonts w:hint="eastAsia"/>
                    </w:rPr>
                  </w:pPr>
                  <w:r>
                    <w:rPr>
                      <w:rFonts w:hint="eastAsia"/>
                    </w:rPr>
                    <w:t>3</w:t>
                  </w:r>
                </w:p>
              </w:tc>
              <w:tc>
                <w:tcPr>
                  <w:tcW w:w="556" w:type="pct"/>
                  <w:noWrap w:val="0"/>
                  <w:vAlign w:val="center"/>
                </w:tcPr>
                <w:p>
                  <w:pPr>
                    <w:pStyle w:val="78"/>
                  </w:pPr>
                  <w:r>
                    <w:t>办公</w:t>
                  </w:r>
                </w:p>
              </w:tc>
              <w:tc>
                <w:tcPr>
                  <w:tcW w:w="575" w:type="pct"/>
                  <w:noWrap w:val="0"/>
                  <w:vAlign w:val="center"/>
                </w:tcPr>
                <w:p>
                  <w:pPr>
                    <w:pStyle w:val="78"/>
                    <w:rPr>
                      <w:rFonts w:hint="eastAsia"/>
                    </w:rPr>
                  </w:pPr>
                  <w:r>
                    <w:rPr>
                      <w:rFonts w:hint="eastAsia"/>
                    </w:rPr>
                    <w:t>生活垃圾</w:t>
                  </w:r>
                </w:p>
              </w:tc>
              <w:tc>
                <w:tcPr>
                  <w:tcW w:w="509" w:type="pct"/>
                  <w:noWrap w:val="0"/>
                  <w:vAlign w:val="center"/>
                </w:tcPr>
                <w:p>
                  <w:pPr>
                    <w:pStyle w:val="78"/>
                    <w:rPr>
                      <w:rFonts w:hint="eastAsia"/>
                    </w:rPr>
                  </w:pPr>
                  <w:r>
                    <w:rPr>
                      <w:rFonts w:hint="eastAsia"/>
                    </w:rPr>
                    <w:t>/</w:t>
                  </w:r>
                </w:p>
              </w:tc>
              <w:tc>
                <w:tcPr>
                  <w:tcW w:w="381" w:type="pct"/>
                  <w:noWrap w:val="0"/>
                  <w:vAlign w:val="center"/>
                </w:tcPr>
                <w:p>
                  <w:pPr>
                    <w:pStyle w:val="78"/>
                    <w:rPr>
                      <w:rFonts w:hint="eastAsia"/>
                    </w:rPr>
                  </w:pPr>
                  <w:r>
                    <w:rPr>
                      <w:rFonts w:hint="eastAsia"/>
                    </w:rPr>
                    <w:t>固态</w:t>
                  </w:r>
                </w:p>
              </w:tc>
              <w:tc>
                <w:tcPr>
                  <w:tcW w:w="596" w:type="pct"/>
                  <w:noWrap w:val="0"/>
                  <w:vAlign w:val="center"/>
                </w:tcPr>
                <w:p>
                  <w:pPr>
                    <w:pStyle w:val="78"/>
                  </w:pPr>
                  <w:r>
                    <w:rPr>
                      <w:rFonts w:hint="eastAsia"/>
                    </w:rPr>
                    <w:t>1.825</w:t>
                  </w:r>
                </w:p>
              </w:tc>
              <w:tc>
                <w:tcPr>
                  <w:tcW w:w="1527" w:type="pct"/>
                  <w:noWrap w:val="0"/>
                  <w:vAlign w:val="center"/>
                </w:tcPr>
                <w:p>
                  <w:pPr>
                    <w:pStyle w:val="78"/>
                    <w:rPr>
                      <w:rFonts w:hint="eastAsia"/>
                    </w:rPr>
                  </w:pPr>
                  <w:r>
                    <w:rPr>
                      <w:rFonts w:hint="eastAsia"/>
                    </w:rPr>
                    <w:t>垃圾桶收集，环卫部门清运</w:t>
                  </w:r>
                </w:p>
              </w:tc>
              <w:tc>
                <w:tcPr>
                  <w:tcW w:w="560" w:type="pct"/>
                  <w:noWrap w:val="0"/>
                  <w:vAlign w:val="center"/>
                </w:tcPr>
                <w:p>
                  <w:pPr>
                    <w:pStyle w:val="78"/>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pPr>
                    <w:pStyle w:val="78"/>
                    <w:rPr>
                      <w:rFonts w:hint="eastAsia"/>
                    </w:rPr>
                  </w:pPr>
                  <w:r>
                    <w:rPr>
                      <w:rFonts w:hint="eastAsia"/>
                    </w:rPr>
                    <w:t>4</w:t>
                  </w:r>
                </w:p>
              </w:tc>
              <w:tc>
                <w:tcPr>
                  <w:tcW w:w="556" w:type="pct"/>
                  <w:noWrap w:val="0"/>
                  <w:vAlign w:val="center"/>
                </w:tcPr>
                <w:p>
                  <w:pPr>
                    <w:pStyle w:val="78"/>
                    <w:rPr>
                      <w:rFonts w:hint="eastAsia"/>
                    </w:rPr>
                  </w:pPr>
                  <w:r>
                    <w:rPr>
                      <w:rFonts w:hint="eastAsia"/>
                    </w:rPr>
                    <w:t>车辆冲洗</w:t>
                  </w:r>
                </w:p>
              </w:tc>
              <w:tc>
                <w:tcPr>
                  <w:tcW w:w="575" w:type="pct"/>
                  <w:noWrap w:val="0"/>
                  <w:vAlign w:val="center"/>
                </w:tcPr>
                <w:p>
                  <w:pPr>
                    <w:pStyle w:val="78"/>
                    <w:rPr>
                      <w:rFonts w:hint="eastAsia"/>
                    </w:rPr>
                  </w:pPr>
                  <w:r>
                    <w:rPr>
                      <w:rFonts w:hint="eastAsia"/>
                    </w:rPr>
                    <w:t>沉淀池沉渣</w:t>
                  </w:r>
                </w:p>
              </w:tc>
              <w:tc>
                <w:tcPr>
                  <w:tcW w:w="509" w:type="pct"/>
                  <w:noWrap w:val="0"/>
                  <w:vAlign w:val="center"/>
                </w:tcPr>
                <w:p>
                  <w:pPr>
                    <w:pStyle w:val="78"/>
                  </w:pPr>
                  <w:r>
                    <w:rPr>
                      <w:rFonts w:hint="eastAsia"/>
                    </w:rPr>
                    <w:t>一般固废</w:t>
                  </w:r>
                </w:p>
              </w:tc>
              <w:tc>
                <w:tcPr>
                  <w:tcW w:w="381" w:type="pct"/>
                  <w:noWrap w:val="0"/>
                  <w:vAlign w:val="center"/>
                </w:tcPr>
                <w:p>
                  <w:pPr>
                    <w:pStyle w:val="78"/>
                    <w:rPr>
                      <w:rFonts w:hint="eastAsia"/>
                    </w:rPr>
                  </w:pPr>
                  <w:r>
                    <w:rPr>
                      <w:rFonts w:hint="eastAsia"/>
                    </w:rPr>
                    <w:t>固态</w:t>
                  </w:r>
                </w:p>
              </w:tc>
              <w:tc>
                <w:tcPr>
                  <w:tcW w:w="596" w:type="pct"/>
                  <w:noWrap w:val="0"/>
                  <w:vAlign w:val="center"/>
                </w:tcPr>
                <w:p>
                  <w:pPr>
                    <w:pStyle w:val="78"/>
                  </w:pPr>
                  <w:r>
                    <w:rPr>
                      <w:rFonts w:hint="eastAsia"/>
                    </w:rPr>
                    <w:t>0.5</w:t>
                  </w:r>
                </w:p>
              </w:tc>
              <w:tc>
                <w:tcPr>
                  <w:tcW w:w="1527" w:type="pct"/>
                  <w:noWrap w:val="0"/>
                  <w:vAlign w:val="center"/>
                </w:tcPr>
                <w:p>
                  <w:pPr>
                    <w:pStyle w:val="78"/>
                    <w:rPr>
                      <w:rFonts w:hint="eastAsia"/>
                    </w:rPr>
                  </w:pPr>
                  <w:r>
                    <w:rPr>
                      <w:rFonts w:hint="eastAsia"/>
                    </w:rPr>
                    <w:t>机械脱水并晾干后外售建材厂综合利用</w:t>
                  </w:r>
                </w:p>
              </w:tc>
              <w:tc>
                <w:tcPr>
                  <w:tcW w:w="560" w:type="pct"/>
                  <w:noWrap w:val="0"/>
                  <w:vAlign w:val="center"/>
                </w:tcPr>
                <w:p>
                  <w:pPr>
                    <w:pStyle w:val="78"/>
                    <w:rPr>
                      <w:rFonts w:hint="eastAsia"/>
                    </w:rPr>
                  </w:pPr>
                  <w:r>
                    <w:rPr>
                      <w:rFonts w:hint="eastAsia"/>
                    </w:rPr>
                    <w:t>0</w:t>
                  </w:r>
                </w:p>
              </w:tc>
            </w:tr>
          </w:tbl>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表4.2-19：危险废物汇总表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678"/>
              <w:gridCol w:w="807"/>
              <w:gridCol w:w="739"/>
              <w:gridCol w:w="773"/>
              <w:gridCol w:w="992"/>
              <w:gridCol w:w="565"/>
              <w:gridCol w:w="658"/>
              <w:gridCol w:w="716"/>
              <w:gridCol w:w="680"/>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noWrap w:val="0"/>
                  <w:vAlign w:val="center"/>
                </w:tcPr>
                <w:p>
                  <w:pPr>
                    <w:pStyle w:val="78"/>
                  </w:pPr>
                  <w:r>
                    <w:t>序号</w:t>
                  </w:r>
                </w:p>
              </w:tc>
              <w:tc>
                <w:tcPr>
                  <w:tcW w:w="393" w:type="pct"/>
                  <w:noWrap w:val="0"/>
                  <w:vAlign w:val="center"/>
                </w:tcPr>
                <w:p>
                  <w:pPr>
                    <w:pStyle w:val="78"/>
                    <w:rPr>
                      <w:rFonts w:hint="eastAsia"/>
                    </w:rPr>
                  </w:pPr>
                  <w:r>
                    <w:rPr>
                      <w:rFonts w:hint="eastAsia"/>
                    </w:rPr>
                    <w:t>危废名称</w:t>
                  </w:r>
                </w:p>
              </w:tc>
              <w:tc>
                <w:tcPr>
                  <w:tcW w:w="468" w:type="pct"/>
                  <w:noWrap w:val="0"/>
                  <w:vAlign w:val="center"/>
                </w:tcPr>
                <w:p>
                  <w:pPr>
                    <w:pStyle w:val="78"/>
                    <w:rPr>
                      <w:rFonts w:hint="eastAsia"/>
                    </w:rPr>
                  </w:pPr>
                  <w:r>
                    <w:rPr>
                      <w:rFonts w:hint="eastAsia"/>
                    </w:rPr>
                    <w:t>危废类别</w:t>
                  </w:r>
                </w:p>
              </w:tc>
              <w:tc>
                <w:tcPr>
                  <w:tcW w:w="428" w:type="pct"/>
                  <w:noWrap w:val="0"/>
                  <w:vAlign w:val="center"/>
                </w:tcPr>
                <w:p>
                  <w:pPr>
                    <w:pStyle w:val="78"/>
                    <w:rPr>
                      <w:rFonts w:hint="eastAsia"/>
                    </w:rPr>
                  </w:pPr>
                  <w:r>
                    <w:rPr>
                      <w:rFonts w:hint="eastAsia"/>
                    </w:rPr>
                    <w:t>危废代码</w:t>
                  </w:r>
                </w:p>
              </w:tc>
              <w:tc>
                <w:tcPr>
                  <w:tcW w:w="448" w:type="pct"/>
                  <w:noWrap w:val="0"/>
                  <w:vAlign w:val="center"/>
                </w:tcPr>
                <w:p>
                  <w:pPr>
                    <w:pStyle w:val="78"/>
                    <w:rPr>
                      <w:rFonts w:hint="eastAsia"/>
                    </w:rPr>
                  </w:pPr>
                  <w:r>
                    <w:t>产生量</w:t>
                  </w:r>
                  <w:r>
                    <w:rPr>
                      <w:rFonts w:hint="eastAsia"/>
                    </w:rPr>
                    <w:t>（</w:t>
                  </w:r>
                  <w:r>
                    <w:t>t/a</w:t>
                  </w:r>
                  <w:r>
                    <w:rPr>
                      <w:rFonts w:hint="eastAsia"/>
                    </w:rPr>
                    <w:t>）</w:t>
                  </w:r>
                </w:p>
              </w:tc>
              <w:tc>
                <w:tcPr>
                  <w:tcW w:w="575" w:type="pct"/>
                  <w:noWrap w:val="0"/>
                  <w:vAlign w:val="center"/>
                </w:tcPr>
                <w:p>
                  <w:pPr>
                    <w:pStyle w:val="78"/>
                  </w:pPr>
                  <w:r>
                    <w:rPr>
                      <w:rFonts w:hint="eastAsia"/>
                    </w:rPr>
                    <w:t>产生工序及装置</w:t>
                  </w:r>
                </w:p>
              </w:tc>
              <w:tc>
                <w:tcPr>
                  <w:tcW w:w="327" w:type="pct"/>
                  <w:noWrap w:val="0"/>
                  <w:vAlign w:val="center"/>
                </w:tcPr>
                <w:p>
                  <w:pPr>
                    <w:pStyle w:val="78"/>
                    <w:rPr>
                      <w:rFonts w:hint="eastAsia"/>
                    </w:rPr>
                  </w:pPr>
                  <w:r>
                    <w:rPr>
                      <w:rFonts w:hint="eastAsia"/>
                    </w:rPr>
                    <w:t>形态</w:t>
                  </w:r>
                </w:p>
              </w:tc>
              <w:tc>
                <w:tcPr>
                  <w:tcW w:w="381" w:type="pct"/>
                  <w:noWrap w:val="0"/>
                  <w:vAlign w:val="center"/>
                </w:tcPr>
                <w:p>
                  <w:pPr>
                    <w:pStyle w:val="78"/>
                    <w:rPr>
                      <w:rFonts w:hint="eastAsia"/>
                    </w:rPr>
                  </w:pPr>
                  <w:r>
                    <w:rPr>
                      <w:rFonts w:hint="eastAsia"/>
                    </w:rPr>
                    <w:t>主要成分</w:t>
                  </w:r>
                </w:p>
              </w:tc>
              <w:tc>
                <w:tcPr>
                  <w:tcW w:w="415" w:type="pct"/>
                  <w:noWrap w:val="0"/>
                  <w:vAlign w:val="center"/>
                </w:tcPr>
                <w:p>
                  <w:pPr>
                    <w:pStyle w:val="78"/>
                    <w:rPr>
                      <w:rFonts w:hint="eastAsia"/>
                    </w:rPr>
                  </w:pPr>
                  <w:r>
                    <w:rPr>
                      <w:rFonts w:hint="eastAsia"/>
                    </w:rPr>
                    <w:t>有害成分</w:t>
                  </w:r>
                </w:p>
              </w:tc>
              <w:tc>
                <w:tcPr>
                  <w:tcW w:w="394" w:type="pct"/>
                  <w:noWrap w:val="0"/>
                  <w:vAlign w:val="center"/>
                </w:tcPr>
                <w:p>
                  <w:pPr>
                    <w:pStyle w:val="78"/>
                    <w:rPr>
                      <w:rFonts w:hint="eastAsia"/>
                    </w:rPr>
                  </w:pPr>
                  <w:r>
                    <w:rPr>
                      <w:rFonts w:hint="eastAsia"/>
                    </w:rPr>
                    <w:t>危险特性</w:t>
                  </w:r>
                </w:p>
              </w:tc>
              <w:tc>
                <w:tcPr>
                  <w:tcW w:w="881" w:type="pct"/>
                  <w:noWrap w:val="0"/>
                  <w:vAlign w:val="center"/>
                </w:tcPr>
                <w:p>
                  <w:pPr>
                    <w:pStyle w:val="78"/>
                    <w:rPr>
                      <w:rFonts w:hint="eastAsia"/>
                    </w:rPr>
                  </w:pPr>
                  <w:r>
                    <w:rPr>
                      <w:rFonts w:hint="eastAsia"/>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noWrap w:val="0"/>
                  <w:vAlign w:val="center"/>
                </w:tcPr>
                <w:p>
                  <w:pPr>
                    <w:pStyle w:val="78"/>
                    <w:rPr>
                      <w:rFonts w:hint="eastAsia"/>
                    </w:rPr>
                  </w:pPr>
                  <w:r>
                    <w:rPr>
                      <w:rFonts w:hint="eastAsia"/>
                    </w:rPr>
                    <w:t>1</w:t>
                  </w:r>
                </w:p>
              </w:tc>
              <w:tc>
                <w:tcPr>
                  <w:tcW w:w="393" w:type="pct"/>
                  <w:noWrap w:val="0"/>
                  <w:vAlign w:val="center"/>
                </w:tcPr>
                <w:p>
                  <w:pPr>
                    <w:pStyle w:val="78"/>
                  </w:pPr>
                  <w:r>
                    <w:rPr>
                      <w:rFonts w:hint="eastAsia"/>
                    </w:rPr>
                    <w:t>废含油抹布</w:t>
                  </w:r>
                </w:p>
              </w:tc>
              <w:tc>
                <w:tcPr>
                  <w:tcW w:w="468" w:type="pct"/>
                  <w:noWrap w:val="0"/>
                  <w:vAlign w:val="center"/>
                </w:tcPr>
                <w:p>
                  <w:pPr>
                    <w:pStyle w:val="78"/>
                    <w:rPr>
                      <w:rFonts w:hint="eastAsia"/>
                    </w:rPr>
                  </w:pPr>
                  <w:r>
                    <w:rPr>
                      <w:rFonts w:hint="eastAsia"/>
                    </w:rPr>
                    <w:t>HW49</w:t>
                  </w:r>
                </w:p>
              </w:tc>
              <w:tc>
                <w:tcPr>
                  <w:tcW w:w="428" w:type="pct"/>
                  <w:noWrap w:val="0"/>
                  <w:vAlign w:val="center"/>
                </w:tcPr>
                <w:p>
                  <w:pPr>
                    <w:pStyle w:val="78"/>
                    <w:rPr>
                      <w:rFonts w:hint="eastAsia"/>
                    </w:rPr>
                  </w:pPr>
                  <w:r>
                    <w:rPr>
                      <w:rFonts w:hint="eastAsia"/>
                    </w:rPr>
                    <w:t>900-041-49</w:t>
                  </w:r>
                </w:p>
              </w:tc>
              <w:tc>
                <w:tcPr>
                  <w:tcW w:w="448" w:type="pct"/>
                  <w:noWrap w:val="0"/>
                  <w:vAlign w:val="center"/>
                </w:tcPr>
                <w:p>
                  <w:pPr>
                    <w:pStyle w:val="78"/>
                  </w:pPr>
                  <w:r>
                    <w:rPr>
                      <w:rFonts w:hint="eastAsia"/>
                    </w:rPr>
                    <w:t>0.01</w:t>
                  </w:r>
                </w:p>
              </w:tc>
              <w:tc>
                <w:tcPr>
                  <w:tcW w:w="575" w:type="pct"/>
                  <w:noWrap w:val="0"/>
                  <w:vAlign w:val="center"/>
                </w:tcPr>
                <w:p>
                  <w:pPr>
                    <w:pStyle w:val="78"/>
                    <w:rPr>
                      <w:rFonts w:hint="eastAsia"/>
                    </w:rPr>
                  </w:pPr>
                  <w:r>
                    <w:rPr>
                      <w:rFonts w:hint="eastAsia"/>
                    </w:rPr>
                    <w:t>机械维修</w:t>
                  </w:r>
                </w:p>
              </w:tc>
              <w:tc>
                <w:tcPr>
                  <w:tcW w:w="327" w:type="pct"/>
                  <w:noWrap w:val="0"/>
                  <w:vAlign w:val="center"/>
                </w:tcPr>
                <w:p>
                  <w:pPr>
                    <w:pStyle w:val="78"/>
                    <w:rPr>
                      <w:rFonts w:hint="eastAsia"/>
                    </w:rPr>
                  </w:pPr>
                  <w:r>
                    <w:rPr>
                      <w:rFonts w:hint="eastAsia"/>
                    </w:rPr>
                    <w:t>固态</w:t>
                  </w:r>
                </w:p>
              </w:tc>
              <w:tc>
                <w:tcPr>
                  <w:tcW w:w="381" w:type="pct"/>
                  <w:noWrap w:val="0"/>
                  <w:vAlign w:val="center"/>
                </w:tcPr>
                <w:p>
                  <w:pPr>
                    <w:pStyle w:val="78"/>
                    <w:rPr>
                      <w:rFonts w:hint="eastAsia"/>
                    </w:rPr>
                  </w:pPr>
                  <w:r>
                    <w:rPr>
                      <w:rFonts w:hint="eastAsia"/>
                    </w:rPr>
                    <w:t>矿物油、棉纱</w:t>
                  </w:r>
                </w:p>
              </w:tc>
              <w:tc>
                <w:tcPr>
                  <w:tcW w:w="415" w:type="pct"/>
                  <w:noWrap w:val="0"/>
                  <w:vAlign w:val="center"/>
                </w:tcPr>
                <w:p>
                  <w:pPr>
                    <w:pStyle w:val="78"/>
                    <w:rPr>
                      <w:rFonts w:hint="eastAsia"/>
                    </w:rPr>
                  </w:pPr>
                  <w:r>
                    <w:rPr>
                      <w:rFonts w:hint="eastAsia"/>
                    </w:rPr>
                    <w:t>矿物油</w:t>
                  </w:r>
                </w:p>
              </w:tc>
              <w:tc>
                <w:tcPr>
                  <w:tcW w:w="394" w:type="pct"/>
                  <w:noWrap w:val="0"/>
                  <w:vAlign w:val="center"/>
                </w:tcPr>
                <w:p>
                  <w:pPr>
                    <w:pStyle w:val="78"/>
                    <w:rPr>
                      <w:rFonts w:hint="eastAsia"/>
                    </w:rPr>
                  </w:pPr>
                  <w:r>
                    <w:rPr>
                      <w:rFonts w:hint="eastAsia"/>
                    </w:rPr>
                    <w:t>T</w:t>
                  </w:r>
                </w:p>
              </w:tc>
              <w:tc>
                <w:tcPr>
                  <w:tcW w:w="881" w:type="pct"/>
                  <w:noWrap w:val="0"/>
                  <w:vAlign w:val="center"/>
                </w:tcPr>
                <w:p>
                  <w:pPr>
                    <w:pStyle w:val="78"/>
                    <w:ind w:firstLine="0" w:firstLineChars="0"/>
                    <w:rPr>
                      <w:rFonts w:hint="eastAsia"/>
                    </w:rPr>
                  </w:pPr>
                  <w:r>
                    <w:rPr>
                      <w:rFonts w:hint="eastAsia"/>
                    </w:rPr>
                    <w:t>采用桶装后暂存于危废贮存间，交由有资质单位处理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noWrap w:val="0"/>
                  <w:vAlign w:val="center"/>
                </w:tcPr>
                <w:p>
                  <w:pPr>
                    <w:pStyle w:val="78"/>
                    <w:rPr>
                      <w:rFonts w:hint="eastAsia" w:eastAsia="宋体"/>
                      <w:lang w:val="en-US" w:eastAsia="zh-CN"/>
                    </w:rPr>
                  </w:pPr>
                  <w:r>
                    <w:rPr>
                      <w:rFonts w:hint="eastAsia"/>
                      <w:lang w:val="en-US" w:eastAsia="zh-CN"/>
                    </w:rPr>
                    <w:t>2</w:t>
                  </w:r>
                </w:p>
              </w:tc>
              <w:tc>
                <w:tcPr>
                  <w:tcW w:w="393" w:type="pct"/>
                  <w:noWrap w:val="0"/>
                  <w:vAlign w:val="center"/>
                </w:tcPr>
                <w:p>
                  <w:pPr>
                    <w:pStyle w:val="78"/>
                    <w:rPr>
                      <w:rFonts w:hint="eastAsia" w:eastAsia="宋体"/>
                      <w:u w:val="single"/>
                      <w:lang w:eastAsia="zh-CN"/>
                    </w:rPr>
                  </w:pPr>
                  <w:r>
                    <w:rPr>
                      <w:rFonts w:hint="eastAsia"/>
                      <w:u w:val="single"/>
                      <w:lang w:eastAsia="zh-CN"/>
                    </w:rPr>
                    <w:t>废机油</w:t>
                  </w:r>
                </w:p>
              </w:tc>
              <w:tc>
                <w:tcPr>
                  <w:tcW w:w="468" w:type="pct"/>
                  <w:noWrap w:val="0"/>
                  <w:vAlign w:val="center"/>
                </w:tcPr>
                <w:p>
                  <w:pPr>
                    <w:pStyle w:val="78"/>
                    <w:rPr>
                      <w:rFonts w:hint="eastAsia"/>
                      <w:u w:val="single"/>
                    </w:rPr>
                  </w:pPr>
                  <w:r>
                    <w:rPr>
                      <w:rFonts w:hint="eastAsia"/>
                      <w:u w:val="single"/>
                      <w:lang w:eastAsia="zh-CN"/>
                    </w:rPr>
                    <w:t>HW</w:t>
                  </w:r>
                  <w:r>
                    <w:rPr>
                      <w:rFonts w:hint="eastAsia"/>
                      <w:u w:val="single"/>
                      <w:lang w:val="en-US" w:eastAsia="zh-CN"/>
                    </w:rPr>
                    <w:t>08</w:t>
                  </w:r>
                </w:p>
              </w:tc>
              <w:tc>
                <w:tcPr>
                  <w:tcW w:w="428" w:type="pct"/>
                  <w:noWrap w:val="0"/>
                  <w:vAlign w:val="center"/>
                </w:tcPr>
                <w:p>
                  <w:pPr>
                    <w:pStyle w:val="78"/>
                    <w:rPr>
                      <w:rFonts w:hint="default" w:eastAsia="宋体"/>
                      <w:u w:val="single"/>
                      <w:lang w:val="en-US" w:eastAsia="zh-CN"/>
                    </w:rPr>
                  </w:pPr>
                  <w:r>
                    <w:rPr>
                      <w:rFonts w:hint="eastAsia"/>
                      <w:u w:val="single"/>
                    </w:rPr>
                    <w:t>900-</w:t>
                  </w:r>
                  <w:r>
                    <w:rPr>
                      <w:rFonts w:hint="eastAsia"/>
                      <w:u w:val="single"/>
                      <w:lang w:val="en-US" w:eastAsia="zh-CN"/>
                    </w:rPr>
                    <w:t>214-08</w:t>
                  </w:r>
                </w:p>
              </w:tc>
              <w:tc>
                <w:tcPr>
                  <w:tcW w:w="448" w:type="pct"/>
                  <w:noWrap w:val="0"/>
                  <w:vAlign w:val="center"/>
                </w:tcPr>
                <w:p>
                  <w:pPr>
                    <w:pStyle w:val="78"/>
                    <w:rPr>
                      <w:rFonts w:hint="default" w:eastAsia="宋体"/>
                      <w:u w:val="single"/>
                      <w:lang w:val="en-US" w:eastAsia="zh-CN"/>
                    </w:rPr>
                  </w:pPr>
                  <w:r>
                    <w:rPr>
                      <w:rFonts w:hint="eastAsia"/>
                      <w:u w:val="single"/>
                      <w:lang w:val="en-US" w:eastAsia="zh-CN"/>
                    </w:rPr>
                    <w:t>0.01</w:t>
                  </w:r>
                </w:p>
              </w:tc>
              <w:tc>
                <w:tcPr>
                  <w:tcW w:w="575" w:type="pct"/>
                  <w:noWrap w:val="0"/>
                  <w:vAlign w:val="center"/>
                </w:tcPr>
                <w:p>
                  <w:pPr>
                    <w:pStyle w:val="78"/>
                    <w:rPr>
                      <w:rFonts w:hint="eastAsia"/>
                      <w:u w:val="single"/>
                    </w:rPr>
                  </w:pPr>
                  <w:r>
                    <w:rPr>
                      <w:rFonts w:hint="eastAsia"/>
                      <w:u w:val="single"/>
                    </w:rPr>
                    <w:t>机械维修</w:t>
                  </w:r>
                </w:p>
              </w:tc>
              <w:tc>
                <w:tcPr>
                  <w:tcW w:w="327" w:type="pct"/>
                  <w:noWrap w:val="0"/>
                  <w:vAlign w:val="center"/>
                </w:tcPr>
                <w:p>
                  <w:pPr>
                    <w:pStyle w:val="78"/>
                    <w:rPr>
                      <w:rFonts w:hint="eastAsia" w:eastAsia="宋体"/>
                      <w:u w:val="single"/>
                      <w:lang w:eastAsia="zh-CN"/>
                    </w:rPr>
                  </w:pPr>
                  <w:r>
                    <w:rPr>
                      <w:rFonts w:hint="eastAsia"/>
                      <w:u w:val="single"/>
                      <w:lang w:eastAsia="zh-CN"/>
                    </w:rPr>
                    <w:t>液态</w:t>
                  </w:r>
                </w:p>
              </w:tc>
              <w:tc>
                <w:tcPr>
                  <w:tcW w:w="381" w:type="pct"/>
                  <w:noWrap w:val="0"/>
                  <w:vAlign w:val="center"/>
                </w:tcPr>
                <w:p>
                  <w:pPr>
                    <w:pStyle w:val="78"/>
                    <w:rPr>
                      <w:rFonts w:hint="eastAsia" w:eastAsia="宋体"/>
                      <w:u w:val="single"/>
                      <w:lang w:eastAsia="zh-CN"/>
                    </w:rPr>
                  </w:pPr>
                  <w:r>
                    <w:rPr>
                      <w:rFonts w:hint="eastAsia"/>
                      <w:u w:val="single"/>
                      <w:lang w:eastAsia="zh-CN"/>
                    </w:rPr>
                    <w:t>矿物油</w:t>
                  </w:r>
                </w:p>
              </w:tc>
              <w:tc>
                <w:tcPr>
                  <w:tcW w:w="415" w:type="pct"/>
                  <w:noWrap w:val="0"/>
                  <w:vAlign w:val="center"/>
                </w:tcPr>
                <w:p>
                  <w:pPr>
                    <w:pStyle w:val="78"/>
                    <w:rPr>
                      <w:rFonts w:hint="eastAsia" w:eastAsia="宋体"/>
                      <w:u w:val="single"/>
                      <w:lang w:eastAsia="zh-CN"/>
                    </w:rPr>
                  </w:pPr>
                  <w:r>
                    <w:rPr>
                      <w:rFonts w:hint="eastAsia"/>
                      <w:u w:val="single"/>
                      <w:lang w:eastAsia="zh-CN"/>
                    </w:rPr>
                    <w:t>矿物油</w:t>
                  </w:r>
                </w:p>
              </w:tc>
              <w:tc>
                <w:tcPr>
                  <w:tcW w:w="394" w:type="pct"/>
                  <w:noWrap w:val="0"/>
                  <w:vAlign w:val="center"/>
                </w:tcPr>
                <w:p>
                  <w:pPr>
                    <w:pStyle w:val="78"/>
                    <w:rPr>
                      <w:rFonts w:hint="default" w:eastAsia="宋体"/>
                      <w:u w:val="single"/>
                      <w:lang w:val="en-US" w:eastAsia="zh-CN"/>
                    </w:rPr>
                  </w:pPr>
                  <w:r>
                    <w:rPr>
                      <w:rFonts w:hint="eastAsia"/>
                      <w:u w:val="single"/>
                      <w:lang w:val="en-US" w:eastAsia="zh-CN"/>
                    </w:rPr>
                    <w:t>T、I</w:t>
                  </w:r>
                </w:p>
              </w:tc>
              <w:tc>
                <w:tcPr>
                  <w:tcW w:w="881" w:type="pct"/>
                  <w:noWrap w:val="0"/>
                  <w:vAlign w:val="center"/>
                </w:tcPr>
                <w:p>
                  <w:pPr>
                    <w:pStyle w:val="78"/>
                    <w:ind w:firstLine="0" w:firstLineChars="0"/>
                    <w:rPr>
                      <w:rFonts w:hint="eastAsia"/>
                      <w:u w:val="single"/>
                    </w:rPr>
                  </w:pPr>
                  <w:r>
                    <w:rPr>
                      <w:rFonts w:hint="eastAsia"/>
                      <w:u w:val="single"/>
                      <w:lang w:eastAsia="zh-CN"/>
                    </w:rPr>
                    <w:t>通过专用废废机油桶</w:t>
                  </w:r>
                  <w:r>
                    <w:rPr>
                      <w:rFonts w:hint="eastAsia"/>
                      <w:u w:val="single"/>
                    </w:rPr>
                    <w:t>桶装后暂存于危废贮存间，交由有资质单位处理</w:t>
                  </w:r>
                </w:p>
              </w:tc>
            </w:tr>
          </w:tbl>
          <w:p>
            <w:pPr>
              <w:keepNext/>
              <w:keepLines/>
              <w:wordWrap w:val="0"/>
              <w:spacing w:before="200" w:after="200"/>
              <w:outlineLvl w:val="3"/>
              <w:rPr>
                <w:rFonts w:hint="eastAsia"/>
                <w:b/>
                <w:sz w:val="24"/>
              </w:rPr>
            </w:pPr>
            <w:r>
              <w:rPr>
                <w:rFonts w:hint="eastAsia"/>
                <w:b/>
                <w:sz w:val="24"/>
              </w:rPr>
              <w:t>4.2.4.2固体废物环境管理要求</w:t>
            </w:r>
          </w:p>
          <w:p>
            <w:pPr>
              <w:wordWrap w:val="0"/>
              <w:spacing w:line="360" w:lineRule="auto"/>
              <w:ind w:firstLine="482" w:firstLineChars="200"/>
              <w:rPr>
                <w:rFonts w:hint="eastAsia"/>
                <w:b/>
                <w:sz w:val="24"/>
              </w:rPr>
            </w:pPr>
            <w:r>
              <w:rPr>
                <w:rFonts w:hint="eastAsia"/>
                <w:b/>
                <w:sz w:val="24"/>
              </w:rPr>
              <w:t>1、一般固废环境管理要求</w:t>
            </w:r>
          </w:p>
          <w:p>
            <w:pPr>
              <w:wordWrap w:val="0"/>
              <w:autoSpaceDE w:val="0"/>
              <w:autoSpaceDN w:val="0"/>
              <w:spacing w:line="360" w:lineRule="auto"/>
              <w:ind w:firstLine="480" w:firstLineChars="200"/>
              <w:jc w:val="left"/>
              <w:rPr>
                <w:rFonts w:hint="eastAsia" w:ascii="宋体" w:hAnsi="宋体" w:cs="宋体"/>
                <w:color w:val="000000"/>
                <w:kern w:val="0"/>
                <w:sz w:val="24"/>
                <w:szCs w:val="22"/>
              </w:rPr>
            </w:pPr>
            <w:r>
              <w:rPr>
                <w:rFonts w:hint="eastAsia" w:ascii="宋体" w:hAnsi="宋体" w:cs="宋体"/>
                <w:color w:val="000000"/>
                <w:kern w:val="0"/>
                <w:sz w:val="24"/>
                <w:szCs w:val="22"/>
              </w:rPr>
              <w:t>布袋除尘粉尘、沉淀池沉渣等一般工业固体废物不含有毒有害物质，无腐蚀性，单独收集、单独贮存，定时收集起来用包装工具（罐、桶、包装袋等）密封贮存，统一贮存于厂区内的一般工业固体废物暂存间，定期外售综合利用。在产品库旁设置一般工业固体废物暂存间、面积为</w:t>
            </w:r>
            <w:r>
              <w:rPr>
                <w:rFonts w:hint="eastAsia"/>
                <w:color w:val="000000"/>
                <w:kern w:val="0"/>
                <w:sz w:val="24"/>
                <w:szCs w:val="22"/>
              </w:rPr>
              <w:t>5</w:t>
            </w:r>
            <w:r>
              <w:rPr>
                <w:color w:val="000000"/>
                <w:kern w:val="0"/>
                <w:sz w:val="24"/>
                <w:szCs w:val="22"/>
              </w:rPr>
              <w:t>0m</w:t>
            </w:r>
            <w:r>
              <w:rPr>
                <w:color w:val="000000"/>
                <w:kern w:val="0"/>
                <w:sz w:val="24"/>
                <w:szCs w:val="22"/>
                <w:vertAlign w:val="superscript"/>
              </w:rPr>
              <w:t>2</w:t>
            </w:r>
            <w:r>
              <w:rPr>
                <w:color w:val="000000"/>
                <w:kern w:val="0"/>
                <w:sz w:val="24"/>
                <w:szCs w:val="22"/>
              </w:rPr>
              <w:t>，</w:t>
            </w:r>
            <w:r>
              <w:rPr>
                <w:rFonts w:hint="eastAsia" w:ascii="宋体" w:hAnsi="宋体" w:cs="宋体"/>
                <w:color w:val="000000"/>
                <w:kern w:val="0"/>
                <w:sz w:val="24"/>
                <w:szCs w:val="22"/>
              </w:rPr>
              <w:t>采用独立密闭隔间的结构，地面硬化、防渗。</w:t>
            </w:r>
          </w:p>
          <w:p>
            <w:pPr>
              <w:wordWrap w:val="0"/>
              <w:spacing w:line="360" w:lineRule="auto"/>
              <w:ind w:firstLine="482" w:firstLineChars="200"/>
              <w:rPr>
                <w:rFonts w:hint="eastAsia"/>
                <w:b/>
                <w:sz w:val="24"/>
              </w:rPr>
            </w:pPr>
            <w:r>
              <w:rPr>
                <w:rFonts w:hint="eastAsia"/>
                <w:b/>
                <w:sz w:val="24"/>
              </w:rPr>
              <w:t>2、危废贮存间建设要求</w:t>
            </w:r>
          </w:p>
          <w:p>
            <w:pPr>
              <w:wordWrap w:val="0"/>
              <w:spacing w:line="360" w:lineRule="auto"/>
              <w:ind w:firstLine="480" w:firstLineChars="200"/>
              <w:rPr>
                <w:rFonts w:hint="eastAsia"/>
                <w:sz w:val="24"/>
              </w:rPr>
            </w:pPr>
            <w:r>
              <w:rPr>
                <w:rFonts w:hint="eastAsia"/>
                <w:sz w:val="24"/>
              </w:rPr>
              <w:t>根据《危险废物贮存污染控制标准》（GB18597-2023）和《危险废物收集贮存运输技术规范》（HJ2025-2012）的要求及结合本项目实际建设情况，危废贮存间应按以下要求设置：</w:t>
            </w:r>
          </w:p>
          <w:p>
            <w:pPr>
              <w:widowControl/>
              <w:adjustRightInd w:val="0"/>
              <w:snapToGrid w:val="0"/>
              <w:spacing w:line="360" w:lineRule="auto"/>
              <w:ind w:firstLine="480" w:firstLineChars="200"/>
              <w:rPr>
                <w:rFonts w:hint="eastAsia"/>
                <w:sz w:val="24"/>
              </w:rPr>
            </w:pPr>
            <w:r>
              <w:rPr>
                <w:sz w:val="24"/>
              </w:rPr>
              <w:t>（1）贮存库应防风、防晒、防雨、防漏、防渗、防腐，不应露天堆放危废</w:t>
            </w:r>
            <w:r>
              <w:rPr>
                <w:rFonts w:hint="eastAsia"/>
                <w:sz w:val="24"/>
              </w:rPr>
              <w:t>。</w:t>
            </w:r>
          </w:p>
          <w:p>
            <w:pPr>
              <w:widowControl/>
              <w:adjustRightInd w:val="0"/>
              <w:snapToGrid w:val="0"/>
              <w:spacing w:line="360" w:lineRule="auto"/>
              <w:ind w:firstLine="480" w:firstLineChars="200"/>
              <w:rPr>
                <w:rFonts w:hint="eastAsia"/>
                <w:sz w:val="24"/>
              </w:rPr>
            </w:pPr>
            <w:r>
              <w:rPr>
                <w:rFonts w:hint="eastAsia"/>
                <w:sz w:val="24"/>
              </w:rPr>
              <w:t>（2）根据危废类别、数量、形态、物理化学性质和污染防治等要求设置必要的贮存分区，避免不相容的危废接触、混合。</w:t>
            </w:r>
          </w:p>
          <w:p>
            <w:pPr>
              <w:wordWrap w:val="0"/>
              <w:autoSpaceDE w:val="0"/>
              <w:autoSpaceDN w:val="0"/>
              <w:spacing w:line="360" w:lineRule="auto"/>
              <w:ind w:firstLine="480" w:firstLineChars="200"/>
              <w:jc w:val="left"/>
              <w:rPr>
                <w:rFonts w:hint="eastAsia" w:ascii="宋体" w:hAnsi="宋体" w:cs="宋体"/>
                <w:color w:val="000000"/>
                <w:kern w:val="0"/>
                <w:sz w:val="24"/>
                <w:szCs w:val="22"/>
              </w:rPr>
            </w:pPr>
            <w:r>
              <w:rPr>
                <w:rFonts w:hint="eastAsia" w:ascii="宋体" w:hAnsi="宋体" w:cs="宋体"/>
                <w:color w:val="000000"/>
                <w:kern w:val="0"/>
                <w:sz w:val="24"/>
                <w:szCs w:val="22"/>
              </w:rPr>
              <w:t>（3）贮存间地面、墙面裙脚、堵截泄漏的围堰、接触危废的隔板和墙体等应采用坚固的材料建成，表面无裂缝。</w:t>
            </w:r>
          </w:p>
          <w:p>
            <w:pPr>
              <w:spacing w:line="360" w:lineRule="auto"/>
              <w:ind w:firstLine="480" w:firstLineChars="200"/>
              <w:rPr>
                <w:rFonts w:hint="eastAsia"/>
                <w:sz w:val="24"/>
              </w:rPr>
            </w:pPr>
            <w:r>
              <w:rPr>
                <w:rFonts w:hint="eastAsia"/>
                <w:sz w:val="24"/>
              </w:rPr>
              <w:t>（4）贮存间地面与裙脚应采取表面防渗措施；表面防渗材料应与所接触的物料或污染物相容，可采用抗渗混凝土、高密度聚乙烯膜等防渗材料。贮存的危废基础地面的，还应进行基础防渗，防渗层为至少1m厚的黏土层（渗透系数不大于10</w:t>
            </w:r>
            <w:r>
              <w:rPr>
                <w:rFonts w:hint="eastAsia"/>
                <w:sz w:val="24"/>
                <w:vertAlign w:val="superscript"/>
              </w:rPr>
              <w:t>-7</w:t>
            </w:r>
            <w:r>
              <w:rPr>
                <w:rFonts w:hint="eastAsia"/>
                <w:sz w:val="24"/>
              </w:rPr>
              <w:t>cm/s），或至少2mm厚高密度聚乙烯膜等人工防渗材料（渗透系数不大于10</w:t>
            </w:r>
            <w:r>
              <w:rPr>
                <w:rFonts w:hint="eastAsia"/>
                <w:sz w:val="24"/>
                <w:vertAlign w:val="superscript"/>
              </w:rPr>
              <w:t>-10</w:t>
            </w:r>
            <w:r>
              <w:rPr>
                <w:rFonts w:hint="eastAsia"/>
                <w:sz w:val="24"/>
              </w:rPr>
              <w:t>cm/s）。</w:t>
            </w:r>
          </w:p>
          <w:p>
            <w:pPr>
              <w:wordWrap w:val="0"/>
              <w:spacing w:line="360" w:lineRule="auto"/>
              <w:ind w:firstLine="480" w:firstLineChars="200"/>
              <w:rPr>
                <w:rFonts w:hint="eastAsia"/>
                <w:sz w:val="24"/>
              </w:rPr>
            </w:pPr>
            <w:r>
              <w:rPr>
                <w:color w:val="000000"/>
                <w:kern w:val="0"/>
                <w:sz w:val="24"/>
                <w:szCs w:val="22"/>
              </w:rPr>
              <w:t>（5）</w:t>
            </w:r>
            <w:r>
              <w:rPr>
                <w:sz w:val="24"/>
              </w:rPr>
              <w:t>贮存库外部需设置警示标志，贮存设施门口配备门锁。</w:t>
            </w:r>
          </w:p>
          <w:p>
            <w:pPr>
              <w:wordWrap w:val="0"/>
              <w:spacing w:line="360" w:lineRule="auto"/>
              <w:ind w:firstLine="482" w:firstLineChars="200"/>
              <w:rPr>
                <w:rFonts w:hint="eastAsia"/>
                <w:b/>
                <w:sz w:val="24"/>
              </w:rPr>
            </w:pPr>
            <w:r>
              <w:rPr>
                <w:rFonts w:hint="eastAsia"/>
                <w:b/>
                <w:sz w:val="24"/>
              </w:rPr>
              <w:t>3、危废环境管理要求</w:t>
            </w:r>
          </w:p>
          <w:p>
            <w:pPr>
              <w:widowControl/>
              <w:spacing w:line="360" w:lineRule="auto"/>
              <w:ind w:firstLine="480" w:firstLineChars="200"/>
              <w:jc w:val="left"/>
              <w:rPr>
                <w:sz w:val="24"/>
              </w:rPr>
            </w:pPr>
            <w:r>
              <w:rPr>
                <w:rFonts w:hint="eastAsia" w:cs="宋体"/>
                <w:bCs/>
                <w:color w:val="000000"/>
                <w:kern w:val="0"/>
                <w:sz w:val="24"/>
                <w:lang w:bidi="ar"/>
              </w:rPr>
              <w:t>对于危险废物规范化管理，企业严格按照《关于</w:t>
            </w:r>
            <w:r>
              <w:rPr>
                <w:bCs/>
                <w:color w:val="000000"/>
                <w:kern w:val="0"/>
                <w:sz w:val="24"/>
                <w:lang w:bidi="ar"/>
              </w:rPr>
              <w:t>&lt;</w:t>
            </w:r>
            <w:r>
              <w:rPr>
                <w:rFonts w:hint="eastAsia" w:cs="宋体"/>
                <w:bCs/>
                <w:color w:val="000000"/>
                <w:kern w:val="0"/>
                <w:sz w:val="24"/>
                <w:lang w:bidi="ar"/>
              </w:rPr>
              <w:t>印发危险废物规范化管理指标体系</w:t>
            </w:r>
            <w:r>
              <w:rPr>
                <w:bCs/>
                <w:color w:val="000000"/>
                <w:kern w:val="0"/>
                <w:sz w:val="24"/>
                <w:lang w:bidi="ar"/>
              </w:rPr>
              <w:t>&gt;</w:t>
            </w:r>
            <w:r>
              <w:rPr>
                <w:rFonts w:hint="eastAsia" w:cs="宋体"/>
                <w:bCs/>
                <w:color w:val="000000"/>
                <w:kern w:val="0"/>
                <w:sz w:val="24"/>
                <w:lang w:bidi="ar"/>
              </w:rPr>
              <w:t>的通知》（环办</w:t>
            </w:r>
            <w:r>
              <w:rPr>
                <w:bCs/>
                <w:color w:val="000000"/>
                <w:kern w:val="0"/>
                <w:sz w:val="24"/>
                <w:lang w:bidi="ar"/>
              </w:rPr>
              <w:t xml:space="preserve">[2015]99 </w:t>
            </w:r>
            <w:r>
              <w:rPr>
                <w:rFonts w:hint="eastAsia" w:cs="宋体"/>
                <w:bCs/>
                <w:color w:val="000000"/>
                <w:kern w:val="0"/>
                <w:sz w:val="24"/>
                <w:lang w:bidi="ar"/>
              </w:rPr>
              <w:t xml:space="preserve">号）及《危险废物管理计划和管理台账制定技术导则》（HJ1259-2022）的要求执行。具体要求如下： </w:t>
            </w:r>
          </w:p>
          <w:p>
            <w:pPr>
              <w:wordWrap w:val="0"/>
              <w:autoSpaceDE w:val="0"/>
              <w:autoSpaceDN w:val="0"/>
              <w:spacing w:line="360" w:lineRule="auto"/>
              <w:ind w:firstLine="480" w:firstLineChars="200"/>
              <w:rPr>
                <w:kern w:val="0"/>
                <w:sz w:val="24"/>
                <w:szCs w:val="22"/>
                <w:lang w:val="zh-CN" w:bidi="zh-CN"/>
              </w:rPr>
            </w:pPr>
            <w:r>
              <w:rPr>
                <w:rFonts w:hint="eastAsia"/>
                <w:kern w:val="0"/>
                <w:sz w:val="24"/>
                <w:szCs w:val="22"/>
                <w:lang w:val="zh-CN" w:bidi="zh-CN"/>
              </w:rPr>
              <w:t>（</w:t>
            </w:r>
            <w:r>
              <w:rPr>
                <w:rFonts w:hint="eastAsia"/>
                <w:kern w:val="0"/>
                <w:sz w:val="24"/>
                <w:szCs w:val="22"/>
                <w:lang w:bidi="zh-CN"/>
              </w:rPr>
              <w:t>1</w:t>
            </w:r>
            <w:r>
              <w:rPr>
                <w:rFonts w:hint="eastAsia"/>
                <w:kern w:val="0"/>
                <w:sz w:val="24"/>
                <w:szCs w:val="22"/>
                <w:lang w:val="zh-CN" w:bidi="zh-CN"/>
              </w:rPr>
              <w:t>）委托处置环节污染防控技术要求</w:t>
            </w:r>
          </w:p>
          <w:p>
            <w:pPr>
              <w:widowControl/>
              <w:spacing w:line="360" w:lineRule="auto"/>
              <w:ind w:firstLine="480" w:firstLineChars="200"/>
              <w:jc w:val="left"/>
              <w:rPr>
                <w:sz w:val="24"/>
              </w:rPr>
            </w:pPr>
            <w:r>
              <w:rPr>
                <w:rFonts w:hint="eastAsia"/>
                <w:sz w:val="24"/>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spacing w:line="360" w:lineRule="auto"/>
              <w:ind w:firstLine="480" w:firstLineChars="200"/>
              <w:rPr>
                <w:rFonts w:cs="宋体"/>
                <w:color w:val="000000"/>
                <w:kern w:val="0"/>
                <w:sz w:val="24"/>
                <w:lang w:bidi="ar"/>
              </w:rPr>
            </w:pPr>
            <w:r>
              <w:rPr>
                <w:rFonts w:hint="eastAsia" w:cs="宋体"/>
                <w:color w:val="000000"/>
                <w:kern w:val="0"/>
                <w:sz w:val="24"/>
                <w:lang w:bidi="ar"/>
              </w:rPr>
              <w:t>（2）环境管理台账记录要求</w:t>
            </w:r>
          </w:p>
          <w:p>
            <w:pPr>
              <w:spacing w:line="360" w:lineRule="auto"/>
              <w:ind w:firstLine="480" w:firstLineChars="200"/>
              <w:rPr>
                <w:rFonts w:cs="宋体"/>
                <w:color w:val="000000"/>
                <w:kern w:val="0"/>
                <w:sz w:val="24"/>
                <w:lang w:bidi="ar"/>
              </w:rPr>
            </w:pPr>
            <w:r>
              <w:rPr>
                <w:rFonts w:hint="eastAsia" w:cs="宋体"/>
                <w:color w:val="000000"/>
                <w:kern w:val="0"/>
                <w:sz w:val="24"/>
                <w:lang w:bidi="ar"/>
              </w:rPr>
              <w:t>环境管理台账记录要求如下：</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表4.2-20：环境管理台账记录要求</w:t>
            </w:r>
          </w:p>
          <w:tbl>
            <w:tblPr>
              <w:tblStyle w:val="24"/>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9"/>
              <w:gridCol w:w="2688"/>
              <w:gridCol w:w="1173"/>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88" w:type="pct"/>
                  <w:noWrap w:val="0"/>
                  <w:vAlign w:val="center"/>
                </w:tcPr>
                <w:p>
                  <w:pPr>
                    <w:widowControl/>
                    <w:wordWrap w:val="0"/>
                    <w:jc w:val="center"/>
                    <w:rPr>
                      <w:b/>
                      <w:bCs/>
                      <w:color w:val="000000"/>
                    </w:rPr>
                  </w:pPr>
                  <w:r>
                    <w:rPr>
                      <w:rFonts w:hint="eastAsia"/>
                      <w:b/>
                      <w:bCs/>
                      <w:color w:val="000000"/>
                    </w:rPr>
                    <w:t>记录内容</w:t>
                  </w:r>
                </w:p>
              </w:tc>
              <w:tc>
                <w:tcPr>
                  <w:tcW w:w="1608" w:type="pct"/>
                  <w:noWrap w:val="0"/>
                  <w:vAlign w:val="center"/>
                </w:tcPr>
                <w:p>
                  <w:pPr>
                    <w:widowControl/>
                    <w:wordWrap w:val="0"/>
                    <w:jc w:val="center"/>
                    <w:rPr>
                      <w:b/>
                      <w:bCs/>
                      <w:color w:val="000000"/>
                    </w:rPr>
                  </w:pPr>
                  <w:r>
                    <w:rPr>
                      <w:rFonts w:hint="eastAsia"/>
                      <w:b/>
                      <w:bCs/>
                      <w:color w:val="000000"/>
                    </w:rPr>
                    <w:t>记录频次</w:t>
                  </w:r>
                </w:p>
              </w:tc>
              <w:tc>
                <w:tcPr>
                  <w:tcW w:w="1142" w:type="dxa"/>
                  <w:noWrap w:val="0"/>
                  <w:vAlign w:val="center"/>
                </w:tcPr>
                <w:p>
                  <w:pPr>
                    <w:widowControl/>
                    <w:wordWrap w:val="0"/>
                    <w:jc w:val="center"/>
                    <w:rPr>
                      <w:b/>
                      <w:bCs/>
                      <w:color w:val="000000"/>
                    </w:rPr>
                  </w:pPr>
                  <w:r>
                    <w:rPr>
                      <w:rFonts w:hint="eastAsia"/>
                      <w:b/>
                      <w:bCs/>
                      <w:color w:val="000000"/>
                    </w:rPr>
                    <w:t>记录类型</w:t>
                  </w:r>
                </w:p>
              </w:tc>
              <w:tc>
                <w:tcPr>
                  <w:tcW w:w="1464" w:type="dxa"/>
                  <w:noWrap w:val="0"/>
                  <w:vAlign w:val="center"/>
                </w:tcPr>
                <w:p>
                  <w:pPr>
                    <w:widowControl/>
                    <w:wordWrap w:val="0"/>
                    <w:jc w:val="center"/>
                    <w:rPr>
                      <w:b/>
                      <w:bCs/>
                      <w:color w:val="000000"/>
                    </w:rPr>
                  </w:pPr>
                  <w:r>
                    <w:rPr>
                      <w:rFonts w:hint="eastAsia"/>
                      <w:b/>
                      <w:bCs/>
                      <w:color w:val="000000"/>
                    </w:rPr>
                    <w:t>保存时间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88" w:type="pct"/>
                  <w:noWrap w:val="0"/>
                  <w:vAlign w:val="center"/>
                </w:tcPr>
                <w:p>
                  <w:pPr>
                    <w:widowControl/>
                    <w:wordWrap w:val="0"/>
                    <w:jc w:val="center"/>
                    <w:rPr>
                      <w:color w:val="000000"/>
                    </w:rPr>
                  </w:pPr>
                  <w:r>
                    <w:rPr>
                      <w:color w:val="000000"/>
                    </w:rPr>
                    <w:t>根据《危险废物管理计划和管理台账制定技术导则》（HJ 1259-2022）6.3及附录B的记录内容，产生危险废物的单位应记录危险废物产生、贮存、利用、处置等环节的动态流向。</w:t>
                  </w:r>
                </w:p>
              </w:tc>
              <w:tc>
                <w:tcPr>
                  <w:tcW w:w="1608" w:type="pct"/>
                  <w:noWrap w:val="0"/>
                  <w:vAlign w:val="center"/>
                </w:tcPr>
                <w:p>
                  <w:pPr>
                    <w:widowControl/>
                    <w:wordWrap w:val="0"/>
                    <w:jc w:val="center"/>
                    <w:rPr>
                      <w:color w:val="000000"/>
                    </w:rPr>
                  </w:pPr>
                  <w:r>
                    <w:rPr>
                      <w:color w:val="000000"/>
                    </w:rPr>
                    <w:t>产生后盛放至容器和包装物的，应按每个容器和包装物进行记录；产生后采用管道等方式输送至贮存场所的，按日记录；其他特殊情形的，根据危险废物产生规律确定记录频次。</w:t>
                  </w:r>
                </w:p>
              </w:tc>
              <w:tc>
                <w:tcPr>
                  <w:tcW w:w="702" w:type="pct"/>
                  <w:noWrap w:val="0"/>
                  <w:vAlign w:val="center"/>
                </w:tcPr>
                <w:p>
                  <w:pPr>
                    <w:widowControl/>
                    <w:wordWrap w:val="0"/>
                    <w:jc w:val="center"/>
                    <w:rPr>
                      <w:color w:val="000000"/>
                    </w:rPr>
                  </w:pPr>
                  <w:r>
                    <w:rPr>
                      <w:color w:val="000000"/>
                    </w:rPr>
                    <w:t>电子台账+纸质台账</w:t>
                  </w:r>
                </w:p>
              </w:tc>
              <w:tc>
                <w:tcPr>
                  <w:tcW w:w="900" w:type="pct"/>
                  <w:noWrap w:val="0"/>
                  <w:vAlign w:val="center"/>
                </w:tcPr>
                <w:p>
                  <w:pPr>
                    <w:widowControl/>
                    <w:wordWrap w:val="0"/>
                    <w:jc w:val="center"/>
                    <w:rPr>
                      <w:color w:val="000000"/>
                    </w:rPr>
                  </w:pPr>
                  <w:r>
                    <w:rPr>
                      <w:color w:val="000000"/>
                    </w:rPr>
                    <w:t>危废台账保存期限不得少于十年</w:t>
                  </w:r>
                </w:p>
              </w:tc>
            </w:tr>
          </w:tbl>
          <w:p>
            <w:pPr>
              <w:wordWrap w:val="0"/>
              <w:spacing w:line="360" w:lineRule="auto"/>
              <w:ind w:firstLine="480" w:firstLineChars="200"/>
              <w:rPr>
                <w:rFonts w:hint="eastAsia"/>
                <w:sz w:val="24"/>
              </w:rPr>
            </w:pPr>
            <w:r>
              <w:rPr>
                <w:rFonts w:hint="eastAsia"/>
                <w:sz w:val="24"/>
              </w:rPr>
              <w:t>综上所述，项目固废能综合利用的综合利用，不能综合利用的得到有效、合理、安全处置，对环境影响较小。</w:t>
            </w:r>
          </w:p>
          <w:p>
            <w:pPr>
              <w:keepNext/>
              <w:keepLines/>
              <w:wordWrap w:val="0"/>
              <w:spacing w:before="192" w:beforeLines="80" w:after="192" w:afterLines="80"/>
              <w:outlineLvl w:val="2"/>
              <w:rPr>
                <w:b/>
                <w:bCs/>
                <w:sz w:val="28"/>
                <w:szCs w:val="32"/>
              </w:rPr>
            </w:pPr>
            <w:bookmarkStart w:id="125" w:name="_Toc109734396"/>
            <w:bookmarkStart w:id="126" w:name="_Toc109630695"/>
            <w:bookmarkStart w:id="127" w:name="_Toc109294491"/>
            <w:bookmarkStart w:id="128" w:name="_Toc110446499"/>
            <w:bookmarkStart w:id="129" w:name="_Toc111721081"/>
            <w:r>
              <w:rPr>
                <w:rFonts w:hint="eastAsia"/>
                <w:b/>
                <w:bCs/>
                <w:sz w:val="28"/>
                <w:szCs w:val="32"/>
              </w:rPr>
              <w:t>4</w:t>
            </w:r>
            <w:r>
              <w:rPr>
                <w:b/>
                <w:bCs/>
                <w:sz w:val="28"/>
                <w:szCs w:val="32"/>
              </w:rPr>
              <w:t>.2.5</w:t>
            </w:r>
            <w:r>
              <w:rPr>
                <w:rFonts w:hint="eastAsia"/>
                <w:b/>
                <w:bCs/>
                <w:sz w:val="28"/>
                <w:szCs w:val="32"/>
              </w:rPr>
              <w:t>地下水和土壤影响分析</w:t>
            </w:r>
            <w:bookmarkEnd w:id="125"/>
            <w:bookmarkEnd w:id="126"/>
            <w:bookmarkEnd w:id="127"/>
            <w:r>
              <w:rPr>
                <w:rFonts w:hint="eastAsia"/>
                <w:b/>
                <w:bCs/>
                <w:sz w:val="28"/>
                <w:szCs w:val="32"/>
              </w:rPr>
              <w:t>及预防措施</w:t>
            </w:r>
            <w:bookmarkEnd w:id="128"/>
            <w:bookmarkEnd w:id="129"/>
          </w:p>
          <w:p>
            <w:pPr>
              <w:wordWrap w:val="0"/>
              <w:spacing w:line="360" w:lineRule="auto"/>
              <w:ind w:firstLine="480" w:firstLineChars="200"/>
              <w:rPr>
                <w:rFonts w:hint="eastAsia"/>
                <w:sz w:val="24"/>
              </w:rPr>
            </w:pPr>
            <w:r>
              <w:rPr>
                <w:rFonts w:hint="eastAsia"/>
                <w:sz w:val="24"/>
              </w:rPr>
              <w:t>根据《建设项目环境影响报告表编制技术指南（污染影响类）试行》中要求，不需开展地下水、土壤专项评价工作。但考虑项目设危险废物贮存间，本环评着重考虑以上区域对地下水、土壤的污染影响。针对本项目可能产生的地下水污染，将采取“源头控制、分区防护、污染监控、应急响应”响应相结合的原则，从污染物的产生、入渗、扩散、应急响应全方位进行控制。</w:t>
            </w:r>
          </w:p>
          <w:p>
            <w:pPr>
              <w:autoSpaceDE w:val="0"/>
              <w:autoSpaceDN w:val="0"/>
              <w:adjustRightInd w:val="0"/>
              <w:snapToGrid w:val="0"/>
              <w:spacing w:line="360" w:lineRule="auto"/>
              <w:ind w:firstLine="480" w:firstLineChars="200"/>
              <w:jc w:val="left"/>
              <w:rPr>
                <w:rFonts w:hint="eastAsia"/>
                <w:kern w:val="0"/>
                <w:sz w:val="24"/>
                <w:u w:val="single"/>
              </w:rPr>
            </w:pPr>
            <w:r>
              <w:rPr>
                <w:rFonts w:hint="eastAsia"/>
                <w:kern w:val="0"/>
                <w:sz w:val="24"/>
                <w:u w:val="single"/>
              </w:rPr>
              <w:t>项目营运期废水主要为车辆冲洗废水和生活污水，生活污水经化粪池处理后定期农肥，车辆冲洗废水经沉淀池沉淀后回用，不外排。</w:t>
            </w:r>
            <w:r>
              <w:rPr>
                <w:rFonts w:hint="eastAsia"/>
                <w:kern w:val="0"/>
                <w:sz w:val="24"/>
                <w:u w:val="single"/>
                <w:lang w:eastAsia="zh-CN"/>
              </w:rPr>
              <w:t>初期雨水经雨水收集池收集回用，后期雨水经雨水收集沟排入紫霞湖大道雨水收集沟，排入周边环境。</w:t>
            </w:r>
            <w:r>
              <w:rPr>
                <w:rFonts w:hint="eastAsia"/>
                <w:sz w:val="24"/>
                <w:u w:val="single"/>
              </w:rPr>
              <w:t>参照《环境影响评价技术导则地下水环境》（</w:t>
            </w:r>
            <w:r>
              <w:rPr>
                <w:sz w:val="24"/>
                <w:u w:val="single"/>
              </w:rPr>
              <w:t>HJ610-2016</w:t>
            </w:r>
            <w:r>
              <w:rPr>
                <w:rFonts w:hint="eastAsia"/>
                <w:sz w:val="24"/>
                <w:u w:val="single"/>
              </w:rPr>
              <w:t>）中的内容，要求采取分区防渗，切断污染物进入土壤、地下水环境的途径（具体分区防渗分析内容及要求见表4.2-21）。</w:t>
            </w:r>
          </w:p>
          <w:p>
            <w:pPr>
              <w:autoSpaceDE w:val="0"/>
              <w:autoSpaceDN w:val="0"/>
              <w:adjustRightInd w:val="0"/>
              <w:snapToGrid w:val="0"/>
              <w:spacing w:line="360" w:lineRule="auto"/>
              <w:ind w:firstLine="480" w:firstLineChars="200"/>
              <w:jc w:val="left"/>
              <w:rPr>
                <w:kern w:val="0"/>
                <w:sz w:val="24"/>
                <w:u w:val="single"/>
              </w:rPr>
            </w:pPr>
            <w:r>
              <w:rPr>
                <w:rFonts w:hint="eastAsia"/>
                <w:kern w:val="0"/>
                <w:sz w:val="24"/>
                <w:u w:val="single"/>
              </w:rPr>
              <w:t>废气主要是产生的</w:t>
            </w:r>
            <w:r>
              <w:rPr>
                <w:kern w:val="0"/>
                <w:sz w:val="24"/>
                <w:u w:val="single"/>
              </w:rPr>
              <w:t>颗粒物，它们降落到地表可引起土壤肥力与生态系统的平衡。</w:t>
            </w:r>
            <w:r>
              <w:rPr>
                <w:rFonts w:hint="eastAsia"/>
                <w:kern w:val="0"/>
                <w:sz w:val="24"/>
                <w:u w:val="single"/>
              </w:rPr>
              <w:t>企业通过封闭式</w:t>
            </w:r>
            <w:r>
              <w:rPr>
                <w:rFonts w:hint="eastAsia"/>
                <w:kern w:val="0"/>
                <w:sz w:val="24"/>
                <w:u w:val="single"/>
                <w:lang w:eastAsia="zh-CN"/>
              </w:rPr>
              <w:t>生产车间</w:t>
            </w:r>
            <w:r>
              <w:rPr>
                <w:rFonts w:hint="eastAsia"/>
                <w:kern w:val="0"/>
                <w:sz w:val="24"/>
                <w:u w:val="single"/>
              </w:rPr>
              <w:t>、密闭式皮带廊道、集气罩+布袋除尘器处理颗粒物，使排放的颗粒物大大减少，因此综合分析项目大气沉降</w:t>
            </w:r>
            <w:r>
              <w:rPr>
                <w:kern w:val="0"/>
                <w:sz w:val="24"/>
                <w:u w:val="single"/>
              </w:rPr>
              <w:t>对</w:t>
            </w:r>
            <w:r>
              <w:rPr>
                <w:rFonts w:hint="eastAsia"/>
                <w:kern w:val="0"/>
                <w:sz w:val="24"/>
                <w:u w:val="single"/>
              </w:rPr>
              <w:t>土壤</w:t>
            </w:r>
            <w:r>
              <w:rPr>
                <w:kern w:val="0"/>
                <w:sz w:val="24"/>
                <w:u w:val="single"/>
              </w:rPr>
              <w:t>环境的影响很小。</w:t>
            </w:r>
          </w:p>
          <w:p>
            <w:pPr>
              <w:spacing w:line="360" w:lineRule="auto"/>
              <w:ind w:firstLine="480" w:firstLineChars="200"/>
              <w:rPr>
                <w:rFonts w:ascii="宋体" w:hAnsi="宋体" w:cs="宋体"/>
                <w:sz w:val="24"/>
                <w:u w:val="single"/>
              </w:rPr>
            </w:pPr>
            <w:r>
              <w:rPr>
                <w:rFonts w:hint="eastAsia" w:ascii="宋体" w:hAnsi="宋体" w:cs="宋体"/>
                <w:sz w:val="24"/>
                <w:u w:val="single"/>
              </w:rPr>
              <w:t>本项目防渗分区包括重点防渗区、一般防渗区、简单防渗区，本项目防渗分区详见下表：</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u w:val="single"/>
              </w:rPr>
            </w:pPr>
            <w:r>
              <w:rPr>
                <w:rFonts w:hint="eastAsia" w:cs="宋体"/>
                <w:b/>
                <w:szCs w:val="21"/>
                <w:u w:val="single"/>
              </w:rPr>
              <w:t>表4.2-21：分区防渗措施</w:t>
            </w:r>
          </w:p>
          <w:tbl>
            <w:tblPr>
              <w:tblStyle w:val="24"/>
              <w:tblW w:w="498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1"/>
              <w:gridCol w:w="1294"/>
              <w:gridCol w:w="2496"/>
              <w:gridCol w:w="1581"/>
              <w:gridCol w:w="25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序号</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防渗分区</w:t>
                  </w:r>
                </w:p>
              </w:tc>
              <w:tc>
                <w:tcPr>
                  <w:tcW w:w="2404"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区域</w:t>
                  </w:r>
                </w:p>
              </w:tc>
              <w:tc>
                <w:tcPr>
                  <w:tcW w:w="1523" w:type="dxa"/>
                  <w:tcBorders>
                    <w:top w:val="single" w:color="000000" w:sz="4" w:space="0"/>
                    <w:left w:val="single" w:color="000000" w:sz="4" w:space="0"/>
                    <w:bottom w:val="single" w:color="000000" w:sz="4" w:space="0"/>
                  </w:tcBorders>
                  <w:noWrap w:val="0"/>
                  <w:vAlign w:val="center"/>
                </w:tcPr>
                <w:p>
                  <w:pPr>
                    <w:wordWrap w:val="0"/>
                    <w:jc w:val="center"/>
                    <w:rPr>
                      <w:rFonts w:hint="eastAsia"/>
                      <w:u w:val="single"/>
                    </w:rPr>
                  </w:pPr>
                  <w:r>
                    <w:rPr>
                      <w:rFonts w:hint="eastAsia"/>
                      <w:u w:val="single"/>
                    </w:rPr>
                    <w:t>污染物类型</w:t>
                  </w:r>
                </w:p>
              </w:tc>
              <w:tc>
                <w:tcPr>
                  <w:tcW w:w="2442" w:type="dxa"/>
                  <w:tcBorders>
                    <w:top w:val="single" w:color="000000" w:sz="4" w:space="0"/>
                    <w:left w:val="single" w:color="000000" w:sz="4" w:space="0"/>
                    <w:bottom w:val="single" w:color="000000" w:sz="4" w:space="0"/>
                  </w:tcBorders>
                  <w:noWrap w:val="0"/>
                  <w:vAlign w:val="center"/>
                </w:tcPr>
                <w:p>
                  <w:pPr>
                    <w:wordWrap w:val="0"/>
                    <w:jc w:val="center"/>
                    <w:rPr>
                      <w:rFonts w:hint="eastAsia"/>
                      <w:u w:val="single"/>
                    </w:rPr>
                  </w:pPr>
                  <w:r>
                    <w:rPr>
                      <w:rFonts w:hint="eastAsia"/>
                      <w:u w:val="single"/>
                    </w:rPr>
                    <w:t>防渗技术要求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1</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重点防渗</w:t>
                  </w:r>
                </w:p>
              </w:tc>
              <w:tc>
                <w:tcPr>
                  <w:tcW w:w="2404"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u w:val="single"/>
                    </w:rPr>
                  </w:pPr>
                  <w:r>
                    <w:rPr>
                      <w:rFonts w:hint="eastAsia"/>
                      <w:u w:val="single"/>
                    </w:rPr>
                    <w:t>危物暂存间</w:t>
                  </w:r>
                </w:p>
              </w:tc>
              <w:tc>
                <w:tcPr>
                  <w:tcW w:w="1523" w:type="dxa"/>
                  <w:tcBorders>
                    <w:top w:val="single" w:color="000000" w:sz="4" w:space="0"/>
                    <w:left w:val="single" w:color="000000" w:sz="4" w:space="0"/>
                    <w:bottom w:val="single" w:color="000000" w:sz="4" w:space="0"/>
                  </w:tcBorders>
                  <w:noWrap w:val="0"/>
                  <w:vAlign w:val="center"/>
                </w:tcPr>
                <w:p>
                  <w:pPr>
                    <w:wordWrap w:val="0"/>
                    <w:jc w:val="center"/>
                    <w:rPr>
                      <w:u w:val="single"/>
                    </w:rPr>
                  </w:pPr>
                  <w:r>
                    <w:rPr>
                      <w:rFonts w:hint="eastAsia"/>
                      <w:u w:val="single"/>
                    </w:rPr>
                    <w:t>持久性有机物污染物</w:t>
                  </w:r>
                </w:p>
              </w:tc>
              <w:tc>
                <w:tcPr>
                  <w:tcW w:w="2442" w:type="dxa"/>
                  <w:tcBorders>
                    <w:top w:val="single" w:color="000000" w:sz="4" w:space="0"/>
                    <w:left w:val="single" w:color="000000" w:sz="4" w:space="0"/>
                    <w:bottom w:val="single" w:color="000000" w:sz="4" w:space="0"/>
                  </w:tcBorders>
                  <w:noWrap w:val="0"/>
                  <w:vAlign w:val="center"/>
                </w:tcPr>
                <w:p>
                  <w:pPr>
                    <w:wordWrap w:val="0"/>
                    <w:jc w:val="center"/>
                    <w:rPr>
                      <w:u w:val="single"/>
                    </w:rPr>
                  </w:pPr>
                  <w:r>
                    <w:rPr>
                      <w:rFonts w:hint="eastAsia"/>
                      <w:u w:val="single"/>
                    </w:rPr>
                    <w:t>等效黏土防渗层Mb≥6.0m，K≤1×10</w:t>
                  </w:r>
                  <w:r>
                    <w:rPr>
                      <w:rFonts w:hint="eastAsia"/>
                      <w:u w:val="single"/>
                      <w:vertAlign w:val="superscript"/>
                    </w:rPr>
                    <w:t>-7</w:t>
                  </w:r>
                  <w:r>
                    <w:rPr>
                      <w:rFonts w:hint="eastAsia"/>
                      <w:u w:val="single"/>
                    </w:rPr>
                    <w:t>cm/s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2</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一般防渗</w:t>
                  </w:r>
                </w:p>
              </w:tc>
              <w:tc>
                <w:tcPr>
                  <w:tcW w:w="2404"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eastAsia="宋体"/>
                      <w:u w:val="single"/>
                      <w:lang w:eastAsia="zh-CN"/>
                    </w:rPr>
                  </w:pPr>
                  <w:r>
                    <w:rPr>
                      <w:rFonts w:hint="eastAsia"/>
                      <w:u w:val="single"/>
                    </w:rPr>
                    <w:t>生产车间、化粪池、一般固废间</w:t>
                  </w:r>
                  <w:r>
                    <w:rPr>
                      <w:rFonts w:hint="eastAsia"/>
                      <w:u w:val="single"/>
                      <w:lang w:eastAsia="zh-CN"/>
                    </w:rPr>
                    <w:t>、废水沉淀池、雨水收集池</w:t>
                  </w:r>
                </w:p>
              </w:tc>
              <w:tc>
                <w:tcPr>
                  <w:tcW w:w="1523" w:type="dxa"/>
                  <w:tcBorders>
                    <w:top w:val="single" w:color="000000" w:sz="4" w:space="0"/>
                    <w:left w:val="single" w:color="000000" w:sz="4" w:space="0"/>
                    <w:bottom w:val="single" w:color="000000" w:sz="4" w:space="0"/>
                  </w:tcBorders>
                  <w:noWrap w:val="0"/>
                  <w:vAlign w:val="center"/>
                </w:tcPr>
                <w:p>
                  <w:pPr>
                    <w:wordWrap w:val="0"/>
                    <w:jc w:val="center"/>
                    <w:rPr>
                      <w:rFonts w:hint="eastAsia"/>
                      <w:u w:val="single"/>
                    </w:rPr>
                  </w:pPr>
                  <w:r>
                    <w:rPr>
                      <w:rFonts w:hint="eastAsia"/>
                      <w:u w:val="single"/>
                    </w:rPr>
                    <w:t>其他类型</w:t>
                  </w:r>
                </w:p>
              </w:tc>
              <w:tc>
                <w:tcPr>
                  <w:tcW w:w="2442" w:type="dxa"/>
                  <w:tcBorders>
                    <w:top w:val="single" w:color="000000" w:sz="4" w:space="0"/>
                    <w:left w:val="single" w:color="000000" w:sz="4" w:space="0"/>
                    <w:bottom w:val="single" w:color="000000" w:sz="4" w:space="0"/>
                  </w:tcBorders>
                  <w:noWrap w:val="0"/>
                  <w:vAlign w:val="center"/>
                </w:tcPr>
                <w:p>
                  <w:pPr>
                    <w:wordWrap w:val="0"/>
                    <w:jc w:val="center"/>
                    <w:rPr>
                      <w:u w:val="single"/>
                    </w:rPr>
                  </w:pPr>
                  <w:r>
                    <w:rPr>
                      <w:rFonts w:hint="eastAsia"/>
                      <w:u w:val="single"/>
                    </w:rPr>
                    <w:t>等效黏土防渗层Mb≥1.5m，K≤1×10</w:t>
                  </w:r>
                  <w:r>
                    <w:rPr>
                      <w:rFonts w:hint="eastAsia"/>
                      <w:u w:val="single"/>
                      <w:vertAlign w:val="superscript"/>
                    </w:rPr>
                    <w:t>-7</w:t>
                  </w:r>
                  <w:r>
                    <w:rPr>
                      <w:rFonts w:hint="eastAsia"/>
                      <w:u w:val="single"/>
                    </w:rPr>
                    <w:t>cm/s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646"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3</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简单防渗</w:t>
                  </w:r>
                </w:p>
              </w:tc>
              <w:tc>
                <w:tcPr>
                  <w:tcW w:w="2404" w:type="dxa"/>
                  <w:tcBorders>
                    <w:top w:val="single" w:color="000000" w:sz="4" w:space="0"/>
                    <w:left w:val="single" w:color="000000" w:sz="4" w:space="0"/>
                    <w:bottom w:val="single" w:color="000000" w:sz="4" w:space="0"/>
                    <w:right w:val="single" w:color="000000" w:sz="4" w:space="0"/>
                  </w:tcBorders>
                  <w:noWrap w:val="0"/>
                  <w:vAlign w:val="center"/>
                </w:tcPr>
                <w:p>
                  <w:pPr>
                    <w:wordWrap w:val="0"/>
                    <w:jc w:val="center"/>
                    <w:rPr>
                      <w:rFonts w:hint="eastAsia"/>
                      <w:u w:val="single"/>
                    </w:rPr>
                  </w:pPr>
                  <w:r>
                    <w:rPr>
                      <w:rFonts w:hint="eastAsia"/>
                      <w:u w:val="single"/>
                    </w:rPr>
                    <w:t>生活办公区、道路广场</w:t>
                  </w:r>
                </w:p>
              </w:tc>
              <w:tc>
                <w:tcPr>
                  <w:tcW w:w="1523" w:type="dxa"/>
                  <w:tcBorders>
                    <w:top w:val="single" w:color="000000" w:sz="4" w:space="0"/>
                    <w:left w:val="single" w:color="000000" w:sz="4" w:space="0"/>
                    <w:bottom w:val="single" w:color="000000" w:sz="4" w:space="0"/>
                  </w:tcBorders>
                  <w:noWrap w:val="0"/>
                  <w:vAlign w:val="center"/>
                </w:tcPr>
                <w:p>
                  <w:pPr>
                    <w:wordWrap w:val="0"/>
                    <w:jc w:val="center"/>
                    <w:rPr>
                      <w:rFonts w:hint="eastAsia"/>
                      <w:u w:val="single"/>
                    </w:rPr>
                  </w:pPr>
                  <w:r>
                    <w:rPr>
                      <w:rFonts w:hint="eastAsia"/>
                      <w:u w:val="single"/>
                    </w:rPr>
                    <w:t>其他类型</w:t>
                  </w:r>
                </w:p>
              </w:tc>
              <w:tc>
                <w:tcPr>
                  <w:tcW w:w="2442" w:type="dxa"/>
                  <w:tcBorders>
                    <w:top w:val="single" w:color="000000" w:sz="4" w:space="0"/>
                    <w:left w:val="single" w:color="000000" w:sz="4" w:space="0"/>
                    <w:bottom w:val="single" w:color="000000" w:sz="4" w:space="0"/>
                  </w:tcBorders>
                  <w:noWrap w:val="0"/>
                  <w:vAlign w:val="center"/>
                </w:tcPr>
                <w:p>
                  <w:pPr>
                    <w:wordWrap w:val="0"/>
                    <w:jc w:val="center"/>
                    <w:rPr>
                      <w:rFonts w:hint="eastAsia"/>
                      <w:u w:val="single"/>
                    </w:rPr>
                  </w:pPr>
                  <w:r>
                    <w:rPr>
                      <w:rFonts w:hint="eastAsia"/>
                      <w:u w:val="single"/>
                    </w:rPr>
                    <w:t>一般地面硬化</w:t>
                  </w:r>
                </w:p>
              </w:tc>
            </w:tr>
          </w:tbl>
          <w:p>
            <w:pPr>
              <w:wordWrap w:val="0"/>
              <w:spacing w:line="360" w:lineRule="auto"/>
              <w:ind w:firstLine="480" w:firstLineChars="200"/>
              <w:outlineLvl w:val="2"/>
              <w:rPr>
                <w:sz w:val="24"/>
                <w:u w:val="single"/>
              </w:rPr>
            </w:pPr>
            <w:r>
              <w:rPr>
                <w:rFonts w:hint="eastAsia"/>
                <w:sz w:val="24"/>
                <w:u w:val="single"/>
              </w:rPr>
              <w:t>通过以上分析，拟建项目采取了必要的防渗防腐、管理措施，可以在很大程度上预防工程对当地地下水和土壤的污染，对地下水水质和土壤造成影响较小。</w:t>
            </w:r>
          </w:p>
          <w:p>
            <w:pPr>
              <w:keepNext/>
              <w:keepLines/>
              <w:wordWrap w:val="0"/>
              <w:spacing w:before="192" w:beforeLines="80" w:after="192" w:afterLines="80"/>
              <w:outlineLvl w:val="2"/>
              <w:rPr>
                <w:b/>
                <w:bCs/>
                <w:sz w:val="28"/>
                <w:szCs w:val="32"/>
              </w:rPr>
            </w:pPr>
            <w:r>
              <w:rPr>
                <w:rFonts w:hint="eastAsia"/>
                <w:b/>
                <w:bCs/>
                <w:sz w:val="28"/>
                <w:szCs w:val="32"/>
              </w:rPr>
              <w:t>4.2.6生态环境影响分析</w:t>
            </w:r>
          </w:p>
          <w:p>
            <w:pPr>
              <w:spacing w:line="360" w:lineRule="auto"/>
              <w:ind w:firstLine="480" w:firstLineChars="200"/>
              <w:rPr>
                <w:rFonts w:hint="eastAsia"/>
                <w:sz w:val="24"/>
                <w:szCs w:val="21"/>
              </w:rPr>
            </w:pPr>
            <w:r>
              <w:rPr>
                <w:rFonts w:hint="eastAsia"/>
                <w:sz w:val="24"/>
                <w:szCs w:val="21"/>
              </w:rPr>
              <w:t>本项目为产业园外新增用地</w:t>
            </w:r>
            <w:r>
              <w:rPr>
                <w:rFonts w:hint="eastAsia"/>
                <w:sz w:val="24"/>
              </w:rPr>
              <w:t>，</w:t>
            </w:r>
            <w:r>
              <w:rPr>
                <w:rFonts w:hint="eastAsia"/>
                <w:sz w:val="24"/>
                <w:szCs w:val="21"/>
              </w:rPr>
              <w:t>但用地范围内无自然保护区、世界文化和自然遗产地、风景名胜区、森林公园等生态环境保护目标，属于一般区域。同时，项目所在区域无珍稀动植物，项目营运期的生产对生态环境不会产生明显影响。</w:t>
            </w:r>
          </w:p>
          <w:p>
            <w:pPr>
              <w:spacing w:line="360" w:lineRule="auto"/>
              <w:ind w:firstLine="480" w:firstLineChars="200"/>
              <w:rPr>
                <w:rFonts w:hint="eastAsia"/>
                <w:sz w:val="24"/>
                <w:szCs w:val="21"/>
                <w:u w:val="single"/>
              </w:rPr>
            </w:pPr>
            <w:r>
              <w:rPr>
                <w:rFonts w:hint="eastAsia"/>
                <w:sz w:val="24"/>
                <w:szCs w:val="21"/>
                <w:u w:val="single"/>
                <w:lang w:eastAsia="zh-CN"/>
              </w:rPr>
              <w:t>根据建设单位与花垣县自然资源局签订的产权交易合同，建设单位必须在网上竞价后</w:t>
            </w:r>
            <w:r>
              <w:rPr>
                <w:rFonts w:hint="eastAsia"/>
                <w:sz w:val="24"/>
                <w:szCs w:val="21"/>
                <w:u w:val="single"/>
                <w:lang w:val="en-US" w:eastAsia="zh-CN"/>
              </w:rPr>
              <w:t>365天内（即2024年1月3日至2025年1月1日）将矿石运输完毕。</w:t>
            </w:r>
            <w:r>
              <w:rPr>
                <w:rFonts w:hint="eastAsia"/>
                <w:sz w:val="24"/>
                <w:szCs w:val="21"/>
                <w:u w:val="single"/>
                <w:lang w:eastAsia="zh-CN"/>
              </w:rPr>
              <w:t>根据建设单提供资料湖南省林业局准予行政许可决定书，</w:t>
            </w:r>
            <w:r>
              <w:rPr>
                <w:rFonts w:hint="eastAsia"/>
                <w:sz w:val="24"/>
                <w:szCs w:val="21"/>
                <w:u w:val="single"/>
              </w:rPr>
              <w:t>本项目临时用地租期为1年</w:t>
            </w:r>
            <w:r>
              <w:rPr>
                <w:rFonts w:hint="eastAsia"/>
                <w:sz w:val="24"/>
                <w:szCs w:val="21"/>
                <w:u w:val="single"/>
                <w:lang w:eastAsia="zh-CN"/>
              </w:rPr>
              <w:t>，</w:t>
            </w:r>
            <w:r>
              <w:rPr>
                <w:rFonts w:hint="eastAsia"/>
                <w:sz w:val="24"/>
                <w:szCs w:val="21"/>
                <w:u w:val="single"/>
              </w:rPr>
              <w:t>服务期满后复垦绿化工作由</w:t>
            </w:r>
            <w:r>
              <w:rPr>
                <w:rFonts w:hint="eastAsia"/>
                <w:sz w:val="24"/>
                <w:szCs w:val="21"/>
                <w:u w:val="single"/>
                <w:lang w:eastAsia="zh-CN"/>
              </w:rPr>
              <w:t>花垣县交通运输局</w:t>
            </w:r>
            <w:r>
              <w:rPr>
                <w:rFonts w:hint="eastAsia"/>
                <w:sz w:val="24"/>
                <w:szCs w:val="21"/>
                <w:u w:val="single"/>
              </w:rPr>
              <w:t>负责。</w:t>
            </w:r>
          </w:p>
          <w:p>
            <w:pPr>
              <w:spacing w:line="360" w:lineRule="auto"/>
              <w:ind w:firstLine="480" w:firstLineChars="200"/>
              <w:rPr>
                <w:rFonts w:hint="eastAsia"/>
                <w:sz w:val="24"/>
                <w:szCs w:val="21"/>
              </w:rPr>
            </w:pPr>
            <w:r>
              <w:rPr>
                <w:rFonts w:hint="eastAsia"/>
                <w:sz w:val="24"/>
                <w:szCs w:val="21"/>
              </w:rPr>
              <w:t>复垦目标：临时用地使用完后恢复至原有的地形地貌或比原有更改善的状况；恢复原有功能，与周围地形地貌相符。满足复耕要求后，通知土地管理部门会同有关行业管理部门验收，并交付使用。</w:t>
            </w:r>
          </w:p>
          <w:p>
            <w:pPr>
              <w:spacing w:line="360" w:lineRule="auto"/>
              <w:ind w:firstLine="480" w:firstLineChars="200"/>
              <w:rPr>
                <w:rFonts w:hint="eastAsia"/>
                <w:sz w:val="24"/>
                <w:szCs w:val="21"/>
              </w:rPr>
            </w:pPr>
            <w:r>
              <w:rPr>
                <w:rFonts w:hint="eastAsia"/>
                <w:sz w:val="24"/>
                <w:szCs w:val="21"/>
              </w:rPr>
              <w:t>复垦方案：对于本项目打砂厂的复垦，</w:t>
            </w:r>
            <w:r>
              <w:rPr>
                <w:rFonts w:hint="eastAsia"/>
                <w:sz w:val="24"/>
                <w:szCs w:val="21"/>
                <w:lang w:eastAsia="zh-CN"/>
              </w:rPr>
              <w:t>根据湖南林业局准予行政许可决定书，项目使用结束后，必须恢复被占用林地的林业生产条件，并归还林地，占用林地</w:t>
            </w:r>
            <w:r>
              <w:rPr>
                <w:rFonts w:hint="eastAsia"/>
                <w:sz w:val="24"/>
                <w:szCs w:val="21"/>
                <w:lang w:val="en-US" w:eastAsia="zh-CN"/>
              </w:rPr>
              <w:t>0.273公顷。其余占用旱地</w:t>
            </w:r>
            <w:r>
              <w:rPr>
                <w:rFonts w:hint="eastAsia"/>
                <w:sz w:val="24"/>
                <w:szCs w:val="21"/>
              </w:rPr>
              <w:t>应与当地土地部门确定其今后用途，如果留有其用，应给其留下。但是如果必须恢复原状的情况下，</w:t>
            </w:r>
            <w:r>
              <w:rPr>
                <w:rFonts w:hint="eastAsia"/>
                <w:sz w:val="24"/>
                <w:szCs w:val="21"/>
                <w:lang w:eastAsia="zh-CN"/>
              </w:rPr>
              <w:t>复垦单位</w:t>
            </w:r>
            <w:r>
              <w:rPr>
                <w:rFonts w:hint="eastAsia"/>
                <w:sz w:val="24"/>
                <w:szCs w:val="21"/>
              </w:rPr>
              <w:t>必须用机械把原来附着在地面的混凝土清理完毕，回填种植土，以保证其原始用途，还应充分考虑到其防洪排水的设施，且防洪排水的设施必须与周边的</w:t>
            </w:r>
            <w:r>
              <w:rPr>
                <w:rFonts w:hint="eastAsia"/>
                <w:sz w:val="24"/>
                <w:szCs w:val="21"/>
                <w:lang w:eastAsia="zh-CN"/>
              </w:rPr>
              <w:t>自然</w:t>
            </w:r>
            <w:r>
              <w:rPr>
                <w:rFonts w:hint="eastAsia"/>
                <w:sz w:val="24"/>
                <w:szCs w:val="21"/>
              </w:rPr>
              <w:t>水系相结合。</w:t>
            </w:r>
          </w:p>
          <w:p>
            <w:pPr>
              <w:spacing w:line="360" w:lineRule="auto"/>
              <w:ind w:firstLine="480" w:firstLineChars="200"/>
              <w:rPr>
                <w:rFonts w:hint="eastAsia"/>
                <w:sz w:val="24"/>
                <w:szCs w:val="21"/>
              </w:rPr>
            </w:pPr>
            <w:r>
              <w:rPr>
                <w:rFonts w:hint="eastAsia"/>
                <w:sz w:val="24"/>
                <w:szCs w:val="21"/>
              </w:rPr>
              <w:t>项目复垦产生的建筑固体废物运送至花垣县垃圾填埋场或政府部门指定的弃渣场，生产设备能够重复利用的回收，不能的外售给废品站或者其他公司。</w:t>
            </w:r>
          </w:p>
          <w:p>
            <w:pPr>
              <w:spacing w:line="360" w:lineRule="auto"/>
              <w:ind w:firstLine="480" w:firstLineChars="200"/>
              <w:rPr>
                <w:rFonts w:hint="eastAsia"/>
                <w:sz w:val="24"/>
                <w:szCs w:val="21"/>
              </w:rPr>
            </w:pPr>
            <w:r>
              <w:rPr>
                <w:rFonts w:hint="eastAsia"/>
                <w:sz w:val="24"/>
                <w:szCs w:val="21"/>
              </w:rPr>
              <w:t>本项目落实以上土地复垦方案后，服务期满后对项目区域内生态环境影响较小甚至向环境友好方向发展。</w:t>
            </w:r>
          </w:p>
          <w:p>
            <w:pPr>
              <w:keepNext/>
              <w:keepLines/>
              <w:wordWrap w:val="0"/>
              <w:spacing w:before="192" w:beforeLines="80" w:after="192" w:afterLines="80"/>
              <w:outlineLvl w:val="2"/>
              <w:rPr>
                <w:b/>
                <w:bCs/>
                <w:sz w:val="28"/>
                <w:szCs w:val="32"/>
              </w:rPr>
            </w:pPr>
            <w:r>
              <w:rPr>
                <w:rFonts w:hint="eastAsia"/>
                <w:b/>
                <w:bCs/>
                <w:sz w:val="28"/>
                <w:szCs w:val="32"/>
              </w:rPr>
              <w:t>4.2.7环境风险</w:t>
            </w:r>
          </w:p>
          <w:p>
            <w:pPr>
              <w:keepNext/>
              <w:keepLines/>
              <w:wordWrap w:val="0"/>
              <w:spacing w:before="200" w:after="200"/>
              <w:outlineLvl w:val="3"/>
              <w:rPr>
                <w:rFonts w:hint="eastAsia"/>
                <w:b/>
                <w:sz w:val="24"/>
              </w:rPr>
            </w:pPr>
            <w:r>
              <w:rPr>
                <w:rFonts w:hint="eastAsia"/>
                <w:b/>
                <w:sz w:val="24"/>
              </w:rPr>
              <w:t>4.2.7.1风险识别</w:t>
            </w:r>
          </w:p>
          <w:p>
            <w:pPr>
              <w:wordWrap w:val="0"/>
              <w:spacing w:line="360" w:lineRule="auto"/>
              <w:ind w:firstLine="482" w:firstLineChars="200"/>
              <w:rPr>
                <w:rFonts w:hint="eastAsia"/>
                <w:b/>
                <w:sz w:val="24"/>
              </w:rPr>
            </w:pPr>
            <w:r>
              <w:rPr>
                <w:rFonts w:hint="eastAsia"/>
                <w:b/>
                <w:sz w:val="24"/>
              </w:rPr>
              <w:t>1、风险物质及分布</w:t>
            </w:r>
          </w:p>
          <w:p>
            <w:pPr>
              <w:wordWrap w:val="0"/>
              <w:spacing w:line="360" w:lineRule="auto"/>
              <w:ind w:firstLine="480" w:firstLineChars="200"/>
              <w:rPr>
                <w:rFonts w:hint="eastAsia"/>
                <w:sz w:val="24"/>
              </w:rPr>
            </w:pPr>
            <w:r>
              <w:rPr>
                <w:rFonts w:hint="eastAsia"/>
                <w:sz w:val="24"/>
              </w:rPr>
              <w:t>通过对项目生产中主要原辅材料、燃料、中间产品、副产品、最终产品、污染物、火灾和爆炸伴生/次生物等，按物质危险性、毒理指标和毒性等级进行分析，对照《建设项目环境风险评价技术导则》（HJ169-2018）附录B中重点关注的危险物质及临界量，并通过查询MSDS可知，项目涉及的风险物质主要为废机油。</w:t>
            </w:r>
          </w:p>
          <w:p>
            <w:pPr>
              <w:wordWrap w:val="0"/>
              <w:spacing w:line="360" w:lineRule="auto"/>
              <w:ind w:firstLine="480" w:firstLineChars="200"/>
              <w:rPr>
                <w:rFonts w:hint="eastAsia"/>
                <w:sz w:val="24"/>
              </w:rPr>
            </w:pPr>
            <w:r>
              <w:rPr>
                <w:rFonts w:hint="eastAsia"/>
                <w:sz w:val="24"/>
              </w:rPr>
              <w:t>主要风险物质识别及分布情况见下表。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u w:val="single"/>
              </w:rPr>
            </w:pPr>
            <w:r>
              <w:rPr>
                <w:rFonts w:hint="eastAsia" w:cs="宋体"/>
                <w:b/>
                <w:szCs w:val="21"/>
                <w:u w:val="single"/>
              </w:rPr>
              <w:t>表4.2-22：主要风险物质识别及分布</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9"/>
              <w:gridCol w:w="1223"/>
              <w:gridCol w:w="656"/>
              <w:gridCol w:w="1142"/>
              <w:gridCol w:w="991"/>
              <w:gridCol w:w="3210"/>
              <w:gridCol w:w="9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4" w:type="pct"/>
                  <w:noWrap w:val="0"/>
                  <w:vAlign w:val="center"/>
                </w:tcPr>
                <w:p>
                  <w:pPr>
                    <w:adjustRightInd w:val="0"/>
                    <w:jc w:val="center"/>
                    <w:rPr>
                      <w:b/>
                      <w:color w:val="000000"/>
                      <w:szCs w:val="21"/>
                      <w:u w:val="single"/>
                    </w:rPr>
                  </w:pPr>
                  <w:r>
                    <w:rPr>
                      <w:b/>
                      <w:color w:val="000000"/>
                      <w:szCs w:val="21"/>
                      <w:u w:val="single"/>
                    </w:rPr>
                    <w:t>序号</w:t>
                  </w:r>
                </w:p>
              </w:tc>
              <w:tc>
                <w:tcPr>
                  <w:tcW w:w="709" w:type="pct"/>
                  <w:noWrap w:val="0"/>
                  <w:vAlign w:val="center"/>
                </w:tcPr>
                <w:p>
                  <w:pPr>
                    <w:adjustRightInd w:val="0"/>
                    <w:jc w:val="center"/>
                    <w:rPr>
                      <w:b/>
                      <w:color w:val="000000"/>
                      <w:szCs w:val="21"/>
                      <w:u w:val="single"/>
                    </w:rPr>
                  </w:pPr>
                  <w:r>
                    <w:rPr>
                      <w:b/>
                      <w:color w:val="000000"/>
                      <w:szCs w:val="21"/>
                      <w:u w:val="single"/>
                    </w:rPr>
                    <w:t>名称</w:t>
                  </w:r>
                </w:p>
              </w:tc>
              <w:tc>
                <w:tcPr>
                  <w:tcW w:w="381" w:type="pct"/>
                  <w:noWrap w:val="0"/>
                  <w:vAlign w:val="center"/>
                </w:tcPr>
                <w:p>
                  <w:pPr>
                    <w:adjustRightInd w:val="0"/>
                    <w:jc w:val="center"/>
                    <w:rPr>
                      <w:b/>
                      <w:color w:val="000000"/>
                      <w:szCs w:val="21"/>
                      <w:u w:val="single"/>
                    </w:rPr>
                  </w:pPr>
                  <w:r>
                    <w:rPr>
                      <w:b/>
                      <w:color w:val="000000"/>
                      <w:szCs w:val="21"/>
                      <w:u w:val="single"/>
                    </w:rPr>
                    <w:t>形态</w:t>
                  </w:r>
                </w:p>
              </w:tc>
              <w:tc>
                <w:tcPr>
                  <w:tcW w:w="662" w:type="pct"/>
                  <w:noWrap w:val="0"/>
                  <w:vAlign w:val="center"/>
                </w:tcPr>
                <w:p>
                  <w:pPr>
                    <w:adjustRightInd w:val="0"/>
                    <w:jc w:val="center"/>
                    <w:rPr>
                      <w:b/>
                      <w:color w:val="000000"/>
                      <w:szCs w:val="21"/>
                      <w:u w:val="single"/>
                    </w:rPr>
                  </w:pPr>
                  <w:r>
                    <w:rPr>
                      <w:b/>
                      <w:color w:val="000000"/>
                      <w:szCs w:val="21"/>
                      <w:u w:val="single"/>
                    </w:rPr>
                    <w:t>CAS号</w:t>
                  </w:r>
                </w:p>
              </w:tc>
              <w:tc>
                <w:tcPr>
                  <w:tcW w:w="575" w:type="pct"/>
                  <w:noWrap w:val="0"/>
                  <w:vAlign w:val="center"/>
                </w:tcPr>
                <w:p>
                  <w:pPr>
                    <w:adjustRightInd w:val="0"/>
                    <w:jc w:val="center"/>
                    <w:rPr>
                      <w:b/>
                      <w:color w:val="000000"/>
                      <w:szCs w:val="21"/>
                      <w:u w:val="single"/>
                    </w:rPr>
                  </w:pPr>
                  <w:r>
                    <w:rPr>
                      <w:b/>
                      <w:color w:val="000000"/>
                      <w:szCs w:val="21"/>
                      <w:u w:val="single"/>
                    </w:rPr>
                    <w:t>易燃易爆性</w:t>
                  </w:r>
                </w:p>
              </w:tc>
              <w:tc>
                <w:tcPr>
                  <w:tcW w:w="1862" w:type="pct"/>
                  <w:noWrap w:val="0"/>
                  <w:vAlign w:val="center"/>
                </w:tcPr>
                <w:p>
                  <w:pPr>
                    <w:adjustRightInd w:val="0"/>
                    <w:jc w:val="center"/>
                    <w:rPr>
                      <w:b/>
                      <w:bCs/>
                      <w:color w:val="000000"/>
                      <w:szCs w:val="21"/>
                      <w:u w:val="single"/>
                    </w:rPr>
                  </w:pPr>
                  <w:r>
                    <w:rPr>
                      <w:b/>
                      <w:color w:val="000000"/>
                      <w:szCs w:val="21"/>
                      <w:u w:val="single"/>
                    </w:rPr>
                    <w:t>有毒有害性</w:t>
                  </w:r>
                </w:p>
              </w:tc>
              <w:tc>
                <w:tcPr>
                  <w:tcW w:w="553" w:type="pct"/>
                  <w:noWrap w:val="0"/>
                  <w:vAlign w:val="center"/>
                </w:tcPr>
                <w:p>
                  <w:pPr>
                    <w:adjustRightInd w:val="0"/>
                    <w:jc w:val="center"/>
                    <w:rPr>
                      <w:b/>
                      <w:color w:val="000000"/>
                      <w:szCs w:val="21"/>
                      <w:u w:val="single"/>
                    </w:rPr>
                  </w:pPr>
                  <w:r>
                    <w:rPr>
                      <w:b/>
                      <w:color w:val="000000"/>
                      <w:szCs w:val="21"/>
                      <w:u w:val="single"/>
                    </w:rPr>
                    <w:t>分布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4" w:type="pct"/>
                  <w:noWrap w:val="0"/>
                  <w:vAlign w:val="center"/>
                </w:tcPr>
                <w:p>
                  <w:pPr>
                    <w:adjustRightInd w:val="0"/>
                    <w:jc w:val="center"/>
                    <w:rPr>
                      <w:color w:val="000000"/>
                      <w:szCs w:val="21"/>
                      <w:u w:val="single"/>
                    </w:rPr>
                  </w:pPr>
                  <w:r>
                    <w:rPr>
                      <w:color w:val="000000"/>
                      <w:szCs w:val="21"/>
                      <w:u w:val="single"/>
                    </w:rPr>
                    <w:t>1</w:t>
                  </w:r>
                </w:p>
              </w:tc>
              <w:tc>
                <w:tcPr>
                  <w:tcW w:w="709" w:type="pct"/>
                  <w:noWrap w:val="0"/>
                  <w:vAlign w:val="center"/>
                </w:tcPr>
                <w:p>
                  <w:pPr>
                    <w:adjustRightInd w:val="0"/>
                    <w:jc w:val="center"/>
                    <w:rPr>
                      <w:rFonts w:hint="eastAsia"/>
                      <w:color w:val="000000"/>
                      <w:szCs w:val="21"/>
                      <w:u w:val="single"/>
                    </w:rPr>
                  </w:pPr>
                  <w:r>
                    <w:rPr>
                      <w:rFonts w:hint="eastAsia"/>
                      <w:color w:val="000000"/>
                      <w:szCs w:val="21"/>
                      <w:u w:val="single"/>
                    </w:rPr>
                    <w:t>废机油</w:t>
                  </w:r>
                </w:p>
              </w:tc>
              <w:tc>
                <w:tcPr>
                  <w:tcW w:w="381" w:type="pct"/>
                  <w:noWrap w:val="0"/>
                  <w:vAlign w:val="center"/>
                </w:tcPr>
                <w:p>
                  <w:pPr>
                    <w:adjustRightInd w:val="0"/>
                    <w:jc w:val="center"/>
                    <w:rPr>
                      <w:color w:val="000000"/>
                      <w:kern w:val="0"/>
                      <w:szCs w:val="21"/>
                      <w:u w:val="single"/>
                    </w:rPr>
                  </w:pPr>
                  <w:r>
                    <w:rPr>
                      <w:color w:val="000000"/>
                      <w:kern w:val="0"/>
                      <w:szCs w:val="21"/>
                      <w:u w:val="single"/>
                    </w:rPr>
                    <w:t>液态</w:t>
                  </w:r>
                </w:p>
              </w:tc>
              <w:tc>
                <w:tcPr>
                  <w:tcW w:w="662" w:type="pct"/>
                  <w:noWrap w:val="0"/>
                  <w:vAlign w:val="center"/>
                </w:tcPr>
                <w:p>
                  <w:pPr>
                    <w:adjustRightInd w:val="0"/>
                    <w:jc w:val="center"/>
                    <w:rPr>
                      <w:color w:val="000000"/>
                      <w:szCs w:val="21"/>
                      <w:u w:val="single"/>
                    </w:rPr>
                  </w:pPr>
                  <w:r>
                    <w:rPr>
                      <w:rFonts w:hint="eastAsia"/>
                      <w:color w:val="000000"/>
                      <w:szCs w:val="21"/>
                      <w:u w:val="single"/>
                    </w:rPr>
                    <w:t>/</w:t>
                  </w:r>
                </w:p>
              </w:tc>
              <w:tc>
                <w:tcPr>
                  <w:tcW w:w="575" w:type="pct"/>
                  <w:noWrap w:val="0"/>
                  <w:vAlign w:val="center"/>
                </w:tcPr>
                <w:p>
                  <w:pPr>
                    <w:adjustRightInd w:val="0"/>
                    <w:jc w:val="center"/>
                    <w:rPr>
                      <w:rFonts w:hint="eastAsia"/>
                      <w:bCs/>
                      <w:color w:val="000000"/>
                      <w:szCs w:val="21"/>
                      <w:u w:val="single"/>
                    </w:rPr>
                  </w:pPr>
                  <w:r>
                    <w:rPr>
                      <w:rFonts w:hint="eastAsia"/>
                      <w:bCs/>
                      <w:color w:val="000000"/>
                      <w:szCs w:val="21"/>
                      <w:u w:val="single"/>
                    </w:rPr>
                    <w:t>易燃</w:t>
                  </w:r>
                </w:p>
              </w:tc>
              <w:tc>
                <w:tcPr>
                  <w:tcW w:w="1862" w:type="pct"/>
                  <w:noWrap w:val="0"/>
                  <w:vAlign w:val="center"/>
                </w:tcPr>
                <w:p>
                  <w:pPr>
                    <w:adjustRightInd w:val="0"/>
                    <w:jc w:val="left"/>
                    <w:rPr>
                      <w:bCs/>
                      <w:color w:val="000000"/>
                      <w:szCs w:val="21"/>
                      <w:u w:val="single"/>
                    </w:rPr>
                  </w:pPr>
                  <w:r>
                    <w:rPr>
                      <w:rFonts w:hint="eastAsia"/>
                      <w:bCs/>
                      <w:color w:val="000000"/>
                      <w:szCs w:val="21"/>
                      <w:u w:val="single"/>
                    </w:rPr>
                    <w:t>废机油中含有苯、苯系物、多环芳烃等有害化学物质，这些物质具有较强的毒性和致癌性，能够对人体健康造成长期危害。</w:t>
                  </w:r>
                </w:p>
              </w:tc>
              <w:tc>
                <w:tcPr>
                  <w:tcW w:w="553" w:type="pct"/>
                  <w:noWrap w:val="0"/>
                  <w:vAlign w:val="center"/>
                </w:tcPr>
                <w:p>
                  <w:pPr>
                    <w:adjustRightInd w:val="0"/>
                    <w:rPr>
                      <w:rFonts w:hint="eastAsia"/>
                      <w:color w:val="000000"/>
                      <w:szCs w:val="21"/>
                      <w:u w:val="single"/>
                    </w:rPr>
                  </w:pPr>
                  <w:r>
                    <w:rPr>
                      <w:rFonts w:hint="eastAsia"/>
                      <w:color w:val="000000"/>
                      <w:szCs w:val="21"/>
                      <w:u w:val="single"/>
                    </w:rPr>
                    <w:t>危废暂存间</w:t>
                  </w:r>
                </w:p>
              </w:tc>
            </w:tr>
          </w:tbl>
          <w:p>
            <w:pPr>
              <w:wordWrap w:val="0"/>
              <w:spacing w:line="360" w:lineRule="auto"/>
              <w:ind w:firstLine="482" w:firstLineChars="200"/>
              <w:rPr>
                <w:rFonts w:hint="eastAsia"/>
                <w:b/>
                <w:sz w:val="24"/>
                <w:u w:val="single"/>
              </w:rPr>
            </w:pPr>
            <w:r>
              <w:rPr>
                <w:rFonts w:hint="eastAsia"/>
                <w:b/>
                <w:sz w:val="24"/>
                <w:u w:val="single"/>
              </w:rPr>
              <w:t>2、生产系统危险性识别</w:t>
            </w:r>
          </w:p>
          <w:p>
            <w:pPr>
              <w:wordWrap w:val="0"/>
              <w:spacing w:line="360" w:lineRule="auto"/>
              <w:ind w:firstLine="480" w:firstLineChars="200"/>
              <w:rPr>
                <w:rFonts w:hint="eastAsia"/>
                <w:sz w:val="24"/>
                <w:u w:val="single"/>
              </w:rPr>
            </w:pPr>
            <w:r>
              <w:rPr>
                <w:rFonts w:hint="eastAsia"/>
                <w:sz w:val="24"/>
                <w:u w:val="single"/>
              </w:rPr>
              <w:t>生产系统危险性识别是通过对生产装置、储运设施、公用工程设施、环保工程设施及辅助生产设施等运行过程中存在的危险因素和可能发生的风险类型进行识别。</w:t>
            </w:r>
          </w:p>
          <w:p>
            <w:pPr>
              <w:wordWrap w:val="0"/>
              <w:spacing w:line="360" w:lineRule="auto"/>
              <w:ind w:firstLine="480" w:firstLineChars="200"/>
              <w:rPr>
                <w:rFonts w:hint="eastAsia"/>
                <w:sz w:val="24"/>
                <w:u w:val="single"/>
              </w:rPr>
            </w:pPr>
            <w:r>
              <w:rPr>
                <w:rFonts w:hint="eastAsia"/>
                <w:sz w:val="24"/>
                <w:u w:val="single"/>
              </w:rPr>
              <w:t>本项目主要生产</w:t>
            </w:r>
            <w:r>
              <w:rPr>
                <w:rFonts w:hint="eastAsia"/>
                <w:sz w:val="24"/>
                <w:u w:val="single"/>
                <w:lang w:eastAsia="zh-CN"/>
              </w:rPr>
              <w:t>建筑用石</w:t>
            </w:r>
            <w:r>
              <w:rPr>
                <w:rFonts w:hint="eastAsia"/>
                <w:sz w:val="24"/>
                <w:u w:val="single"/>
              </w:rPr>
              <w:t>，存在风险的生</w:t>
            </w:r>
            <w:r>
              <w:rPr>
                <w:rFonts w:hint="eastAsia"/>
                <w:sz w:val="24"/>
                <w:u w:val="single"/>
                <w:lang w:eastAsia="zh-CN"/>
              </w:rPr>
              <w:t>产</w:t>
            </w:r>
            <w:r>
              <w:rPr>
                <w:rFonts w:hint="eastAsia"/>
                <w:sz w:val="24"/>
                <w:u w:val="single"/>
              </w:rPr>
              <w:t>设施主要为布袋除尘器、危废暂存间</w:t>
            </w:r>
            <w:r>
              <w:rPr>
                <w:rFonts w:hint="eastAsia"/>
                <w:sz w:val="24"/>
                <w:u w:val="single"/>
                <w:lang w:eastAsia="zh-CN"/>
              </w:rPr>
              <w:t>，环保工程设施主要为化粪池、废水沉淀池</w:t>
            </w:r>
            <w:r>
              <w:rPr>
                <w:rFonts w:hint="eastAsia"/>
                <w:sz w:val="24"/>
                <w:u w:val="single"/>
              </w:rPr>
              <w:t>。</w:t>
            </w:r>
          </w:p>
          <w:p>
            <w:pPr>
              <w:wordWrap w:val="0"/>
              <w:spacing w:line="360" w:lineRule="auto"/>
              <w:ind w:firstLine="480" w:firstLineChars="200"/>
              <w:rPr>
                <w:rFonts w:hint="eastAsia"/>
                <w:sz w:val="24"/>
                <w:u w:val="single"/>
              </w:rPr>
            </w:pPr>
            <w:r>
              <w:rPr>
                <w:rFonts w:hint="eastAsia"/>
                <w:sz w:val="24"/>
                <w:u w:val="single"/>
              </w:rPr>
              <w:t>（1）布袋除尘器设施发生故障导致废气处理不达标，废气颗粒物外排，将会对周边环境造成影响，以及工作人员吸入对人体健康造成危害；</w:t>
            </w:r>
          </w:p>
          <w:p>
            <w:pPr>
              <w:wordWrap w:val="0"/>
              <w:spacing w:line="360" w:lineRule="auto"/>
              <w:ind w:firstLine="480" w:firstLineChars="200"/>
              <w:rPr>
                <w:rFonts w:hint="eastAsia"/>
                <w:sz w:val="24"/>
                <w:u w:val="single"/>
                <w:lang w:eastAsia="zh-CN"/>
              </w:rPr>
            </w:pPr>
            <w:r>
              <w:rPr>
                <w:rFonts w:hint="eastAsia"/>
                <w:sz w:val="24"/>
                <w:u w:val="single"/>
              </w:rPr>
              <w:t>（2）危废暂存间废机油</w:t>
            </w:r>
            <w:r>
              <w:rPr>
                <w:rFonts w:hint="eastAsia"/>
                <w:sz w:val="24"/>
                <w:u w:val="single"/>
                <w:lang w:eastAsia="zh-CN"/>
              </w:rPr>
              <w:t>泄漏</w:t>
            </w:r>
            <w:r>
              <w:rPr>
                <w:rFonts w:hint="eastAsia"/>
                <w:sz w:val="24"/>
                <w:u w:val="single"/>
              </w:rPr>
              <w:t>，对周边地表水、地下水及土壤环境造成污染</w:t>
            </w:r>
            <w:r>
              <w:rPr>
                <w:rFonts w:hint="eastAsia"/>
                <w:sz w:val="24"/>
                <w:u w:val="single"/>
                <w:lang w:eastAsia="zh-CN"/>
              </w:rPr>
              <w:t>；</w:t>
            </w:r>
          </w:p>
          <w:p>
            <w:pPr>
              <w:wordWrap w:val="0"/>
              <w:spacing w:line="360" w:lineRule="auto"/>
              <w:ind w:firstLine="480" w:firstLineChars="200"/>
              <w:rPr>
                <w:rFonts w:hint="eastAsia" w:ascii="Times New Roman" w:hAnsi="Times New Roman" w:eastAsia="宋体" w:cs="Times New Roman"/>
                <w:sz w:val="24"/>
                <w:u w:val="single"/>
                <w:lang w:eastAsia="zh-CN"/>
              </w:rPr>
            </w:pPr>
            <w:r>
              <w:rPr>
                <w:rFonts w:hint="eastAsia" w:ascii="Times New Roman" w:hAnsi="Times New Roman" w:eastAsia="宋体" w:cs="Times New Roman"/>
                <w:sz w:val="24"/>
                <w:u w:val="single"/>
                <w:lang w:eastAsia="zh-CN"/>
              </w:rPr>
              <w:t>（</w:t>
            </w:r>
            <w:r>
              <w:rPr>
                <w:rFonts w:hint="eastAsia" w:ascii="Times New Roman" w:hAnsi="Times New Roman" w:eastAsia="宋体" w:cs="Times New Roman"/>
                <w:sz w:val="24"/>
                <w:u w:val="single"/>
                <w:lang w:val="en-US" w:eastAsia="zh-CN"/>
              </w:rPr>
              <w:t>3</w:t>
            </w:r>
            <w:r>
              <w:rPr>
                <w:rFonts w:hint="eastAsia" w:ascii="Times New Roman" w:hAnsi="Times New Roman" w:eastAsia="宋体" w:cs="Times New Roman"/>
                <w:sz w:val="24"/>
                <w:u w:val="single"/>
                <w:lang w:eastAsia="zh-CN"/>
              </w:rPr>
              <w:t>）化粪池、废水沉淀池及雨水收集池事故造成废水外排，对周边地表水、地下水、土壤造成污染。</w:t>
            </w:r>
          </w:p>
          <w:p>
            <w:pPr>
              <w:wordWrap w:val="0"/>
              <w:spacing w:line="360" w:lineRule="auto"/>
              <w:ind w:firstLine="482" w:firstLineChars="200"/>
              <w:rPr>
                <w:rFonts w:hint="eastAsia"/>
                <w:b/>
                <w:sz w:val="24"/>
              </w:rPr>
            </w:pPr>
            <w:r>
              <w:rPr>
                <w:rFonts w:hint="eastAsia"/>
                <w:b/>
                <w:sz w:val="24"/>
              </w:rPr>
              <w:t>3、可能影响环境的途径</w:t>
            </w:r>
          </w:p>
          <w:p>
            <w:pPr>
              <w:wordWrap w:val="0"/>
              <w:spacing w:line="360" w:lineRule="auto"/>
              <w:ind w:firstLine="480" w:firstLineChars="200"/>
              <w:rPr>
                <w:rFonts w:hint="eastAsia"/>
                <w:sz w:val="24"/>
              </w:rPr>
            </w:pPr>
            <w:r>
              <w:rPr>
                <w:rFonts w:hint="eastAsia"/>
                <w:sz w:val="24"/>
              </w:rPr>
              <w:t>根据风险物质的特性和生产系统识别，风险物质向环境转移途径见下表：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rPr>
            </w:pPr>
            <w:r>
              <w:rPr>
                <w:rFonts w:hint="eastAsia" w:cs="宋体"/>
                <w:b/>
                <w:szCs w:val="21"/>
              </w:rPr>
              <w:t>表4.2-23：环境风险识别结果</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2"/>
              <w:gridCol w:w="1259"/>
              <w:gridCol w:w="1731"/>
              <w:gridCol w:w="1416"/>
              <w:gridCol w:w="910"/>
              <w:gridCol w:w="1364"/>
              <w:gridCol w:w="13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b/>
                      <w:color w:val="000000"/>
                      <w:szCs w:val="21"/>
                    </w:rPr>
                  </w:pPr>
                  <w:r>
                    <w:rPr>
                      <w:b/>
                      <w:color w:val="000000"/>
                      <w:szCs w:val="21"/>
                    </w:rPr>
                    <w:t>序号</w:t>
                  </w:r>
                </w:p>
              </w:tc>
              <w:tc>
                <w:tcPr>
                  <w:tcW w:w="730" w:type="pct"/>
                  <w:noWrap w:val="0"/>
                  <w:vAlign w:val="center"/>
                </w:tcPr>
                <w:p>
                  <w:pPr>
                    <w:adjustRightInd w:val="0"/>
                    <w:jc w:val="center"/>
                    <w:rPr>
                      <w:b/>
                      <w:color w:val="000000"/>
                      <w:szCs w:val="21"/>
                    </w:rPr>
                  </w:pPr>
                  <w:r>
                    <w:rPr>
                      <w:b/>
                      <w:color w:val="000000"/>
                      <w:szCs w:val="21"/>
                    </w:rPr>
                    <w:t>风险单元</w:t>
                  </w:r>
                </w:p>
              </w:tc>
              <w:tc>
                <w:tcPr>
                  <w:tcW w:w="1004" w:type="pct"/>
                  <w:noWrap w:val="0"/>
                  <w:vAlign w:val="center"/>
                </w:tcPr>
                <w:p>
                  <w:pPr>
                    <w:adjustRightInd w:val="0"/>
                    <w:jc w:val="center"/>
                    <w:rPr>
                      <w:b/>
                      <w:color w:val="000000"/>
                      <w:szCs w:val="21"/>
                    </w:rPr>
                  </w:pPr>
                  <w:r>
                    <w:rPr>
                      <w:b/>
                      <w:color w:val="000000"/>
                      <w:szCs w:val="21"/>
                    </w:rPr>
                    <w:t>风险源</w:t>
                  </w:r>
                </w:p>
              </w:tc>
              <w:tc>
                <w:tcPr>
                  <w:tcW w:w="821" w:type="pct"/>
                  <w:noWrap w:val="0"/>
                  <w:vAlign w:val="center"/>
                </w:tcPr>
                <w:p>
                  <w:pPr>
                    <w:adjustRightInd w:val="0"/>
                    <w:jc w:val="center"/>
                    <w:rPr>
                      <w:b/>
                      <w:color w:val="000000"/>
                      <w:szCs w:val="21"/>
                    </w:rPr>
                  </w:pPr>
                  <w:r>
                    <w:rPr>
                      <w:b/>
                      <w:color w:val="000000"/>
                      <w:szCs w:val="21"/>
                    </w:rPr>
                    <w:t>危险物质</w:t>
                  </w:r>
                </w:p>
              </w:tc>
              <w:tc>
                <w:tcPr>
                  <w:tcW w:w="528" w:type="pct"/>
                  <w:noWrap w:val="0"/>
                  <w:vAlign w:val="center"/>
                </w:tcPr>
                <w:p>
                  <w:pPr>
                    <w:adjustRightInd w:val="0"/>
                    <w:jc w:val="center"/>
                    <w:rPr>
                      <w:b/>
                      <w:color w:val="000000"/>
                      <w:szCs w:val="21"/>
                    </w:rPr>
                  </w:pPr>
                  <w:r>
                    <w:rPr>
                      <w:b/>
                      <w:color w:val="000000"/>
                      <w:szCs w:val="21"/>
                    </w:rPr>
                    <w:t>风险类型</w:t>
                  </w:r>
                </w:p>
              </w:tc>
              <w:tc>
                <w:tcPr>
                  <w:tcW w:w="791" w:type="pct"/>
                  <w:noWrap w:val="0"/>
                  <w:vAlign w:val="center"/>
                </w:tcPr>
                <w:p>
                  <w:pPr>
                    <w:adjustRightInd w:val="0"/>
                    <w:jc w:val="center"/>
                    <w:rPr>
                      <w:b/>
                      <w:color w:val="000000"/>
                      <w:szCs w:val="21"/>
                    </w:rPr>
                  </w:pPr>
                  <w:r>
                    <w:rPr>
                      <w:b/>
                      <w:color w:val="000000"/>
                      <w:szCs w:val="21"/>
                    </w:rPr>
                    <w:t>环境影响途径</w:t>
                  </w:r>
                </w:p>
              </w:tc>
              <w:tc>
                <w:tcPr>
                  <w:tcW w:w="778" w:type="pct"/>
                  <w:noWrap w:val="0"/>
                  <w:vAlign w:val="center"/>
                </w:tcPr>
                <w:p>
                  <w:pPr>
                    <w:adjustRightInd w:val="0"/>
                    <w:jc w:val="center"/>
                    <w:rPr>
                      <w:b/>
                      <w:color w:val="000000"/>
                      <w:szCs w:val="21"/>
                    </w:rPr>
                  </w:pPr>
                  <w:r>
                    <w:rPr>
                      <w:b/>
                      <w:color w:val="000000"/>
                      <w:szCs w:val="21"/>
                    </w:rPr>
                    <w:t>可能受影响的环保目标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color w:val="000000"/>
                      <w:szCs w:val="21"/>
                    </w:rPr>
                  </w:pPr>
                  <w:r>
                    <w:rPr>
                      <w:rFonts w:hint="eastAsia"/>
                      <w:color w:val="000000"/>
                      <w:szCs w:val="21"/>
                    </w:rPr>
                    <w:t>1</w:t>
                  </w:r>
                </w:p>
              </w:tc>
              <w:tc>
                <w:tcPr>
                  <w:tcW w:w="730" w:type="pct"/>
                  <w:noWrap w:val="0"/>
                  <w:vAlign w:val="center"/>
                </w:tcPr>
                <w:p>
                  <w:pPr>
                    <w:adjustRightInd w:val="0"/>
                    <w:jc w:val="center"/>
                    <w:rPr>
                      <w:color w:val="000000"/>
                      <w:szCs w:val="21"/>
                    </w:rPr>
                  </w:pPr>
                  <w:r>
                    <w:rPr>
                      <w:rFonts w:hint="eastAsia"/>
                      <w:color w:val="000000"/>
                      <w:szCs w:val="21"/>
                    </w:rPr>
                    <w:t>生产</w:t>
                  </w:r>
                  <w:r>
                    <w:rPr>
                      <w:color w:val="000000"/>
                      <w:szCs w:val="21"/>
                    </w:rPr>
                    <w:t>车间</w:t>
                  </w:r>
                </w:p>
              </w:tc>
              <w:tc>
                <w:tcPr>
                  <w:tcW w:w="1004" w:type="pct"/>
                  <w:noWrap w:val="0"/>
                  <w:vAlign w:val="center"/>
                </w:tcPr>
                <w:p>
                  <w:pPr>
                    <w:adjustRightInd w:val="0"/>
                    <w:jc w:val="center"/>
                    <w:rPr>
                      <w:color w:val="000000"/>
                      <w:szCs w:val="21"/>
                    </w:rPr>
                  </w:pPr>
                  <w:r>
                    <w:rPr>
                      <w:rFonts w:hint="eastAsia"/>
                      <w:color w:val="000000"/>
                      <w:szCs w:val="21"/>
                    </w:rPr>
                    <w:t>布袋除尘器故障</w:t>
                  </w:r>
                </w:p>
              </w:tc>
              <w:tc>
                <w:tcPr>
                  <w:tcW w:w="821" w:type="pct"/>
                  <w:noWrap w:val="0"/>
                  <w:vAlign w:val="center"/>
                </w:tcPr>
                <w:p>
                  <w:pPr>
                    <w:adjustRightInd w:val="0"/>
                    <w:jc w:val="center"/>
                    <w:rPr>
                      <w:color w:val="000000"/>
                      <w:szCs w:val="21"/>
                    </w:rPr>
                  </w:pPr>
                  <w:r>
                    <w:rPr>
                      <w:rFonts w:hint="eastAsia"/>
                      <w:color w:val="000000"/>
                      <w:szCs w:val="21"/>
                    </w:rPr>
                    <w:t>颗粒物</w:t>
                  </w:r>
                </w:p>
              </w:tc>
              <w:tc>
                <w:tcPr>
                  <w:tcW w:w="528" w:type="pct"/>
                  <w:noWrap w:val="0"/>
                  <w:vAlign w:val="center"/>
                </w:tcPr>
                <w:p>
                  <w:pPr>
                    <w:adjustRightInd w:val="0"/>
                    <w:jc w:val="center"/>
                    <w:rPr>
                      <w:color w:val="000000"/>
                      <w:szCs w:val="21"/>
                    </w:rPr>
                  </w:pPr>
                  <w:r>
                    <w:rPr>
                      <w:rFonts w:hint="eastAsia"/>
                      <w:color w:val="000000"/>
                      <w:szCs w:val="21"/>
                    </w:rPr>
                    <w:t>事故排放</w:t>
                  </w:r>
                </w:p>
              </w:tc>
              <w:tc>
                <w:tcPr>
                  <w:tcW w:w="791" w:type="pct"/>
                  <w:noWrap w:val="0"/>
                  <w:vAlign w:val="center"/>
                </w:tcPr>
                <w:p>
                  <w:pPr>
                    <w:adjustRightInd w:val="0"/>
                    <w:jc w:val="center"/>
                    <w:rPr>
                      <w:color w:val="000000"/>
                      <w:szCs w:val="21"/>
                    </w:rPr>
                  </w:pPr>
                  <w:r>
                    <w:rPr>
                      <w:color w:val="000000"/>
                      <w:szCs w:val="21"/>
                    </w:rPr>
                    <w:t>人体接触</w:t>
                  </w:r>
                  <w:r>
                    <w:rPr>
                      <w:rFonts w:hint="eastAsia"/>
                      <w:color w:val="000000"/>
                      <w:szCs w:val="21"/>
                    </w:rPr>
                    <w:t>、排入空气</w:t>
                  </w:r>
                </w:p>
              </w:tc>
              <w:tc>
                <w:tcPr>
                  <w:tcW w:w="778" w:type="pct"/>
                  <w:noWrap w:val="0"/>
                  <w:vAlign w:val="center"/>
                </w:tcPr>
                <w:p>
                  <w:pPr>
                    <w:adjustRightInd w:val="0"/>
                    <w:jc w:val="center"/>
                    <w:rPr>
                      <w:color w:val="000000"/>
                      <w:szCs w:val="21"/>
                    </w:rPr>
                  </w:pPr>
                  <w:r>
                    <w:rPr>
                      <w:color w:val="000000"/>
                      <w:szCs w:val="21"/>
                    </w:rPr>
                    <w:t>工作人员及</w:t>
                  </w:r>
                  <w:r>
                    <w:rPr>
                      <w:rFonts w:hint="eastAsia"/>
                      <w:color w:val="000000"/>
                      <w:szCs w:val="21"/>
                    </w:rPr>
                    <w:t>生态环境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color w:val="000000"/>
                      <w:szCs w:val="21"/>
                    </w:rPr>
                  </w:pPr>
                  <w:r>
                    <w:rPr>
                      <w:rFonts w:hint="eastAsia"/>
                      <w:color w:val="000000"/>
                      <w:szCs w:val="21"/>
                    </w:rPr>
                    <w:t>2</w:t>
                  </w:r>
                </w:p>
              </w:tc>
              <w:tc>
                <w:tcPr>
                  <w:tcW w:w="730" w:type="pct"/>
                  <w:noWrap w:val="0"/>
                  <w:vAlign w:val="center"/>
                </w:tcPr>
                <w:p>
                  <w:pPr>
                    <w:adjustRightInd w:val="0"/>
                    <w:jc w:val="center"/>
                    <w:rPr>
                      <w:color w:val="000000"/>
                      <w:szCs w:val="21"/>
                    </w:rPr>
                  </w:pPr>
                  <w:r>
                    <w:rPr>
                      <w:rFonts w:hint="eastAsia"/>
                      <w:color w:val="000000"/>
                      <w:szCs w:val="21"/>
                    </w:rPr>
                    <w:t>危废暂存间</w:t>
                  </w:r>
                </w:p>
              </w:tc>
              <w:tc>
                <w:tcPr>
                  <w:tcW w:w="1004" w:type="pct"/>
                  <w:noWrap w:val="0"/>
                  <w:vAlign w:val="center"/>
                </w:tcPr>
                <w:p>
                  <w:pPr>
                    <w:adjustRightInd w:val="0"/>
                    <w:jc w:val="center"/>
                    <w:rPr>
                      <w:color w:val="000000"/>
                      <w:szCs w:val="21"/>
                    </w:rPr>
                  </w:pPr>
                  <w:r>
                    <w:rPr>
                      <w:rFonts w:hint="eastAsia"/>
                      <w:color w:val="000000"/>
                      <w:szCs w:val="21"/>
                    </w:rPr>
                    <w:t>危废暂存间</w:t>
                  </w:r>
                </w:p>
              </w:tc>
              <w:tc>
                <w:tcPr>
                  <w:tcW w:w="821" w:type="pct"/>
                  <w:noWrap w:val="0"/>
                  <w:vAlign w:val="center"/>
                </w:tcPr>
                <w:p>
                  <w:pPr>
                    <w:adjustRightInd w:val="0"/>
                    <w:jc w:val="center"/>
                    <w:rPr>
                      <w:color w:val="000000"/>
                      <w:szCs w:val="21"/>
                    </w:rPr>
                  </w:pPr>
                  <w:r>
                    <w:rPr>
                      <w:rFonts w:hint="eastAsia"/>
                      <w:color w:val="000000"/>
                      <w:szCs w:val="21"/>
                    </w:rPr>
                    <w:t>废机油</w:t>
                  </w:r>
                </w:p>
              </w:tc>
              <w:tc>
                <w:tcPr>
                  <w:tcW w:w="528" w:type="pct"/>
                  <w:noWrap w:val="0"/>
                  <w:vAlign w:val="center"/>
                </w:tcPr>
                <w:p>
                  <w:pPr>
                    <w:adjustRightInd w:val="0"/>
                    <w:jc w:val="center"/>
                    <w:rPr>
                      <w:rFonts w:hint="eastAsia" w:eastAsia="宋体"/>
                      <w:color w:val="000000"/>
                      <w:szCs w:val="21"/>
                      <w:lang w:eastAsia="zh-CN"/>
                    </w:rPr>
                  </w:pPr>
                  <w:r>
                    <w:rPr>
                      <w:rFonts w:hint="eastAsia"/>
                      <w:color w:val="000000"/>
                      <w:szCs w:val="21"/>
                      <w:lang w:eastAsia="zh-CN"/>
                    </w:rPr>
                    <w:t>泄漏</w:t>
                  </w:r>
                </w:p>
              </w:tc>
              <w:tc>
                <w:tcPr>
                  <w:tcW w:w="791" w:type="pct"/>
                  <w:noWrap w:val="0"/>
                  <w:vAlign w:val="center"/>
                </w:tcPr>
                <w:p>
                  <w:pPr>
                    <w:adjustRightInd w:val="0"/>
                    <w:jc w:val="center"/>
                    <w:rPr>
                      <w:color w:val="000000"/>
                      <w:szCs w:val="21"/>
                    </w:rPr>
                  </w:pPr>
                  <w:r>
                    <w:rPr>
                      <w:rFonts w:hint="eastAsia"/>
                      <w:color w:val="000000"/>
                      <w:szCs w:val="21"/>
                    </w:rPr>
                    <w:t>地表漫流</w:t>
                  </w:r>
                </w:p>
              </w:tc>
              <w:tc>
                <w:tcPr>
                  <w:tcW w:w="778" w:type="pct"/>
                  <w:noWrap w:val="0"/>
                  <w:vAlign w:val="center"/>
                </w:tcPr>
                <w:p>
                  <w:pPr>
                    <w:adjustRightInd w:val="0"/>
                    <w:jc w:val="center"/>
                    <w:rPr>
                      <w:color w:val="000000"/>
                      <w:szCs w:val="21"/>
                    </w:rPr>
                  </w:pPr>
                  <w:r>
                    <w:rPr>
                      <w:rFonts w:hint="eastAsia"/>
                      <w:color w:val="000000"/>
                      <w:szCs w:val="21"/>
                    </w:rPr>
                    <w:t>地表水、地下水、土壤</w:t>
                  </w:r>
                  <w:r>
                    <w:rPr>
                      <w:color w:val="000000"/>
                      <w:szCs w:val="21"/>
                    </w:rPr>
                    <w:t>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rFonts w:hint="eastAsia" w:eastAsia="宋体"/>
                      <w:i w:val="0"/>
                      <w:iCs w:val="0"/>
                      <w:color w:val="000000"/>
                      <w:szCs w:val="21"/>
                      <w:u w:val="single"/>
                      <w:lang w:val="en-US" w:eastAsia="zh-CN"/>
                    </w:rPr>
                  </w:pPr>
                  <w:r>
                    <w:rPr>
                      <w:rFonts w:hint="eastAsia"/>
                      <w:i w:val="0"/>
                      <w:iCs w:val="0"/>
                      <w:color w:val="000000"/>
                      <w:szCs w:val="21"/>
                      <w:u w:val="single"/>
                      <w:lang w:val="en-US" w:eastAsia="zh-CN"/>
                    </w:rPr>
                    <w:t>3</w:t>
                  </w:r>
                </w:p>
              </w:tc>
              <w:tc>
                <w:tcPr>
                  <w:tcW w:w="730"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化粪池</w:t>
                  </w:r>
                </w:p>
              </w:tc>
              <w:tc>
                <w:tcPr>
                  <w:tcW w:w="1731" w:type="dxa"/>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lang w:eastAsia="zh-CN"/>
                    </w:rPr>
                    <w:t>化粪池</w:t>
                  </w:r>
                </w:p>
              </w:tc>
              <w:tc>
                <w:tcPr>
                  <w:tcW w:w="821"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生活废水</w:t>
                  </w:r>
                </w:p>
              </w:tc>
              <w:tc>
                <w:tcPr>
                  <w:tcW w:w="528" w:type="pct"/>
                  <w:noWrap w:val="0"/>
                  <w:vAlign w:val="center"/>
                </w:tcPr>
                <w:p>
                  <w:pPr>
                    <w:adjustRightInd w:val="0"/>
                    <w:jc w:val="center"/>
                    <w:rPr>
                      <w:rFonts w:hint="eastAsia"/>
                      <w:i w:val="0"/>
                      <w:iCs w:val="0"/>
                      <w:color w:val="000000"/>
                      <w:szCs w:val="21"/>
                      <w:u w:val="single"/>
                      <w:lang w:eastAsia="zh-CN"/>
                    </w:rPr>
                  </w:pPr>
                  <w:r>
                    <w:rPr>
                      <w:rFonts w:hint="eastAsia"/>
                      <w:i w:val="0"/>
                      <w:iCs w:val="0"/>
                      <w:color w:val="000000"/>
                      <w:szCs w:val="21"/>
                      <w:u w:val="single"/>
                    </w:rPr>
                    <w:t>事故排放</w:t>
                  </w:r>
                </w:p>
              </w:tc>
              <w:tc>
                <w:tcPr>
                  <w:tcW w:w="791" w:type="pct"/>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rPr>
                    <w:t>地表漫流</w:t>
                  </w:r>
                </w:p>
              </w:tc>
              <w:tc>
                <w:tcPr>
                  <w:tcW w:w="778" w:type="pct"/>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rPr>
                    <w:t>地表水、地下水、土壤</w:t>
                  </w:r>
                  <w:r>
                    <w:rPr>
                      <w:i w:val="0"/>
                      <w:iCs w:val="0"/>
                      <w:color w:val="000000"/>
                      <w:szCs w:val="21"/>
                      <w:u w:val="single"/>
                    </w:rPr>
                    <w:t>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rFonts w:hint="default" w:eastAsia="宋体"/>
                      <w:i w:val="0"/>
                      <w:iCs w:val="0"/>
                      <w:color w:val="000000"/>
                      <w:szCs w:val="21"/>
                      <w:u w:val="single"/>
                      <w:lang w:val="en-US" w:eastAsia="zh-CN"/>
                    </w:rPr>
                  </w:pPr>
                  <w:r>
                    <w:rPr>
                      <w:rFonts w:hint="eastAsia"/>
                      <w:i w:val="0"/>
                      <w:iCs w:val="0"/>
                      <w:color w:val="000000"/>
                      <w:szCs w:val="21"/>
                      <w:u w:val="single"/>
                      <w:lang w:val="en-US" w:eastAsia="zh-CN"/>
                    </w:rPr>
                    <w:t>4</w:t>
                  </w:r>
                </w:p>
              </w:tc>
              <w:tc>
                <w:tcPr>
                  <w:tcW w:w="730"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废水沉淀池</w:t>
                  </w:r>
                </w:p>
              </w:tc>
              <w:tc>
                <w:tcPr>
                  <w:tcW w:w="1731" w:type="dxa"/>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lang w:eastAsia="zh-CN"/>
                    </w:rPr>
                    <w:t>废水沉淀池</w:t>
                  </w:r>
                </w:p>
              </w:tc>
              <w:tc>
                <w:tcPr>
                  <w:tcW w:w="821"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废水</w:t>
                  </w:r>
                </w:p>
              </w:tc>
              <w:tc>
                <w:tcPr>
                  <w:tcW w:w="528" w:type="pct"/>
                  <w:noWrap w:val="0"/>
                  <w:vAlign w:val="center"/>
                </w:tcPr>
                <w:p>
                  <w:pPr>
                    <w:adjustRightInd w:val="0"/>
                    <w:jc w:val="center"/>
                    <w:rPr>
                      <w:rFonts w:hint="eastAsia"/>
                      <w:i w:val="0"/>
                      <w:iCs w:val="0"/>
                      <w:color w:val="000000"/>
                      <w:szCs w:val="21"/>
                      <w:u w:val="single"/>
                      <w:lang w:eastAsia="zh-CN"/>
                    </w:rPr>
                  </w:pPr>
                  <w:r>
                    <w:rPr>
                      <w:rFonts w:hint="eastAsia"/>
                      <w:i w:val="0"/>
                      <w:iCs w:val="0"/>
                      <w:color w:val="000000"/>
                      <w:szCs w:val="21"/>
                      <w:u w:val="single"/>
                    </w:rPr>
                    <w:t>事故排放</w:t>
                  </w:r>
                </w:p>
              </w:tc>
              <w:tc>
                <w:tcPr>
                  <w:tcW w:w="791" w:type="pct"/>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rPr>
                    <w:t>地表漫流</w:t>
                  </w:r>
                </w:p>
              </w:tc>
              <w:tc>
                <w:tcPr>
                  <w:tcW w:w="778" w:type="pct"/>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rPr>
                    <w:t>地表水、地下水、土壤</w:t>
                  </w:r>
                  <w:r>
                    <w:rPr>
                      <w:i w:val="0"/>
                      <w:iCs w:val="0"/>
                      <w:color w:val="000000"/>
                      <w:szCs w:val="21"/>
                      <w:u w:val="single"/>
                    </w:rPr>
                    <w:t>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4" w:type="pct"/>
                  <w:noWrap w:val="0"/>
                  <w:vAlign w:val="center"/>
                </w:tcPr>
                <w:p>
                  <w:pPr>
                    <w:adjustRightInd w:val="0"/>
                    <w:jc w:val="center"/>
                    <w:rPr>
                      <w:rFonts w:hint="default"/>
                      <w:i w:val="0"/>
                      <w:iCs w:val="0"/>
                      <w:color w:val="000000"/>
                      <w:szCs w:val="21"/>
                      <w:u w:val="single"/>
                      <w:lang w:val="en-US" w:eastAsia="zh-CN"/>
                    </w:rPr>
                  </w:pPr>
                  <w:r>
                    <w:rPr>
                      <w:rFonts w:hint="eastAsia"/>
                      <w:i w:val="0"/>
                      <w:iCs w:val="0"/>
                      <w:color w:val="000000"/>
                      <w:szCs w:val="21"/>
                      <w:u w:val="single"/>
                      <w:lang w:val="en-US" w:eastAsia="zh-CN"/>
                    </w:rPr>
                    <w:t>5</w:t>
                  </w:r>
                </w:p>
              </w:tc>
              <w:tc>
                <w:tcPr>
                  <w:tcW w:w="730" w:type="pct"/>
                  <w:noWrap w:val="0"/>
                  <w:vAlign w:val="center"/>
                </w:tcPr>
                <w:p>
                  <w:pPr>
                    <w:adjustRightInd w:val="0"/>
                    <w:jc w:val="center"/>
                    <w:rPr>
                      <w:rFonts w:hint="eastAsia"/>
                      <w:i w:val="0"/>
                      <w:iCs w:val="0"/>
                      <w:color w:val="000000"/>
                      <w:szCs w:val="21"/>
                      <w:u w:val="single"/>
                      <w:lang w:eastAsia="zh-CN"/>
                    </w:rPr>
                  </w:pPr>
                  <w:r>
                    <w:rPr>
                      <w:rFonts w:hint="eastAsia"/>
                      <w:i w:val="0"/>
                      <w:iCs w:val="0"/>
                      <w:color w:val="000000"/>
                      <w:szCs w:val="21"/>
                      <w:u w:val="single"/>
                      <w:lang w:eastAsia="zh-CN"/>
                    </w:rPr>
                    <w:t>雨水收集池</w:t>
                  </w:r>
                </w:p>
              </w:tc>
              <w:tc>
                <w:tcPr>
                  <w:tcW w:w="1731" w:type="dxa"/>
                  <w:noWrap w:val="0"/>
                  <w:vAlign w:val="center"/>
                </w:tcPr>
                <w:p>
                  <w:pPr>
                    <w:adjustRightInd w:val="0"/>
                    <w:jc w:val="center"/>
                    <w:rPr>
                      <w:rFonts w:hint="eastAsia"/>
                      <w:i w:val="0"/>
                      <w:iCs w:val="0"/>
                      <w:color w:val="000000"/>
                      <w:szCs w:val="21"/>
                      <w:u w:val="single"/>
                      <w:lang w:eastAsia="zh-CN"/>
                    </w:rPr>
                  </w:pPr>
                  <w:r>
                    <w:rPr>
                      <w:rFonts w:hint="eastAsia"/>
                      <w:i w:val="0"/>
                      <w:iCs w:val="0"/>
                      <w:color w:val="000000"/>
                      <w:szCs w:val="21"/>
                      <w:u w:val="single"/>
                      <w:lang w:eastAsia="zh-CN"/>
                    </w:rPr>
                    <w:t>雨水筹集池</w:t>
                  </w:r>
                </w:p>
              </w:tc>
              <w:tc>
                <w:tcPr>
                  <w:tcW w:w="821" w:type="pct"/>
                  <w:noWrap w:val="0"/>
                  <w:vAlign w:val="center"/>
                </w:tcPr>
                <w:p>
                  <w:pPr>
                    <w:adjustRightInd w:val="0"/>
                    <w:jc w:val="center"/>
                    <w:rPr>
                      <w:rFonts w:hint="eastAsia"/>
                      <w:i w:val="0"/>
                      <w:iCs w:val="0"/>
                      <w:color w:val="000000"/>
                      <w:szCs w:val="21"/>
                      <w:u w:val="single"/>
                      <w:lang w:eastAsia="zh-CN"/>
                    </w:rPr>
                  </w:pPr>
                  <w:r>
                    <w:rPr>
                      <w:rFonts w:hint="eastAsia"/>
                      <w:i w:val="0"/>
                      <w:iCs w:val="0"/>
                      <w:color w:val="000000"/>
                      <w:szCs w:val="21"/>
                      <w:u w:val="single"/>
                      <w:lang w:eastAsia="zh-CN"/>
                    </w:rPr>
                    <w:t>初期雨水</w:t>
                  </w:r>
                </w:p>
              </w:tc>
              <w:tc>
                <w:tcPr>
                  <w:tcW w:w="528"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事故排放</w:t>
                  </w:r>
                </w:p>
              </w:tc>
              <w:tc>
                <w:tcPr>
                  <w:tcW w:w="791" w:type="pct"/>
                  <w:noWrap w:val="0"/>
                  <w:vAlign w:val="center"/>
                </w:tcPr>
                <w:p>
                  <w:pPr>
                    <w:adjustRightInd w:val="0"/>
                    <w:jc w:val="center"/>
                    <w:rPr>
                      <w:rFonts w:hint="eastAsia" w:eastAsia="宋体"/>
                      <w:i w:val="0"/>
                      <w:iCs w:val="0"/>
                      <w:color w:val="000000"/>
                      <w:szCs w:val="21"/>
                      <w:u w:val="single"/>
                      <w:lang w:eastAsia="zh-CN"/>
                    </w:rPr>
                  </w:pPr>
                  <w:r>
                    <w:rPr>
                      <w:rFonts w:hint="eastAsia"/>
                      <w:i w:val="0"/>
                      <w:iCs w:val="0"/>
                      <w:color w:val="000000"/>
                      <w:szCs w:val="21"/>
                      <w:u w:val="single"/>
                      <w:lang w:eastAsia="zh-CN"/>
                    </w:rPr>
                    <w:t>地表漫流</w:t>
                  </w:r>
                </w:p>
              </w:tc>
              <w:tc>
                <w:tcPr>
                  <w:tcW w:w="778" w:type="pct"/>
                  <w:noWrap w:val="0"/>
                  <w:vAlign w:val="center"/>
                </w:tcPr>
                <w:p>
                  <w:pPr>
                    <w:adjustRightInd w:val="0"/>
                    <w:jc w:val="center"/>
                    <w:rPr>
                      <w:rFonts w:hint="eastAsia"/>
                      <w:i w:val="0"/>
                      <w:iCs w:val="0"/>
                      <w:color w:val="000000"/>
                      <w:szCs w:val="21"/>
                      <w:u w:val="single"/>
                    </w:rPr>
                  </w:pPr>
                  <w:r>
                    <w:rPr>
                      <w:rFonts w:hint="eastAsia"/>
                      <w:i w:val="0"/>
                      <w:iCs w:val="0"/>
                      <w:color w:val="000000"/>
                      <w:szCs w:val="21"/>
                      <w:u w:val="single"/>
                    </w:rPr>
                    <w:t>地表水、地下水、土壤</w:t>
                  </w:r>
                  <w:r>
                    <w:rPr>
                      <w:i w:val="0"/>
                      <w:iCs w:val="0"/>
                      <w:color w:val="000000"/>
                      <w:szCs w:val="21"/>
                      <w:u w:val="single"/>
                    </w:rPr>
                    <w:t>环境</w:t>
                  </w:r>
                </w:p>
              </w:tc>
            </w:tr>
          </w:tbl>
          <w:p>
            <w:pPr>
              <w:keepNext/>
              <w:keepLines/>
              <w:wordWrap w:val="0"/>
              <w:spacing w:before="200" w:after="200"/>
              <w:outlineLvl w:val="3"/>
              <w:rPr>
                <w:rFonts w:hint="eastAsia"/>
                <w:b/>
                <w:sz w:val="24"/>
              </w:rPr>
            </w:pPr>
            <w:r>
              <w:rPr>
                <w:rFonts w:hint="eastAsia"/>
                <w:b/>
                <w:sz w:val="24"/>
              </w:rPr>
              <w:t>4.2.7.2环境敏感目标分布</w:t>
            </w:r>
          </w:p>
          <w:p>
            <w:pPr>
              <w:spacing w:line="360" w:lineRule="auto"/>
              <w:ind w:firstLine="480" w:firstLineChars="200"/>
              <w:rPr>
                <w:rFonts w:hint="eastAsia"/>
                <w:color w:val="000000"/>
                <w:sz w:val="24"/>
              </w:rPr>
            </w:pPr>
            <w:r>
              <w:rPr>
                <w:rFonts w:hint="eastAsia"/>
                <w:color w:val="000000"/>
                <w:sz w:val="24"/>
              </w:rPr>
              <w:t>项目环境敏感目标分布见第三章表3.2-1。</w:t>
            </w:r>
          </w:p>
          <w:p>
            <w:pPr>
              <w:keepNext/>
              <w:keepLines/>
              <w:wordWrap w:val="0"/>
              <w:spacing w:before="200" w:after="200"/>
              <w:outlineLvl w:val="3"/>
              <w:rPr>
                <w:b/>
                <w:sz w:val="24"/>
              </w:rPr>
            </w:pPr>
            <w:r>
              <w:rPr>
                <w:rFonts w:hint="eastAsia"/>
                <w:b/>
                <w:sz w:val="24"/>
              </w:rPr>
              <w:t>4.2.7.3风险潜势初判</w:t>
            </w:r>
          </w:p>
          <w:p>
            <w:pPr>
              <w:spacing w:line="360" w:lineRule="auto"/>
              <w:ind w:firstLine="482" w:firstLineChars="200"/>
              <w:rPr>
                <w:rFonts w:hint="eastAsia"/>
                <w:b/>
                <w:color w:val="000000"/>
                <w:sz w:val="24"/>
              </w:rPr>
            </w:pPr>
            <w:r>
              <w:rPr>
                <w:rFonts w:hint="eastAsia"/>
                <w:b/>
                <w:color w:val="000000"/>
                <w:sz w:val="24"/>
              </w:rPr>
              <w:t>（1）危险物质数量与临界量比值(Q)</w:t>
            </w:r>
          </w:p>
          <w:p>
            <w:pPr>
              <w:spacing w:line="360" w:lineRule="auto"/>
              <w:ind w:firstLine="480" w:firstLineChars="200"/>
              <w:rPr>
                <w:rFonts w:hint="eastAsia"/>
                <w:color w:val="000000"/>
                <w:sz w:val="24"/>
              </w:rPr>
            </w:pPr>
            <w:r>
              <w:rPr>
                <w:rFonts w:hint="eastAsia"/>
                <w:color w:val="000000"/>
                <w:sz w:val="24"/>
              </w:rPr>
              <w:t>计算所涉及的每种危险物质在厂界内的最大存在总量与其在附录B中对应临界量的比值Q：</w:t>
            </w:r>
          </w:p>
          <w:p>
            <w:pPr>
              <w:spacing w:line="360" w:lineRule="auto"/>
              <w:ind w:firstLine="480" w:firstLineChars="200"/>
              <w:jc w:val="center"/>
              <w:rPr>
                <w:rFonts w:hint="eastAsia"/>
                <w:color w:val="000000"/>
                <w:sz w:val="24"/>
              </w:rPr>
            </w:pPr>
            <w:r>
              <w:rPr>
                <w:rFonts w:ascii="宋体" w:hAnsi="Calibri"/>
                <w:color w:val="000000"/>
                <w:kern w:val="0"/>
                <w:sz w:val="24"/>
                <w:szCs w:val="20"/>
              </w:rPr>
              <w:drawing>
                <wp:inline distT="0" distB="0" distL="114300" distR="114300">
                  <wp:extent cx="1418590" cy="446405"/>
                  <wp:effectExtent l="0" t="0" r="10160" b="10795"/>
                  <wp:docPr id="18" name="图片 143" descr="说明: 说明: 1553131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3" descr="说明: 说明: 1553131916(1)"/>
                          <pic:cNvPicPr>
                            <a:picLocks noChangeAspect="1"/>
                          </pic:cNvPicPr>
                        </pic:nvPicPr>
                        <pic:blipFill>
                          <a:blip r:embed="rId36"/>
                          <a:stretch>
                            <a:fillRect/>
                          </a:stretch>
                        </pic:blipFill>
                        <pic:spPr>
                          <a:xfrm>
                            <a:off x="0" y="0"/>
                            <a:ext cx="1418590" cy="446405"/>
                          </a:xfrm>
                          <a:prstGeom prst="rect">
                            <a:avLst/>
                          </a:prstGeom>
                          <a:noFill/>
                          <a:ln>
                            <a:noFill/>
                          </a:ln>
                        </pic:spPr>
                      </pic:pic>
                    </a:graphicData>
                  </a:graphic>
                </wp:inline>
              </w:drawing>
            </w:r>
          </w:p>
          <w:p>
            <w:pPr>
              <w:spacing w:line="360" w:lineRule="auto"/>
              <w:ind w:firstLine="480" w:firstLineChars="200"/>
              <w:rPr>
                <w:rFonts w:hint="eastAsia"/>
                <w:color w:val="000000"/>
                <w:sz w:val="24"/>
              </w:rPr>
            </w:pPr>
            <w:r>
              <w:rPr>
                <w:rFonts w:hint="eastAsia"/>
                <w:color w:val="000000"/>
                <w:sz w:val="24"/>
              </w:rPr>
              <w:t>式中：q</w:t>
            </w:r>
            <w:r>
              <w:rPr>
                <w:rFonts w:hint="eastAsia"/>
                <w:color w:val="000000"/>
                <w:sz w:val="24"/>
                <w:vertAlign w:val="subscript"/>
              </w:rPr>
              <w:t>1</w:t>
            </w:r>
            <w:r>
              <w:rPr>
                <w:rFonts w:hint="eastAsia"/>
                <w:color w:val="000000"/>
                <w:sz w:val="24"/>
              </w:rPr>
              <w:t>，q</w:t>
            </w:r>
            <w:r>
              <w:rPr>
                <w:rFonts w:hint="eastAsia"/>
                <w:color w:val="000000"/>
                <w:sz w:val="24"/>
                <w:vertAlign w:val="subscript"/>
              </w:rPr>
              <w:t>2</w:t>
            </w:r>
            <w:r>
              <w:rPr>
                <w:rFonts w:hint="eastAsia"/>
                <w:color w:val="000000"/>
                <w:sz w:val="24"/>
              </w:rPr>
              <w:t>，…，q</w:t>
            </w:r>
            <w:r>
              <w:rPr>
                <w:rFonts w:hint="eastAsia"/>
                <w:color w:val="000000"/>
                <w:sz w:val="24"/>
                <w:vertAlign w:val="subscript"/>
              </w:rPr>
              <w:t>n</w:t>
            </w:r>
            <w:r>
              <w:rPr>
                <w:rFonts w:hint="eastAsia"/>
                <w:color w:val="000000"/>
                <w:sz w:val="24"/>
              </w:rPr>
              <w:t>—每种危险物质的最大存在总量，t；</w:t>
            </w:r>
          </w:p>
          <w:p>
            <w:pPr>
              <w:spacing w:line="360" w:lineRule="auto"/>
              <w:ind w:firstLine="1200" w:firstLineChars="500"/>
              <w:rPr>
                <w:rFonts w:hint="eastAsia"/>
                <w:color w:val="000000"/>
                <w:sz w:val="24"/>
              </w:rPr>
            </w:pPr>
            <w:r>
              <w:rPr>
                <w:rFonts w:hint="eastAsia"/>
                <w:color w:val="000000"/>
                <w:sz w:val="24"/>
              </w:rPr>
              <w:t>Q</w:t>
            </w:r>
            <w:r>
              <w:rPr>
                <w:rFonts w:hint="eastAsia"/>
                <w:color w:val="000000"/>
                <w:sz w:val="24"/>
                <w:vertAlign w:val="subscript"/>
              </w:rPr>
              <w:t>1</w:t>
            </w:r>
            <w:r>
              <w:rPr>
                <w:rFonts w:hint="eastAsia"/>
                <w:color w:val="000000"/>
                <w:sz w:val="24"/>
              </w:rPr>
              <w:t>，Q</w:t>
            </w:r>
            <w:r>
              <w:rPr>
                <w:rFonts w:hint="eastAsia"/>
                <w:color w:val="000000"/>
                <w:sz w:val="24"/>
                <w:vertAlign w:val="subscript"/>
              </w:rPr>
              <w:t>2</w:t>
            </w:r>
            <w:r>
              <w:rPr>
                <w:rFonts w:hint="eastAsia"/>
                <w:color w:val="000000"/>
                <w:sz w:val="24"/>
              </w:rPr>
              <w:t>，…，Q</w:t>
            </w:r>
            <w:r>
              <w:rPr>
                <w:rFonts w:hint="eastAsia"/>
                <w:color w:val="000000"/>
                <w:sz w:val="24"/>
                <w:vertAlign w:val="subscript"/>
              </w:rPr>
              <w:t>n</w:t>
            </w:r>
            <w:r>
              <w:rPr>
                <w:rFonts w:hint="eastAsia"/>
                <w:color w:val="000000"/>
                <w:sz w:val="24"/>
              </w:rPr>
              <w:t>—每种危险物质的临界量，t；</w:t>
            </w:r>
          </w:p>
          <w:p>
            <w:pPr>
              <w:spacing w:line="360" w:lineRule="auto"/>
              <w:ind w:firstLine="1200" w:firstLineChars="500"/>
              <w:rPr>
                <w:rFonts w:hint="eastAsia"/>
                <w:color w:val="000000"/>
                <w:sz w:val="24"/>
              </w:rPr>
            </w:pPr>
            <w:r>
              <w:rPr>
                <w:rFonts w:hint="eastAsia"/>
                <w:color w:val="000000"/>
                <w:sz w:val="24"/>
              </w:rPr>
              <w:t>当Q＜1时，该项目环境风险潜势为Ⅰ；</w:t>
            </w:r>
          </w:p>
          <w:p>
            <w:pPr>
              <w:spacing w:line="360" w:lineRule="auto"/>
              <w:ind w:firstLine="1200" w:firstLineChars="500"/>
              <w:rPr>
                <w:rFonts w:hint="eastAsia"/>
                <w:color w:val="000000"/>
                <w:sz w:val="24"/>
              </w:rPr>
            </w:pPr>
            <w:r>
              <w:rPr>
                <w:rFonts w:hint="eastAsia"/>
                <w:color w:val="000000"/>
                <w:sz w:val="24"/>
              </w:rPr>
              <w:t>当Q≥1时，将Q值划分为：（1）1≤Q＜10；（2）10≤Q＜100；（3）Q≥100。</w:t>
            </w:r>
          </w:p>
          <w:p>
            <w:pPr>
              <w:spacing w:line="360" w:lineRule="auto"/>
              <w:ind w:firstLine="480" w:firstLineChars="200"/>
              <w:rPr>
                <w:color w:val="000000"/>
                <w:sz w:val="24"/>
                <w:u w:val="single"/>
              </w:rPr>
            </w:pPr>
            <w:r>
              <w:rPr>
                <w:rFonts w:hint="eastAsia"/>
                <w:color w:val="000000"/>
                <w:sz w:val="24"/>
              </w:rPr>
              <w:t>根据《建设项目环境风险评价技术导则》（HJ169－2018））附录B中重点关注的危险物质及临界量可知，项目Q值计算采用</w:t>
            </w:r>
            <w:r>
              <w:rPr>
                <w:color w:val="000000"/>
                <w:sz w:val="24"/>
              </w:rPr>
              <w:t>主要环境风险</w:t>
            </w:r>
            <w:r>
              <w:rPr>
                <w:rFonts w:hint="eastAsia"/>
                <w:color w:val="000000"/>
                <w:sz w:val="24"/>
              </w:rPr>
              <w:t>物质</w:t>
            </w:r>
            <w:r>
              <w:rPr>
                <w:rFonts w:hint="eastAsia"/>
                <w:sz w:val="24"/>
              </w:rPr>
              <w:t>废机油</w:t>
            </w:r>
            <w:r>
              <w:rPr>
                <w:rFonts w:hint="eastAsia"/>
                <w:color w:val="000000"/>
                <w:sz w:val="24"/>
              </w:rPr>
              <w:t>，结果如下：</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hint="eastAsia" w:cs="宋体"/>
                <w:b/>
                <w:szCs w:val="21"/>
              </w:rPr>
              <w:t>表4.2-24：项目Q值计算</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802"/>
              <w:gridCol w:w="1856"/>
              <w:gridCol w:w="2004"/>
              <w:gridCol w:w="1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28" w:type="pct"/>
                  <w:noWrap w:val="0"/>
                  <w:vAlign w:val="center"/>
                </w:tcPr>
                <w:p>
                  <w:pPr>
                    <w:jc w:val="center"/>
                    <w:rPr>
                      <w:b/>
                      <w:bCs/>
                      <w:color w:val="000000"/>
                      <w:szCs w:val="21"/>
                    </w:rPr>
                  </w:pPr>
                  <w:r>
                    <w:rPr>
                      <w:b/>
                      <w:bCs/>
                      <w:color w:val="000000"/>
                      <w:szCs w:val="21"/>
                    </w:rPr>
                    <w:t>序号</w:t>
                  </w:r>
                </w:p>
              </w:tc>
              <w:tc>
                <w:tcPr>
                  <w:tcW w:w="1630" w:type="pct"/>
                  <w:noWrap w:val="0"/>
                  <w:vAlign w:val="center"/>
                </w:tcPr>
                <w:p>
                  <w:pPr>
                    <w:jc w:val="center"/>
                    <w:rPr>
                      <w:b/>
                      <w:bCs/>
                      <w:color w:val="000000"/>
                      <w:szCs w:val="21"/>
                    </w:rPr>
                  </w:pPr>
                  <w:r>
                    <w:rPr>
                      <w:b/>
                      <w:bCs/>
                      <w:color w:val="000000"/>
                      <w:szCs w:val="21"/>
                    </w:rPr>
                    <w:t>物料名称</w:t>
                  </w:r>
                </w:p>
              </w:tc>
              <w:tc>
                <w:tcPr>
                  <w:tcW w:w="1080" w:type="pct"/>
                  <w:noWrap w:val="0"/>
                  <w:vAlign w:val="center"/>
                </w:tcPr>
                <w:p>
                  <w:pPr>
                    <w:jc w:val="center"/>
                    <w:rPr>
                      <w:b/>
                      <w:bCs/>
                      <w:color w:val="000000"/>
                      <w:szCs w:val="21"/>
                    </w:rPr>
                  </w:pPr>
                  <w:r>
                    <w:rPr>
                      <w:b/>
                      <w:bCs/>
                      <w:color w:val="000000"/>
                      <w:szCs w:val="21"/>
                    </w:rPr>
                    <w:t>最大</w:t>
                  </w:r>
                  <w:r>
                    <w:rPr>
                      <w:rFonts w:hint="eastAsia"/>
                      <w:b/>
                      <w:bCs/>
                      <w:color w:val="000000"/>
                      <w:szCs w:val="21"/>
                    </w:rPr>
                    <w:t>储存</w:t>
                  </w:r>
                  <w:r>
                    <w:rPr>
                      <w:b/>
                      <w:bCs/>
                      <w:color w:val="000000"/>
                      <w:szCs w:val="21"/>
                    </w:rPr>
                    <w:t>量qn（t）</w:t>
                  </w:r>
                </w:p>
              </w:tc>
              <w:tc>
                <w:tcPr>
                  <w:tcW w:w="1164" w:type="pct"/>
                  <w:noWrap w:val="0"/>
                  <w:vAlign w:val="center"/>
                </w:tcPr>
                <w:p>
                  <w:pPr>
                    <w:jc w:val="center"/>
                    <w:rPr>
                      <w:b/>
                      <w:bCs/>
                      <w:color w:val="000000"/>
                      <w:szCs w:val="21"/>
                    </w:rPr>
                  </w:pPr>
                  <w:r>
                    <w:rPr>
                      <w:b/>
                      <w:bCs/>
                      <w:color w:val="000000"/>
                      <w:szCs w:val="21"/>
                    </w:rPr>
                    <w:t>临界量Qn（t）</w:t>
                  </w:r>
                </w:p>
              </w:tc>
              <w:tc>
                <w:tcPr>
                  <w:tcW w:w="695" w:type="pct"/>
                  <w:noWrap w:val="0"/>
                  <w:vAlign w:val="center"/>
                </w:tcPr>
                <w:p>
                  <w:pPr>
                    <w:jc w:val="center"/>
                    <w:rPr>
                      <w:b/>
                      <w:bCs/>
                      <w:color w:val="000000"/>
                      <w:szCs w:val="21"/>
                    </w:rPr>
                  </w:pPr>
                  <w:r>
                    <w:rPr>
                      <w:b/>
                      <w:bCs/>
                      <w:color w:val="000000"/>
                      <w:szCs w:val="21"/>
                    </w:rPr>
                    <w:t>qn/Qn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28" w:type="pct"/>
                  <w:noWrap w:val="0"/>
                  <w:vAlign w:val="center"/>
                </w:tcPr>
                <w:p>
                  <w:pPr>
                    <w:jc w:val="center"/>
                    <w:rPr>
                      <w:color w:val="000000"/>
                      <w:szCs w:val="21"/>
                    </w:rPr>
                  </w:pPr>
                  <w:r>
                    <w:rPr>
                      <w:color w:val="000000"/>
                      <w:szCs w:val="21"/>
                    </w:rPr>
                    <w:t>1</w:t>
                  </w:r>
                </w:p>
              </w:tc>
              <w:tc>
                <w:tcPr>
                  <w:tcW w:w="1630" w:type="pct"/>
                  <w:noWrap w:val="0"/>
                  <w:vAlign w:val="center"/>
                </w:tcPr>
                <w:p>
                  <w:pPr>
                    <w:jc w:val="center"/>
                    <w:rPr>
                      <w:rFonts w:hint="eastAsia"/>
                      <w:color w:val="000000"/>
                      <w:szCs w:val="21"/>
                    </w:rPr>
                  </w:pPr>
                  <w:r>
                    <w:rPr>
                      <w:rFonts w:hint="eastAsia"/>
                      <w:color w:val="000000"/>
                      <w:szCs w:val="21"/>
                    </w:rPr>
                    <w:t>废机油</w:t>
                  </w:r>
                </w:p>
              </w:tc>
              <w:tc>
                <w:tcPr>
                  <w:tcW w:w="1080" w:type="pct"/>
                  <w:noWrap w:val="0"/>
                  <w:vAlign w:val="center"/>
                </w:tcPr>
                <w:p>
                  <w:pPr>
                    <w:jc w:val="center"/>
                    <w:rPr>
                      <w:color w:val="000000"/>
                      <w:szCs w:val="21"/>
                    </w:rPr>
                  </w:pPr>
                  <w:r>
                    <w:rPr>
                      <w:rFonts w:hint="eastAsia"/>
                      <w:bCs/>
                      <w:color w:val="000000"/>
                      <w:szCs w:val="21"/>
                    </w:rPr>
                    <w:t>0.01</w:t>
                  </w:r>
                </w:p>
              </w:tc>
              <w:tc>
                <w:tcPr>
                  <w:tcW w:w="1164" w:type="pct"/>
                  <w:noWrap w:val="0"/>
                  <w:vAlign w:val="center"/>
                </w:tcPr>
                <w:p>
                  <w:pPr>
                    <w:jc w:val="center"/>
                    <w:rPr>
                      <w:color w:val="000000"/>
                      <w:szCs w:val="21"/>
                    </w:rPr>
                  </w:pPr>
                  <w:r>
                    <w:rPr>
                      <w:rFonts w:hint="eastAsia"/>
                      <w:color w:val="000000"/>
                      <w:szCs w:val="21"/>
                    </w:rPr>
                    <w:t>50</w:t>
                  </w:r>
                </w:p>
              </w:tc>
              <w:tc>
                <w:tcPr>
                  <w:tcW w:w="695" w:type="pct"/>
                  <w:noWrap w:val="0"/>
                  <w:vAlign w:val="center"/>
                </w:tcPr>
                <w:p>
                  <w:pPr>
                    <w:widowControl/>
                    <w:jc w:val="center"/>
                    <w:textAlignment w:val="center"/>
                    <w:rPr>
                      <w:color w:val="000000"/>
                      <w:kern w:val="0"/>
                      <w:szCs w:val="21"/>
                      <w:lang w:bidi="ar"/>
                    </w:rPr>
                  </w:pPr>
                  <w:r>
                    <w:rPr>
                      <w:rFonts w:hint="eastAsia"/>
                      <w:color w:val="000000"/>
                      <w:kern w:val="0"/>
                      <w:szCs w:val="21"/>
                      <w:lang w:bidi="ar"/>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04" w:type="pct"/>
                  <w:gridSpan w:val="4"/>
                  <w:noWrap w:val="0"/>
                  <w:vAlign w:val="center"/>
                </w:tcPr>
                <w:p>
                  <w:pPr>
                    <w:jc w:val="center"/>
                    <w:rPr>
                      <w:color w:val="000000"/>
                      <w:szCs w:val="21"/>
                    </w:rPr>
                  </w:pPr>
                  <w:r>
                    <w:rPr>
                      <w:color w:val="000000"/>
                      <w:szCs w:val="21"/>
                    </w:rPr>
                    <w:t>小计</w:t>
                  </w:r>
                </w:p>
              </w:tc>
              <w:tc>
                <w:tcPr>
                  <w:tcW w:w="695" w:type="pct"/>
                  <w:noWrap w:val="0"/>
                  <w:vAlign w:val="center"/>
                </w:tcPr>
                <w:p>
                  <w:pPr>
                    <w:widowControl/>
                    <w:jc w:val="center"/>
                    <w:textAlignment w:val="center"/>
                    <w:rPr>
                      <w:color w:val="000000"/>
                      <w:szCs w:val="21"/>
                    </w:rPr>
                  </w:pPr>
                  <w:r>
                    <w:rPr>
                      <w:rFonts w:hint="eastAsia"/>
                      <w:color w:val="000000"/>
                      <w:szCs w:val="21"/>
                    </w:rPr>
                    <w:t>0.0002</w:t>
                  </w:r>
                </w:p>
              </w:tc>
            </w:tr>
          </w:tbl>
          <w:p>
            <w:pPr>
              <w:spacing w:line="360" w:lineRule="auto"/>
              <w:ind w:firstLine="480" w:firstLineChars="200"/>
              <w:rPr>
                <w:rFonts w:hint="eastAsia"/>
                <w:color w:val="000000"/>
                <w:sz w:val="24"/>
                <w:szCs w:val="22"/>
              </w:rPr>
            </w:pPr>
            <w:r>
              <w:rPr>
                <w:rFonts w:hint="eastAsia"/>
                <w:color w:val="000000"/>
                <w:sz w:val="24"/>
                <w:szCs w:val="22"/>
              </w:rPr>
              <w:t>由上表可知，项目危险物质数量与临界量比值（Q）为0.0002（</w:t>
            </w:r>
            <w:r>
              <w:rPr>
                <w:color w:val="000000"/>
                <w:kern w:val="0"/>
                <w:sz w:val="24"/>
                <w:szCs w:val="20"/>
              </w:rPr>
              <w:t>Q＜1</w:t>
            </w:r>
            <w:r>
              <w:rPr>
                <w:rFonts w:hint="eastAsia"/>
                <w:color w:val="000000"/>
                <w:sz w:val="24"/>
                <w:szCs w:val="22"/>
              </w:rPr>
              <w:t>）</w:t>
            </w:r>
          </w:p>
          <w:p>
            <w:pPr>
              <w:spacing w:line="360" w:lineRule="auto"/>
              <w:ind w:firstLine="482" w:firstLineChars="200"/>
              <w:rPr>
                <w:rFonts w:hint="eastAsia"/>
                <w:b/>
                <w:color w:val="000000"/>
                <w:sz w:val="24"/>
                <w:szCs w:val="22"/>
              </w:rPr>
            </w:pPr>
            <w:r>
              <w:rPr>
                <w:rFonts w:hint="eastAsia"/>
                <w:b/>
                <w:color w:val="000000"/>
                <w:sz w:val="24"/>
                <w:szCs w:val="22"/>
              </w:rPr>
              <w:t>（2）风险潜势初判</w:t>
            </w:r>
          </w:p>
          <w:p>
            <w:pPr>
              <w:spacing w:line="360" w:lineRule="auto"/>
              <w:ind w:firstLine="480" w:firstLineChars="200"/>
              <w:rPr>
                <w:color w:val="000000"/>
                <w:sz w:val="24"/>
                <w:szCs w:val="22"/>
              </w:rPr>
            </w:pPr>
            <w:r>
              <w:rPr>
                <w:rFonts w:hint="eastAsia"/>
                <w:color w:val="000000"/>
                <w:sz w:val="24"/>
                <w:szCs w:val="22"/>
              </w:rPr>
              <w:t>根据《建设项目环境风险评价技术导则》（HJ169-2018）附录C.1.1中规定，当项目危险物质数量与临界量比值Q＜1时，则项目环境风险潜势为I，可开展简单分析。</w:t>
            </w:r>
          </w:p>
          <w:p>
            <w:pPr>
              <w:keepNext/>
              <w:keepLines/>
              <w:wordWrap w:val="0"/>
              <w:spacing w:before="200" w:after="200"/>
              <w:outlineLvl w:val="3"/>
              <w:rPr>
                <w:rFonts w:hint="eastAsia"/>
                <w:b/>
                <w:sz w:val="24"/>
              </w:rPr>
            </w:pPr>
            <w:r>
              <w:rPr>
                <w:rFonts w:hint="eastAsia"/>
                <w:b/>
                <w:sz w:val="24"/>
              </w:rPr>
              <w:t>4.2.7.4环境风险防范措施</w:t>
            </w:r>
          </w:p>
          <w:p>
            <w:pPr>
              <w:wordWrap w:val="0"/>
              <w:spacing w:line="360" w:lineRule="auto"/>
              <w:ind w:firstLine="480" w:firstLineChars="200"/>
              <w:rPr>
                <w:rFonts w:hint="eastAsia"/>
                <w:sz w:val="24"/>
              </w:rPr>
            </w:pPr>
            <w:r>
              <w:rPr>
                <w:rFonts w:hint="eastAsia"/>
                <w:sz w:val="24"/>
              </w:rPr>
              <w:t>1、环境风险防范措施</w:t>
            </w:r>
          </w:p>
          <w:p>
            <w:pPr>
              <w:spacing w:line="360" w:lineRule="auto"/>
              <w:ind w:firstLine="480" w:firstLineChars="200"/>
              <w:rPr>
                <w:rFonts w:hint="eastAsia"/>
                <w:sz w:val="24"/>
              </w:rPr>
            </w:pPr>
            <w:r>
              <w:rPr>
                <w:rFonts w:hint="eastAsia"/>
                <w:sz w:val="24"/>
              </w:rPr>
              <w:t>项目建设要求设计、建造和运行有科学的规划、合理的布置，严格执行防火安全设施规范，保证建造质量，加强环保设施维护，严格安全生产制度，严格管理，提高操作人员素质和水平，以减少事故的发生。在项目营运阶段，风险事故防范和应急对策除上述内容外，还有：</w:t>
            </w:r>
          </w:p>
          <w:p>
            <w:pPr>
              <w:spacing w:line="360" w:lineRule="auto"/>
              <w:ind w:firstLine="480" w:firstLineChars="200"/>
              <w:rPr>
                <w:rFonts w:hint="eastAsia"/>
                <w:sz w:val="24"/>
              </w:rPr>
            </w:pPr>
            <w:r>
              <w:rPr>
                <w:rFonts w:hint="eastAsia"/>
                <w:sz w:val="24"/>
              </w:rPr>
              <w:t>（1）泄漏事故防范措施</w:t>
            </w:r>
          </w:p>
          <w:p>
            <w:pPr>
              <w:autoSpaceDE w:val="0"/>
              <w:autoSpaceDN w:val="0"/>
              <w:adjustRightInd w:val="0"/>
              <w:spacing w:line="360" w:lineRule="auto"/>
              <w:ind w:firstLine="480" w:firstLineChars="200"/>
              <w:rPr>
                <w:rFonts w:ascii="宋体" w:hAnsi="Courier New"/>
                <w:sz w:val="24"/>
              </w:rPr>
            </w:pPr>
            <w:r>
              <w:rPr>
                <w:rFonts w:ascii="宋体" w:hAnsi="Courier New"/>
                <w:sz w:val="24"/>
              </w:rPr>
              <w:t>①加强对工人的安全生产和环境保护教育，对国家规定的特种作业人员，必须进行安全技术培训，经考核合格后，持证上岗。严格按规范操作，任何人不得擅自改变工艺条件。</w:t>
            </w:r>
          </w:p>
          <w:p>
            <w:pPr>
              <w:autoSpaceDE w:val="0"/>
              <w:autoSpaceDN w:val="0"/>
              <w:adjustRightInd w:val="0"/>
              <w:spacing w:line="360" w:lineRule="auto"/>
              <w:ind w:firstLine="480" w:firstLineChars="200"/>
              <w:rPr>
                <w:rFonts w:ascii="宋体" w:hAnsi="Courier New"/>
                <w:sz w:val="24"/>
              </w:rPr>
            </w:pPr>
            <w:r>
              <w:rPr>
                <w:rFonts w:ascii="宋体" w:hAnsi="Courier New"/>
                <w:sz w:val="24"/>
              </w:rPr>
              <w:t>②防止跑冒滴漏，减少有毒有害物料的逸出。生产设备和储存容器尽可能密闭操作。在</w:t>
            </w:r>
            <w:r>
              <w:rPr>
                <w:rFonts w:hint="eastAsia" w:ascii="宋体" w:hAnsi="Courier New"/>
                <w:sz w:val="24"/>
              </w:rPr>
              <w:t>危废暂存间</w:t>
            </w:r>
            <w:r>
              <w:rPr>
                <w:rFonts w:ascii="宋体" w:hAnsi="Courier New"/>
                <w:sz w:val="24"/>
              </w:rPr>
              <w:t>四周建设围堰，并对地面采取防渗措施，避免泄漏的</w:t>
            </w:r>
            <w:r>
              <w:rPr>
                <w:rFonts w:hint="eastAsia" w:ascii="宋体" w:hAnsi="Courier New"/>
                <w:sz w:val="24"/>
              </w:rPr>
              <w:t>废机油</w:t>
            </w:r>
            <w:r>
              <w:rPr>
                <w:rFonts w:ascii="宋体" w:hAnsi="Courier New"/>
                <w:sz w:val="24"/>
              </w:rPr>
              <w:t>外溢污染土壤、当地水体。</w:t>
            </w:r>
          </w:p>
          <w:p>
            <w:pPr>
              <w:spacing w:line="360" w:lineRule="auto"/>
              <w:ind w:firstLine="480" w:firstLineChars="200"/>
              <w:rPr>
                <w:rFonts w:hint="eastAsia"/>
                <w:sz w:val="24"/>
              </w:rPr>
            </w:pPr>
            <w:r>
              <w:rPr>
                <w:rFonts w:hint="eastAsia"/>
                <w:sz w:val="24"/>
              </w:rPr>
              <w:t>③</w:t>
            </w:r>
            <w:r>
              <w:rPr>
                <w:sz w:val="24"/>
              </w:rPr>
              <w:t>要配备齐全的消防及防毒器材，包括消防灭火器、砂袋等应急物质。建立一支训练有素的“兼职”的消防队伍，使职工对危险化学品的性质和泄漏应急措施有基本了解。</w:t>
            </w:r>
          </w:p>
          <w:p>
            <w:pPr>
              <w:spacing w:line="360" w:lineRule="auto"/>
              <w:ind w:firstLine="480" w:firstLineChars="200"/>
              <w:rPr>
                <w:rFonts w:hint="eastAsia"/>
                <w:sz w:val="24"/>
              </w:rPr>
            </w:pPr>
            <w:r>
              <w:rPr>
                <w:rFonts w:hint="eastAsia"/>
                <w:sz w:val="24"/>
              </w:rPr>
              <w:t>（2）火灾事故防治措施</w:t>
            </w:r>
          </w:p>
          <w:p>
            <w:pPr>
              <w:spacing w:line="360" w:lineRule="auto"/>
              <w:ind w:firstLine="480" w:firstLineChars="200"/>
              <w:rPr>
                <w:rFonts w:hint="eastAsia"/>
                <w:sz w:val="24"/>
              </w:rPr>
            </w:pPr>
            <w:r>
              <w:rPr>
                <w:rFonts w:hint="eastAsia"/>
                <w:sz w:val="24"/>
              </w:rPr>
              <w:t>①建立健全并严格执行防火防爆的规章制度，严格遵守各项操作规章。</w:t>
            </w:r>
          </w:p>
          <w:p>
            <w:pPr>
              <w:spacing w:line="360" w:lineRule="auto"/>
              <w:ind w:firstLine="480" w:firstLineChars="200"/>
              <w:rPr>
                <w:rFonts w:hint="eastAsia"/>
                <w:sz w:val="24"/>
              </w:rPr>
            </w:pPr>
            <w:r>
              <w:rPr>
                <w:rFonts w:hint="eastAsia"/>
                <w:sz w:val="24"/>
              </w:rPr>
              <w:t>②根据建筑设计防火规范、建筑灭火器配置设计规范等规范要求，企业应定期对消防器材进行检测与更换，确保其完好状态。</w:t>
            </w:r>
          </w:p>
          <w:p>
            <w:pPr>
              <w:spacing w:line="360" w:lineRule="auto"/>
              <w:ind w:firstLine="480" w:firstLineChars="200"/>
              <w:rPr>
                <w:rFonts w:hint="eastAsia"/>
                <w:sz w:val="24"/>
              </w:rPr>
            </w:pPr>
            <w:r>
              <w:rPr>
                <w:rFonts w:hint="eastAsia"/>
                <w:sz w:val="24"/>
              </w:rPr>
              <w:t>③厂区功能分区明确，人流、货流分开，需设置必要的消防通道和应急通道，车间四周设置环形消防通道，道路路边与厂房的间距应符合规范要求。</w:t>
            </w:r>
          </w:p>
          <w:p>
            <w:pPr>
              <w:spacing w:line="360" w:lineRule="auto"/>
              <w:ind w:firstLine="480" w:firstLineChars="200"/>
              <w:rPr>
                <w:rFonts w:hint="eastAsia"/>
                <w:sz w:val="24"/>
              </w:rPr>
            </w:pPr>
            <w:r>
              <w:rPr>
                <w:rFonts w:hint="eastAsia"/>
                <w:sz w:val="24"/>
              </w:rPr>
              <w:t>（3）废气处理设施故障</w:t>
            </w:r>
          </w:p>
          <w:p>
            <w:pPr>
              <w:spacing w:line="360" w:lineRule="auto"/>
              <w:ind w:firstLine="480" w:firstLineChars="200"/>
              <w:rPr>
                <w:rFonts w:hint="eastAsia"/>
                <w:sz w:val="24"/>
              </w:rPr>
            </w:pPr>
            <w:r>
              <w:rPr>
                <w:rFonts w:hint="eastAsia"/>
                <w:sz w:val="24"/>
              </w:rPr>
              <w:t>①加强废气处理设施的维护，保证其正常高效运行，出现废气设施故障时立即停止生产。</w:t>
            </w:r>
          </w:p>
          <w:p>
            <w:pPr>
              <w:spacing w:line="360" w:lineRule="auto"/>
              <w:ind w:firstLine="480" w:firstLineChars="200"/>
              <w:rPr>
                <w:rFonts w:hint="eastAsia"/>
                <w:sz w:val="24"/>
              </w:rPr>
            </w:pPr>
            <w:r>
              <w:rPr>
                <w:rFonts w:hint="eastAsia"/>
                <w:sz w:val="24"/>
              </w:rPr>
              <w:t>②企业领导要把安全生产、防范事故工作放在第一位，严格安全生产管理，经常检查安全生产措施，发现问题及时解决，消除事故隐患。强化生产操作人员的安全培训教育，增强全体职工的责任感，使生产操作人员熟记各种工艺控制参数及发生事故时应急处理措施。</w:t>
            </w:r>
          </w:p>
          <w:p>
            <w:pPr>
              <w:spacing w:line="360" w:lineRule="auto"/>
              <w:ind w:firstLine="480" w:firstLineChars="200"/>
              <w:rPr>
                <w:rFonts w:hint="eastAsia"/>
                <w:sz w:val="24"/>
                <w:u w:val="single"/>
              </w:rPr>
            </w:pPr>
            <w:r>
              <w:rPr>
                <w:rFonts w:hint="eastAsia"/>
                <w:sz w:val="24"/>
                <w:u w:val="single"/>
              </w:rPr>
              <w:t>（4）废水事故外排防范措施</w:t>
            </w:r>
          </w:p>
          <w:p>
            <w:pPr>
              <w:spacing w:line="360" w:lineRule="auto"/>
              <w:ind w:firstLine="480" w:firstLineChars="200"/>
              <w:rPr>
                <w:rFonts w:hint="eastAsia"/>
                <w:sz w:val="24"/>
                <w:u w:val="single"/>
              </w:rPr>
            </w:pPr>
            <w:r>
              <w:rPr>
                <w:rFonts w:hint="eastAsia"/>
                <w:sz w:val="24"/>
                <w:u w:val="single"/>
              </w:rPr>
              <w:t>①加强沉淀池施工建设，确保各池体质量达标，防止因池体质量不达标导致的池体破损，废水外溢。</w:t>
            </w:r>
          </w:p>
          <w:p>
            <w:pPr>
              <w:spacing w:line="360" w:lineRule="auto"/>
              <w:ind w:firstLine="480" w:firstLineChars="200"/>
              <w:rPr>
                <w:rFonts w:hint="eastAsia"/>
                <w:sz w:val="24"/>
                <w:u w:val="single"/>
              </w:rPr>
            </w:pPr>
            <w:r>
              <w:rPr>
                <w:rFonts w:hint="eastAsia"/>
                <w:sz w:val="24"/>
                <w:u w:val="single"/>
              </w:rPr>
              <w:t>②加强人员管理，定期对生产废水处理系统的检修与维护，保障其正常运行，发现问题及时解决，预防风险事故的发生。</w:t>
            </w:r>
          </w:p>
          <w:p>
            <w:pPr>
              <w:spacing w:line="360" w:lineRule="auto"/>
              <w:ind w:firstLine="480" w:firstLineChars="200"/>
              <w:rPr>
                <w:rFonts w:hint="eastAsia"/>
                <w:sz w:val="24"/>
                <w:u w:val="single"/>
              </w:rPr>
            </w:pPr>
            <w:r>
              <w:rPr>
                <w:rFonts w:hint="eastAsia"/>
                <w:sz w:val="24"/>
                <w:u w:val="single"/>
              </w:rPr>
              <w:t>③雨季期间，加强对自然天气状况的监控，发生暴雨等自然环境影响时，及时做好场区排水工程，防止初期雨水外溢情况发生。</w:t>
            </w:r>
          </w:p>
          <w:p>
            <w:pPr>
              <w:spacing w:line="360" w:lineRule="auto"/>
              <w:ind w:firstLine="480" w:firstLineChars="200"/>
              <w:rPr>
                <w:sz w:val="24"/>
                <w:u w:val="single"/>
              </w:rPr>
            </w:pPr>
            <w:r>
              <w:rPr>
                <w:rFonts w:hint="eastAsia"/>
                <w:sz w:val="24"/>
                <w:u w:val="single"/>
              </w:rPr>
              <w:t>④做好风险应急防范措施，针对场区内生产废水事故排放风险情景，制定相应的应急救援方案，第一时间停产并采取相应应急防范措施，减少环境风险事故对周围水环境的影响。</w:t>
            </w:r>
          </w:p>
          <w:p>
            <w:pPr>
              <w:spacing w:line="360" w:lineRule="auto"/>
              <w:ind w:firstLine="480" w:firstLineChars="200"/>
              <w:rPr>
                <w:rFonts w:hint="eastAsia"/>
                <w:sz w:val="24"/>
                <w:u w:val="single"/>
              </w:rPr>
            </w:pPr>
            <w:r>
              <w:rPr>
                <w:rFonts w:hint="eastAsia"/>
                <w:sz w:val="24"/>
                <w:u w:val="single"/>
              </w:rPr>
              <w:t>⑤根据厂区实际情况，初期雨水池较大，定期对初期雨水池进行清理管理，初期雨水池能够兼做事故应急池。</w:t>
            </w:r>
          </w:p>
          <w:p>
            <w:pPr>
              <w:spacing w:line="360" w:lineRule="auto"/>
              <w:ind w:firstLine="480" w:firstLineChars="200"/>
              <w:rPr>
                <w:sz w:val="24"/>
              </w:rPr>
            </w:pPr>
            <w:r>
              <w:rPr>
                <w:rFonts w:hint="eastAsia"/>
                <w:sz w:val="24"/>
              </w:rPr>
              <w:t>（5）职业卫生措施</w:t>
            </w:r>
          </w:p>
          <w:p>
            <w:pPr>
              <w:spacing w:line="360" w:lineRule="auto"/>
              <w:ind w:firstLine="480" w:firstLineChars="200"/>
              <w:rPr>
                <w:rFonts w:hint="eastAsia"/>
                <w:sz w:val="24"/>
              </w:rPr>
            </w:pPr>
            <w:r>
              <w:rPr>
                <w:rFonts w:hint="eastAsia"/>
                <w:sz w:val="24"/>
              </w:rPr>
              <w:t>①防噪声，选用低噪声设备，采取一些措施从声源传播上控制噪声，办公室、控制室将尽量远离高噪声车间。</w:t>
            </w:r>
          </w:p>
          <w:p>
            <w:pPr>
              <w:spacing w:line="360" w:lineRule="auto"/>
              <w:ind w:firstLine="480" w:firstLineChars="200"/>
              <w:rPr>
                <w:rFonts w:hint="eastAsia"/>
                <w:sz w:val="24"/>
              </w:rPr>
            </w:pPr>
            <w:r>
              <w:rPr>
                <w:rFonts w:hint="eastAsia"/>
                <w:sz w:val="24"/>
              </w:rPr>
              <w:t>②防粉尘，增加原料湿度，加大洒水降尘力度，操作人员在生产过程中需佩戴口罩等防护设备。</w:t>
            </w:r>
          </w:p>
          <w:p>
            <w:pPr>
              <w:spacing w:line="360" w:lineRule="auto"/>
              <w:ind w:firstLine="480" w:firstLineChars="200"/>
              <w:rPr>
                <w:rFonts w:hint="eastAsia"/>
                <w:sz w:val="24"/>
              </w:rPr>
            </w:pPr>
            <w:r>
              <w:rPr>
                <w:rFonts w:hint="eastAsia"/>
                <w:sz w:val="24"/>
              </w:rPr>
              <w:t>③对岗位工作人员加强安全知识教育，工人上岗前进行专业的岗前培训，牢固树立安全生产，安全第一的思想。</w:t>
            </w:r>
          </w:p>
          <w:p>
            <w:pPr>
              <w:wordWrap w:val="0"/>
              <w:autoSpaceDE w:val="0"/>
              <w:autoSpaceDN w:val="0"/>
              <w:spacing w:line="360" w:lineRule="auto"/>
              <w:ind w:firstLine="482" w:firstLineChars="200"/>
              <w:jc w:val="left"/>
              <w:rPr>
                <w:b/>
                <w:kern w:val="0"/>
                <w:sz w:val="24"/>
                <w:szCs w:val="22"/>
              </w:rPr>
            </w:pPr>
            <w:r>
              <w:rPr>
                <w:b/>
                <w:kern w:val="0"/>
                <w:sz w:val="24"/>
                <w:szCs w:val="22"/>
              </w:rPr>
              <w:t>2、应急预案</w:t>
            </w:r>
          </w:p>
          <w:p>
            <w:pPr>
              <w:spacing w:line="360" w:lineRule="auto"/>
              <w:ind w:firstLine="480" w:firstLineChars="200"/>
              <w:rPr>
                <w:color w:val="000000"/>
                <w:sz w:val="24"/>
              </w:rPr>
            </w:pPr>
            <w:r>
              <w:rPr>
                <w:sz w:val="24"/>
              </w:rPr>
              <w:t>根据《关于进一步加强环境影响评价管理防范环境风险的通知》</w:t>
            </w:r>
            <w:r>
              <w:rPr>
                <w:color w:val="000000"/>
                <w:sz w:val="24"/>
              </w:rPr>
              <w:t>（环发[2012]77号）和《关于印发&lt;湖南省突发环境事件应急预案管理办法&gt;的通知》（湘环发[2013]20号）等文件要求，</w:t>
            </w:r>
            <w:r>
              <w:rPr>
                <w:rFonts w:hint="eastAsia"/>
                <w:color w:val="000000"/>
                <w:sz w:val="24"/>
              </w:rPr>
              <w:t>花垣县太平砂石场</w:t>
            </w:r>
            <w:r>
              <w:rPr>
                <w:color w:val="000000"/>
                <w:sz w:val="24"/>
              </w:rPr>
              <w:t>应编制突发环境事件应急预案，以对可能发生的环境风险事故进行紧急处理</w:t>
            </w:r>
            <w:r>
              <w:rPr>
                <w:rFonts w:hint="eastAsia"/>
                <w:color w:val="000000"/>
                <w:sz w:val="24"/>
              </w:rPr>
              <w:t>。公司应急预案应与区域突发环境事件应急预案相联动</w:t>
            </w:r>
            <w:r>
              <w:rPr>
                <w:color w:val="000000"/>
                <w:sz w:val="24"/>
              </w:rPr>
              <w:t>。</w:t>
            </w:r>
          </w:p>
          <w:p>
            <w:pPr>
              <w:spacing w:line="360" w:lineRule="auto"/>
              <w:ind w:firstLine="480" w:firstLineChars="200"/>
              <w:rPr>
                <w:color w:val="000000"/>
                <w:sz w:val="24"/>
              </w:rPr>
            </w:pPr>
            <w:r>
              <w:rPr>
                <w:color w:val="000000"/>
                <w:sz w:val="24"/>
              </w:rPr>
              <w:t>应急预案应包含的内容见下表。</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bookmarkStart w:id="130" w:name="_Ref239129876"/>
            <w:r>
              <w:rPr>
                <w:rFonts w:cs="宋体"/>
                <w:b/>
                <w:szCs w:val="21"/>
              </w:rPr>
              <w:t>表</w:t>
            </w:r>
            <w:r>
              <w:rPr>
                <w:rFonts w:hint="eastAsia" w:cs="宋体"/>
                <w:b/>
                <w:szCs w:val="21"/>
              </w:rPr>
              <w:t>4.2-25：</w:t>
            </w:r>
            <w:r>
              <w:rPr>
                <w:rFonts w:cs="宋体"/>
                <w:b/>
                <w:szCs w:val="21"/>
              </w:rPr>
              <w:t>突发环境事件应急预案内容</w:t>
            </w:r>
            <w:bookmarkEnd w:id="130"/>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2"/>
              <w:gridCol w:w="2251"/>
              <w:gridCol w:w="55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b/>
                      <w:color w:val="000000"/>
                      <w:szCs w:val="21"/>
                    </w:rPr>
                  </w:pPr>
                  <w:r>
                    <w:rPr>
                      <w:b/>
                      <w:color w:val="000000"/>
                      <w:szCs w:val="21"/>
                    </w:rPr>
                    <w:t>序号</w:t>
                  </w:r>
                </w:p>
              </w:tc>
              <w:tc>
                <w:tcPr>
                  <w:tcW w:w="2251" w:type="dxa"/>
                  <w:noWrap w:val="0"/>
                  <w:vAlign w:val="center"/>
                </w:tcPr>
                <w:p>
                  <w:pPr>
                    <w:tabs>
                      <w:tab w:val="left" w:pos="1021"/>
                    </w:tabs>
                    <w:jc w:val="center"/>
                    <w:rPr>
                      <w:b/>
                      <w:color w:val="000000"/>
                      <w:szCs w:val="21"/>
                    </w:rPr>
                  </w:pPr>
                  <w:r>
                    <w:rPr>
                      <w:b/>
                      <w:color w:val="000000"/>
                      <w:szCs w:val="21"/>
                    </w:rPr>
                    <w:t>项目</w:t>
                  </w:r>
                </w:p>
              </w:tc>
              <w:tc>
                <w:tcPr>
                  <w:tcW w:w="5516" w:type="dxa"/>
                  <w:noWrap w:val="0"/>
                  <w:vAlign w:val="center"/>
                </w:tcPr>
                <w:p>
                  <w:pPr>
                    <w:tabs>
                      <w:tab w:val="left" w:pos="1021"/>
                    </w:tabs>
                    <w:jc w:val="center"/>
                    <w:rPr>
                      <w:b/>
                      <w:color w:val="000000"/>
                      <w:szCs w:val="21"/>
                    </w:rPr>
                  </w:pPr>
                  <w:r>
                    <w:rPr>
                      <w:b/>
                      <w:color w:val="000000"/>
                      <w:szCs w:val="21"/>
                    </w:rPr>
                    <w:t>内容及要求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1</w:t>
                  </w:r>
                </w:p>
              </w:tc>
              <w:tc>
                <w:tcPr>
                  <w:tcW w:w="2251" w:type="dxa"/>
                  <w:noWrap w:val="0"/>
                  <w:vAlign w:val="center"/>
                </w:tcPr>
                <w:p>
                  <w:pPr>
                    <w:tabs>
                      <w:tab w:val="left" w:pos="1021"/>
                    </w:tabs>
                    <w:jc w:val="center"/>
                    <w:rPr>
                      <w:color w:val="000000"/>
                      <w:szCs w:val="21"/>
                    </w:rPr>
                  </w:pPr>
                  <w:r>
                    <w:rPr>
                      <w:color w:val="000000"/>
                      <w:szCs w:val="21"/>
                    </w:rPr>
                    <w:t>应急计划区</w:t>
                  </w:r>
                </w:p>
              </w:tc>
              <w:tc>
                <w:tcPr>
                  <w:tcW w:w="5516" w:type="dxa"/>
                  <w:noWrap w:val="0"/>
                  <w:vAlign w:val="center"/>
                </w:tcPr>
                <w:p>
                  <w:pPr>
                    <w:tabs>
                      <w:tab w:val="left" w:pos="1021"/>
                    </w:tabs>
                    <w:jc w:val="center"/>
                    <w:rPr>
                      <w:color w:val="000000"/>
                      <w:szCs w:val="21"/>
                    </w:rPr>
                  </w:pPr>
                  <w:r>
                    <w:rPr>
                      <w:color w:val="000000"/>
                      <w:szCs w:val="21"/>
                    </w:rPr>
                    <w:t>危险目标：</w:t>
                  </w:r>
                  <w:r>
                    <w:rPr>
                      <w:rFonts w:hint="eastAsia"/>
                      <w:szCs w:val="21"/>
                    </w:rPr>
                    <w:t>生产车间、危废暂存将、</w:t>
                  </w:r>
                  <w:r>
                    <w:rPr>
                      <w:color w:val="000000"/>
                      <w:szCs w:val="21"/>
                    </w:rPr>
                    <w:t>环境保护目标等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2</w:t>
                  </w:r>
                </w:p>
              </w:tc>
              <w:tc>
                <w:tcPr>
                  <w:tcW w:w="2251" w:type="dxa"/>
                  <w:noWrap w:val="0"/>
                  <w:vAlign w:val="center"/>
                </w:tcPr>
                <w:p>
                  <w:pPr>
                    <w:tabs>
                      <w:tab w:val="left" w:pos="1021"/>
                    </w:tabs>
                    <w:jc w:val="center"/>
                    <w:rPr>
                      <w:color w:val="000000"/>
                      <w:szCs w:val="21"/>
                    </w:rPr>
                  </w:pPr>
                  <w:r>
                    <w:rPr>
                      <w:color w:val="000000"/>
                      <w:szCs w:val="21"/>
                    </w:rPr>
                    <w:t>应急组织机构、人员</w:t>
                  </w:r>
                </w:p>
              </w:tc>
              <w:tc>
                <w:tcPr>
                  <w:tcW w:w="5516" w:type="dxa"/>
                  <w:noWrap w:val="0"/>
                  <w:vAlign w:val="center"/>
                </w:tcPr>
                <w:p>
                  <w:pPr>
                    <w:tabs>
                      <w:tab w:val="left" w:pos="1021"/>
                    </w:tabs>
                    <w:jc w:val="center"/>
                    <w:rPr>
                      <w:color w:val="000000"/>
                      <w:szCs w:val="21"/>
                    </w:rPr>
                  </w:pPr>
                  <w:r>
                    <w:rPr>
                      <w:rFonts w:hint="eastAsia"/>
                      <w:color w:val="000000"/>
                      <w:szCs w:val="21"/>
                    </w:rPr>
                    <w:t>公司</w:t>
                  </w:r>
                  <w:r>
                    <w:rPr>
                      <w:color w:val="000000"/>
                      <w:szCs w:val="21"/>
                    </w:rPr>
                    <w:t>、地区应急组织机构、人员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3</w:t>
                  </w:r>
                </w:p>
              </w:tc>
              <w:tc>
                <w:tcPr>
                  <w:tcW w:w="2251" w:type="dxa"/>
                  <w:noWrap w:val="0"/>
                  <w:vAlign w:val="center"/>
                </w:tcPr>
                <w:p>
                  <w:pPr>
                    <w:tabs>
                      <w:tab w:val="left" w:pos="1021"/>
                    </w:tabs>
                    <w:jc w:val="center"/>
                    <w:rPr>
                      <w:color w:val="000000"/>
                      <w:szCs w:val="21"/>
                    </w:rPr>
                  </w:pPr>
                  <w:r>
                    <w:rPr>
                      <w:color w:val="000000"/>
                      <w:szCs w:val="21"/>
                    </w:rPr>
                    <w:t>预案分级</w:t>
                  </w:r>
                  <w:r>
                    <w:rPr>
                      <w:rFonts w:hint="eastAsia"/>
                      <w:color w:val="000000"/>
                      <w:szCs w:val="21"/>
                    </w:rPr>
                    <w:t>响应</w:t>
                  </w:r>
                  <w:r>
                    <w:rPr>
                      <w:color w:val="000000"/>
                      <w:szCs w:val="21"/>
                    </w:rPr>
                    <w:t>条件</w:t>
                  </w:r>
                </w:p>
              </w:tc>
              <w:tc>
                <w:tcPr>
                  <w:tcW w:w="5516" w:type="dxa"/>
                  <w:noWrap w:val="0"/>
                  <w:vAlign w:val="center"/>
                </w:tcPr>
                <w:p>
                  <w:pPr>
                    <w:tabs>
                      <w:tab w:val="left" w:pos="1021"/>
                    </w:tabs>
                    <w:jc w:val="center"/>
                    <w:rPr>
                      <w:color w:val="000000"/>
                      <w:szCs w:val="21"/>
                    </w:rPr>
                  </w:pPr>
                  <w:r>
                    <w:rPr>
                      <w:color w:val="000000"/>
                      <w:szCs w:val="21"/>
                    </w:rPr>
                    <w:t>规定预案的级别和分级</w:t>
                  </w:r>
                  <w:r>
                    <w:rPr>
                      <w:rFonts w:hint="eastAsia"/>
                      <w:color w:val="000000"/>
                      <w:szCs w:val="21"/>
                    </w:rPr>
                    <w:t>响应</w:t>
                  </w:r>
                  <w:r>
                    <w:rPr>
                      <w:color w:val="000000"/>
                      <w:szCs w:val="21"/>
                    </w:rPr>
                    <w:t>程序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4</w:t>
                  </w:r>
                </w:p>
              </w:tc>
              <w:tc>
                <w:tcPr>
                  <w:tcW w:w="2251" w:type="dxa"/>
                  <w:noWrap w:val="0"/>
                  <w:vAlign w:val="center"/>
                </w:tcPr>
                <w:p>
                  <w:pPr>
                    <w:tabs>
                      <w:tab w:val="left" w:pos="1021"/>
                    </w:tabs>
                    <w:jc w:val="center"/>
                    <w:rPr>
                      <w:color w:val="000000"/>
                      <w:szCs w:val="21"/>
                    </w:rPr>
                  </w:pPr>
                  <w:r>
                    <w:rPr>
                      <w:color w:val="000000"/>
                      <w:szCs w:val="21"/>
                    </w:rPr>
                    <w:t>应急救援保障</w:t>
                  </w:r>
                </w:p>
              </w:tc>
              <w:tc>
                <w:tcPr>
                  <w:tcW w:w="5516" w:type="dxa"/>
                  <w:noWrap w:val="0"/>
                  <w:vAlign w:val="center"/>
                </w:tcPr>
                <w:p>
                  <w:pPr>
                    <w:tabs>
                      <w:tab w:val="left" w:pos="1021"/>
                    </w:tabs>
                    <w:jc w:val="center"/>
                    <w:rPr>
                      <w:color w:val="000000"/>
                      <w:szCs w:val="21"/>
                    </w:rPr>
                  </w:pPr>
                  <w:r>
                    <w:rPr>
                      <w:color w:val="000000"/>
                      <w:szCs w:val="21"/>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5</w:t>
                  </w:r>
                </w:p>
              </w:tc>
              <w:tc>
                <w:tcPr>
                  <w:tcW w:w="2251" w:type="dxa"/>
                  <w:noWrap w:val="0"/>
                  <w:vAlign w:val="center"/>
                </w:tcPr>
                <w:p>
                  <w:pPr>
                    <w:tabs>
                      <w:tab w:val="left" w:pos="1021"/>
                    </w:tabs>
                    <w:jc w:val="center"/>
                    <w:rPr>
                      <w:color w:val="000000"/>
                      <w:szCs w:val="21"/>
                    </w:rPr>
                  </w:pPr>
                  <w:r>
                    <w:rPr>
                      <w:color w:val="000000"/>
                      <w:szCs w:val="21"/>
                    </w:rPr>
                    <w:t>报警、通讯联络方式</w:t>
                  </w:r>
                </w:p>
              </w:tc>
              <w:tc>
                <w:tcPr>
                  <w:tcW w:w="5516" w:type="dxa"/>
                  <w:noWrap w:val="0"/>
                  <w:vAlign w:val="center"/>
                </w:tcPr>
                <w:p>
                  <w:pPr>
                    <w:tabs>
                      <w:tab w:val="left" w:pos="1021"/>
                    </w:tabs>
                    <w:jc w:val="center"/>
                    <w:rPr>
                      <w:color w:val="000000"/>
                      <w:szCs w:val="21"/>
                    </w:rPr>
                  </w:pPr>
                  <w:r>
                    <w:rPr>
                      <w:color w:val="000000"/>
                      <w:szCs w:val="21"/>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6</w:t>
                  </w:r>
                </w:p>
              </w:tc>
              <w:tc>
                <w:tcPr>
                  <w:tcW w:w="2251" w:type="dxa"/>
                  <w:noWrap w:val="0"/>
                  <w:vAlign w:val="center"/>
                </w:tcPr>
                <w:p>
                  <w:pPr>
                    <w:tabs>
                      <w:tab w:val="left" w:pos="1021"/>
                    </w:tabs>
                    <w:jc w:val="center"/>
                    <w:rPr>
                      <w:color w:val="000000"/>
                      <w:szCs w:val="21"/>
                    </w:rPr>
                  </w:pPr>
                  <w:r>
                    <w:rPr>
                      <w:color w:val="000000"/>
                      <w:szCs w:val="21"/>
                    </w:rPr>
                    <w:t>应急环境监测、抢救、救援及控制措施</w:t>
                  </w:r>
                </w:p>
              </w:tc>
              <w:tc>
                <w:tcPr>
                  <w:tcW w:w="5516" w:type="dxa"/>
                  <w:noWrap w:val="0"/>
                  <w:vAlign w:val="center"/>
                </w:tcPr>
                <w:p>
                  <w:pPr>
                    <w:tabs>
                      <w:tab w:val="left" w:pos="1021"/>
                    </w:tabs>
                    <w:jc w:val="center"/>
                    <w:rPr>
                      <w:color w:val="000000"/>
                      <w:szCs w:val="21"/>
                    </w:rPr>
                  </w:pPr>
                  <w:r>
                    <w:rPr>
                      <w:color w:val="000000"/>
                      <w:szCs w:val="21"/>
                    </w:rPr>
                    <w:t>由专业队伍负责对事故现场进行侦察监测，对事故性质、参数后果进行评估，为指挥部门提供决策依据。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7</w:t>
                  </w:r>
                </w:p>
              </w:tc>
              <w:tc>
                <w:tcPr>
                  <w:tcW w:w="2251" w:type="dxa"/>
                  <w:noWrap w:val="0"/>
                  <w:vAlign w:val="center"/>
                </w:tcPr>
                <w:p>
                  <w:pPr>
                    <w:tabs>
                      <w:tab w:val="left" w:pos="1021"/>
                    </w:tabs>
                    <w:jc w:val="center"/>
                    <w:rPr>
                      <w:color w:val="000000"/>
                      <w:szCs w:val="21"/>
                    </w:rPr>
                  </w:pPr>
                  <w:r>
                    <w:rPr>
                      <w:color w:val="000000"/>
                      <w:szCs w:val="21"/>
                    </w:rPr>
                    <w:t>应急监测、防护措施、清除泄漏措施和器材</w:t>
                  </w:r>
                </w:p>
              </w:tc>
              <w:tc>
                <w:tcPr>
                  <w:tcW w:w="5516" w:type="dxa"/>
                  <w:noWrap w:val="0"/>
                  <w:vAlign w:val="center"/>
                </w:tcPr>
                <w:p>
                  <w:pPr>
                    <w:tabs>
                      <w:tab w:val="left" w:pos="1021"/>
                    </w:tabs>
                    <w:jc w:val="center"/>
                    <w:rPr>
                      <w:color w:val="000000"/>
                      <w:szCs w:val="21"/>
                    </w:rPr>
                  </w:pPr>
                  <w:r>
                    <w:rPr>
                      <w:color w:val="000000"/>
                      <w:szCs w:val="21"/>
                    </w:rPr>
                    <w:t>事故现场、邻近区域、控制防火区域、控制清除污染措施及相设施。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8</w:t>
                  </w:r>
                </w:p>
              </w:tc>
              <w:tc>
                <w:tcPr>
                  <w:tcW w:w="2251" w:type="dxa"/>
                  <w:noWrap w:val="0"/>
                  <w:vAlign w:val="center"/>
                </w:tcPr>
                <w:p>
                  <w:pPr>
                    <w:autoSpaceDE w:val="0"/>
                    <w:autoSpaceDN w:val="0"/>
                    <w:jc w:val="center"/>
                    <w:rPr>
                      <w:color w:val="000000"/>
                      <w:kern w:val="0"/>
                      <w:szCs w:val="21"/>
                    </w:rPr>
                  </w:pPr>
                  <w:r>
                    <w:rPr>
                      <w:color w:val="000000"/>
                      <w:kern w:val="0"/>
                      <w:szCs w:val="21"/>
                    </w:rPr>
                    <w:t>人员紧急撤离、疏散，应急剂量控制、撤离组织计划</w:t>
                  </w:r>
                </w:p>
              </w:tc>
              <w:tc>
                <w:tcPr>
                  <w:tcW w:w="5516" w:type="dxa"/>
                  <w:noWrap w:val="0"/>
                  <w:vAlign w:val="center"/>
                </w:tcPr>
                <w:p>
                  <w:pPr>
                    <w:tabs>
                      <w:tab w:val="left" w:pos="1021"/>
                    </w:tabs>
                    <w:jc w:val="center"/>
                    <w:rPr>
                      <w:color w:val="000000"/>
                      <w:szCs w:val="21"/>
                    </w:rPr>
                  </w:pPr>
                  <w:r>
                    <w:rPr>
                      <w:color w:val="000000"/>
                      <w:szCs w:val="21"/>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9</w:t>
                  </w:r>
                </w:p>
              </w:tc>
              <w:tc>
                <w:tcPr>
                  <w:tcW w:w="2251" w:type="dxa"/>
                  <w:noWrap w:val="0"/>
                  <w:vAlign w:val="center"/>
                </w:tcPr>
                <w:p>
                  <w:pPr>
                    <w:tabs>
                      <w:tab w:val="left" w:pos="1021"/>
                    </w:tabs>
                    <w:jc w:val="center"/>
                    <w:rPr>
                      <w:color w:val="000000"/>
                      <w:szCs w:val="21"/>
                    </w:rPr>
                  </w:pPr>
                  <w:r>
                    <w:rPr>
                      <w:color w:val="000000"/>
                      <w:szCs w:val="21"/>
                    </w:rPr>
                    <w:t>事故应急救援关闭程序与恢复措施</w:t>
                  </w:r>
                </w:p>
              </w:tc>
              <w:tc>
                <w:tcPr>
                  <w:tcW w:w="5516" w:type="dxa"/>
                  <w:noWrap w:val="0"/>
                  <w:vAlign w:val="center"/>
                </w:tcPr>
                <w:p>
                  <w:pPr>
                    <w:tabs>
                      <w:tab w:val="left" w:pos="1021"/>
                    </w:tabs>
                    <w:jc w:val="center"/>
                    <w:rPr>
                      <w:color w:val="000000"/>
                      <w:szCs w:val="21"/>
                    </w:rPr>
                  </w:pPr>
                  <w:r>
                    <w:rPr>
                      <w:color w:val="000000"/>
                      <w:szCs w:val="21"/>
                    </w:rPr>
                    <w:t>规定应急状态终止程序</w:t>
                  </w:r>
                </w:p>
                <w:p>
                  <w:pPr>
                    <w:tabs>
                      <w:tab w:val="left" w:pos="1021"/>
                    </w:tabs>
                    <w:jc w:val="center"/>
                    <w:rPr>
                      <w:color w:val="000000"/>
                      <w:szCs w:val="21"/>
                    </w:rPr>
                  </w:pPr>
                  <w:r>
                    <w:rPr>
                      <w:color w:val="000000"/>
                      <w:szCs w:val="21"/>
                    </w:rPr>
                    <w:t>事故现场善后处理，恢复措施</w:t>
                  </w:r>
                </w:p>
                <w:p>
                  <w:pPr>
                    <w:tabs>
                      <w:tab w:val="left" w:pos="1021"/>
                    </w:tabs>
                    <w:jc w:val="center"/>
                    <w:rPr>
                      <w:color w:val="000000"/>
                      <w:szCs w:val="21"/>
                    </w:rPr>
                  </w:pPr>
                  <w:r>
                    <w:rPr>
                      <w:color w:val="000000"/>
                      <w:szCs w:val="21"/>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10</w:t>
                  </w:r>
                </w:p>
              </w:tc>
              <w:tc>
                <w:tcPr>
                  <w:tcW w:w="2251" w:type="dxa"/>
                  <w:noWrap w:val="0"/>
                  <w:vAlign w:val="center"/>
                </w:tcPr>
                <w:p>
                  <w:pPr>
                    <w:tabs>
                      <w:tab w:val="left" w:pos="1021"/>
                    </w:tabs>
                    <w:jc w:val="center"/>
                    <w:rPr>
                      <w:color w:val="000000"/>
                      <w:szCs w:val="21"/>
                    </w:rPr>
                  </w:pPr>
                  <w:r>
                    <w:rPr>
                      <w:color w:val="000000"/>
                      <w:szCs w:val="21"/>
                    </w:rPr>
                    <w:t>应急培训计划</w:t>
                  </w:r>
                </w:p>
              </w:tc>
              <w:tc>
                <w:tcPr>
                  <w:tcW w:w="5516" w:type="dxa"/>
                  <w:noWrap w:val="0"/>
                  <w:vAlign w:val="center"/>
                </w:tcPr>
                <w:p>
                  <w:pPr>
                    <w:tabs>
                      <w:tab w:val="left" w:pos="1021"/>
                    </w:tabs>
                    <w:jc w:val="center"/>
                    <w:rPr>
                      <w:color w:val="000000"/>
                      <w:szCs w:val="21"/>
                    </w:rPr>
                  </w:pPr>
                  <w:r>
                    <w:rPr>
                      <w:color w:val="000000"/>
                      <w:szCs w:val="21"/>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2" w:type="dxa"/>
                  <w:noWrap w:val="0"/>
                  <w:vAlign w:val="center"/>
                </w:tcPr>
                <w:p>
                  <w:pPr>
                    <w:tabs>
                      <w:tab w:val="left" w:pos="1021"/>
                    </w:tabs>
                    <w:jc w:val="center"/>
                    <w:rPr>
                      <w:color w:val="000000"/>
                      <w:szCs w:val="21"/>
                    </w:rPr>
                  </w:pPr>
                  <w:r>
                    <w:rPr>
                      <w:color w:val="000000"/>
                      <w:szCs w:val="21"/>
                    </w:rPr>
                    <w:t>11</w:t>
                  </w:r>
                </w:p>
              </w:tc>
              <w:tc>
                <w:tcPr>
                  <w:tcW w:w="2251" w:type="dxa"/>
                  <w:noWrap w:val="0"/>
                  <w:vAlign w:val="center"/>
                </w:tcPr>
                <w:p>
                  <w:pPr>
                    <w:tabs>
                      <w:tab w:val="left" w:pos="1021"/>
                    </w:tabs>
                    <w:jc w:val="center"/>
                    <w:rPr>
                      <w:color w:val="000000"/>
                      <w:szCs w:val="21"/>
                    </w:rPr>
                  </w:pPr>
                  <w:r>
                    <w:rPr>
                      <w:color w:val="000000"/>
                      <w:szCs w:val="21"/>
                    </w:rPr>
                    <w:t>公众教育和信息</w:t>
                  </w:r>
                </w:p>
              </w:tc>
              <w:tc>
                <w:tcPr>
                  <w:tcW w:w="5516" w:type="dxa"/>
                  <w:noWrap w:val="0"/>
                  <w:vAlign w:val="center"/>
                </w:tcPr>
                <w:p>
                  <w:pPr>
                    <w:tabs>
                      <w:tab w:val="left" w:pos="1021"/>
                    </w:tabs>
                    <w:jc w:val="center"/>
                    <w:rPr>
                      <w:color w:val="000000"/>
                      <w:szCs w:val="21"/>
                    </w:rPr>
                  </w:pPr>
                  <w:r>
                    <w:rPr>
                      <w:color w:val="000000"/>
                      <w:szCs w:val="21"/>
                    </w:rPr>
                    <w:t>对工厂邻近地区开展公众教育，培训和发布有关信息</w:t>
                  </w:r>
                </w:p>
              </w:tc>
            </w:tr>
          </w:tbl>
          <w:p>
            <w:pPr>
              <w:keepNext/>
              <w:keepLines/>
              <w:wordWrap w:val="0"/>
              <w:spacing w:before="200" w:after="200"/>
              <w:outlineLvl w:val="3"/>
              <w:rPr>
                <w:b/>
                <w:sz w:val="24"/>
              </w:rPr>
            </w:pPr>
            <w:r>
              <w:rPr>
                <w:rFonts w:hint="eastAsia"/>
                <w:b/>
                <w:sz w:val="24"/>
              </w:rPr>
              <w:t>4.2.7.5</w:t>
            </w:r>
            <w:r>
              <w:rPr>
                <w:b/>
                <w:sz w:val="24"/>
              </w:rPr>
              <w:t>结论</w:t>
            </w:r>
          </w:p>
          <w:p>
            <w:pPr>
              <w:wordWrap w:val="0"/>
              <w:topLinePunct/>
              <w:autoSpaceDE w:val="0"/>
              <w:autoSpaceDN w:val="0"/>
              <w:spacing w:line="360" w:lineRule="auto"/>
              <w:ind w:firstLine="480" w:firstLineChars="200"/>
              <w:rPr>
                <w:rFonts w:hint="eastAsia"/>
                <w:sz w:val="24"/>
              </w:rPr>
            </w:pPr>
            <w:r>
              <w:rPr>
                <w:rFonts w:hint="eastAsia"/>
                <w:sz w:val="24"/>
              </w:rPr>
              <w:t>拟建项目环境风险因素主要为废气处理系统故障引起污染物直接排放和危废暂存间废机油</w:t>
            </w:r>
            <w:r>
              <w:rPr>
                <w:rFonts w:hint="eastAsia"/>
                <w:sz w:val="24"/>
                <w:lang w:eastAsia="zh-CN"/>
              </w:rPr>
              <w:t>泄漏</w:t>
            </w:r>
            <w:r>
              <w:rPr>
                <w:rFonts w:hint="eastAsia"/>
                <w:sz w:val="24"/>
              </w:rPr>
              <w:t>对周围环境造成的污染等。从风险控制的角度来评价，建设单位在严格各项规章制度管理和工序操作外，制定详细的环境风险事故预防措施和紧急应急事故处置方案，能大大减小事故发生概率和事故发生后能及时采取有利措施，减小对环境污染。</w:t>
            </w:r>
          </w:p>
          <w:p>
            <w:pPr>
              <w:wordWrap w:val="0"/>
              <w:topLinePunct/>
              <w:autoSpaceDE w:val="0"/>
              <w:autoSpaceDN w:val="0"/>
              <w:spacing w:line="360" w:lineRule="auto"/>
              <w:ind w:firstLine="480" w:firstLineChars="200"/>
              <w:rPr>
                <w:sz w:val="24"/>
              </w:rPr>
            </w:pPr>
            <w:r>
              <w:rPr>
                <w:rFonts w:hint="eastAsia"/>
                <w:sz w:val="24"/>
              </w:rPr>
              <w:t>建设项目环境风险简单分析内容见下表。</w:t>
            </w:r>
          </w:p>
          <w:p>
            <w:pPr>
              <w:widowControl/>
              <w:wordWrap w:val="0"/>
              <w:overflowPunct w:val="0"/>
              <w:autoSpaceDE w:val="0"/>
              <w:autoSpaceDN w:val="0"/>
              <w:adjustRightInd w:val="0"/>
              <w:snapToGrid w:val="0"/>
              <w:spacing w:before="144" w:beforeLines="60" w:after="144" w:afterLines="60"/>
              <w:jc w:val="center"/>
              <w:textAlignment w:val="baseline"/>
              <w:rPr>
                <w:rFonts w:hint="eastAsia" w:cs="宋体"/>
                <w:b/>
                <w:szCs w:val="21"/>
                <w:u w:val="single"/>
              </w:rPr>
            </w:pP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u w:val="single"/>
              </w:rPr>
            </w:pPr>
            <w:r>
              <w:rPr>
                <w:rFonts w:hint="eastAsia" w:cs="宋体"/>
                <w:b/>
                <w:szCs w:val="21"/>
                <w:u w:val="single"/>
              </w:rPr>
              <w:t>表4.2-26：建设项目环境风险简单分析内容表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292"/>
              <w:gridCol w:w="2453"/>
              <w:gridCol w:w="837"/>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建设项目名称</w:t>
                  </w:r>
                </w:p>
              </w:tc>
              <w:tc>
                <w:tcPr>
                  <w:tcW w:w="4089" w:type="pct"/>
                  <w:gridSpan w:val="4"/>
                  <w:noWrap w:val="0"/>
                  <w:vAlign w:val="center"/>
                </w:tcPr>
                <w:p>
                  <w:pPr>
                    <w:pStyle w:val="78"/>
                    <w:rPr>
                      <w:u w:val="single"/>
                    </w:rPr>
                  </w:pPr>
                  <w:r>
                    <w:rPr>
                      <w:rFonts w:hint="eastAsia"/>
                      <w:szCs w:val="21"/>
                      <w:u w:val="single"/>
                    </w:rPr>
                    <w:t>紫霞大道工程建设、朝料村土地平整剩余砂石资源利用项目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建设地点</w:t>
                  </w:r>
                </w:p>
              </w:tc>
              <w:tc>
                <w:tcPr>
                  <w:tcW w:w="4089" w:type="pct"/>
                  <w:gridSpan w:val="4"/>
                  <w:noWrap w:val="0"/>
                  <w:vAlign w:val="center"/>
                </w:tcPr>
                <w:p>
                  <w:pPr>
                    <w:pStyle w:val="78"/>
                    <w:rPr>
                      <w:rFonts w:hint="eastAsia"/>
                      <w:u w:val="single"/>
                    </w:rPr>
                  </w:pPr>
                  <w:r>
                    <w:rPr>
                      <w:u w:val="single"/>
                    </w:rPr>
                    <w:t>湖南省湘西土家族苗族自治州</w:t>
                  </w:r>
                  <w:r>
                    <w:rPr>
                      <w:rFonts w:hint="eastAsia"/>
                      <w:u w:val="single"/>
                    </w:rPr>
                    <w:t>花垣县花垣镇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地理坐标</w:t>
                  </w:r>
                </w:p>
              </w:tc>
              <w:tc>
                <w:tcPr>
                  <w:tcW w:w="750" w:type="pct"/>
                  <w:noWrap w:val="0"/>
                  <w:vAlign w:val="center"/>
                </w:tcPr>
                <w:p>
                  <w:pPr>
                    <w:pStyle w:val="78"/>
                    <w:rPr>
                      <w:u w:val="single"/>
                    </w:rPr>
                  </w:pPr>
                  <w:r>
                    <w:rPr>
                      <w:u w:val="single"/>
                    </w:rPr>
                    <w:t>经度</w:t>
                  </w:r>
                </w:p>
              </w:tc>
              <w:tc>
                <w:tcPr>
                  <w:tcW w:w="1424" w:type="pct"/>
                  <w:noWrap w:val="0"/>
                  <w:vAlign w:val="center"/>
                </w:tcPr>
                <w:p>
                  <w:pPr>
                    <w:pStyle w:val="78"/>
                    <w:rPr>
                      <w:u w:val="single"/>
                    </w:rPr>
                  </w:pPr>
                  <w:r>
                    <w:rPr>
                      <w:szCs w:val="21"/>
                      <w:u w:val="single"/>
                    </w:rPr>
                    <w:t>109度</w:t>
                  </w:r>
                  <w:r>
                    <w:rPr>
                      <w:rFonts w:hint="eastAsia"/>
                      <w:szCs w:val="21"/>
                      <w:u w:val="single"/>
                    </w:rPr>
                    <w:t>27</w:t>
                  </w:r>
                  <w:r>
                    <w:rPr>
                      <w:szCs w:val="21"/>
                      <w:u w:val="single"/>
                    </w:rPr>
                    <w:t>分</w:t>
                  </w:r>
                  <w:r>
                    <w:rPr>
                      <w:rFonts w:hint="eastAsia"/>
                      <w:szCs w:val="21"/>
                      <w:u w:val="single"/>
                    </w:rPr>
                    <w:t>47.588</w:t>
                  </w:r>
                  <w:r>
                    <w:rPr>
                      <w:szCs w:val="21"/>
                      <w:u w:val="single"/>
                    </w:rPr>
                    <w:t>秒</w:t>
                  </w:r>
                </w:p>
              </w:tc>
              <w:tc>
                <w:tcPr>
                  <w:tcW w:w="486" w:type="pct"/>
                  <w:noWrap w:val="0"/>
                  <w:vAlign w:val="center"/>
                </w:tcPr>
                <w:p>
                  <w:pPr>
                    <w:pStyle w:val="78"/>
                    <w:rPr>
                      <w:u w:val="single"/>
                    </w:rPr>
                  </w:pPr>
                  <w:r>
                    <w:rPr>
                      <w:u w:val="single"/>
                    </w:rPr>
                    <w:t>纬度</w:t>
                  </w:r>
                </w:p>
              </w:tc>
              <w:tc>
                <w:tcPr>
                  <w:tcW w:w="1427" w:type="pct"/>
                  <w:noWrap w:val="0"/>
                  <w:vAlign w:val="center"/>
                </w:tcPr>
                <w:p>
                  <w:pPr>
                    <w:pStyle w:val="78"/>
                    <w:rPr>
                      <w:u w:val="single"/>
                    </w:rPr>
                  </w:pPr>
                  <w:r>
                    <w:rPr>
                      <w:szCs w:val="21"/>
                      <w:u w:val="single"/>
                    </w:rPr>
                    <w:t>28度</w:t>
                  </w:r>
                  <w:r>
                    <w:rPr>
                      <w:rFonts w:hint="eastAsia"/>
                      <w:szCs w:val="21"/>
                      <w:u w:val="single"/>
                    </w:rPr>
                    <w:t>32</w:t>
                  </w:r>
                  <w:r>
                    <w:rPr>
                      <w:szCs w:val="21"/>
                      <w:u w:val="single"/>
                    </w:rPr>
                    <w:t>分</w:t>
                  </w:r>
                  <w:r>
                    <w:rPr>
                      <w:rFonts w:hint="eastAsia"/>
                      <w:szCs w:val="21"/>
                      <w:u w:val="single"/>
                    </w:rPr>
                    <w:t>16.2492</w:t>
                  </w:r>
                  <w:r>
                    <w:rPr>
                      <w:szCs w:val="21"/>
                      <w:u w:val="singl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主要危险物质及分布</w:t>
                  </w:r>
                </w:p>
              </w:tc>
              <w:tc>
                <w:tcPr>
                  <w:tcW w:w="4089" w:type="pct"/>
                  <w:gridSpan w:val="4"/>
                  <w:noWrap w:val="0"/>
                  <w:vAlign w:val="center"/>
                </w:tcPr>
                <w:p>
                  <w:pPr>
                    <w:pStyle w:val="78"/>
                    <w:jc w:val="both"/>
                    <w:rPr>
                      <w:rFonts w:hint="eastAsia"/>
                      <w:color w:val="FF0000"/>
                      <w:u w:val="single"/>
                    </w:rPr>
                  </w:pPr>
                  <w:r>
                    <w:rPr>
                      <w:rFonts w:hint="eastAsia"/>
                      <w:u w:val="single"/>
                    </w:rPr>
                    <w:t>废机油、危废暂存间；粉尘颗粒物、布袋除尘器。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环境影响途径及危害后果</w:t>
                  </w:r>
                </w:p>
              </w:tc>
              <w:tc>
                <w:tcPr>
                  <w:tcW w:w="4089" w:type="pct"/>
                  <w:gridSpan w:val="4"/>
                  <w:noWrap w:val="0"/>
                  <w:vAlign w:val="center"/>
                </w:tcPr>
                <w:p>
                  <w:pPr>
                    <w:pStyle w:val="78"/>
                    <w:jc w:val="left"/>
                    <w:rPr>
                      <w:rFonts w:hint="eastAsia"/>
                      <w:u w:val="single"/>
                    </w:rPr>
                  </w:pPr>
                  <w:r>
                    <w:rPr>
                      <w:rFonts w:hint="eastAsia"/>
                      <w:u w:val="single"/>
                    </w:rPr>
                    <w:t>（1）布袋除尘器设施发生故障导致废气处理不达标，废气颗粒物外排，将会对周边环境造成影响，以及工作人员吸入对人体健康造成危害；</w:t>
                  </w:r>
                </w:p>
                <w:p>
                  <w:pPr>
                    <w:pStyle w:val="78"/>
                    <w:jc w:val="left"/>
                    <w:rPr>
                      <w:rFonts w:hint="eastAsia"/>
                      <w:u w:val="single"/>
                    </w:rPr>
                  </w:pPr>
                  <w:r>
                    <w:rPr>
                      <w:rFonts w:hint="eastAsia"/>
                      <w:u w:val="single"/>
                    </w:rPr>
                    <w:t>（2）危废暂存间废机油</w:t>
                  </w:r>
                  <w:r>
                    <w:rPr>
                      <w:rFonts w:hint="eastAsia"/>
                      <w:u w:val="single"/>
                      <w:lang w:eastAsia="zh-CN"/>
                    </w:rPr>
                    <w:t>泄漏</w:t>
                  </w:r>
                  <w:r>
                    <w:rPr>
                      <w:rFonts w:hint="eastAsia"/>
                      <w:u w:val="single"/>
                    </w:rPr>
                    <w:t>，对周边地表水、地下水及土壤环境造成污染。</w:t>
                  </w:r>
                </w:p>
                <w:p>
                  <w:pPr>
                    <w:pStyle w:val="78"/>
                    <w:jc w:val="left"/>
                    <w:rPr>
                      <w:rFonts w:hint="eastAsia"/>
                      <w:u w:val="single"/>
                    </w:rPr>
                  </w:pPr>
                  <w:r>
                    <w:rPr>
                      <w:rFonts w:hint="eastAsia"/>
                      <w:u w:val="single"/>
                      <w:lang w:eastAsia="zh-CN"/>
                    </w:rPr>
                    <w:t>（</w:t>
                  </w:r>
                  <w:r>
                    <w:rPr>
                      <w:rFonts w:hint="eastAsia"/>
                      <w:u w:val="single"/>
                      <w:lang w:val="en-US" w:eastAsia="zh-CN"/>
                    </w:rPr>
                    <w:t>3</w:t>
                  </w:r>
                  <w:r>
                    <w:rPr>
                      <w:rFonts w:hint="eastAsia"/>
                      <w:u w:val="single"/>
                      <w:lang w:eastAsia="zh-CN"/>
                    </w:rPr>
                    <w:t>）化粪池、废水沉淀池及雨水收集池事故造成废水外排，对周边地表水、地下水、土壤造成污染。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noWrap w:val="0"/>
                  <w:vAlign w:val="center"/>
                </w:tcPr>
                <w:p>
                  <w:pPr>
                    <w:pStyle w:val="78"/>
                    <w:rPr>
                      <w:u w:val="single"/>
                    </w:rPr>
                  </w:pPr>
                  <w:r>
                    <w:rPr>
                      <w:u w:val="single"/>
                    </w:rPr>
                    <w:t>风险防范措施要求</w:t>
                  </w:r>
                </w:p>
              </w:tc>
              <w:tc>
                <w:tcPr>
                  <w:tcW w:w="4089" w:type="pct"/>
                  <w:gridSpan w:val="4"/>
                  <w:noWrap w:val="0"/>
                  <w:vAlign w:val="center"/>
                </w:tcPr>
                <w:p>
                  <w:pPr>
                    <w:pStyle w:val="78"/>
                    <w:jc w:val="both"/>
                    <w:rPr>
                      <w:rFonts w:hint="eastAsia"/>
                      <w:color w:val="FF0000"/>
                      <w:u w:val="single"/>
                    </w:rPr>
                  </w:pPr>
                  <w:r>
                    <w:rPr>
                      <w:rFonts w:hint="eastAsia"/>
                      <w:u w:val="single"/>
                    </w:rPr>
                    <w:t>见上文环境风险防范措施。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pStyle w:val="78"/>
                    <w:jc w:val="both"/>
                    <w:rPr>
                      <w:u w:val="single"/>
                    </w:rPr>
                  </w:pPr>
                  <w:r>
                    <w:rPr>
                      <w:u w:val="single"/>
                    </w:rPr>
                    <w:t>填表说明（列出项目相关信息及评价说明）：经对照《建设项目环境风险评价技术导则》（HJ169-2018）附录B，本项目涉及的风险物质数量与临界量比值（Q）值小于1，项目环境风险潜势为Ⅰ，开展简单分析</w:t>
                  </w:r>
                </w:p>
              </w:tc>
            </w:tr>
          </w:tbl>
          <w:p>
            <w:pPr>
              <w:keepNext/>
              <w:keepLines/>
              <w:wordWrap w:val="0"/>
              <w:spacing w:before="192" w:beforeLines="80" w:after="192" w:afterLines="80"/>
              <w:outlineLvl w:val="2"/>
              <w:rPr>
                <w:rFonts w:hint="default" w:ascii="Times New Roman" w:hAnsi="Times New Roman" w:eastAsia="宋体" w:cs="Times New Roman"/>
                <w:b/>
                <w:bCs/>
                <w:sz w:val="28"/>
                <w:szCs w:val="32"/>
                <w:lang w:val="en-US" w:eastAsia="zh-CN"/>
              </w:rPr>
            </w:pPr>
            <w:bookmarkStart w:id="131" w:name="_Toc111721082"/>
            <w:bookmarkStart w:id="132" w:name="_Toc111721084"/>
            <w:r>
              <w:rPr>
                <w:rFonts w:hint="eastAsia" w:ascii="Times New Roman" w:hAnsi="Times New Roman" w:eastAsia="宋体" w:cs="Times New Roman"/>
                <w:b/>
                <w:bCs/>
                <w:sz w:val="28"/>
                <w:szCs w:val="32"/>
                <w:lang w:val="en-US" w:eastAsia="zh-CN"/>
              </w:rPr>
              <w:t>4.2.8排放口规范化设置</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排污口是投产后污染物进入环境、对环境产生影响的通道，强化排污口的管理是实施污染物总量控制的基础工作之一，也是区域环境管理逐步实现污染源排放科学化、定量化的重要手段。</w:t>
            </w:r>
          </w:p>
          <w:p>
            <w:pPr>
              <w:keepNext/>
              <w:keepLines/>
              <w:wordWrap w:val="0"/>
              <w:spacing w:before="192" w:beforeLines="80" w:after="192" w:afterLines="80"/>
              <w:outlineLvl w:val="2"/>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4.2.8.1排污口规范化管理的基本原则</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①向环境排放污染物的排污口必须规范化；</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②项目涉及</w:t>
            </w:r>
            <w:r>
              <w:rPr>
                <w:rFonts w:hint="eastAsia" w:ascii="宋体" w:hAnsi="宋体" w:eastAsia="宋体" w:cs="宋体"/>
                <w:color w:val="000000"/>
                <w:sz w:val="24"/>
                <w:szCs w:val="24"/>
                <w:lang w:eastAsia="zh-CN"/>
              </w:rPr>
              <w:t>砂</w:t>
            </w:r>
            <w:r>
              <w:rPr>
                <w:rFonts w:hint="eastAsia" w:ascii="宋体" w:hAnsi="宋体" w:eastAsia="宋体" w:cs="宋体"/>
                <w:color w:val="000000"/>
                <w:sz w:val="24"/>
                <w:szCs w:val="24"/>
              </w:rPr>
              <w:t>石加工粉尘排放口、噪声排放点、危废贮存间。</w:t>
            </w:r>
          </w:p>
          <w:p>
            <w:pPr>
              <w:adjustRightInd w:val="0"/>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③排污口应便于采样与计量检测，便于日常现场监督检查。</w:t>
            </w:r>
          </w:p>
          <w:p>
            <w:pPr>
              <w:adjustRightInd w:val="0"/>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④规范化排污口的有关设置（如图形标志牌、计量装置、监控装置等）属环保设施，排污单位必须负责日常的维护保养，任何单位和个人不得擅自拆除，如需变更的须报环境管理部门同意并办理变更手续。</w:t>
            </w:r>
          </w:p>
          <w:p>
            <w:pPr>
              <w:keepNext/>
              <w:keepLines/>
              <w:wordWrap w:val="0"/>
              <w:spacing w:before="192" w:beforeLines="80" w:after="192" w:afterLines="80"/>
              <w:outlineLvl w:val="2"/>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4.2.8.2排污口的技术要求</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①排污口设置必须合理确定，按照环监</w:t>
            </w:r>
            <w:r>
              <w:rPr>
                <w:rFonts w:hint="default" w:ascii="Times New Roman" w:hAnsi="Times New Roman" w:eastAsia="宋体" w:cs="Times New Roman"/>
                <w:color w:val="000000"/>
                <w:sz w:val="24"/>
                <w:szCs w:val="24"/>
              </w:rPr>
              <w:t>（96）470号文</w:t>
            </w:r>
            <w:r>
              <w:rPr>
                <w:rFonts w:hint="eastAsia" w:ascii="宋体" w:hAnsi="宋体" w:eastAsia="宋体" w:cs="宋体"/>
                <w:color w:val="000000"/>
                <w:sz w:val="24"/>
                <w:szCs w:val="24"/>
              </w:rPr>
              <w:t>件要求，进行规范化管理；</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②对废气污染设施排污口设置符合《污染源监测技术规范》要求的采样口。</w:t>
            </w:r>
          </w:p>
          <w:p>
            <w:pPr>
              <w:keepNext/>
              <w:keepLines/>
              <w:wordWrap w:val="0"/>
              <w:spacing w:before="192" w:beforeLines="80" w:after="192" w:afterLines="80"/>
              <w:outlineLvl w:val="2"/>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4.2.8.3排污口的立标管理</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①一切排污单位的污染物排放口(源)和固体废物贮存、处置场，必须进行规范化整治按照国家标准《环境保护图形标志》(GB15562.1/2.2-1995)的规定，设置与之相适应的环境保护图形标志牌。</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环境保护图形标志牌设置位置应距污染物排放口（源）及固体废物贮存（处置）场或采样点较近且醒目处，并能长久保留，其中：噪声排放源标志牌应设置在距选定监测点较近且醒目处。设置高度一般为：标志牌上缘距离地面2m。</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③一般性污染物排放口（源）或固体废物贮存、处置场，设置提示性环境保护图形标志牌。</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④环境保护图形标志牌的辅助标志上，需要填写的栏目，应由环境保护部门统一组织填写，要求字迹工整，字的颜色与标志牌颜色要总体协调。</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⑤辅助标志内容：A）排放口标志名称；B）单位名称；C）编号；D）污染物种类；E）XX环境保护局监制。</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⑥辅助标志字型：黑体字。</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⑦标志牌尺寸：平面固定式标志牌外形尺寸：A）提示标志480×300mm；B）警告标志边长420mm；立式固定式标志牌外形尺寸：A）提示标志420×420mm；B）警告标志边长560mm；高度：标志牌最上端距地面2.00m，地下0.30m。</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⑧标志牌的外观质量要求标志牌、立柱无明显变形；标志牌表面无气泡，膜或搪瓷无脱落；图案清晰，色泽一致，不得有明显缺损；标志牌的表面不应有开裂、脱落及其它破损。</w:t>
            </w:r>
          </w:p>
          <w:p>
            <w:pPr>
              <w:keepNext/>
              <w:keepLines/>
              <w:wordWrap w:val="0"/>
              <w:spacing w:before="192" w:beforeLines="80" w:after="192" w:afterLines="80"/>
              <w:outlineLvl w:val="2"/>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4.2.8.4排污口的建档管理</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①要求使用国家统一印制的《中华人民共和国规范化排污口标志牌登记证》，并按要求填写有关内容。</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②根据排污口管理档案内容要求，项目建成投产后，应将主要污染物种类、数量、污水排放去向、达标情况及设施运行情况记录于档案。</w:t>
            </w:r>
          </w:p>
          <w:p>
            <w:pPr>
              <w:keepNext/>
              <w:keepLines/>
              <w:wordWrap w:val="0"/>
              <w:spacing w:before="192" w:beforeLines="80" w:after="192" w:afterLines="80"/>
              <w:outlineLvl w:val="2"/>
              <w:rPr>
                <w:rFonts w:hint="eastAsia"/>
                <w:b/>
                <w:bCs/>
                <w:sz w:val="28"/>
                <w:szCs w:val="32"/>
              </w:rPr>
            </w:pPr>
            <w:r>
              <w:rPr>
                <w:rFonts w:hint="eastAsia"/>
                <w:b/>
                <w:bCs/>
                <w:sz w:val="28"/>
                <w:szCs w:val="32"/>
              </w:rPr>
              <w:t>4</w:t>
            </w:r>
            <w:r>
              <w:rPr>
                <w:b/>
                <w:bCs/>
                <w:sz w:val="28"/>
                <w:szCs w:val="32"/>
              </w:rPr>
              <w:t>.</w:t>
            </w:r>
            <w:r>
              <w:rPr>
                <w:rFonts w:hint="eastAsia"/>
                <w:b/>
                <w:bCs/>
                <w:sz w:val="28"/>
                <w:szCs w:val="32"/>
              </w:rPr>
              <w:t>2.</w:t>
            </w:r>
            <w:r>
              <w:rPr>
                <w:rFonts w:hint="eastAsia"/>
                <w:b/>
                <w:bCs/>
                <w:sz w:val="28"/>
                <w:szCs w:val="32"/>
                <w:lang w:val="en-US" w:eastAsia="zh-CN"/>
              </w:rPr>
              <w:t>9</w:t>
            </w:r>
            <w:r>
              <w:rPr>
                <w:rFonts w:hint="eastAsia"/>
                <w:b/>
                <w:bCs/>
                <w:sz w:val="28"/>
                <w:szCs w:val="32"/>
              </w:rPr>
              <w:t>环保投资</w:t>
            </w:r>
          </w:p>
          <w:p>
            <w:pPr>
              <w:spacing w:line="360" w:lineRule="auto"/>
              <w:ind w:firstLine="480" w:firstLineChars="200"/>
              <w:rPr>
                <w:bCs/>
                <w:sz w:val="24"/>
              </w:rPr>
            </w:pPr>
            <w:r>
              <w:rPr>
                <w:bCs/>
                <w:sz w:val="24"/>
              </w:rPr>
              <w:t>项目总投资</w:t>
            </w:r>
            <w:r>
              <w:rPr>
                <w:rFonts w:hint="eastAsia"/>
                <w:sz w:val="24"/>
                <w:lang w:val="en-US" w:eastAsia="zh-CN"/>
              </w:rPr>
              <w:t>230</w:t>
            </w:r>
            <w:r>
              <w:rPr>
                <w:bCs/>
                <w:sz w:val="24"/>
              </w:rPr>
              <w:t>万元，环保投资</w:t>
            </w:r>
            <w:r>
              <w:rPr>
                <w:rFonts w:hint="eastAsia"/>
                <w:sz w:val="24"/>
                <w:lang w:val="en-US" w:eastAsia="zh-CN"/>
              </w:rPr>
              <w:t>42.2</w:t>
            </w:r>
            <w:r>
              <w:rPr>
                <w:rFonts w:hint="eastAsia"/>
                <w:sz w:val="24"/>
              </w:rPr>
              <w:t>0</w:t>
            </w:r>
            <w:r>
              <w:rPr>
                <w:bCs/>
                <w:sz w:val="24"/>
              </w:rPr>
              <w:t>万元，占总投资的</w:t>
            </w:r>
            <w:r>
              <w:rPr>
                <w:rFonts w:hint="eastAsia"/>
                <w:sz w:val="24"/>
                <w:lang w:val="en-US" w:eastAsia="zh-CN"/>
              </w:rPr>
              <w:t>18.35</w:t>
            </w:r>
            <w:r>
              <w:rPr>
                <w:bCs/>
                <w:sz w:val="24"/>
              </w:rPr>
              <w:t>%</w:t>
            </w:r>
            <w:r>
              <w:rPr>
                <w:rFonts w:hint="eastAsia"/>
                <w:bCs/>
                <w:sz w:val="24"/>
              </w:rPr>
              <w:t>。</w:t>
            </w:r>
            <w:r>
              <w:rPr>
                <w:bCs/>
                <w:sz w:val="24"/>
              </w:rPr>
              <w:t>环保投资</w:t>
            </w:r>
            <w:r>
              <w:rPr>
                <w:rFonts w:hint="eastAsia"/>
                <w:bCs/>
                <w:sz w:val="24"/>
              </w:rPr>
              <w:t>一览表</w:t>
            </w:r>
            <w:r>
              <w:rPr>
                <w:bCs/>
                <w:sz w:val="24"/>
              </w:rPr>
              <w:t>如下：</w:t>
            </w: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p>
          <w:p>
            <w:pPr>
              <w:widowControl/>
              <w:wordWrap w:val="0"/>
              <w:overflowPunct w:val="0"/>
              <w:autoSpaceDE w:val="0"/>
              <w:autoSpaceDN w:val="0"/>
              <w:adjustRightInd w:val="0"/>
              <w:snapToGrid w:val="0"/>
              <w:spacing w:before="144" w:beforeLines="60" w:after="144" w:afterLines="60"/>
              <w:jc w:val="center"/>
              <w:textAlignment w:val="baseline"/>
              <w:rPr>
                <w:rFonts w:cs="宋体"/>
                <w:b/>
                <w:szCs w:val="21"/>
              </w:rPr>
            </w:pPr>
            <w:r>
              <w:rPr>
                <w:rFonts w:cs="宋体"/>
                <w:b/>
                <w:szCs w:val="21"/>
              </w:rPr>
              <w:t>表4</w:t>
            </w:r>
            <w:r>
              <w:rPr>
                <w:rFonts w:hint="eastAsia" w:cs="宋体"/>
                <w:b/>
                <w:szCs w:val="21"/>
              </w:rPr>
              <w:t>.2-27：</w:t>
            </w:r>
            <w:r>
              <w:rPr>
                <w:rFonts w:cs="宋体"/>
                <w:b/>
                <w:szCs w:val="21"/>
              </w:rPr>
              <w:t>环保投资一览表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2"/>
              <w:gridCol w:w="972"/>
              <w:gridCol w:w="1742"/>
              <w:gridCol w:w="3769"/>
              <w:gridCol w:w="17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6" w:type="pct"/>
                  <w:gridSpan w:val="2"/>
                  <w:noWrap w:val="0"/>
                  <w:vAlign w:val="center"/>
                </w:tcPr>
                <w:p>
                  <w:pPr>
                    <w:widowControl/>
                    <w:adjustRightInd w:val="0"/>
                    <w:jc w:val="center"/>
                    <w:rPr>
                      <w:b/>
                      <w:bCs/>
                      <w:szCs w:val="21"/>
                    </w:rPr>
                  </w:pPr>
                  <w:r>
                    <w:rPr>
                      <w:rFonts w:hint="eastAsia"/>
                      <w:b/>
                      <w:bCs/>
                      <w:szCs w:val="21"/>
                    </w:rPr>
                    <w:t>类别</w:t>
                  </w:r>
                </w:p>
              </w:tc>
              <w:tc>
                <w:tcPr>
                  <w:tcW w:w="1011" w:type="pct"/>
                  <w:noWrap w:val="0"/>
                  <w:vAlign w:val="center"/>
                </w:tcPr>
                <w:p>
                  <w:pPr>
                    <w:widowControl/>
                    <w:adjustRightInd w:val="0"/>
                    <w:jc w:val="center"/>
                    <w:rPr>
                      <w:b/>
                      <w:bCs/>
                      <w:szCs w:val="21"/>
                    </w:rPr>
                  </w:pPr>
                  <w:r>
                    <w:rPr>
                      <w:b/>
                      <w:bCs/>
                      <w:szCs w:val="21"/>
                    </w:rPr>
                    <w:t>治理项目</w:t>
                  </w:r>
                </w:p>
              </w:tc>
              <w:tc>
                <w:tcPr>
                  <w:tcW w:w="2187" w:type="pct"/>
                  <w:noWrap w:val="0"/>
                  <w:vAlign w:val="center"/>
                </w:tcPr>
                <w:p>
                  <w:pPr>
                    <w:widowControl/>
                    <w:adjustRightInd w:val="0"/>
                    <w:jc w:val="center"/>
                    <w:rPr>
                      <w:b/>
                      <w:bCs/>
                      <w:szCs w:val="21"/>
                    </w:rPr>
                  </w:pPr>
                  <w:r>
                    <w:rPr>
                      <w:b/>
                      <w:bCs/>
                      <w:szCs w:val="21"/>
                    </w:rPr>
                    <w:t>环保措施</w:t>
                  </w:r>
                </w:p>
              </w:tc>
              <w:tc>
                <w:tcPr>
                  <w:tcW w:w="1044" w:type="pct"/>
                  <w:noWrap w:val="0"/>
                  <w:vAlign w:val="center"/>
                </w:tcPr>
                <w:p>
                  <w:pPr>
                    <w:widowControl/>
                    <w:adjustRightInd w:val="0"/>
                    <w:jc w:val="center"/>
                    <w:rPr>
                      <w:b/>
                      <w:bCs/>
                      <w:szCs w:val="21"/>
                    </w:rPr>
                  </w:pPr>
                  <w:r>
                    <w:rPr>
                      <w:rFonts w:hint="eastAsia"/>
                      <w:b/>
                      <w:bCs/>
                      <w:szCs w:val="21"/>
                    </w:rPr>
                    <w:t>金额（万元）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 w:hRule="atLeast"/>
                <w:jc w:val="center"/>
              </w:trPr>
              <w:tc>
                <w:tcPr>
                  <w:tcW w:w="192" w:type="pct"/>
                  <w:vMerge w:val="restart"/>
                  <w:tcBorders>
                    <w:right w:val="single" w:color="auto" w:sz="4" w:space="0"/>
                  </w:tcBorders>
                  <w:noWrap w:val="0"/>
                  <w:vAlign w:val="center"/>
                </w:tcPr>
                <w:p>
                  <w:pPr>
                    <w:widowControl/>
                    <w:adjustRightInd w:val="0"/>
                    <w:jc w:val="center"/>
                    <w:rPr>
                      <w:rFonts w:hint="eastAsia"/>
                      <w:szCs w:val="21"/>
                    </w:rPr>
                  </w:pPr>
                  <w:r>
                    <w:rPr>
                      <w:rFonts w:hint="eastAsia"/>
                      <w:szCs w:val="21"/>
                    </w:rPr>
                    <w:t>施工期</w:t>
                  </w:r>
                </w:p>
              </w:tc>
              <w:tc>
                <w:tcPr>
                  <w:tcW w:w="564" w:type="pct"/>
                  <w:vMerge w:val="restart"/>
                  <w:tcBorders>
                    <w:left w:val="single" w:color="auto" w:sz="4" w:space="0"/>
                  </w:tcBorders>
                  <w:noWrap w:val="0"/>
                  <w:vAlign w:val="center"/>
                </w:tcPr>
                <w:p>
                  <w:pPr>
                    <w:widowControl/>
                    <w:adjustRightInd w:val="0"/>
                    <w:jc w:val="center"/>
                    <w:rPr>
                      <w:szCs w:val="21"/>
                    </w:rPr>
                  </w:pPr>
                  <w:r>
                    <w:rPr>
                      <w:szCs w:val="21"/>
                    </w:rPr>
                    <w:t>废气</w:t>
                  </w:r>
                </w:p>
                <w:p>
                  <w:pPr>
                    <w:widowControl/>
                    <w:adjustRightInd w:val="0"/>
                    <w:jc w:val="center"/>
                    <w:rPr>
                      <w:szCs w:val="21"/>
                    </w:rPr>
                  </w:pPr>
                </w:p>
              </w:tc>
              <w:tc>
                <w:tcPr>
                  <w:tcW w:w="1011" w:type="pct"/>
                  <w:tcBorders>
                    <w:bottom w:val="single" w:color="auto" w:sz="4" w:space="0"/>
                  </w:tcBorders>
                  <w:noWrap w:val="0"/>
                  <w:vAlign w:val="center"/>
                </w:tcPr>
                <w:p>
                  <w:pPr>
                    <w:widowControl/>
                    <w:adjustRightInd w:val="0"/>
                    <w:jc w:val="center"/>
                    <w:rPr>
                      <w:rFonts w:hint="eastAsia"/>
                      <w:szCs w:val="21"/>
                    </w:rPr>
                  </w:pPr>
                  <w:r>
                    <w:rPr>
                      <w:rFonts w:hint="eastAsia"/>
                      <w:szCs w:val="21"/>
                    </w:rPr>
                    <w:t>颗粒物</w:t>
                  </w:r>
                </w:p>
              </w:tc>
              <w:tc>
                <w:tcPr>
                  <w:tcW w:w="2187" w:type="pct"/>
                  <w:tcBorders>
                    <w:bottom w:val="single" w:color="auto" w:sz="4" w:space="0"/>
                  </w:tcBorders>
                  <w:noWrap w:val="0"/>
                  <w:vAlign w:val="center"/>
                </w:tcPr>
                <w:p>
                  <w:pPr>
                    <w:adjustRightInd w:val="0"/>
                    <w:jc w:val="center"/>
                    <w:rPr>
                      <w:rFonts w:hint="eastAsia"/>
                      <w:szCs w:val="21"/>
                    </w:rPr>
                  </w:pPr>
                  <w:r>
                    <w:rPr>
                      <w:rFonts w:hint="eastAsia"/>
                      <w:szCs w:val="21"/>
                    </w:rPr>
                    <w:t>洒水抑尘，路面硬化，施工围挡</w:t>
                  </w:r>
                </w:p>
              </w:tc>
              <w:tc>
                <w:tcPr>
                  <w:tcW w:w="1044" w:type="pct"/>
                  <w:tcBorders>
                    <w:bottom w:val="single" w:color="auto" w:sz="4" w:space="0"/>
                  </w:tcBorders>
                  <w:noWrap w:val="0"/>
                  <w:vAlign w:val="center"/>
                </w:tcPr>
                <w:p>
                  <w:pPr>
                    <w:widowControl/>
                    <w:adjustRightInd w:val="0"/>
                    <w:jc w:val="center"/>
                    <w:rPr>
                      <w:rFonts w:hint="eastAsia"/>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rPr>
                    <w:t>汽车尾气</w:t>
                  </w:r>
                </w:p>
              </w:tc>
              <w:tc>
                <w:tcPr>
                  <w:tcW w:w="2187" w:type="pct"/>
                  <w:tcBorders>
                    <w:top w:val="single" w:color="auto" w:sz="4" w:space="0"/>
                  </w:tcBorders>
                  <w:noWrap w:val="0"/>
                  <w:vAlign w:val="center"/>
                </w:tcPr>
                <w:p>
                  <w:pPr>
                    <w:adjustRightInd w:val="0"/>
                    <w:jc w:val="center"/>
                    <w:rPr>
                      <w:szCs w:val="21"/>
                    </w:rPr>
                  </w:pPr>
                  <w:r>
                    <w:rPr>
                      <w:rFonts w:hint="eastAsia"/>
                      <w:szCs w:val="21"/>
                    </w:rPr>
                    <w:t>选用符合国家有关标准的施工机械和运输工具</w:t>
                  </w:r>
                </w:p>
              </w:tc>
              <w:tc>
                <w:tcPr>
                  <w:tcW w:w="1044" w:type="pct"/>
                  <w:tcBorders>
                    <w:top w:val="single" w:color="auto" w:sz="4" w:space="0"/>
                  </w:tcBorders>
                  <w:noWrap w:val="0"/>
                  <w:vAlign w:val="center"/>
                </w:tcPr>
                <w:p>
                  <w:pPr>
                    <w:widowControl/>
                    <w:adjustRightInd w:val="0"/>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tcBorders>
                    <w:left w:val="single" w:color="auto" w:sz="4" w:space="0"/>
                  </w:tcBorders>
                  <w:noWrap w:val="0"/>
                  <w:vAlign w:val="center"/>
                </w:tcPr>
                <w:p>
                  <w:pPr>
                    <w:widowControl/>
                    <w:adjustRightInd w:val="0"/>
                    <w:jc w:val="center"/>
                    <w:rPr>
                      <w:szCs w:val="21"/>
                    </w:rPr>
                  </w:pPr>
                  <w:r>
                    <w:rPr>
                      <w:szCs w:val="21"/>
                    </w:rPr>
                    <w:t>噪声</w:t>
                  </w:r>
                </w:p>
              </w:tc>
              <w:tc>
                <w:tcPr>
                  <w:tcW w:w="1011" w:type="pct"/>
                  <w:noWrap w:val="0"/>
                  <w:vAlign w:val="center"/>
                </w:tcPr>
                <w:p>
                  <w:pPr>
                    <w:widowControl/>
                    <w:adjustRightInd w:val="0"/>
                    <w:jc w:val="center"/>
                    <w:rPr>
                      <w:rFonts w:hint="eastAsia"/>
                      <w:szCs w:val="21"/>
                    </w:rPr>
                  </w:pPr>
                  <w:r>
                    <w:rPr>
                      <w:rFonts w:hint="eastAsia"/>
                      <w:szCs w:val="21"/>
                    </w:rPr>
                    <w:t>施工器械噪声</w:t>
                  </w:r>
                </w:p>
              </w:tc>
              <w:tc>
                <w:tcPr>
                  <w:tcW w:w="2187" w:type="pct"/>
                  <w:noWrap w:val="0"/>
                  <w:vAlign w:val="center"/>
                </w:tcPr>
                <w:p>
                  <w:pPr>
                    <w:widowControl/>
                    <w:adjustRightInd w:val="0"/>
                    <w:jc w:val="center"/>
                    <w:rPr>
                      <w:szCs w:val="21"/>
                    </w:rPr>
                  </w:pPr>
                  <w:r>
                    <w:rPr>
                      <w:szCs w:val="21"/>
                    </w:rPr>
                    <w:t>设备维修保养、隔声等</w:t>
                  </w:r>
                </w:p>
              </w:tc>
              <w:tc>
                <w:tcPr>
                  <w:tcW w:w="1044" w:type="pct"/>
                  <w:noWrap w:val="0"/>
                  <w:vAlign w:val="center"/>
                </w:tcPr>
                <w:p>
                  <w:pPr>
                    <w:widowControl/>
                    <w:adjustRightInd w:val="0"/>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restart"/>
                  <w:tcBorders>
                    <w:left w:val="single" w:color="auto" w:sz="4" w:space="0"/>
                  </w:tcBorders>
                  <w:noWrap w:val="0"/>
                  <w:vAlign w:val="center"/>
                </w:tcPr>
                <w:p>
                  <w:pPr>
                    <w:widowControl/>
                    <w:adjustRightInd w:val="0"/>
                    <w:jc w:val="center"/>
                    <w:rPr>
                      <w:szCs w:val="21"/>
                    </w:rPr>
                  </w:pPr>
                  <w:r>
                    <w:rPr>
                      <w:szCs w:val="21"/>
                    </w:rPr>
                    <w:t>废水</w:t>
                  </w:r>
                </w:p>
              </w:tc>
              <w:tc>
                <w:tcPr>
                  <w:tcW w:w="1011" w:type="pct"/>
                  <w:tcBorders>
                    <w:bottom w:val="single" w:color="auto" w:sz="4" w:space="0"/>
                  </w:tcBorders>
                  <w:noWrap w:val="0"/>
                  <w:vAlign w:val="center"/>
                </w:tcPr>
                <w:p>
                  <w:pPr>
                    <w:widowControl/>
                    <w:adjustRightInd w:val="0"/>
                    <w:jc w:val="center"/>
                    <w:rPr>
                      <w:rFonts w:hint="eastAsia"/>
                      <w:szCs w:val="21"/>
                    </w:rPr>
                  </w:pPr>
                  <w:r>
                    <w:rPr>
                      <w:rFonts w:hint="eastAsia"/>
                      <w:szCs w:val="21"/>
                    </w:rPr>
                    <w:t>生活废水</w:t>
                  </w:r>
                </w:p>
              </w:tc>
              <w:tc>
                <w:tcPr>
                  <w:tcW w:w="2187" w:type="pct"/>
                  <w:tcBorders>
                    <w:bottom w:val="single" w:color="auto" w:sz="4" w:space="0"/>
                  </w:tcBorders>
                  <w:noWrap w:val="0"/>
                  <w:vAlign w:val="center"/>
                </w:tcPr>
                <w:p>
                  <w:pPr>
                    <w:widowControl/>
                    <w:adjustRightInd w:val="0"/>
                    <w:jc w:val="center"/>
                    <w:rPr>
                      <w:rFonts w:hint="eastAsia"/>
                      <w:szCs w:val="21"/>
                    </w:rPr>
                  </w:pPr>
                  <w:r>
                    <w:rPr>
                      <w:rFonts w:hint="eastAsia"/>
                      <w:szCs w:val="21"/>
                    </w:rPr>
                    <w:t>化粪池</w:t>
                  </w:r>
                </w:p>
              </w:tc>
              <w:tc>
                <w:tcPr>
                  <w:tcW w:w="1044" w:type="pct"/>
                  <w:tcBorders>
                    <w:bottom w:val="single" w:color="auto" w:sz="4" w:space="0"/>
                  </w:tcBorders>
                  <w:noWrap w:val="0"/>
                  <w:vAlign w:val="center"/>
                </w:tcPr>
                <w:p>
                  <w:pPr>
                    <w:widowControl/>
                    <w:adjustRightInd w:val="0"/>
                    <w:jc w:val="center"/>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lang w:eastAsia="zh-CN"/>
                    </w:rPr>
                    <w:t>车辆清洗</w:t>
                  </w:r>
                  <w:r>
                    <w:rPr>
                      <w:rFonts w:hint="eastAsia"/>
                      <w:szCs w:val="21"/>
                    </w:rPr>
                    <w:t>废水</w:t>
                  </w:r>
                </w:p>
              </w:tc>
              <w:tc>
                <w:tcPr>
                  <w:tcW w:w="2187" w:type="pct"/>
                  <w:tcBorders>
                    <w:top w:val="single" w:color="auto" w:sz="4" w:space="0"/>
                  </w:tcBorders>
                  <w:noWrap w:val="0"/>
                  <w:vAlign w:val="center"/>
                </w:tcPr>
                <w:p>
                  <w:pPr>
                    <w:widowControl/>
                    <w:adjustRightInd w:val="0"/>
                    <w:jc w:val="center"/>
                    <w:rPr>
                      <w:rFonts w:hint="eastAsia"/>
                      <w:szCs w:val="21"/>
                    </w:rPr>
                  </w:pPr>
                  <w:r>
                    <w:rPr>
                      <w:rFonts w:hint="eastAsia"/>
                      <w:szCs w:val="21"/>
                    </w:rPr>
                    <w:t>隔油池+沉淀池</w:t>
                  </w:r>
                </w:p>
              </w:tc>
              <w:tc>
                <w:tcPr>
                  <w:tcW w:w="1044" w:type="pct"/>
                  <w:tcBorders>
                    <w:top w:val="single" w:color="auto" w:sz="4" w:space="0"/>
                  </w:tcBorders>
                  <w:noWrap w:val="0"/>
                  <w:vAlign w:val="center"/>
                </w:tcPr>
                <w:p>
                  <w:pPr>
                    <w:widowControl/>
                    <w:adjustRightInd w:val="0"/>
                    <w:jc w:val="center"/>
                    <w:rPr>
                      <w:szCs w:val="21"/>
                    </w:rPr>
                  </w:pPr>
                  <w:r>
                    <w:rPr>
                      <w:rFonts w:hint="eastAsia"/>
                      <w:szCs w:val="21"/>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restart"/>
                  <w:tcBorders>
                    <w:left w:val="single" w:color="auto" w:sz="4" w:space="0"/>
                  </w:tcBorders>
                  <w:noWrap w:val="0"/>
                  <w:vAlign w:val="center"/>
                </w:tcPr>
                <w:p>
                  <w:pPr>
                    <w:widowControl/>
                    <w:adjustRightInd w:val="0"/>
                    <w:jc w:val="center"/>
                    <w:rPr>
                      <w:szCs w:val="21"/>
                    </w:rPr>
                  </w:pPr>
                  <w:r>
                    <w:rPr>
                      <w:szCs w:val="21"/>
                    </w:rPr>
                    <w:t>固废</w:t>
                  </w:r>
                </w:p>
              </w:tc>
              <w:tc>
                <w:tcPr>
                  <w:tcW w:w="1011" w:type="pct"/>
                  <w:tcBorders>
                    <w:bottom w:val="single" w:color="auto" w:sz="4" w:space="0"/>
                  </w:tcBorders>
                  <w:noWrap w:val="0"/>
                  <w:vAlign w:val="center"/>
                </w:tcPr>
                <w:p>
                  <w:pPr>
                    <w:widowControl/>
                    <w:adjustRightInd w:val="0"/>
                    <w:jc w:val="center"/>
                    <w:rPr>
                      <w:rFonts w:hint="eastAsia"/>
                      <w:szCs w:val="21"/>
                    </w:rPr>
                  </w:pPr>
                  <w:r>
                    <w:rPr>
                      <w:rFonts w:hint="eastAsia"/>
                      <w:szCs w:val="21"/>
                    </w:rPr>
                    <w:t>施工生活垃圾</w:t>
                  </w:r>
                </w:p>
              </w:tc>
              <w:tc>
                <w:tcPr>
                  <w:tcW w:w="2187" w:type="pct"/>
                  <w:tcBorders>
                    <w:bottom w:val="single" w:color="auto" w:sz="4" w:space="0"/>
                  </w:tcBorders>
                  <w:noWrap w:val="0"/>
                  <w:vAlign w:val="center"/>
                </w:tcPr>
                <w:p>
                  <w:pPr>
                    <w:widowControl/>
                    <w:adjustRightInd w:val="0"/>
                    <w:jc w:val="center"/>
                    <w:rPr>
                      <w:szCs w:val="21"/>
                    </w:rPr>
                  </w:pPr>
                  <w:r>
                    <w:rPr>
                      <w:rFonts w:hint="eastAsia"/>
                      <w:szCs w:val="21"/>
                    </w:rPr>
                    <w:t>垃圾桶收集</w:t>
                  </w:r>
                </w:p>
              </w:tc>
              <w:tc>
                <w:tcPr>
                  <w:tcW w:w="1044" w:type="pct"/>
                  <w:tcBorders>
                    <w:bottom w:val="single" w:color="auto" w:sz="4" w:space="0"/>
                  </w:tcBorders>
                  <w:noWrap w:val="0"/>
                  <w:vAlign w:val="center"/>
                </w:tcPr>
                <w:p>
                  <w:pPr>
                    <w:widowControl/>
                    <w:adjustRightInd w:val="0"/>
                    <w:jc w:val="center"/>
                    <w:rPr>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rPr>
                    <w:t>土石方</w:t>
                  </w:r>
                </w:p>
              </w:tc>
              <w:tc>
                <w:tcPr>
                  <w:tcW w:w="2187" w:type="pct"/>
                  <w:tcBorders>
                    <w:top w:val="single" w:color="auto" w:sz="4" w:space="0"/>
                  </w:tcBorders>
                  <w:noWrap w:val="0"/>
                  <w:vAlign w:val="center"/>
                </w:tcPr>
                <w:p>
                  <w:pPr>
                    <w:widowControl/>
                    <w:adjustRightInd w:val="0"/>
                    <w:jc w:val="center"/>
                    <w:rPr>
                      <w:rFonts w:hint="eastAsia"/>
                      <w:szCs w:val="21"/>
                    </w:rPr>
                  </w:pPr>
                  <w:r>
                    <w:rPr>
                      <w:rFonts w:hint="eastAsia"/>
                      <w:szCs w:val="21"/>
                    </w:rPr>
                    <w:t>回填、苫盖</w:t>
                  </w:r>
                </w:p>
              </w:tc>
              <w:tc>
                <w:tcPr>
                  <w:tcW w:w="1044" w:type="pct"/>
                  <w:tcBorders>
                    <w:top w:val="single" w:color="auto" w:sz="4" w:space="0"/>
                  </w:tcBorders>
                  <w:noWrap w:val="0"/>
                  <w:vAlign w:val="center"/>
                </w:tcPr>
                <w:p>
                  <w:pPr>
                    <w:widowControl/>
                    <w:adjustRightInd w:val="0"/>
                    <w:jc w:val="center"/>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192" w:type="pct"/>
                  <w:vMerge w:val="restart"/>
                  <w:tcBorders>
                    <w:right w:val="single" w:color="auto" w:sz="4" w:space="0"/>
                  </w:tcBorders>
                  <w:noWrap w:val="0"/>
                  <w:vAlign w:val="center"/>
                </w:tcPr>
                <w:p>
                  <w:pPr>
                    <w:widowControl/>
                    <w:adjustRightInd w:val="0"/>
                    <w:jc w:val="center"/>
                    <w:rPr>
                      <w:rFonts w:hint="eastAsia"/>
                      <w:szCs w:val="21"/>
                    </w:rPr>
                  </w:pPr>
                  <w:r>
                    <w:rPr>
                      <w:rFonts w:hint="eastAsia"/>
                      <w:szCs w:val="21"/>
                    </w:rPr>
                    <w:t>营运期</w:t>
                  </w:r>
                </w:p>
              </w:tc>
              <w:tc>
                <w:tcPr>
                  <w:tcW w:w="564" w:type="pct"/>
                  <w:vMerge w:val="restart"/>
                  <w:tcBorders>
                    <w:left w:val="single" w:color="auto" w:sz="4" w:space="0"/>
                  </w:tcBorders>
                  <w:noWrap w:val="0"/>
                  <w:vAlign w:val="center"/>
                </w:tcPr>
                <w:p>
                  <w:pPr>
                    <w:widowControl/>
                    <w:adjustRightInd w:val="0"/>
                    <w:jc w:val="center"/>
                    <w:rPr>
                      <w:szCs w:val="21"/>
                    </w:rPr>
                  </w:pPr>
                  <w:r>
                    <w:rPr>
                      <w:szCs w:val="21"/>
                    </w:rPr>
                    <w:t>废气</w:t>
                  </w:r>
                </w:p>
              </w:tc>
              <w:tc>
                <w:tcPr>
                  <w:tcW w:w="1011" w:type="pct"/>
                  <w:tcBorders>
                    <w:bottom w:val="single" w:color="auto" w:sz="4" w:space="0"/>
                  </w:tcBorders>
                  <w:noWrap w:val="0"/>
                  <w:vAlign w:val="center"/>
                </w:tcPr>
                <w:p>
                  <w:pPr>
                    <w:widowControl/>
                    <w:adjustRightInd w:val="0"/>
                    <w:jc w:val="center"/>
                    <w:rPr>
                      <w:rFonts w:hint="eastAsia" w:eastAsia="宋体"/>
                      <w:color w:val="auto"/>
                      <w:szCs w:val="21"/>
                      <w:highlight w:val="none"/>
                      <w:lang w:eastAsia="zh-CN"/>
                    </w:rPr>
                  </w:pPr>
                  <w:r>
                    <w:rPr>
                      <w:rFonts w:hint="eastAsia" w:ascii="Times New Roman" w:hAnsi="Times New Roman" w:eastAsia="宋体" w:cs="Times New Roman"/>
                      <w:color w:val="auto"/>
                      <w:szCs w:val="21"/>
                      <w:highlight w:val="none"/>
                    </w:rPr>
                    <w:t>生产车间</w:t>
                  </w:r>
                  <w:r>
                    <w:rPr>
                      <w:rFonts w:hint="eastAsia"/>
                      <w:color w:val="auto"/>
                      <w:szCs w:val="21"/>
                      <w:highlight w:val="none"/>
                      <w:lang w:eastAsia="zh-CN"/>
                    </w:rPr>
                    <w:t>颗粒物</w:t>
                  </w:r>
                </w:p>
              </w:tc>
              <w:tc>
                <w:tcPr>
                  <w:tcW w:w="2187" w:type="pct"/>
                  <w:tcBorders>
                    <w:bottom w:val="single" w:color="auto" w:sz="4" w:space="0"/>
                  </w:tcBorders>
                  <w:noWrap w:val="0"/>
                  <w:vAlign w:val="center"/>
                </w:tcPr>
                <w:p>
                  <w:pPr>
                    <w:widowControl/>
                    <w:adjustRightInd w:val="0"/>
                    <w:jc w:val="center"/>
                    <w:rPr>
                      <w:color w:val="auto"/>
                      <w:kern w:val="0"/>
                      <w:szCs w:val="21"/>
                      <w:highlight w:val="none"/>
                    </w:rPr>
                  </w:pPr>
                  <w:r>
                    <w:rPr>
                      <w:rFonts w:hint="eastAsia"/>
                      <w:color w:val="auto"/>
                      <w:kern w:val="0"/>
                      <w:szCs w:val="21"/>
                      <w:highlight w:val="none"/>
                    </w:rPr>
                    <w:t>集气罩+布袋除尘器+15m排气筒</w:t>
                  </w:r>
                </w:p>
              </w:tc>
              <w:tc>
                <w:tcPr>
                  <w:tcW w:w="1044" w:type="pct"/>
                  <w:vMerge w:val="restart"/>
                  <w:noWrap w:val="0"/>
                  <w:vAlign w:val="center"/>
                </w:tcPr>
                <w:p>
                  <w:pPr>
                    <w:widowControl/>
                    <w:adjustRightInd w:val="0"/>
                    <w:jc w:val="center"/>
                    <w:rPr>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742" w:type="dxa"/>
                  <w:tcBorders>
                    <w:top w:val="single" w:color="auto" w:sz="4" w:space="0"/>
                    <w:bottom w:val="single" w:color="auto" w:sz="4" w:space="0"/>
                  </w:tcBorders>
                  <w:noWrap w:val="0"/>
                  <w:vAlign w:val="center"/>
                </w:tcPr>
                <w:p>
                  <w:pPr>
                    <w:adjustRightInd w:val="0"/>
                    <w:jc w:val="center"/>
                    <w:rPr>
                      <w:rFonts w:hint="eastAsia" w:eastAsia="宋体"/>
                      <w:szCs w:val="21"/>
                      <w:highlight w:val="yellow"/>
                      <w:lang w:eastAsia="zh-CN"/>
                    </w:rPr>
                  </w:pPr>
                  <w:r>
                    <w:rPr>
                      <w:rFonts w:hint="eastAsia" w:ascii="Times New Roman" w:hAnsi="Times New Roman" w:eastAsia="宋体" w:cs="Times New Roman"/>
                      <w:szCs w:val="21"/>
                    </w:rPr>
                    <w:t>生产车间无组织</w:t>
                  </w:r>
                  <w:r>
                    <w:rPr>
                      <w:rFonts w:hint="eastAsia" w:ascii="Times New Roman" w:hAnsi="Times New Roman" w:eastAsia="宋体" w:cs="Times New Roman"/>
                      <w:szCs w:val="21"/>
                      <w:lang w:eastAsia="zh-CN"/>
                    </w:rPr>
                    <w:t>颗粒物</w:t>
                  </w:r>
                </w:p>
              </w:tc>
              <w:tc>
                <w:tcPr>
                  <w:tcW w:w="3769" w:type="dxa"/>
                  <w:tcBorders>
                    <w:top w:val="single" w:color="auto" w:sz="4" w:space="0"/>
                    <w:bottom w:val="single" w:color="auto" w:sz="4" w:space="0"/>
                  </w:tcBorders>
                  <w:noWrap w:val="0"/>
                  <w:vAlign w:val="center"/>
                </w:tcPr>
                <w:p>
                  <w:pPr>
                    <w:adjustRightInd w:val="0"/>
                    <w:jc w:val="center"/>
                    <w:rPr>
                      <w:rFonts w:hint="default"/>
                      <w:kern w:val="0"/>
                      <w:szCs w:val="21"/>
                      <w:lang w:val="en-US"/>
                    </w:rPr>
                  </w:pPr>
                  <w:r>
                    <w:rPr>
                      <w:rFonts w:hint="eastAsia" w:ascii="Times New Roman" w:hAnsi="Times New Roman" w:eastAsia="宋体" w:cs="Times New Roman"/>
                      <w:szCs w:val="21"/>
                      <w:lang w:eastAsia="zh-CN"/>
                    </w:rPr>
                    <w:t>洒水降尘、</w:t>
                  </w:r>
                  <w:r>
                    <w:rPr>
                      <w:rFonts w:hint="eastAsia" w:ascii="Times New Roman" w:hAnsi="Times New Roman" w:eastAsia="宋体" w:cs="Times New Roman"/>
                      <w:color w:val="auto"/>
                      <w:szCs w:val="21"/>
                      <w:lang w:val="en-US" w:eastAsia="zh-CN"/>
                    </w:rPr>
                    <w:t>车间密闭</w:t>
                  </w:r>
                </w:p>
              </w:tc>
              <w:tc>
                <w:tcPr>
                  <w:tcW w:w="1044" w:type="pct"/>
                  <w:vMerge w:val="continue"/>
                  <w:tcBorders>
                    <w:bottom w:val="single" w:color="auto" w:sz="4" w:space="0"/>
                  </w:tcBorders>
                  <w:noWrap w:val="0"/>
                  <w:vAlign w:val="center"/>
                </w:tcPr>
                <w:p>
                  <w:pPr>
                    <w:widowControl/>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742" w:type="dxa"/>
                  <w:tcBorders>
                    <w:top w:val="single" w:color="auto" w:sz="4" w:space="0"/>
                    <w:bottom w:val="single" w:color="auto" w:sz="4" w:space="0"/>
                  </w:tcBorders>
                  <w:noWrap w:val="0"/>
                  <w:vAlign w:val="center"/>
                </w:tcPr>
                <w:p>
                  <w:pPr>
                    <w:adjustRightInd w:val="0"/>
                    <w:jc w:val="center"/>
                    <w:rPr>
                      <w:rFonts w:hint="eastAsia" w:eastAsia="宋体"/>
                      <w:szCs w:val="21"/>
                      <w:highlight w:val="yellow"/>
                      <w:lang w:eastAsia="zh-CN"/>
                    </w:rPr>
                  </w:pPr>
                  <w:r>
                    <w:rPr>
                      <w:rFonts w:hint="eastAsia" w:ascii="Times New Roman" w:hAnsi="Times New Roman" w:eastAsia="宋体" w:cs="Times New Roman"/>
                      <w:szCs w:val="21"/>
                    </w:rPr>
                    <w:t>原料</w:t>
                  </w:r>
                  <w:r>
                    <w:rPr>
                      <w:rFonts w:hint="eastAsia" w:ascii="Times New Roman" w:hAnsi="Times New Roman" w:eastAsia="宋体" w:cs="Times New Roman"/>
                      <w:szCs w:val="21"/>
                      <w:lang w:eastAsia="zh-CN"/>
                    </w:rPr>
                    <w:t>堆场装卸无组织颗粒物</w:t>
                  </w:r>
                </w:p>
              </w:tc>
              <w:tc>
                <w:tcPr>
                  <w:tcW w:w="3769" w:type="dxa"/>
                  <w:tcBorders>
                    <w:top w:val="single" w:color="auto" w:sz="4" w:space="0"/>
                    <w:bottom w:val="single" w:color="auto" w:sz="4" w:space="0"/>
                  </w:tcBorders>
                  <w:noWrap w:val="0"/>
                  <w:vAlign w:val="center"/>
                </w:tcPr>
                <w:p>
                  <w:pPr>
                    <w:adjustRightInd w:val="0"/>
                    <w:jc w:val="center"/>
                    <w:rPr>
                      <w:rFonts w:hint="eastAsia"/>
                      <w:kern w:val="0"/>
                      <w:szCs w:val="21"/>
                    </w:rPr>
                  </w:pPr>
                  <w:r>
                    <w:rPr>
                      <w:rFonts w:hint="eastAsia" w:ascii="Times New Roman" w:hAnsi="Times New Roman" w:eastAsia="宋体" w:cs="Times New Roman"/>
                      <w:szCs w:val="21"/>
                      <w:lang w:eastAsia="zh-CN"/>
                    </w:rPr>
                    <w:t>原料堆场进场土工布苫盖，</w:t>
                  </w:r>
                  <w:r>
                    <w:rPr>
                      <w:rFonts w:hint="eastAsia" w:ascii="Times New Roman" w:hAnsi="Times New Roman" w:eastAsia="宋体" w:cs="Times New Roman"/>
                      <w:szCs w:val="21"/>
                    </w:rPr>
                    <w:t>在卸料处设置喷淋洒水装置</w:t>
                  </w:r>
                </w:p>
              </w:tc>
              <w:tc>
                <w:tcPr>
                  <w:tcW w:w="1044" w:type="pct"/>
                  <w:vMerge w:val="continue"/>
                  <w:tcBorders>
                    <w:bottom w:val="single" w:color="auto" w:sz="4" w:space="0"/>
                  </w:tcBorders>
                  <w:noWrap w:val="0"/>
                  <w:vAlign w:val="center"/>
                </w:tcPr>
                <w:p>
                  <w:pPr>
                    <w:widowControl/>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742" w:type="dxa"/>
                  <w:tcBorders>
                    <w:top w:val="single" w:color="auto" w:sz="4" w:space="0"/>
                    <w:bottom w:val="single" w:color="auto" w:sz="4" w:space="0"/>
                  </w:tcBorders>
                  <w:noWrap w:val="0"/>
                  <w:vAlign w:val="center"/>
                </w:tcPr>
                <w:p>
                  <w:pPr>
                    <w:adjustRightInd w:val="0"/>
                    <w:jc w:val="center"/>
                    <w:rPr>
                      <w:rFonts w:hint="eastAsia" w:eastAsia="宋体"/>
                      <w:szCs w:val="21"/>
                      <w:highlight w:val="yellow"/>
                      <w:lang w:eastAsia="zh-CN"/>
                    </w:rPr>
                  </w:pPr>
                  <w:r>
                    <w:rPr>
                      <w:rFonts w:hint="eastAsia" w:ascii="Times New Roman" w:hAnsi="Times New Roman" w:eastAsia="宋体" w:cs="Times New Roman"/>
                      <w:szCs w:val="21"/>
                      <w:lang w:eastAsia="zh-CN"/>
                    </w:rPr>
                    <w:t>产品仓库产品运输无组织颗粒物</w:t>
                  </w:r>
                </w:p>
              </w:tc>
              <w:tc>
                <w:tcPr>
                  <w:tcW w:w="3769" w:type="dxa"/>
                  <w:tcBorders>
                    <w:top w:val="single" w:color="auto" w:sz="4" w:space="0"/>
                    <w:bottom w:val="single" w:color="auto" w:sz="4" w:space="0"/>
                  </w:tcBorders>
                  <w:noWrap w:val="0"/>
                  <w:vAlign w:val="center"/>
                </w:tcPr>
                <w:p>
                  <w:pPr>
                    <w:adjustRightInd w:val="0"/>
                    <w:jc w:val="center"/>
                    <w:rPr>
                      <w:rFonts w:hint="eastAsia"/>
                      <w:kern w:val="0"/>
                      <w:szCs w:val="21"/>
                    </w:rPr>
                  </w:pPr>
                  <w:r>
                    <w:rPr>
                      <w:rFonts w:hint="eastAsia" w:ascii="Times New Roman" w:hAnsi="Times New Roman" w:eastAsia="宋体" w:cs="Times New Roman"/>
                      <w:szCs w:val="21"/>
                    </w:rPr>
                    <w:t>定期派专人进行路面清扫，保持路面清洁、定期对路面进行洒水抑尘</w:t>
                  </w:r>
                  <w:r>
                    <w:rPr>
                      <w:rFonts w:hint="eastAsia" w:ascii="Times New Roman" w:hAnsi="Times New Roman" w:eastAsia="宋体" w:cs="Times New Roman"/>
                      <w:szCs w:val="21"/>
                      <w:lang w:eastAsia="zh-CN"/>
                    </w:rPr>
                    <w:t>、运输车辆进场土工布覆盖</w:t>
                  </w:r>
                </w:p>
              </w:tc>
              <w:tc>
                <w:tcPr>
                  <w:tcW w:w="1044" w:type="pct"/>
                  <w:vMerge w:val="continue"/>
                  <w:tcBorders>
                    <w:bottom w:val="single" w:color="auto" w:sz="4" w:space="0"/>
                  </w:tcBorders>
                  <w:noWrap w:val="0"/>
                  <w:vAlign w:val="center"/>
                </w:tcPr>
                <w:p>
                  <w:pPr>
                    <w:widowControl/>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742" w:type="dxa"/>
                  <w:tcBorders>
                    <w:top w:val="single" w:color="auto" w:sz="4" w:space="0"/>
                    <w:bottom w:val="single" w:color="auto" w:sz="4" w:space="0"/>
                  </w:tcBorders>
                  <w:noWrap w:val="0"/>
                  <w:vAlign w:val="center"/>
                </w:tcPr>
                <w:p>
                  <w:pPr>
                    <w:adjustRightInd w:val="0"/>
                    <w:jc w:val="center"/>
                    <w:rPr>
                      <w:rFonts w:hint="eastAsia" w:eastAsia="宋体"/>
                      <w:szCs w:val="21"/>
                      <w:highlight w:val="yellow"/>
                      <w:lang w:eastAsia="zh-CN"/>
                    </w:rPr>
                  </w:pPr>
                  <w:r>
                    <w:rPr>
                      <w:rFonts w:hint="eastAsia" w:ascii="Times New Roman" w:hAnsi="Times New Roman" w:eastAsia="宋体" w:cs="Times New Roman"/>
                      <w:szCs w:val="21"/>
                    </w:rPr>
                    <w:t>产品仓库</w:t>
                  </w:r>
                  <w:r>
                    <w:rPr>
                      <w:rFonts w:hint="eastAsia" w:ascii="Times New Roman" w:hAnsi="Times New Roman" w:eastAsia="宋体" w:cs="Times New Roman"/>
                      <w:szCs w:val="21"/>
                      <w:lang w:eastAsia="zh-CN"/>
                    </w:rPr>
                    <w:t>产品堆场无组织颗粒物</w:t>
                  </w:r>
                </w:p>
              </w:tc>
              <w:tc>
                <w:tcPr>
                  <w:tcW w:w="3769" w:type="dxa"/>
                  <w:tcBorders>
                    <w:top w:val="single" w:color="auto" w:sz="4" w:space="0"/>
                    <w:bottom w:val="single" w:color="auto" w:sz="4" w:space="0"/>
                  </w:tcBorders>
                  <w:noWrap w:val="0"/>
                  <w:vAlign w:val="center"/>
                </w:tcPr>
                <w:p>
                  <w:pPr>
                    <w:adjustRightInd w:val="0"/>
                    <w:jc w:val="center"/>
                    <w:rPr>
                      <w:rFonts w:hint="eastAsia"/>
                      <w:kern w:val="0"/>
                      <w:szCs w:val="21"/>
                    </w:rPr>
                  </w:pPr>
                  <w:r>
                    <w:rPr>
                      <w:rFonts w:hint="eastAsia" w:ascii="Times New Roman" w:hAnsi="Times New Roman" w:eastAsia="宋体" w:cs="Times New Roman"/>
                      <w:szCs w:val="21"/>
                    </w:rPr>
                    <w:t>三面封闭钢架棚结构并配备喷淋设施对堆场进行酒水降尘</w:t>
                  </w:r>
                </w:p>
              </w:tc>
              <w:tc>
                <w:tcPr>
                  <w:tcW w:w="1044" w:type="pct"/>
                  <w:vMerge w:val="continue"/>
                  <w:tcBorders>
                    <w:bottom w:val="single" w:color="auto" w:sz="4" w:space="0"/>
                  </w:tcBorders>
                  <w:noWrap w:val="0"/>
                  <w:vAlign w:val="center"/>
                </w:tcPr>
                <w:p>
                  <w:pPr>
                    <w:widowControl/>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742" w:type="dxa"/>
                  <w:tcBorders>
                    <w:top w:val="single" w:color="auto" w:sz="4" w:space="0"/>
                    <w:bottom w:val="single" w:color="auto" w:sz="4" w:space="0"/>
                  </w:tcBorders>
                  <w:noWrap w:val="0"/>
                  <w:vAlign w:val="center"/>
                </w:tcPr>
                <w:p>
                  <w:pPr>
                    <w:adjustRightInd w:val="0"/>
                    <w:jc w:val="center"/>
                    <w:rPr>
                      <w:rFonts w:hint="eastAsia" w:eastAsia="宋体"/>
                      <w:szCs w:val="21"/>
                      <w:highlight w:val="yellow"/>
                      <w:lang w:eastAsia="zh-CN"/>
                    </w:rPr>
                  </w:pPr>
                  <w:r>
                    <w:rPr>
                      <w:rFonts w:hint="eastAsia" w:ascii="Times New Roman" w:hAnsi="Times New Roman" w:eastAsia="宋体" w:cs="Times New Roman"/>
                      <w:szCs w:val="21"/>
                    </w:rPr>
                    <w:t>皮带输送</w:t>
                  </w:r>
                  <w:r>
                    <w:rPr>
                      <w:rFonts w:hint="eastAsia" w:ascii="Times New Roman" w:hAnsi="Times New Roman" w:eastAsia="宋体" w:cs="Times New Roman"/>
                      <w:szCs w:val="21"/>
                      <w:lang w:eastAsia="zh-CN"/>
                    </w:rPr>
                    <w:t>无组织颗粒物</w:t>
                  </w:r>
                </w:p>
              </w:tc>
              <w:tc>
                <w:tcPr>
                  <w:tcW w:w="3769" w:type="dxa"/>
                  <w:tcBorders>
                    <w:top w:val="single" w:color="auto" w:sz="4" w:space="0"/>
                    <w:bottom w:val="single" w:color="auto" w:sz="4" w:space="0"/>
                  </w:tcBorders>
                  <w:noWrap w:val="0"/>
                  <w:vAlign w:val="center"/>
                </w:tcPr>
                <w:p>
                  <w:pPr>
                    <w:adjustRightInd w:val="0"/>
                    <w:jc w:val="center"/>
                    <w:rPr>
                      <w:rFonts w:hint="eastAsia"/>
                      <w:kern w:val="0"/>
                      <w:szCs w:val="21"/>
                    </w:rPr>
                  </w:pPr>
                  <w:r>
                    <w:rPr>
                      <w:rFonts w:hint="eastAsia" w:ascii="Times New Roman" w:hAnsi="Times New Roman" w:eastAsia="宋体" w:cs="Times New Roman"/>
                      <w:szCs w:val="21"/>
                    </w:rPr>
                    <w:t>安装皮带廊道密闭和在落料口设置喷雾洒水抑尘措施</w:t>
                  </w:r>
                </w:p>
              </w:tc>
              <w:tc>
                <w:tcPr>
                  <w:tcW w:w="1044" w:type="pct"/>
                  <w:vMerge w:val="continue"/>
                  <w:tcBorders>
                    <w:bottom w:val="single" w:color="auto" w:sz="4" w:space="0"/>
                  </w:tcBorders>
                  <w:noWrap w:val="0"/>
                  <w:vAlign w:val="center"/>
                </w:tcPr>
                <w:p>
                  <w:pPr>
                    <w:widowControl/>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192" w:type="pct"/>
                  <w:vMerge w:val="continue"/>
                  <w:tcBorders>
                    <w:right w:val="single" w:color="auto" w:sz="4" w:space="0"/>
                  </w:tcBorders>
                  <w:noWrap w:val="0"/>
                  <w:vAlign w:val="center"/>
                </w:tcPr>
                <w:p>
                  <w:pPr>
                    <w:widowControl/>
                    <w:adjustRightInd w:val="0"/>
                    <w:jc w:val="center"/>
                    <w:rPr>
                      <w:rFonts w:hint="eastAsia"/>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rPr>
                    <w:t>汽车尾气</w:t>
                  </w:r>
                </w:p>
              </w:tc>
              <w:tc>
                <w:tcPr>
                  <w:tcW w:w="2187" w:type="pct"/>
                  <w:tcBorders>
                    <w:top w:val="single" w:color="auto" w:sz="4" w:space="0"/>
                  </w:tcBorders>
                  <w:noWrap w:val="0"/>
                  <w:vAlign w:val="center"/>
                </w:tcPr>
                <w:p>
                  <w:pPr>
                    <w:widowControl/>
                    <w:adjustRightInd w:val="0"/>
                    <w:jc w:val="center"/>
                    <w:rPr>
                      <w:rFonts w:hint="default" w:eastAsia="宋体"/>
                      <w:kern w:val="0"/>
                      <w:szCs w:val="21"/>
                      <w:lang w:val="en-US" w:eastAsia="zh-CN"/>
                    </w:rPr>
                  </w:pPr>
                  <w:r>
                    <w:rPr>
                      <w:rFonts w:hint="eastAsia"/>
                      <w:kern w:val="0"/>
                      <w:szCs w:val="21"/>
                    </w:rPr>
                    <w:t>绿化</w:t>
                  </w:r>
                </w:p>
              </w:tc>
              <w:tc>
                <w:tcPr>
                  <w:tcW w:w="1044" w:type="pct"/>
                  <w:tcBorders>
                    <w:top w:val="single" w:color="auto" w:sz="4" w:space="0"/>
                  </w:tcBorders>
                  <w:noWrap w:val="0"/>
                  <w:vAlign w:val="center"/>
                </w:tcPr>
                <w:p>
                  <w:pPr>
                    <w:widowControl/>
                    <w:adjustRightInd w:val="0"/>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tcBorders>
                    <w:left w:val="single" w:color="auto" w:sz="4" w:space="0"/>
                  </w:tcBorders>
                  <w:noWrap w:val="0"/>
                  <w:vAlign w:val="center"/>
                </w:tcPr>
                <w:p>
                  <w:pPr>
                    <w:widowControl/>
                    <w:adjustRightInd w:val="0"/>
                    <w:jc w:val="center"/>
                    <w:rPr>
                      <w:szCs w:val="21"/>
                    </w:rPr>
                  </w:pPr>
                  <w:r>
                    <w:rPr>
                      <w:szCs w:val="21"/>
                    </w:rPr>
                    <w:t>噪声</w:t>
                  </w:r>
                </w:p>
              </w:tc>
              <w:tc>
                <w:tcPr>
                  <w:tcW w:w="1011" w:type="pct"/>
                  <w:noWrap w:val="0"/>
                  <w:vAlign w:val="center"/>
                </w:tcPr>
                <w:p>
                  <w:pPr>
                    <w:widowControl/>
                    <w:adjustRightInd w:val="0"/>
                    <w:jc w:val="center"/>
                    <w:rPr>
                      <w:rFonts w:hint="eastAsia"/>
                      <w:szCs w:val="21"/>
                    </w:rPr>
                  </w:pPr>
                  <w:r>
                    <w:rPr>
                      <w:rFonts w:hint="eastAsia"/>
                      <w:szCs w:val="21"/>
                    </w:rPr>
                    <w:t>设备运行噪声</w:t>
                  </w:r>
                </w:p>
              </w:tc>
              <w:tc>
                <w:tcPr>
                  <w:tcW w:w="2187" w:type="pct"/>
                  <w:noWrap w:val="0"/>
                  <w:vAlign w:val="center"/>
                </w:tcPr>
                <w:p>
                  <w:pPr>
                    <w:widowControl/>
                    <w:adjustRightInd w:val="0"/>
                    <w:jc w:val="center"/>
                    <w:rPr>
                      <w:kern w:val="0"/>
                      <w:szCs w:val="21"/>
                    </w:rPr>
                  </w:pPr>
                  <w:r>
                    <w:rPr>
                      <w:rFonts w:hint="eastAsia"/>
                      <w:szCs w:val="21"/>
                    </w:rPr>
                    <w:t>低噪设备、设备布置在密闭车间内，风机安装消音器，并进行基础减振降噪</w:t>
                  </w:r>
                </w:p>
              </w:tc>
              <w:tc>
                <w:tcPr>
                  <w:tcW w:w="1044" w:type="pct"/>
                  <w:noWrap w:val="0"/>
                  <w:vAlign w:val="center"/>
                </w:tcPr>
                <w:p>
                  <w:pPr>
                    <w:widowControl/>
                    <w:adjustRightInd w:val="0"/>
                    <w:jc w:val="center"/>
                    <w:rPr>
                      <w:rFonts w:hint="eastAsia"/>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restart"/>
                  <w:tcBorders>
                    <w:left w:val="single" w:color="auto" w:sz="4" w:space="0"/>
                  </w:tcBorders>
                  <w:noWrap w:val="0"/>
                  <w:vAlign w:val="center"/>
                </w:tcPr>
                <w:p>
                  <w:pPr>
                    <w:widowControl/>
                    <w:adjustRightInd w:val="0"/>
                    <w:jc w:val="center"/>
                    <w:rPr>
                      <w:szCs w:val="21"/>
                    </w:rPr>
                  </w:pPr>
                  <w:r>
                    <w:rPr>
                      <w:szCs w:val="21"/>
                    </w:rPr>
                    <w:t>废水</w:t>
                  </w:r>
                </w:p>
              </w:tc>
              <w:tc>
                <w:tcPr>
                  <w:tcW w:w="1011" w:type="pct"/>
                  <w:tcBorders>
                    <w:bottom w:val="single" w:color="auto" w:sz="4" w:space="0"/>
                  </w:tcBorders>
                  <w:noWrap w:val="0"/>
                  <w:vAlign w:val="center"/>
                </w:tcPr>
                <w:p>
                  <w:pPr>
                    <w:widowControl/>
                    <w:adjustRightInd w:val="0"/>
                    <w:jc w:val="center"/>
                    <w:rPr>
                      <w:rFonts w:hint="eastAsia"/>
                      <w:szCs w:val="21"/>
                    </w:rPr>
                  </w:pPr>
                  <w:r>
                    <w:rPr>
                      <w:rFonts w:hint="eastAsia"/>
                      <w:szCs w:val="21"/>
                    </w:rPr>
                    <w:t>生活废水</w:t>
                  </w:r>
                </w:p>
              </w:tc>
              <w:tc>
                <w:tcPr>
                  <w:tcW w:w="2187" w:type="pct"/>
                  <w:tcBorders>
                    <w:bottom w:val="single" w:color="auto" w:sz="4" w:space="0"/>
                  </w:tcBorders>
                  <w:noWrap w:val="0"/>
                  <w:vAlign w:val="center"/>
                </w:tcPr>
                <w:p>
                  <w:pPr>
                    <w:widowControl/>
                    <w:adjustRightInd w:val="0"/>
                    <w:jc w:val="center"/>
                    <w:rPr>
                      <w:rFonts w:hint="eastAsia"/>
                      <w:kern w:val="0"/>
                      <w:szCs w:val="21"/>
                    </w:rPr>
                  </w:pPr>
                  <w:r>
                    <w:rPr>
                      <w:rFonts w:hint="eastAsia"/>
                      <w:kern w:val="0"/>
                      <w:szCs w:val="21"/>
                    </w:rPr>
                    <w:t>化粪池</w:t>
                  </w:r>
                </w:p>
              </w:tc>
              <w:tc>
                <w:tcPr>
                  <w:tcW w:w="1044" w:type="pct"/>
                  <w:tcBorders>
                    <w:bottom w:val="single" w:color="auto" w:sz="4" w:space="0"/>
                  </w:tcBorders>
                  <w:noWrap w:val="0"/>
                  <w:vAlign w:val="center"/>
                </w:tcPr>
                <w:p>
                  <w:pPr>
                    <w:widowControl/>
                    <w:adjustRightInd w:val="0"/>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rPr>
                    <w:t>车辆冲洗废水</w:t>
                  </w:r>
                </w:p>
              </w:tc>
              <w:tc>
                <w:tcPr>
                  <w:tcW w:w="2187" w:type="pct"/>
                  <w:tcBorders>
                    <w:top w:val="single" w:color="auto" w:sz="4" w:space="0"/>
                  </w:tcBorders>
                  <w:noWrap w:val="0"/>
                  <w:vAlign w:val="center"/>
                </w:tcPr>
                <w:p>
                  <w:pPr>
                    <w:widowControl/>
                    <w:adjustRightInd w:val="0"/>
                    <w:jc w:val="center"/>
                    <w:rPr>
                      <w:rFonts w:hint="eastAsia"/>
                      <w:kern w:val="0"/>
                      <w:szCs w:val="21"/>
                    </w:rPr>
                  </w:pPr>
                  <w:r>
                    <w:rPr>
                      <w:rFonts w:hint="eastAsia"/>
                      <w:kern w:val="0"/>
                      <w:szCs w:val="21"/>
                    </w:rPr>
                    <w:t>沉淀池</w:t>
                  </w:r>
                </w:p>
              </w:tc>
              <w:tc>
                <w:tcPr>
                  <w:tcW w:w="1044" w:type="pct"/>
                  <w:tcBorders>
                    <w:top w:val="single" w:color="auto" w:sz="4" w:space="0"/>
                  </w:tcBorders>
                  <w:noWrap w:val="0"/>
                  <w:vAlign w:val="center"/>
                </w:tcPr>
                <w:p>
                  <w:pPr>
                    <w:widowControl/>
                    <w:adjustRightInd w:val="0"/>
                    <w:jc w:val="center"/>
                    <w:rPr>
                      <w:szCs w:val="21"/>
                    </w:rPr>
                  </w:pPr>
                  <w:r>
                    <w:rPr>
                      <w:rFonts w:hint="eastAsia"/>
                      <w:szCs w:val="21"/>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restart"/>
                  <w:tcBorders>
                    <w:left w:val="single" w:color="auto" w:sz="4" w:space="0"/>
                  </w:tcBorders>
                  <w:noWrap w:val="0"/>
                  <w:vAlign w:val="center"/>
                </w:tcPr>
                <w:p>
                  <w:pPr>
                    <w:widowControl/>
                    <w:adjustRightInd w:val="0"/>
                    <w:jc w:val="center"/>
                    <w:rPr>
                      <w:szCs w:val="21"/>
                    </w:rPr>
                  </w:pPr>
                  <w:r>
                    <w:rPr>
                      <w:szCs w:val="21"/>
                    </w:rPr>
                    <w:t>固废</w:t>
                  </w:r>
                </w:p>
              </w:tc>
              <w:tc>
                <w:tcPr>
                  <w:tcW w:w="1011" w:type="pct"/>
                  <w:tcBorders>
                    <w:bottom w:val="single" w:color="auto" w:sz="4" w:space="0"/>
                  </w:tcBorders>
                  <w:noWrap w:val="0"/>
                  <w:vAlign w:val="center"/>
                </w:tcPr>
                <w:p>
                  <w:pPr>
                    <w:widowControl/>
                    <w:adjustRightInd w:val="0"/>
                    <w:jc w:val="center"/>
                    <w:rPr>
                      <w:rFonts w:hint="eastAsia"/>
                      <w:szCs w:val="21"/>
                    </w:rPr>
                  </w:pPr>
                  <w:r>
                    <w:rPr>
                      <w:rFonts w:hint="eastAsia"/>
                      <w:szCs w:val="21"/>
                    </w:rPr>
                    <w:t>生活垃圾</w:t>
                  </w:r>
                </w:p>
              </w:tc>
              <w:tc>
                <w:tcPr>
                  <w:tcW w:w="2187" w:type="pct"/>
                  <w:tcBorders>
                    <w:bottom w:val="single" w:color="auto" w:sz="4" w:space="0"/>
                  </w:tcBorders>
                  <w:noWrap w:val="0"/>
                  <w:vAlign w:val="center"/>
                </w:tcPr>
                <w:p>
                  <w:pPr>
                    <w:widowControl/>
                    <w:adjustRightInd w:val="0"/>
                    <w:jc w:val="center"/>
                    <w:rPr>
                      <w:rFonts w:hint="eastAsia"/>
                      <w:kern w:val="0"/>
                      <w:szCs w:val="21"/>
                    </w:rPr>
                  </w:pPr>
                  <w:r>
                    <w:rPr>
                      <w:rFonts w:hint="eastAsia"/>
                      <w:kern w:val="0"/>
                      <w:szCs w:val="21"/>
                    </w:rPr>
                    <w:t>垃圾桶</w:t>
                  </w:r>
                </w:p>
              </w:tc>
              <w:tc>
                <w:tcPr>
                  <w:tcW w:w="1044" w:type="pct"/>
                  <w:tcBorders>
                    <w:bottom w:val="single" w:color="auto" w:sz="4" w:space="0"/>
                  </w:tcBorders>
                  <w:noWrap w:val="0"/>
                  <w:vAlign w:val="center"/>
                </w:tcPr>
                <w:p>
                  <w:pPr>
                    <w:widowControl/>
                    <w:adjustRightInd w:val="0"/>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bottom w:val="single" w:color="auto" w:sz="4" w:space="0"/>
                  </w:tcBorders>
                  <w:noWrap w:val="0"/>
                  <w:vAlign w:val="center"/>
                </w:tcPr>
                <w:p>
                  <w:pPr>
                    <w:widowControl/>
                    <w:adjustRightInd w:val="0"/>
                    <w:jc w:val="center"/>
                    <w:rPr>
                      <w:szCs w:val="21"/>
                    </w:rPr>
                  </w:pPr>
                  <w:r>
                    <w:rPr>
                      <w:rFonts w:hint="eastAsia"/>
                      <w:szCs w:val="21"/>
                    </w:rPr>
                    <w:t>沉淀池泥渣、除尘器粉尘</w:t>
                  </w:r>
                </w:p>
              </w:tc>
              <w:tc>
                <w:tcPr>
                  <w:tcW w:w="2187" w:type="pct"/>
                  <w:tcBorders>
                    <w:top w:val="single" w:color="auto" w:sz="4" w:space="0"/>
                    <w:bottom w:val="single" w:color="auto" w:sz="4" w:space="0"/>
                  </w:tcBorders>
                  <w:noWrap w:val="0"/>
                  <w:vAlign w:val="center"/>
                </w:tcPr>
                <w:p>
                  <w:pPr>
                    <w:widowControl/>
                    <w:adjustRightInd w:val="0"/>
                    <w:jc w:val="center"/>
                    <w:rPr>
                      <w:rFonts w:hint="eastAsia"/>
                      <w:kern w:val="0"/>
                      <w:szCs w:val="21"/>
                    </w:rPr>
                  </w:pPr>
                  <w:r>
                    <w:rPr>
                      <w:rFonts w:hint="eastAsia"/>
                      <w:kern w:val="0"/>
                      <w:szCs w:val="21"/>
                    </w:rPr>
                    <w:t>一般固废暂存间</w:t>
                  </w:r>
                </w:p>
              </w:tc>
              <w:tc>
                <w:tcPr>
                  <w:tcW w:w="1044" w:type="pct"/>
                  <w:tcBorders>
                    <w:top w:val="single" w:color="auto" w:sz="4" w:space="0"/>
                    <w:bottom w:val="single" w:color="auto" w:sz="4" w:space="0"/>
                  </w:tcBorders>
                  <w:noWrap w:val="0"/>
                  <w:vAlign w:val="center"/>
                </w:tcPr>
                <w:p>
                  <w:pPr>
                    <w:widowControl/>
                    <w:adjustRightInd w:val="0"/>
                    <w:jc w:val="center"/>
                    <w:rPr>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0"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vMerge w:val="continue"/>
                  <w:tcBorders>
                    <w:left w:val="single" w:color="auto" w:sz="4" w:space="0"/>
                  </w:tcBorders>
                  <w:noWrap w:val="0"/>
                  <w:vAlign w:val="center"/>
                </w:tcPr>
                <w:p>
                  <w:pPr>
                    <w:widowControl/>
                    <w:adjustRightInd w:val="0"/>
                    <w:jc w:val="center"/>
                    <w:rPr>
                      <w:szCs w:val="21"/>
                    </w:rPr>
                  </w:pPr>
                </w:p>
              </w:tc>
              <w:tc>
                <w:tcPr>
                  <w:tcW w:w="1011" w:type="pct"/>
                  <w:tcBorders>
                    <w:top w:val="single" w:color="auto" w:sz="4" w:space="0"/>
                  </w:tcBorders>
                  <w:noWrap w:val="0"/>
                  <w:vAlign w:val="center"/>
                </w:tcPr>
                <w:p>
                  <w:pPr>
                    <w:widowControl/>
                    <w:adjustRightInd w:val="0"/>
                    <w:jc w:val="center"/>
                    <w:rPr>
                      <w:rFonts w:hint="eastAsia"/>
                      <w:szCs w:val="21"/>
                    </w:rPr>
                  </w:pPr>
                  <w:r>
                    <w:rPr>
                      <w:rFonts w:hint="eastAsia"/>
                      <w:szCs w:val="21"/>
                    </w:rPr>
                    <w:t>含油抹布</w:t>
                  </w:r>
                </w:p>
              </w:tc>
              <w:tc>
                <w:tcPr>
                  <w:tcW w:w="2187" w:type="pct"/>
                  <w:tcBorders>
                    <w:top w:val="single" w:color="auto" w:sz="4" w:space="0"/>
                  </w:tcBorders>
                  <w:noWrap w:val="0"/>
                  <w:vAlign w:val="center"/>
                </w:tcPr>
                <w:p>
                  <w:pPr>
                    <w:widowControl/>
                    <w:adjustRightInd w:val="0"/>
                    <w:jc w:val="center"/>
                    <w:rPr>
                      <w:rFonts w:hint="eastAsia"/>
                      <w:kern w:val="0"/>
                      <w:szCs w:val="21"/>
                    </w:rPr>
                  </w:pPr>
                  <w:r>
                    <w:rPr>
                      <w:rFonts w:hint="eastAsia"/>
                      <w:kern w:val="0"/>
                      <w:szCs w:val="21"/>
                    </w:rPr>
                    <w:t>危废暂存间</w:t>
                  </w:r>
                </w:p>
              </w:tc>
              <w:tc>
                <w:tcPr>
                  <w:tcW w:w="1044" w:type="pct"/>
                  <w:tcBorders>
                    <w:top w:val="single" w:color="auto" w:sz="4" w:space="0"/>
                  </w:tcBorders>
                  <w:noWrap w:val="0"/>
                  <w:vAlign w:val="center"/>
                </w:tcPr>
                <w:p>
                  <w:pPr>
                    <w:widowControl/>
                    <w:adjustRightInd w:val="0"/>
                    <w:jc w:val="center"/>
                    <w:rPr>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tcBorders>
                    <w:left w:val="single" w:color="auto" w:sz="4" w:space="0"/>
                  </w:tcBorders>
                  <w:noWrap w:val="0"/>
                  <w:vAlign w:val="center"/>
                </w:tcPr>
                <w:p>
                  <w:pPr>
                    <w:widowControl/>
                    <w:adjustRightInd w:val="0"/>
                    <w:jc w:val="center"/>
                    <w:rPr>
                      <w:szCs w:val="21"/>
                    </w:rPr>
                  </w:pPr>
                  <w:r>
                    <w:rPr>
                      <w:szCs w:val="21"/>
                    </w:rPr>
                    <w:t>风险</w:t>
                  </w:r>
                </w:p>
              </w:tc>
              <w:tc>
                <w:tcPr>
                  <w:tcW w:w="1011" w:type="pct"/>
                  <w:noWrap w:val="0"/>
                  <w:vAlign w:val="center"/>
                </w:tcPr>
                <w:p>
                  <w:pPr>
                    <w:widowControl/>
                    <w:adjustRightInd w:val="0"/>
                    <w:jc w:val="center"/>
                    <w:rPr>
                      <w:rFonts w:hint="eastAsia"/>
                      <w:szCs w:val="21"/>
                    </w:rPr>
                  </w:pPr>
                  <w:r>
                    <w:rPr>
                      <w:rFonts w:hint="eastAsia"/>
                      <w:szCs w:val="21"/>
                    </w:rPr>
                    <w:t>危废暂存间</w:t>
                  </w:r>
                </w:p>
              </w:tc>
              <w:tc>
                <w:tcPr>
                  <w:tcW w:w="2187" w:type="pct"/>
                  <w:noWrap w:val="0"/>
                  <w:vAlign w:val="center"/>
                </w:tcPr>
                <w:p>
                  <w:pPr>
                    <w:widowControl/>
                    <w:adjustRightInd w:val="0"/>
                    <w:jc w:val="center"/>
                    <w:rPr>
                      <w:rFonts w:hint="eastAsia"/>
                      <w:kern w:val="0"/>
                      <w:szCs w:val="21"/>
                    </w:rPr>
                  </w:pPr>
                  <w:r>
                    <w:rPr>
                      <w:rFonts w:hint="eastAsia"/>
                      <w:kern w:val="0"/>
                      <w:szCs w:val="21"/>
                    </w:rPr>
                    <w:t>表面防渗和基础防渗</w:t>
                  </w:r>
                </w:p>
              </w:tc>
              <w:tc>
                <w:tcPr>
                  <w:tcW w:w="1044" w:type="pct"/>
                  <w:noWrap w:val="0"/>
                  <w:vAlign w:val="center"/>
                </w:tcPr>
                <w:p>
                  <w:pPr>
                    <w:widowControl/>
                    <w:adjustRightInd w:val="0"/>
                    <w:jc w:val="center"/>
                    <w:rPr>
                      <w:rFonts w:hint="eastAsia"/>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92" w:type="pct"/>
                  <w:vMerge w:val="continue"/>
                  <w:tcBorders>
                    <w:right w:val="single" w:color="auto" w:sz="4" w:space="0"/>
                  </w:tcBorders>
                  <w:noWrap w:val="0"/>
                  <w:vAlign w:val="center"/>
                </w:tcPr>
                <w:p>
                  <w:pPr>
                    <w:widowControl/>
                    <w:adjustRightInd w:val="0"/>
                    <w:jc w:val="center"/>
                    <w:rPr>
                      <w:szCs w:val="21"/>
                    </w:rPr>
                  </w:pPr>
                </w:p>
              </w:tc>
              <w:tc>
                <w:tcPr>
                  <w:tcW w:w="564" w:type="pct"/>
                  <w:tcBorders>
                    <w:left w:val="single" w:color="auto" w:sz="4" w:space="0"/>
                  </w:tcBorders>
                  <w:noWrap w:val="0"/>
                  <w:vAlign w:val="center"/>
                </w:tcPr>
                <w:p>
                  <w:pPr>
                    <w:widowControl/>
                    <w:adjustRightInd w:val="0"/>
                    <w:jc w:val="center"/>
                    <w:rPr>
                      <w:rFonts w:hint="eastAsia" w:eastAsia="宋体"/>
                      <w:szCs w:val="21"/>
                      <w:lang w:eastAsia="zh-CN"/>
                    </w:rPr>
                  </w:pPr>
                  <w:r>
                    <w:rPr>
                      <w:rFonts w:hint="eastAsia"/>
                      <w:szCs w:val="21"/>
                      <w:lang w:eastAsia="zh-CN"/>
                    </w:rPr>
                    <w:t>生态</w:t>
                  </w:r>
                </w:p>
              </w:tc>
              <w:tc>
                <w:tcPr>
                  <w:tcW w:w="1011" w:type="pct"/>
                  <w:noWrap w:val="0"/>
                  <w:vAlign w:val="center"/>
                </w:tcPr>
                <w:p>
                  <w:pPr>
                    <w:widowControl/>
                    <w:adjustRightInd w:val="0"/>
                    <w:jc w:val="center"/>
                    <w:rPr>
                      <w:rFonts w:hint="eastAsia" w:eastAsia="宋体"/>
                      <w:szCs w:val="21"/>
                      <w:lang w:eastAsia="zh-CN"/>
                    </w:rPr>
                  </w:pPr>
                  <w:r>
                    <w:rPr>
                      <w:rFonts w:hint="eastAsia"/>
                      <w:szCs w:val="21"/>
                      <w:lang w:eastAsia="zh-CN"/>
                    </w:rPr>
                    <w:t>林地、旱地</w:t>
                  </w:r>
                </w:p>
              </w:tc>
              <w:tc>
                <w:tcPr>
                  <w:tcW w:w="2187" w:type="pct"/>
                  <w:noWrap w:val="0"/>
                  <w:vAlign w:val="center"/>
                </w:tcPr>
                <w:p>
                  <w:pPr>
                    <w:widowControl/>
                    <w:adjustRightInd w:val="0"/>
                    <w:jc w:val="center"/>
                    <w:rPr>
                      <w:rFonts w:hint="eastAsia" w:eastAsia="宋体"/>
                      <w:kern w:val="0"/>
                      <w:szCs w:val="21"/>
                      <w:lang w:eastAsia="zh-CN"/>
                    </w:rPr>
                  </w:pPr>
                  <w:r>
                    <w:rPr>
                      <w:rFonts w:hint="eastAsia"/>
                      <w:kern w:val="0"/>
                      <w:szCs w:val="21"/>
                      <w:lang w:eastAsia="zh-CN"/>
                    </w:rPr>
                    <w:t>种植绿化，截洪沟、排水沟，雨水收集池。</w:t>
                  </w:r>
                </w:p>
              </w:tc>
              <w:tc>
                <w:tcPr>
                  <w:tcW w:w="1044" w:type="pct"/>
                  <w:noWrap w:val="0"/>
                  <w:vAlign w:val="center"/>
                </w:tcPr>
                <w:p>
                  <w:pPr>
                    <w:widowControl/>
                    <w:adjustRightInd w:val="0"/>
                    <w:jc w:val="center"/>
                    <w:rPr>
                      <w:rFonts w:hint="default" w:eastAsia="宋体"/>
                      <w:szCs w:val="21"/>
                      <w:lang w:val="en-US" w:eastAsia="zh-CN"/>
                    </w:rPr>
                  </w:pPr>
                  <w:r>
                    <w:rPr>
                      <w:rFonts w:hint="eastAsia"/>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55" w:type="pct"/>
                  <w:gridSpan w:val="4"/>
                  <w:noWrap w:val="0"/>
                  <w:vAlign w:val="center"/>
                </w:tcPr>
                <w:p>
                  <w:pPr>
                    <w:widowControl/>
                    <w:adjustRightInd w:val="0"/>
                    <w:jc w:val="center"/>
                    <w:rPr>
                      <w:szCs w:val="21"/>
                    </w:rPr>
                  </w:pPr>
                  <w:r>
                    <w:rPr>
                      <w:szCs w:val="21"/>
                    </w:rPr>
                    <w:t>合计</w:t>
                  </w:r>
                </w:p>
              </w:tc>
              <w:tc>
                <w:tcPr>
                  <w:tcW w:w="1044" w:type="pct"/>
                  <w:noWrap w:val="0"/>
                  <w:vAlign w:val="center"/>
                </w:tcPr>
                <w:p>
                  <w:pPr>
                    <w:widowControl/>
                    <w:adjustRightInd w:val="0"/>
                    <w:jc w:val="center"/>
                    <w:rPr>
                      <w:szCs w:val="21"/>
                    </w:rPr>
                  </w:pPr>
                  <w:r>
                    <w:rPr>
                      <w:rFonts w:hint="eastAsia"/>
                      <w:szCs w:val="21"/>
                      <w:lang w:val="en-US" w:eastAsia="zh-CN"/>
                    </w:rPr>
                    <w:t>42.2</w:t>
                  </w:r>
                  <w:r>
                    <w:rPr>
                      <w:rFonts w:hint="eastAsia"/>
                      <w:szCs w:val="21"/>
                    </w:rPr>
                    <w:t>0</w:t>
                  </w:r>
                </w:p>
              </w:tc>
            </w:tr>
          </w:tbl>
          <w:p>
            <w:pPr>
              <w:keepNext/>
              <w:keepLines/>
              <w:wordWrap w:val="0"/>
              <w:spacing w:before="192" w:beforeLines="80" w:after="192" w:afterLines="80"/>
              <w:outlineLvl w:val="2"/>
              <w:rPr>
                <w:rFonts w:hint="eastAsia"/>
                <w:b/>
                <w:bCs/>
                <w:sz w:val="28"/>
                <w:szCs w:val="32"/>
              </w:rPr>
            </w:pPr>
            <w:r>
              <w:rPr>
                <w:rFonts w:hint="eastAsia"/>
                <w:b/>
                <w:bCs/>
                <w:sz w:val="28"/>
                <w:szCs w:val="32"/>
              </w:rPr>
              <w:t>4.2.9电磁辐射</w:t>
            </w:r>
          </w:p>
          <w:p>
            <w:pPr>
              <w:keepNext/>
              <w:adjustRightInd w:val="0"/>
              <w:snapToGrid w:val="0"/>
              <w:spacing w:line="360" w:lineRule="auto"/>
              <w:ind w:firstLine="480" w:firstLineChars="200"/>
              <w:rPr>
                <w:rFonts w:ascii="宋体" w:hAnsi="宋体" w:cs="宋体"/>
                <w:bCs/>
                <w:spacing w:val="-10"/>
                <w:szCs w:val="21"/>
              </w:rPr>
            </w:pPr>
            <w:r>
              <w:rPr>
                <w:rFonts w:hint="eastAsia"/>
                <w:sz w:val="24"/>
              </w:rPr>
              <w:t>本项目不属于新建或改建、扩建广播电台、差转台、电视塔台、卫星地球上行站、雷达等电磁辐射类项目，无需开展电磁辐射影响评价。</w:t>
            </w:r>
            <w:bookmarkEnd w:id="131"/>
            <w:bookmarkEnd w:id="132"/>
          </w:p>
        </w:tc>
      </w:tr>
    </w:tbl>
    <w:p>
      <w:pPr>
        <w:adjustRightInd w:val="0"/>
        <w:snapToGrid w:val="0"/>
        <w:spacing w:line="360" w:lineRule="auto"/>
        <w:jc w:val="center"/>
        <w:rPr>
          <w:rFonts w:hint="eastAsia" w:ascii="宋体" w:cs="宋体"/>
          <w:b/>
          <w:kern w:val="0"/>
          <w:sz w:val="28"/>
          <w:szCs w:val="28"/>
        </w:rPr>
        <w:sectPr>
          <w:pgSz w:w="11907" w:h="16840"/>
          <w:pgMar w:top="1440" w:right="1083" w:bottom="1440" w:left="1083" w:header="851" w:footer="851" w:gutter="0"/>
          <w:pgNumType w:fmt="numberInDash"/>
          <w:cols w:space="720" w:num="1"/>
          <w:docGrid w:linePitch="312" w:charSpace="0"/>
        </w:sectPr>
      </w:pPr>
    </w:p>
    <w:p>
      <w:pPr>
        <w:keepNext/>
        <w:wordWrap w:val="0"/>
        <w:overflowPunct w:val="0"/>
        <w:snapToGrid w:val="0"/>
        <w:spacing w:before="120" w:after="160" w:line="260" w:lineRule="auto"/>
        <w:outlineLvl w:val="0"/>
        <w:rPr>
          <w:rFonts w:eastAsia="黑体"/>
          <w:b/>
          <w:bCs/>
          <w:kern w:val="44"/>
          <w:sz w:val="36"/>
          <w:szCs w:val="30"/>
        </w:rPr>
      </w:pPr>
      <w:bookmarkStart w:id="133" w:name="_Toc111721086"/>
      <w:bookmarkStart w:id="134" w:name="_Toc21392"/>
      <w:bookmarkStart w:id="135" w:name="_Toc3146"/>
      <w:r>
        <w:rPr>
          <w:rFonts w:hint="eastAsia" w:eastAsia="黑体"/>
          <w:b/>
          <w:bCs/>
          <w:kern w:val="44"/>
          <w:sz w:val="36"/>
          <w:szCs w:val="30"/>
        </w:rPr>
        <w:t>五、</w:t>
      </w:r>
      <w:bookmarkStart w:id="136" w:name="_Hlk54167917"/>
      <w:r>
        <w:rPr>
          <w:rFonts w:hint="eastAsia" w:eastAsia="黑体"/>
          <w:b/>
          <w:bCs/>
          <w:kern w:val="44"/>
          <w:sz w:val="36"/>
          <w:szCs w:val="30"/>
        </w:rPr>
        <w:t>环境保护措施监督检查清单</w:t>
      </w:r>
      <w:bookmarkEnd w:id="133"/>
      <w:bookmarkEnd w:id="134"/>
      <w:bookmarkEnd w:id="135"/>
      <w:bookmarkEnd w:id="136"/>
    </w:p>
    <w:tbl>
      <w:tblPr>
        <w:tblStyle w:val="24"/>
        <w:tblW w:w="500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1976"/>
        <w:gridCol w:w="1499"/>
        <w:gridCol w:w="2664"/>
        <w:gridCol w:w="23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tcBorders>
              <w:tl2br w:val="single" w:color="auto" w:sz="4" w:space="0"/>
            </w:tcBorders>
            <w:noWrap w:val="0"/>
            <w:vAlign w:val="top"/>
          </w:tcPr>
          <w:p>
            <w:pPr>
              <w:adjustRightInd w:val="0"/>
              <w:jc w:val="right"/>
              <w:textAlignment w:val="baseline"/>
              <w:rPr>
                <w:b/>
                <w:bCs/>
                <w:kern w:val="0"/>
                <w:szCs w:val="21"/>
              </w:rPr>
            </w:pPr>
            <w:r>
              <w:rPr>
                <w:b/>
                <w:bCs/>
                <w:kern w:val="0"/>
                <w:szCs w:val="21"/>
              </w:rPr>
              <w:t>内容</w:t>
            </w:r>
          </w:p>
          <w:p>
            <w:pPr>
              <w:adjustRightInd w:val="0"/>
              <w:jc w:val="left"/>
              <w:textAlignment w:val="baseline"/>
              <w:rPr>
                <w:b/>
                <w:bCs/>
                <w:kern w:val="0"/>
                <w:szCs w:val="21"/>
              </w:rPr>
            </w:pPr>
            <w:r>
              <w:rPr>
                <w:b/>
                <w:bCs/>
                <w:kern w:val="0"/>
                <w:szCs w:val="21"/>
              </w:rPr>
              <w:t>要素</w:t>
            </w:r>
          </w:p>
        </w:tc>
        <w:tc>
          <w:tcPr>
            <w:tcW w:w="991" w:type="pct"/>
            <w:tcBorders>
              <w:right w:val="single" w:color="auto" w:sz="4" w:space="0"/>
            </w:tcBorders>
            <w:noWrap w:val="0"/>
            <w:vAlign w:val="center"/>
          </w:tcPr>
          <w:p>
            <w:pPr>
              <w:adjustRightInd w:val="0"/>
              <w:jc w:val="center"/>
              <w:textAlignment w:val="baseline"/>
              <w:rPr>
                <w:b/>
                <w:bCs/>
                <w:kern w:val="0"/>
                <w:szCs w:val="21"/>
              </w:rPr>
            </w:pPr>
            <w:r>
              <w:rPr>
                <w:b/>
                <w:bCs/>
                <w:kern w:val="0"/>
                <w:szCs w:val="21"/>
              </w:rPr>
              <w:t>排放口（编号、名称）/污染源</w:t>
            </w:r>
          </w:p>
        </w:tc>
        <w:tc>
          <w:tcPr>
            <w:tcW w:w="752" w:type="pct"/>
            <w:tcBorders>
              <w:left w:val="single" w:color="auto" w:sz="4" w:space="0"/>
            </w:tcBorders>
            <w:noWrap w:val="0"/>
            <w:vAlign w:val="center"/>
          </w:tcPr>
          <w:p>
            <w:pPr>
              <w:adjustRightInd w:val="0"/>
              <w:jc w:val="center"/>
              <w:textAlignment w:val="baseline"/>
              <w:rPr>
                <w:b/>
                <w:bCs/>
                <w:kern w:val="0"/>
                <w:szCs w:val="21"/>
              </w:rPr>
            </w:pPr>
            <w:r>
              <w:rPr>
                <w:b/>
                <w:bCs/>
                <w:kern w:val="0"/>
                <w:szCs w:val="21"/>
              </w:rPr>
              <w:t>污染物项目</w:t>
            </w:r>
          </w:p>
        </w:tc>
        <w:tc>
          <w:tcPr>
            <w:tcW w:w="1336" w:type="pct"/>
            <w:noWrap w:val="0"/>
            <w:vAlign w:val="center"/>
          </w:tcPr>
          <w:p>
            <w:pPr>
              <w:adjustRightInd w:val="0"/>
              <w:jc w:val="center"/>
              <w:textAlignment w:val="baseline"/>
              <w:rPr>
                <w:b/>
                <w:bCs/>
                <w:kern w:val="0"/>
                <w:szCs w:val="21"/>
              </w:rPr>
            </w:pPr>
            <w:r>
              <w:rPr>
                <w:b/>
                <w:bCs/>
                <w:kern w:val="0"/>
                <w:szCs w:val="21"/>
              </w:rPr>
              <w:t>环境保护措施</w:t>
            </w:r>
          </w:p>
        </w:tc>
        <w:tc>
          <w:tcPr>
            <w:tcW w:w="1187" w:type="pct"/>
            <w:noWrap w:val="0"/>
            <w:vAlign w:val="center"/>
          </w:tcPr>
          <w:p>
            <w:pPr>
              <w:adjustRightInd w:val="0"/>
              <w:jc w:val="center"/>
              <w:textAlignment w:val="baseline"/>
              <w:rPr>
                <w:b/>
                <w:bCs/>
                <w:kern w:val="0"/>
                <w:szCs w:val="21"/>
              </w:rPr>
            </w:pPr>
            <w:r>
              <w:rPr>
                <w:b/>
                <w:bCs/>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vMerge w:val="restart"/>
            <w:noWrap w:val="0"/>
            <w:vAlign w:val="center"/>
          </w:tcPr>
          <w:p>
            <w:pPr>
              <w:adjustRightInd w:val="0"/>
              <w:jc w:val="center"/>
              <w:textAlignment w:val="baseline"/>
              <w:rPr>
                <w:kern w:val="0"/>
                <w:szCs w:val="21"/>
              </w:rPr>
            </w:pPr>
            <w:r>
              <w:rPr>
                <w:kern w:val="0"/>
                <w:szCs w:val="21"/>
              </w:rPr>
              <w:t>大气环境</w:t>
            </w:r>
          </w:p>
        </w:tc>
        <w:tc>
          <w:tcPr>
            <w:tcW w:w="991" w:type="pct"/>
            <w:noWrap w:val="0"/>
            <w:vAlign w:val="center"/>
          </w:tcPr>
          <w:p>
            <w:pPr>
              <w:adjustRightInd w:val="0"/>
              <w:jc w:val="center"/>
              <w:rPr>
                <w:szCs w:val="21"/>
              </w:rPr>
            </w:pPr>
            <w:r>
              <w:rPr>
                <w:rFonts w:hint="eastAsia"/>
                <w:szCs w:val="21"/>
              </w:rPr>
              <w:t>布袋除尘器处理废气排放口DA001</w:t>
            </w:r>
          </w:p>
        </w:tc>
        <w:tc>
          <w:tcPr>
            <w:tcW w:w="752" w:type="pct"/>
            <w:noWrap w:val="0"/>
            <w:vAlign w:val="center"/>
          </w:tcPr>
          <w:p>
            <w:pPr>
              <w:adjustRightInd w:val="0"/>
              <w:jc w:val="center"/>
              <w:rPr>
                <w:szCs w:val="21"/>
              </w:rPr>
            </w:pPr>
            <w:r>
              <w:rPr>
                <w:szCs w:val="21"/>
              </w:rPr>
              <w:t>颗粒物</w:t>
            </w:r>
          </w:p>
        </w:tc>
        <w:tc>
          <w:tcPr>
            <w:tcW w:w="1336" w:type="pct"/>
            <w:noWrap w:val="0"/>
            <w:vAlign w:val="center"/>
          </w:tcPr>
          <w:p>
            <w:pPr>
              <w:adjustRightInd w:val="0"/>
              <w:jc w:val="center"/>
              <w:rPr>
                <w:szCs w:val="21"/>
              </w:rPr>
            </w:pPr>
            <w:r>
              <w:rPr>
                <w:rFonts w:hint="eastAsia"/>
                <w:szCs w:val="21"/>
              </w:rPr>
              <w:t>集气罩+布袋除尘器+</w:t>
            </w:r>
            <w:r>
              <w:rPr>
                <w:szCs w:val="21"/>
              </w:rPr>
              <w:t>15m</w:t>
            </w:r>
            <w:r>
              <w:rPr>
                <w:rFonts w:hint="eastAsia"/>
                <w:szCs w:val="21"/>
              </w:rPr>
              <w:t>排气筒</w:t>
            </w:r>
          </w:p>
        </w:tc>
        <w:tc>
          <w:tcPr>
            <w:tcW w:w="1187" w:type="pct"/>
            <w:noWrap w:val="0"/>
            <w:vAlign w:val="center"/>
          </w:tcPr>
          <w:p>
            <w:pPr>
              <w:adjustRightInd w:val="0"/>
              <w:jc w:val="center"/>
              <w:rPr>
                <w:szCs w:val="21"/>
              </w:rPr>
            </w:pPr>
            <w:r>
              <w:rPr>
                <w:szCs w:val="21"/>
              </w:rPr>
              <w:t>颗粒物执行《大气污染物综合排放标准》（GB16297-1996）中二级标准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733" w:type="pct"/>
            <w:vMerge w:val="continue"/>
            <w:noWrap w:val="0"/>
            <w:vAlign w:val="center"/>
          </w:tcPr>
          <w:p>
            <w:pPr>
              <w:adjustRightInd w:val="0"/>
              <w:jc w:val="center"/>
              <w:textAlignment w:val="baseline"/>
              <w:rPr>
                <w:kern w:val="0"/>
                <w:szCs w:val="21"/>
              </w:rPr>
            </w:pPr>
          </w:p>
        </w:tc>
        <w:tc>
          <w:tcPr>
            <w:tcW w:w="1798" w:type="dxa"/>
            <w:tcBorders>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生产车间无组织A1</w:t>
            </w:r>
          </w:p>
        </w:tc>
        <w:tc>
          <w:tcPr>
            <w:tcW w:w="752" w:type="pct"/>
            <w:vMerge w:val="restart"/>
            <w:noWrap w:val="0"/>
            <w:vAlign w:val="center"/>
          </w:tcPr>
          <w:p>
            <w:pPr>
              <w:adjustRightInd w:val="0"/>
              <w:jc w:val="center"/>
              <w:textAlignment w:val="baseline"/>
              <w:rPr>
                <w:szCs w:val="21"/>
              </w:rPr>
            </w:pPr>
            <w:r>
              <w:rPr>
                <w:rFonts w:hint="eastAsia"/>
                <w:szCs w:val="21"/>
              </w:rPr>
              <w:t>颗粒物</w:t>
            </w:r>
          </w:p>
        </w:tc>
        <w:tc>
          <w:tcPr>
            <w:tcW w:w="2424" w:type="dxa"/>
            <w:tcBorders>
              <w:bottom w:val="single" w:color="auto" w:sz="4" w:space="0"/>
            </w:tcBorders>
            <w:noWrap w:val="0"/>
            <w:vAlign w:val="center"/>
          </w:tcPr>
          <w:p>
            <w:pPr>
              <w:adjustRightIn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洒水降尘、</w:t>
            </w:r>
            <w:r>
              <w:rPr>
                <w:rFonts w:hint="eastAsia" w:ascii="Times New Roman" w:hAnsi="Times New Roman" w:eastAsia="宋体" w:cs="Times New Roman"/>
                <w:color w:val="auto"/>
                <w:szCs w:val="21"/>
                <w:lang w:val="en-US" w:eastAsia="zh-CN"/>
              </w:rPr>
              <w:t>车间密闭</w:t>
            </w:r>
          </w:p>
        </w:tc>
        <w:tc>
          <w:tcPr>
            <w:tcW w:w="1187" w:type="pct"/>
            <w:vMerge w:val="restart"/>
            <w:noWrap w:val="0"/>
            <w:vAlign w:val="center"/>
          </w:tcPr>
          <w:p>
            <w:pPr>
              <w:adjustRightInd w:val="0"/>
              <w:jc w:val="center"/>
              <w:rPr>
                <w:szCs w:val="21"/>
              </w:rPr>
            </w:pPr>
            <w:r>
              <w:rPr>
                <w:rFonts w:hint="eastAsia"/>
                <w:szCs w:val="21"/>
              </w:rPr>
              <w:t>《大气污染物综合排放标准（GB16297-1996）》表2新污染源大气污染物排放限值无组织排放监控浓度限值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733" w:type="pct"/>
            <w:vMerge w:val="continue"/>
            <w:noWrap w:val="0"/>
            <w:vAlign w:val="center"/>
          </w:tcPr>
          <w:p>
            <w:pPr>
              <w:adjustRightInd w:val="0"/>
              <w:jc w:val="center"/>
              <w:textAlignment w:val="baseline"/>
              <w:rPr>
                <w:kern w:val="0"/>
                <w:szCs w:val="21"/>
              </w:rPr>
            </w:pPr>
          </w:p>
        </w:tc>
        <w:tc>
          <w:tcPr>
            <w:tcW w:w="1798"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原料</w:t>
            </w:r>
            <w:r>
              <w:rPr>
                <w:rFonts w:hint="eastAsia" w:ascii="Times New Roman" w:hAnsi="Times New Roman" w:eastAsia="宋体" w:cs="Times New Roman"/>
                <w:szCs w:val="21"/>
                <w:lang w:eastAsia="zh-CN"/>
              </w:rPr>
              <w:t>堆场装卸无组织</w:t>
            </w:r>
            <w:r>
              <w:rPr>
                <w:rFonts w:hint="eastAsia" w:ascii="Times New Roman" w:hAnsi="Times New Roman" w:eastAsia="宋体" w:cs="Times New Roman"/>
                <w:szCs w:val="21"/>
              </w:rPr>
              <w:t>A2</w:t>
            </w:r>
          </w:p>
        </w:tc>
        <w:tc>
          <w:tcPr>
            <w:tcW w:w="752" w:type="pct"/>
            <w:vMerge w:val="continue"/>
            <w:noWrap w:val="0"/>
            <w:vAlign w:val="center"/>
          </w:tcPr>
          <w:p>
            <w:pPr>
              <w:adjustRightInd w:val="0"/>
              <w:jc w:val="center"/>
              <w:textAlignment w:val="baseline"/>
              <w:rPr>
                <w:rFonts w:hint="eastAsia"/>
                <w:szCs w:val="21"/>
              </w:rPr>
            </w:pPr>
          </w:p>
        </w:tc>
        <w:tc>
          <w:tcPr>
            <w:tcW w:w="2424"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eastAsia="zh-CN"/>
              </w:rPr>
              <w:t>原料堆场进场土工布苫盖，</w:t>
            </w:r>
            <w:r>
              <w:rPr>
                <w:rFonts w:hint="eastAsia" w:ascii="Times New Roman" w:hAnsi="Times New Roman" w:eastAsia="宋体" w:cs="Times New Roman"/>
                <w:szCs w:val="21"/>
              </w:rPr>
              <w:t>在卸料处设置喷淋洒水装置</w:t>
            </w:r>
          </w:p>
        </w:tc>
        <w:tc>
          <w:tcPr>
            <w:tcW w:w="1187" w:type="pct"/>
            <w:vMerge w:val="continue"/>
            <w:noWrap w:val="0"/>
            <w:vAlign w:val="center"/>
          </w:tcPr>
          <w:p>
            <w:pPr>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 w:hRule="atLeast"/>
          <w:jc w:val="center"/>
        </w:trPr>
        <w:tc>
          <w:tcPr>
            <w:tcW w:w="733" w:type="pct"/>
            <w:vMerge w:val="continue"/>
            <w:noWrap w:val="0"/>
            <w:vAlign w:val="center"/>
          </w:tcPr>
          <w:p>
            <w:pPr>
              <w:adjustRightInd w:val="0"/>
              <w:jc w:val="center"/>
              <w:textAlignment w:val="baseline"/>
              <w:rPr>
                <w:kern w:val="0"/>
                <w:szCs w:val="21"/>
              </w:rPr>
            </w:pPr>
          </w:p>
        </w:tc>
        <w:tc>
          <w:tcPr>
            <w:tcW w:w="1798"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eastAsia="zh-CN"/>
              </w:rPr>
              <w:t>产品仓库产品运输无组织</w:t>
            </w:r>
            <w:r>
              <w:rPr>
                <w:rFonts w:hint="eastAsia" w:ascii="Times New Roman" w:hAnsi="Times New Roman" w:eastAsia="宋体" w:cs="Times New Roman"/>
                <w:szCs w:val="21"/>
              </w:rPr>
              <w:t>A3</w:t>
            </w:r>
          </w:p>
        </w:tc>
        <w:tc>
          <w:tcPr>
            <w:tcW w:w="752" w:type="pct"/>
            <w:vMerge w:val="continue"/>
            <w:noWrap w:val="0"/>
            <w:vAlign w:val="center"/>
          </w:tcPr>
          <w:p>
            <w:pPr>
              <w:adjustRightInd w:val="0"/>
              <w:jc w:val="center"/>
              <w:textAlignment w:val="baseline"/>
              <w:rPr>
                <w:rFonts w:hint="eastAsia"/>
                <w:szCs w:val="21"/>
              </w:rPr>
            </w:pPr>
          </w:p>
        </w:tc>
        <w:tc>
          <w:tcPr>
            <w:tcW w:w="2424"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定期派专人进行路面清扫，保持路面清洁、定期对路面进行洒水抑尘</w:t>
            </w:r>
            <w:r>
              <w:rPr>
                <w:rFonts w:hint="eastAsia" w:ascii="Times New Roman" w:hAnsi="Times New Roman" w:eastAsia="宋体" w:cs="Times New Roman"/>
                <w:szCs w:val="21"/>
                <w:lang w:eastAsia="zh-CN"/>
              </w:rPr>
              <w:t>、运输车辆进场土工布覆盖</w:t>
            </w:r>
          </w:p>
        </w:tc>
        <w:tc>
          <w:tcPr>
            <w:tcW w:w="1187" w:type="pct"/>
            <w:vMerge w:val="continue"/>
            <w:noWrap w:val="0"/>
            <w:vAlign w:val="center"/>
          </w:tcPr>
          <w:p>
            <w:pPr>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733" w:type="pct"/>
            <w:vMerge w:val="continue"/>
            <w:noWrap w:val="0"/>
            <w:vAlign w:val="center"/>
          </w:tcPr>
          <w:p>
            <w:pPr>
              <w:adjustRightInd w:val="0"/>
              <w:jc w:val="center"/>
              <w:textAlignment w:val="baseline"/>
              <w:rPr>
                <w:kern w:val="0"/>
                <w:szCs w:val="21"/>
              </w:rPr>
            </w:pPr>
          </w:p>
        </w:tc>
        <w:tc>
          <w:tcPr>
            <w:tcW w:w="1798"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产品仓库</w:t>
            </w:r>
            <w:r>
              <w:rPr>
                <w:rFonts w:hint="eastAsia" w:ascii="Times New Roman" w:hAnsi="Times New Roman" w:eastAsia="宋体" w:cs="Times New Roman"/>
                <w:szCs w:val="21"/>
                <w:lang w:eastAsia="zh-CN"/>
              </w:rPr>
              <w:t>产品堆场无组织</w:t>
            </w:r>
            <w:r>
              <w:rPr>
                <w:rFonts w:hint="eastAsia" w:ascii="Times New Roman" w:hAnsi="Times New Roman" w:eastAsia="宋体" w:cs="Times New Roman"/>
                <w:szCs w:val="21"/>
              </w:rPr>
              <w:t>A4</w:t>
            </w:r>
          </w:p>
        </w:tc>
        <w:tc>
          <w:tcPr>
            <w:tcW w:w="752" w:type="pct"/>
            <w:vMerge w:val="continue"/>
            <w:noWrap w:val="0"/>
            <w:vAlign w:val="center"/>
          </w:tcPr>
          <w:p>
            <w:pPr>
              <w:adjustRightInd w:val="0"/>
              <w:jc w:val="center"/>
              <w:textAlignment w:val="baseline"/>
              <w:rPr>
                <w:rFonts w:hint="eastAsia"/>
                <w:szCs w:val="21"/>
              </w:rPr>
            </w:pPr>
          </w:p>
        </w:tc>
        <w:tc>
          <w:tcPr>
            <w:tcW w:w="2424" w:type="dxa"/>
            <w:tcBorders>
              <w:top w:val="single" w:color="auto" w:sz="4" w:space="0"/>
              <w:bottom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三面封闭钢架棚结构并配备喷淋设施对堆场进行酒水降尘</w:t>
            </w:r>
          </w:p>
        </w:tc>
        <w:tc>
          <w:tcPr>
            <w:tcW w:w="1187" w:type="pct"/>
            <w:vMerge w:val="continue"/>
            <w:noWrap w:val="0"/>
            <w:vAlign w:val="center"/>
          </w:tcPr>
          <w:p>
            <w:pPr>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733" w:type="pct"/>
            <w:vMerge w:val="continue"/>
            <w:noWrap w:val="0"/>
            <w:vAlign w:val="center"/>
          </w:tcPr>
          <w:p>
            <w:pPr>
              <w:adjustRightInd w:val="0"/>
              <w:jc w:val="center"/>
              <w:textAlignment w:val="baseline"/>
              <w:rPr>
                <w:kern w:val="0"/>
                <w:szCs w:val="21"/>
              </w:rPr>
            </w:pPr>
          </w:p>
        </w:tc>
        <w:tc>
          <w:tcPr>
            <w:tcW w:w="1798" w:type="dxa"/>
            <w:tcBorders>
              <w:top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皮带输送</w:t>
            </w:r>
            <w:r>
              <w:rPr>
                <w:rFonts w:hint="eastAsia" w:ascii="Times New Roman" w:hAnsi="Times New Roman" w:eastAsia="宋体" w:cs="Times New Roman"/>
                <w:szCs w:val="21"/>
                <w:lang w:eastAsia="zh-CN"/>
              </w:rPr>
              <w:t>无组织</w:t>
            </w:r>
            <w:r>
              <w:rPr>
                <w:rFonts w:hint="eastAsia" w:ascii="Times New Roman" w:hAnsi="Times New Roman" w:eastAsia="宋体" w:cs="Times New Roman"/>
                <w:szCs w:val="21"/>
              </w:rPr>
              <w:t>A5</w:t>
            </w:r>
          </w:p>
        </w:tc>
        <w:tc>
          <w:tcPr>
            <w:tcW w:w="752" w:type="pct"/>
            <w:vMerge w:val="continue"/>
            <w:noWrap w:val="0"/>
            <w:vAlign w:val="center"/>
          </w:tcPr>
          <w:p>
            <w:pPr>
              <w:adjustRightInd w:val="0"/>
              <w:jc w:val="center"/>
              <w:textAlignment w:val="baseline"/>
              <w:rPr>
                <w:rFonts w:hint="eastAsia"/>
                <w:szCs w:val="21"/>
              </w:rPr>
            </w:pPr>
          </w:p>
        </w:tc>
        <w:tc>
          <w:tcPr>
            <w:tcW w:w="2424" w:type="dxa"/>
            <w:tcBorders>
              <w:top w:val="single" w:color="auto" w:sz="4" w:space="0"/>
            </w:tcBorders>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安装皮带廊道密闭和在落料口设置喷雾洒水抑尘措施</w:t>
            </w:r>
          </w:p>
        </w:tc>
        <w:tc>
          <w:tcPr>
            <w:tcW w:w="1187" w:type="pct"/>
            <w:vMerge w:val="continue"/>
            <w:noWrap w:val="0"/>
            <w:vAlign w:val="center"/>
          </w:tcPr>
          <w:p>
            <w:pPr>
              <w:adjustRightIn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vMerge w:val="continue"/>
            <w:noWrap w:val="0"/>
            <w:vAlign w:val="center"/>
          </w:tcPr>
          <w:p>
            <w:pPr>
              <w:adjustRightInd w:val="0"/>
              <w:jc w:val="center"/>
              <w:textAlignment w:val="baseline"/>
              <w:rPr>
                <w:kern w:val="0"/>
                <w:szCs w:val="21"/>
              </w:rPr>
            </w:pPr>
          </w:p>
        </w:tc>
        <w:tc>
          <w:tcPr>
            <w:tcW w:w="1798" w:type="dxa"/>
            <w:noWrap w:val="0"/>
            <w:vAlign w:val="center"/>
          </w:tcPr>
          <w:p>
            <w:pPr>
              <w:adjustRightIn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汽车运输</w:t>
            </w:r>
            <w:r>
              <w:rPr>
                <w:rFonts w:hint="eastAsia" w:ascii="Times New Roman" w:hAnsi="Times New Roman" w:eastAsia="宋体" w:cs="Times New Roman"/>
                <w:szCs w:val="21"/>
                <w:lang w:eastAsia="zh-CN"/>
              </w:rPr>
              <w:t>无组织</w:t>
            </w:r>
            <w:r>
              <w:rPr>
                <w:rFonts w:hint="eastAsia" w:ascii="Times New Roman" w:hAnsi="Times New Roman" w:eastAsia="宋体" w:cs="Times New Roman"/>
                <w:szCs w:val="21"/>
              </w:rPr>
              <w:t>A6</w:t>
            </w:r>
          </w:p>
        </w:tc>
        <w:tc>
          <w:tcPr>
            <w:tcW w:w="752" w:type="pct"/>
            <w:noWrap w:val="0"/>
            <w:vAlign w:val="center"/>
          </w:tcPr>
          <w:p>
            <w:pPr>
              <w:adjustRightInd w:val="0"/>
              <w:jc w:val="center"/>
              <w:textAlignment w:val="baseline"/>
              <w:rPr>
                <w:szCs w:val="21"/>
              </w:rPr>
            </w:pPr>
            <w:r>
              <w:rPr>
                <w:rFonts w:hint="eastAsia"/>
                <w:szCs w:val="21"/>
              </w:rPr>
              <w:t>CO、NO</w:t>
            </w:r>
            <w:r>
              <w:rPr>
                <w:rFonts w:hint="eastAsia"/>
                <w:szCs w:val="21"/>
                <w:vertAlign w:val="subscript"/>
              </w:rPr>
              <w:t>X</w:t>
            </w:r>
            <w:r>
              <w:rPr>
                <w:rFonts w:hint="eastAsia"/>
                <w:szCs w:val="21"/>
              </w:rPr>
              <w:t>、HC</w:t>
            </w:r>
          </w:p>
        </w:tc>
        <w:tc>
          <w:tcPr>
            <w:tcW w:w="2663" w:type="dxa"/>
            <w:noWrap w:val="0"/>
            <w:vAlign w:val="center"/>
          </w:tcPr>
          <w:p>
            <w:pPr>
              <w:jc w:val="center"/>
              <w:rPr>
                <w:szCs w:val="21"/>
              </w:rPr>
            </w:pPr>
            <w:r>
              <w:rPr>
                <w:rFonts w:hint="eastAsia" w:ascii="Times New Roman" w:hAnsi="Times New Roman" w:eastAsia="宋体" w:cs="Times New Roman"/>
                <w:szCs w:val="21"/>
              </w:rPr>
              <w:t>加强绿化</w:t>
            </w:r>
          </w:p>
        </w:tc>
        <w:tc>
          <w:tcPr>
            <w:tcW w:w="1187" w:type="pct"/>
            <w:vMerge w:val="continue"/>
            <w:noWrap w:val="0"/>
            <w:vAlign w:val="center"/>
          </w:tcPr>
          <w:p>
            <w:pPr>
              <w:adjustRightInd w:val="0"/>
              <w:jc w:val="center"/>
              <w:textAlignment w:val="baseline"/>
              <w:rPr>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vMerge w:val="restart"/>
            <w:noWrap w:val="0"/>
            <w:vAlign w:val="center"/>
          </w:tcPr>
          <w:p>
            <w:pPr>
              <w:adjustRightInd w:val="0"/>
              <w:jc w:val="center"/>
              <w:textAlignment w:val="baseline"/>
              <w:rPr>
                <w:kern w:val="0"/>
                <w:szCs w:val="21"/>
              </w:rPr>
            </w:pPr>
            <w:r>
              <w:rPr>
                <w:kern w:val="0"/>
                <w:szCs w:val="21"/>
              </w:rPr>
              <w:t>地表水</w:t>
            </w:r>
          </w:p>
          <w:p>
            <w:pPr>
              <w:adjustRightInd w:val="0"/>
              <w:jc w:val="center"/>
              <w:textAlignment w:val="baseline"/>
              <w:rPr>
                <w:kern w:val="0"/>
                <w:szCs w:val="21"/>
              </w:rPr>
            </w:pPr>
            <w:r>
              <w:rPr>
                <w:kern w:val="0"/>
                <w:szCs w:val="21"/>
              </w:rPr>
              <w:t>环境</w:t>
            </w:r>
          </w:p>
        </w:tc>
        <w:tc>
          <w:tcPr>
            <w:tcW w:w="991" w:type="pct"/>
            <w:noWrap w:val="0"/>
            <w:vAlign w:val="center"/>
          </w:tcPr>
          <w:p>
            <w:pPr>
              <w:adjustRightInd w:val="0"/>
              <w:jc w:val="center"/>
              <w:rPr>
                <w:szCs w:val="21"/>
              </w:rPr>
            </w:pPr>
            <w:r>
              <w:rPr>
                <w:szCs w:val="21"/>
              </w:rPr>
              <w:t>员工生活</w:t>
            </w:r>
          </w:p>
        </w:tc>
        <w:tc>
          <w:tcPr>
            <w:tcW w:w="752" w:type="pct"/>
            <w:noWrap w:val="0"/>
            <w:vAlign w:val="center"/>
          </w:tcPr>
          <w:p>
            <w:pPr>
              <w:adjustRightInd w:val="0"/>
              <w:jc w:val="center"/>
              <w:rPr>
                <w:szCs w:val="21"/>
              </w:rPr>
            </w:pPr>
            <w:r>
              <w:rPr>
                <w:szCs w:val="21"/>
              </w:rPr>
              <w:t>COD、BOD</w:t>
            </w:r>
            <w:r>
              <w:rPr>
                <w:szCs w:val="21"/>
                <w:vertAlign w:val="subscript"/>
              </w:rPr>
              <w:t>5</w:t>
            </w:r>
            <w:r>
              <w:rPr>
                <w:szCs w:val="21"/>
              </w:rPr>
              <w:t>、SS、NH</w:t>
            </w:r>
            <w:r>
              <w:rPr>
                <w:szCs w:val="21"/>
                <w:vertAlign w:val="subscript"/>
              </w:rPr>
              <w:t>3</w:t>
            </w:r>
            <w:r>
              <w:rPr>
                <w:szCs w:val="21"/>
              </w:rPr>
              <w:t>-N</w:t>
            </w:r>
            <w:r>
              <w:rPr>
                <w:rFonts w:hint="eastAsia"/>
                <w:szCs w:val="21"/>
              </w:rPr>
              <w:t>、TP、TN</w:t>
            </w:r>
          </w:p>
        </w:tc>
        <w:tc>
          <w:tcPr>
            <w:tcW w:w="1336" w:type="pct"/>
            <w:noWrap w:val="0"/>
            <w:vAlign w:val="center"/>
          </w:tcPr>
          <w:p>
            <w:pPr>
              <w:adjustRightInd w:val="0"/>
              <w:jc w:val="center"/>
              <w:rPr>
                <w:szCs w:val="21"/>
              </w:rPr>
            </w:pPr>
            <w:r>
              <w:rPr>
                <w:szCs w:val="21"/>
              </w:rPr>
              <w:t>化粪池</w:t>
            </w:r>
          </w:p>
        </w:tc>
        <w:tc>
          <w:tcPr>
            <w:tcW w:w="1187" w:type="pct"/>
            <w:noWrap w:val="0"/>
            <w:vAlign w:val="center"/>
          </w:tcPr>
          <w:p>
            <w:pPr>
              <w:adjustRightInd w:val="0"/>
              <w:jc w:val="center"/>
              <w:rPr>
                <w:szCs w:val="21"/>
              </w:rPr>
            </w:pPr>
            <w:r>
              <w:rPr>
                <w:rFonts w:hint="eastAsia"/>
                <w:szCs w:val="21"/>
              </w:rPr>
              <w:t>农肥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vMerge w:val="continue"/>
            <w:noWrap w:val="0"/>
            <w:vAlign w:val="center"/>
          </w:tcPr>
          <w:p>
            <w:pPr>
              <w:adjustRightInd w:val="0"/>
              <w:jc w:val="center"/>
              <w:textAlignment w:val="baseline"/>
              <w:rPr>
                <w:kern w:val="0"/>
                <w:szCs w:val="21"/>
              </w:rPr>
            </w:pPr>
          </w:p>
        </w:tc>
        <w:tc>
          <w:tcPr>
            <w:tcW w:w="991" w:type="pct"/>
            <w:noWrap w:val="0"/>
            <w:vAlign w:val="center"/>
          </w:tcPr>
          <w:p>
            <w:pPr>
              <w:adjustRightInd w:val="0"/>
              <w:jc w:val="center"/>
              <w:rPr>
                <w:szCs w:val="21"/>
              </w:rPr>
            </w:pPr>
            <w:r>
              <w:rPr>
                <w:rFonts w:hint="eastAsia"/>
                <w:szCs w:val="21"/>
              </w:rPr>
              <w:t>车辆冲洗</w:t>
            </w:r>
            <w:r>
              <w:rPr>
                <w:szCs w:val="21"/>
              </w:rPr>
              <w:t>废水</w:t>
            </w:r>
          </w:p>
        </w:tc>
        <w:tc>
          <w:tcPr>
            <w:tcW w:w="752" w:type="pct"/>
            <w:noWrap w:val="0"/>
            <w:vAlign w:val="center"/>
          </w:tcPr>
          <w:p>
            <w:pPr>
              <w:adjustRightInd w:val="0"/>
              <w:jc w:val="center"/>
              <w:rPr>
                <w:szCs w:val="21"/>
              </w:rPr>
            </w:pPr>
            <w:r>
              <w:rPr>
                <w:szCs w:val="21"/>
              </w:rPr>
              <w:t>COD、SS等</w:t>
            </w:r>
          </w:p>
        </w:tc>
        <w:tc>
          <w:tcPr>
            <w:tcW w:w="1336" w:type="pct"/>
            <w:noWrap w:val="0"/>
            <w:vAlign w:val="center"/>
          </w:tcPr>
          <w:p>
            <w:pPr>
              <w:adjustRightInd w:val="0"/>
              <w:jc w:val="center"/>
              <w:rPr>
                <w:szCs w:val="21"/>
              </w:rPr>
            </w:pPr>
            <w:r>
              <w:rPr>
                <w:rFonts w:hint="eastAsia"/>
                <w:szCs w:val="21"/>
              </w:rPr>
              <w:t>沉淀池沉淀后回用</w:t>
            </w:r>
          </w:p>
        </w:tc>
        <w:tc>
          <w:tcPr>
            <w:tcW w:w="1187" w:type="pct"/>
            <w:noWrap w:val="0"/>
            <w:vAlign w:val="center"/>
          </w:tcPr>
          <w:p>
            <w:pPr>
              <w:adjustRightInd w:val="0"/>
              <w:jc w:val="center"/>
              <w:rPr>
                <w:szCs w:val="21"/>
              </w:rPr>
            </w:pPr>
            <w:r>
              <w:rPr>
                <w:szCs w:val="21"/>
              </w:rPr>
              <w:t>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声环境</w:t>
            </w:r>
          </w:p>
        </w:tc>
        <w:tc>
          <w:tcPr>
            <w:tcW w:w="991" w:type="pct"/>
            <w:noWrap w:val="0"/>
            <w:vAlign w:val="center"/>
          </w:tcPr>
          <w:p>
            <w:pPr>
              <w:adjustRightInd w:val="0"/>
              <w:jc w:val="center"/>
              <w:textAlignment w:val="baseline"/>
              <w:rPr>
                <w:kern w:val="0"/>
                <w:szCs w:val="21"/>
              </w:rPr>
            </w:pPr>
            <w:r>
              <w:rPr>
                <w:kern w:val="0"/>
                <w:szCs w:val="21"/>
              </w:rPr>
              <w:t>生产设备</w:t>
            </w:r>
          </w:p>
        </w:tc>
        <w:tc>
          <w:tcPr>
            <w:tcW w:w="752" w:type="pct"/>
            <w:noWrap w:val="0"/>
            <w:vAlign w:val="center"/>
          </w:tcPr>
          <w:p>
            <w:pPr>
              <w:adjustRightInd w:val="0"/>
              <w:jc w:val="center"/>
              <w:rPr>
                <w:szCs w:val="21"/>
              </w:rPr>
            </w:pPr>
            <w:r>
              <w:rPr>
                <w:szCs w:val="21"/>
              </w:rPr>
              <w:t>连续等效A声级</w:t>
            </w:r>
          </w:p>
        </w:tc>
        <w:tc>
          <w:tcPr>
            <w:tcW w:w="1336" w:type="pct"/>
            <w:noWrap w:val="0"/>
            <w:vAlign w:val="center"/>
          </w:tcPr>
          <w:p>
            <w:pPr>
              <w:adjustRightInd w:val="0"/>
              <w:jc w:val="center"/>
              <w:rPr>
                <w:szCs w:val="21"/>
              </w:rPr>
            </w:pPr>
            <w:r>
              <w:rPr>
                <w:szCs w:val="21"/>
              </w:rPr>
              <w:t>基础减振、建筑隔声、消声等</w:t>
            </w:r>
          </w:p>
        </w:tc>
        <w:tc>
          <w:tcPr>
            <w:tcW w:w="1187" w:type="pct"/>
            <w:noWrap w:val="0"/>
            <w:vAlign w:val="center"/>
          </w:tcPr>
          <w:p>
            <w:pPr>
              <w:adjustRightInd w:val="0"/>
              <w:jc w:val="center"/>
              <w:textAlignment w:val="baseline"/>
              <w:rPr>
                <w:kern w:val="0"/>
                <w:szCs w:val="21"/>
              </w:rPr>
            </w:pPr>
            <w:r>
              <w:rPr>
                <w:kern w:val="0"/>
                <w:szCs w:val="21"/>
              </w:rPr>
              <w:t>《工业企业环境噪声排放标准》（GB12348-2008）2类</w:t>
            </w:r>
            <w:r>
              <w:rPr>
                <w:rFonts w:hint="eastAsia"/>
                <w:kern w:val="0"/>
                <w:szCs w:val="21"/>
              </w:rPr>
              <w:t>、4类</w:t>
            </w:r>
            <w:r>
              <w:rPr>
                <w:kern w:val="0"/>
                <w:szCs w:val="21"/>
              </w:rP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电磁辐射</w:t>
            </w:r>
          </w:p>
        </w:tc>
        <w:tc>
          <w:tcPr>
            <w:tcW w:w="4266" w:type="pct"/>
            <w:gridSpan w:val="4"/>
            <w:noWrap w:val="0"/>
            <w:vAlign w:val="center"/>
          </w:tcPr>
          <w:p>
            <w:pPr>
              <w:adjustRightInd w:val="0"/>
              <w:jc w:val="center"/>
              <w:textAlignment w:val="baseline"/>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固体废物</w:t>
            </w:r>
          </w:p>
        </w:tc>
        <w:tc>
          <w:tcPr>
            <w:tcW w:w="4266" w:type="pct"/>
            <w:gridSpan w:val="4"/>
            <w:noWrap w:val="0"/>
            <w:vAlign w:val="center"/>
          </w:tcPr>
          <w:p>
            <w:pPr>
              <w:adjustRightInd w:val="0"/>
              <w:jc w:val="left"/>
              <w:textAlignment w:val="baseline"/>
              <w:rPr>
                <w:kern w:val="0"/>
                <w:szCs w:val="21"/>
              </w:rPr>
            </w:pPr>
            <w:r>
              <w:rPr>
                <w:kern w:val="0"/>
                <w:szCs w:val="21"/>
              </w:rPr>
              <w:t>一般工业固体废物：</w:t>
            </w:r>
            <w:r>
              <w:rPr>
                <w:rFonts w:hint="eastAsia"/>
                <w:kern w:val="0"/>
                <w:szCs w:val="21"/>
              </w:rPr>
              <w:t>布袋除尘器粉尘和沉淀池沉渣收集于一般固废暂存间自行综合利用或者外售周边建材厂回收利用</w:t>
            </w:r>
            <w:r>
              <w:rPr>
                <w:kern w:val="0"/>
                <w:szCs w:val="21"/>
              </w:rPr>
              <w:t>。</w:t>
            </w:r>
          </w:p>
          <w:p>
            <w:pPr>
              <w:adjustRightInd w:val="0"/>
              <w:jc w:val="left"/>
              <w:textAlignment w:val="baseline"/>
              <w:rPr>
                <w:kern w:val="0"/>
                <w:szCs w:val="21"/>
              </w:rPr>
            </w:pPr>
            <w:r>
              <w:rPr>
                <w:kern w:val="0"/>
                <w:szCs w:val="21"/>
              </w:rPr>
              <w:t>危险废物：</w:t>
            </w:r>
            <w:r>
              <w:rPr>
                <w:rFonts w:hint="eastAsia"/>
                <w:kern w:val="0"/>
                <w:szCs w:val="21"/>
              </w:rPr>
              <w:t>含油抹布</w:t>
            </w:r>
            <w:r>
              <w:rPr>
                <w:kern w:val="0"/>
                <w:szCs w:val="21"/>
              </w:rPr>
              <w:t>危废在贮存库暂存，贮存库按《危险废物贮存污染控制标准》（GB18597-2023）的要求设置，并委托具有处理资质的单位处置。</w:t>
            </w:r>
          </w:p>
          <w:p>
            <w:pPr>
              <w:adjustRightInd w:val="0"/>
              <w:jc w:val="left"/>
              <w:textAlignment w:val="baseline"/>
              <w:rPr>
                <w:kern w:val="0"/>
                <w:szCs w:val="21"/>
              </w:rPr>
            </w:pPr>
            <w:r>
              <w:rPr>
                <w:kern w:val="0"/>
                <w:szCs w:val="21"/>
              </w:rPr>
              <w:t>生活垃圾：分类收集后交由环卫部门收运处置。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土壤及地下水污染防治措施</w:t>
            </w:r>
          </w:p>
        </w:tc>
        <w:tc>
          <w:tcPr>
            <w:tcW w:w="4266" w:type="pct"/>
            <w:gridSpan w:val="4"/>
            <w:noWrap w:val="0"/>
            <w:vAlign w:val="center"/>
          </w:tcPr>
          <w:p>
            <w:pPr>
              <w:adjustRightInd w:val="0"/>
              <w:jc w:val="left"/>
              <w:textAlignment w:val="baseline"/>
              <w:rPr>
                <w:kern w:val="0"/>
                <w:szCs w:val="21"/>
              </w:rPr>
            </w:pPr>
            <w:r>
              <w:rPr>
                <w:kern w:val="0"/>
                <w:szCs w:val="21"/>
              </w:rPr>
              <w:t>重点防渗区：主要包括重点防渗区主要包括生产车间、危险废物暂存间，重点污染防治区防渗层的防渗性能不应低于6.0m厚渗透系数为1.0×10</w:t>
            </w:r>
            <w:r>
              <w:rPr>
                <w:kern w:val="0"/>
                <w:szCs w:val="21"/>
                <w:vertAlign w:val="superscript"/>
              </w:rPr>
              <w:t>-7</w:t>
            </w:r>
            <w:r>
              <w:rPr>
                <w:kern w:val="0"/>
                <w:szCs w:val="21"/>
              </w:rPr>
              <w:t>cm/s的黏土层的防渗性能；</w:t>
            </w:r>
          </w:p>
          <w:p>
            <w:pPr>
              <w:adjustRightInd w:val="0"/>
              <w:jc w:val="left"/>
              <w:textAlignment w:val="baseline"/>
              <w:rPr>
                <w:kern w:val="0"/>
                <w:szCs w:val="21"/>
              </w:rPr>
            </w:pPr>
            <w:r>
              <w:rPr>
                <w:kern w:val="0"/>
                <w:szCs w:val="21"/>
              </w:rPr>
              <w:t>一般防渗区：主要包括废水循环沉淀池、一般固废间等，一般防渗区进行水泥化防渗处理，及采用高密度聚乙烯土工膜（HDPE）进行防渗，防渗技术要求达到等效黏土防渗层Mb≥1.5m，K≤1×10</w:t>
            </w:r>
            <w:r>
              <w:rPr>
                <w:kern w:val="0"/>
                <w:szCs w:val="21"/>
                <w:vertAlign w:val="superscript"/>
              </w:rPr>
              <w:t>-7</w:t>
            </w:r>
            <w:r>
              <w:rPr>
                <w:kern w:val="0"/>
                <w:szCs w:val="21"/>
              </w:rPr>
              <w:t>cm/s进行防渗设计。</w:t>
            </w:r>
          </w:p>
          <w:p>
            <w:pPr>
              <w:adjustRightInd w:val="0"/>
              <w:jc w:val="left"/>
              <w:textAlignment w:val="baseline"/>
              <w:rPr>
                <w:kern w:val="0"/>
                <w:szCs w:val="21"/>
              </w:rPr>
            </w:pPr>
            <w:r>
              <w:rPr>
                <w:kern w:val="0"/>
                <w:szCs w:val="21"/>
              </w:rPr>
              <w:t>简单防渗区：主要包括办公生活区、道路广场等，简单防渗区采取一般地面硬化。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生态保护措施</w:t>
            </w:r>
          </w:p>
        </w:tc>
        <w:tc>
          <w:tcPr>
            <w:tcW w:w="4266" w:type="pct"/>
            <w:gridSpan w:val="4"/>
            <w:noWrap w:val="0"/>
            <w:vAlign w:val="center"/>
          </w:tcPr>
          <w:p>
            <w:pPr>
              <w:adjustRightInd w:val="0"/>
              <w:jc w:val="left"/>
              <w:textAlignment w:val="baseline"/>
              <w:rPr>
                <w:rFonts w:hint="eastAsia" w:eastAsia="宋体"/>
                <w:kern w:val="0"/>
                <w:szCs w:val="21"/>
                <w:lang w:eastAsia="zh-CN"/>
              </w:rPr>
            </w:pPr>
            <w:r>
              <w:rPr>
                <w:kern w:val="0"/>
                <w:szCs w:val="21"/>
              </w:rPr>
              <w:t>做好项目区内的绿化，建设人工绿地。</w:t>
            </w:r>
            <w:r>
              <w:rPr>
                <w:rFonts w:hint="eastAsia"/>
                <w:kern w:val="0"/>
                <w:szCs w:val="21"/>
                <w:lang w:eastAsia="zh-CN"/>
              </w:rPr>
              <w:t>运营期结束后种植绿化，耕作土回填，建设截洪沟、排水沟、雨水收集池等措施，并做好与周边设施建设的衔接工作。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环境风险防范措施</w:t>
            </w:r>
          </w:p>
        </w:tc>
        <w:tc>
          <w:tcPr>
            <w:tcW w:w="4266" w:type="pct"/>
            <w:gridSpan w:val="4"/>
            <w:noWrap w:val="0"/>
            <w:vAlign w:val="center"/>
          </w:tcPr>
          <w:p>
            <w:pPr>
              <w:adjustRightInd w:val="0"/>
              <w:jc w:val="left"/>
              <w:textAlignment w:val="baseline"/>
              <w:rPr>
                <w:rFonts w:hint="eastAsia"/>
                <w:kern w:val="0"/>
                <w:szCs w:val="21"/>
              </w:rPr>
            </w:pPr>
            <w:r>
              <w:rPr>
                <w:rFonts w:hint="eastAsia"/>
                <w:kern w:val="0"/>
                <w:szCs w:val="21"/>
              </w:rPr>
              <w:t>（1）泄漏事故防范措施</w:t>
            </w:r>
          </w:p>
          <w:p>
            <w:pPr>
              <w:adjustRightInd w:val="0"/>
              <w:jc w:val="left"/>
              <w:textAlignment w:val="baseline"/>
              <w:rPr>
                <w:kern w:val="0"/>
                <w:szCs w:val="21"/>
              </w:rPr>
            </w:pPr>
            <w:r>
              <w:rPr>
                <w:kern w:val="0"/>
                <w:szCs w:val="21"/>
              </w:rPr>
              <w:t>①加强对工人的安全生产和环境保护教育，对国家规定的特种作业人员，必须进行安全技术培训，经考核合格后，持证上岗。严格按规范操作，任何人不得擅自改变工艺条件。</w:t>
            </w:r>
          </w:p>
          <w:p>
            <w:pPr>
              <w:adjustRightInd w:val="0"/>
              <w:jc w:val="left"/>
              <w:textAlignment w:val="baseline"/>
              <w:rPr>
                <w:kern w:val="0"/>
                <w:szCs w:val="21"/>
              </w:rPr>
            </w:pPr>
            <w:r>
              <w:rPr>
                <w:kern w:val="0"/>
                <w:szCs w:val="21"/>
              </w:rPr>
              <w:t>②防止跑冒滴漏，减少有毒有害物料的逸出。生产设备和储存容器尽可能密闭操作。在</w:t>
            </w:r>
            <w:r>
              <w:rPr>
                <w:rFonts w:hint="eastAsia"/>
                <w:kern w:val="0"/>
                <w:szCs w:val="21"/>
              </w:rPr>
              <w:t>危废暂存间</w:t>
            </w:r>
            <w:r>
              <w:rPr>
                <w:kern w:val="0"/>
                <w:szCs w:val="21"/>
              </w:rPr>
              <w:t>四周建设围堰，并对地面采取防渗措施，避免泄漏的</w:t>
            </w:r>
            <w:r>
              <w:rPr>
                <w:rFonts w:hint="eastAsia"/>
                <w:kern w:val="0"/>
                <w:szCs w:val="21"/>
              </w:rPr>
              <w:t>废机油</w:t>
            </w:r>
            <w:r>
              <w:rPr>
                <w:kern w:val="0"/>
                <w:szCs w:val="21"/>
              </w:rPr>
              <w:t>外溢污染土壤、当地水体。</w:t>
            </w:r>
          </w:p>
          <w:p>
            <w:pPr>
              <w:adjustRightInd w:val="0"/>
              <w:jc w:val="left"/>
              <w:textAlignment w:val="baseline"/>
              <w:rPr>
                <w:rFonts w:hint="eastAsia"/>
                <w:kern w:val="0"/>
                <w:szCs w:val="21"/>
              </w:rPr>
            </w:pPr>
            <w:r>
              <w:rPr>
                <w:rFonts w:hint="eastAsia"/>
                <w:kern w:val="0"/>
                <w:szCs w:val="21"/>
              </w:rPr>
              <w:t>③</w:t>
            </w:r>
            <w:r>
              <w:rPr>
                <w:kern w:val="0"/>
                <w:szCs w:val="21"/>
              </w:rPr>
              <w:t>要配备齐全的消防及防毒器材，包括消防灭火器、砂袋等应急物质。建立一支训练有素的“兼职”的消防队伍，使职工对危险化学品的性质和泄漏应急措施有基本了解。</w:t>
            </w:r>
          </w:p>
          <w:p>
            <w:pPr>
              <w:adjustRightInd w:val="0"/>
              <w:jc w:val="left"/>
              <w:textAlignment w:val="baseline"/>
              <w:rPr>
                <w:rFonts w:hint="eastAsia"/>
                <w:kern w:val="0"/>
                <w:szCs w:val="21"/>
              </w:rPr>
            </w:pPr>
            <w:r>
              <w:rPr>
                <w:rFonts w:hint="eastAsia"/>
                <w:kern w:val="0"/>
                <w:szCs w:val="21"/>
              </w:rPr>
              <w:t>（2）火灾事故防治措施</w:t>
            </w:r>
          </w:p>
          <w:p>
            <w:pPr>
              <w:adjustRightInd w:val="0"/>
              <w:jc w:val="left"/>
              <w:textAlignment w:val="baseline"/>
              <w:rPr>
                <w:rFonts w:hint="eastAsia"/>
                <w:kern w:val="0"/>
                <w:szCs w:val="21"/>
              </w:rPr>
            </w:pPr>
            <w:r>
              <w:rPr>
                <w:rFonts w:hint="eastAsia"/>
                <w:kern w:val="0"/>
                <w:szCs w:val="21"/>
              </w:rPr>
              <w:t>①建立健全并严格执行防火防爆的规章制度，严格遵守各项操作规章。</w:t>
            </w:r>
          </w:p>
          <w:p>
            <w:pPr>
              <w:adjustRightInd w:val="0"/>
              <w:jc w:val="left"/>
              <w:textAlignment w:val="baseline"/>
              <w:rPr>
                <w:rFonts w:hint="eastAsia"/>
                <w:kern w:val="0"/>
                <w:szCs w:val="21"/>
              </w:rPr>
            </w:pPr>
            <w:r>
              <w:rPr>
                <w:rFonts w:hint="eastAsia"/>
                <w:kern w:val="0"/>
                <w:szCs w:val="21"/>
              </w:rPr>
              <w:t>②根据建筑设计防火规范、建筑灭火器配置设计规范等规范要求，企业应定期对消防器材进行检测与更换，确保其完好状态。</w:t>
            </w:r>
          </w:p>
          <w:p>
            <w:pPr>
              <w:adjustRightInd w:val="0"/>
              <w:jc w:val="left"/>
              <w:textAlignment w:val="baseline"/>
              <w:rPr>
                <w:rFonts w:hint="eastAsia"/>
                <w:kern w:val="0"/>
                <w:szCs w:val="21"/>
              </w:rPr>
            </w:pPr>
            <w:r>
              <w:rPr>
                <w:rFonts w:hint="eastAsia"/>
                <w:kern w:val="0"/>
                <w:szCs w:val="21"/>
              </w:rPr>
              <w:t>③厂区功能分区明确，人流、货流分开，需设置必要的消防通道和应急通道，车间四周设置环形消防通道，道路路边与厂房的间距应符合规范要求。</w:t>
            </w:r>
          </w:p>
          <w:p>
            <w:pPr>
              <w:adjustRightInd w:val="0"/>
              <w:jc w:val="left"/>
              <w:textAlignment w:val="baseline"/>
              <w:rPr>
                <w:rFonts w:hint="eastAsia"/>
                <w:kern w:val="0"/>
                <w:szCs w:val="21"/>
              </w:rPr>
            </w:pPr>
            <w:r>
              <w:rPr>
                <w:rFonts w:hint="eastAsia"/>
                <w:kern w:val="0"/>
                <w:szCs w:val="21"/>
              </w:rPr>
              <w:t>（3）废气处理设施故障</w:t>
            </w:r>
          </w:p>
          <w:p>
            <w:pPr>
              <w:adjustRightInd w:val="0"/>
              <w:jc w:val="left"/>
              <w:textAlignment w:val="baseline"/>
              <w:rPr>
                <w:rFonts w:hint="eastAsia"/>
                <w:kern w:val="0"/>
                <w:szCs w:val="21"/>
              </w:rPr>
            </w:pPr>
            <w:r>
              <w:rPr>
                <w:rFonts w:hint="eastAsia"/>
                <w:kern w:val="0"/>
                <w:szCs w:val="21"/>
              </w:rPr>
              <w:t>①加强废气处理设施的维护，保证其正常高效运行，出现废气设施故障时立即停止生产。</w:t>
            </w:r>
          </w:p>
          <w:p>
            <w:pPr>
              <w:adjustRightInd w:val="0"/>
              <w:jc w:val="left"/>
              <w:textAlignment w:val="baseline"/>
              <w:rPr>
                <w:rFonts w:hint="eastAsia"/>
                <w:kern w:val="0"/>
                <w:szCs w:val="21"/>
              </w:rPr>
            </w:pPr>
            <w:r>
              <w:rPr>
                <w:rFonts w:hint="eastAsia"/>
                <w:kern w:val="0"/>
                <w:szCs w:val="21"/>
              </w:rPr>
              <w:t>②企业领导要把安全生产、防范事故工作放在第一位，严格安全生产管理，经常检查安全生产措施，发现问题及时解决，消除事故隐患。强化生产操作人员的安全培训教育，增强全体职工的责任感，使生产操作人员熟记各种工艺控制参数及发生事故时应急处理措施。</w:t>
            </w:r>
          </w:p>
          <w:p>
            <w:pPr>
              <w:adjustRightInd w:val="0"/>
              <w:jc w:val="left"/>
              <w:textAlignment w:val="baseline"/>
              <w:rPr>
                <w:rFonts w:hint="eastAsia"/>
                <w:kern w:val="0"/>
                <w:szCs w:val="21"/>
              </w:rPr>
            </w:pPr>
            <w:r>
              <w:rPr>
                <w:rFonts w:hint="eastAsia"/>
                <w:kern w:val="0"/>
                <w:szCs w:val="21"/>
              </w:rPr>
              <w:t>（4）废水事故外排防范措施</w:t>
            </w:r>
          </w:p>
          <w:p>
            <w:pPr>
              <w:adjustRightInd w:val="0"/>
              <w:jc w:val="left"/>
              <w:textAlignment w:val="baseline"/>
              <w:rPr>
                <w:rFonts w:hint="eastAsia"/>
                <w:kern w:val="0"/>
                <w:szCs w:val="21"/>
              </w:rPr>
            </w:pPr>
            <w:r>
              <w:rPr>
                <w:rFonts w:hint="eastAsia"/>
                <w:kern w:val="0"/>
                <w:szCs w:val="21"/>
              </w:rPr>
              <w:t>①加强沉淀池施工建设，确保各池体质量达标，防止因池体质量不达标导致的池体破损，废水外溢。</w:t>
            </w:r>
          </w:p>
          <w:p>
            <w:pPr>
              <w:adjustRightInd w:val="0"/>
              <w:jc w:val="left"/>
              <w:textAlignment w:val="baseline"/>
              <w:rPr>
                <w:rFonts w:hint="eastAsia"/>
                <w:kern w:val="0"/>
                <w:szCs w:val="21"/>
              </w:rPr>
            </w:pPr>
            <w:r>
              <w:rPr>
                <w:rFonts w:hint="eastAsia"/>
                <w:kern w:val="0"/>
                <w:szCs w:val="21"/>
              </w:rPr>
              <w:t>②加强人员管理，定期对生产废水处理系统的检修与维护，保障其正常运行，发现问题及时解决，预防风险事故的发生。</w:t>
            </w:r>
          </w:p>
          <w:p>
            <w:pPr>
              <w:adjustRightInd w:val="0"/>
              <w:jc w:val="left"/>
              <w:textAlignment w:val="baseline"/>
              <w:rPr>
                <w:rFonts w:hint="eastAsia"/>
                <w:kern w:val="0"/>
                <w:szCs w:val="21"/>
              </w:rPr>
            </w:pPr>
            <w:r>
              <w:rPr>
                <w:rFonts w:hint="eastAsia"/>
                <w:kern w:val="0"/>
                <w:szCs w:val="21"/>
              </w:rPr>
              <w:t>③雨季期间，加强对自然天气状况的监控，发生暴雨等自然环境影响时，及时做好场区排水工程，防止初期雨水外溢情况发生。</w:t>
            </w:r>
          </w:p>
          <w:p>
            <w:pPr>
              <w:adjustRightInd w:val="0"/>
              <w:jc w:val="left"/>
              <w:textAlignment w:val="baseline"/>
              <w:rPr>
                <w:kern w:val="0"/>
                <w:szCs w:val="21"/>
              </w:rPr>
            </w:pPr>
            <w:r>
              <w:rPr>
                <w:rFonts w:hint="eastAsia"/>
                <w:kern w:val="0"/>
                <w:szCs w:val="21"/>
              </w:rPr>
              <w:t>④做好风险应急防范措施，针对场区内生产废水事故排放风险情景，制定相应的应急救援方案，第一时间停产并采取相应应急防范措施，减少环境风险事故对周围水环境的影响。</w:t>
            </w:r>
          </w:p>
          <w:p>
            <w:pPr>
              <w:adjustRightInd w:val="0"/>
              <w:jc w:val="left"/>
              <w:textAlignment w:val="baseline"/>
              <w:rPr>
                <w:rFonts w:hint="eastAsia"/>
                <w:kern w:val="0"/>
                <w:szCs w:val="21"/>
              </w:rPr>
            </w:pPr>
            <w:r>
              <w:rPr>
                <w:rFonts w:hint="eastAsia"/>
                <w:kern w:val="0"/>
                <w:szCs w:val="21"/>
              </w:rPr>
              <w:t>⑤根据厂区实际情况，初期雨水池较大，定期对初期雨水池进行清理管理，初期雨水池能够兼做事故应急池。</w:t>
            </w:r>
          </w:p>
          <w:p>
            <w:pPr>
              <w:adjustRightInd w:val="0"/>
              <w:jc w:val="left"/>
              <w:textAlignment w:val="baseline"/>
              <w:rPr>
                <w:kern w:val="0"/>
                <w:szCs w:val="21"/>
              </w:rPr>
            </w:pPr>
            <w:r>
              <w:rPr>
                <w:rFonts w:hint="eastAsia"/>
                <w:kern w:val="0"/>
                <w:szCs w:val="21"/>
              </w:rPr>
              <w:t>（5）职业卫生措施</w:t>
            </w:r>
          </w:p>
          <w:p>
            <w:pPr>
              <w:adjustRightInd w:val="0"/>
              <w:jc w:val="left"/>
              <w:textAlignment w:val="baseline"/>
              <w:rPr>
                <w:rFonts w:hint="eastAsia"/>
                <w:kern w:val="0"/>
                <w:szCs w:val="21"/>
              </w:rPr>
            </w:pPr>
            <w:r>
              <w:rPr>
                <w:rFonts w:hint="eastAsia"/>
                <w:kern w:val="0"/>
                <w:szCs w:val="21"/>
              </w:rPr>
              <w:t>①防噪声，选用低噪声设备，采取一些措施从声源传播上控制噪声，办公室、控制室将尽量远离高噪声车间。</w:t>
            </w:r>
          </w:p>
          <w:p>
            <w:pPr>
              <w:adjustRightInd w:val="0"/>
              <w:jc w:val="left"/>
              <w:textAlignment w:val="baseline"/>
              <w:rPr>
                <w:rFonts w:hint="eastAsia"/>
                <w:kern w:val="0"/>
                <w:szCs w:val="21"/>
              </w:rPr>
            </w:pPr>
            <w:r>
              <w:rPr>
                <w:rFonts w:hint="eastAsia"/>
                <w:kern w:val="0"/>
                <w:szCs w:val="21"/>
              </w:rPr>
              <w:t>②防粉尘，增加原料湿度，加大洒水降尘力度，操作人员在生产过程中需佩戴口罩等防护设备。</w:t>
            </w:r>
          </w:p>
          <w:p>
            <w:pPr>
              <w:adjustRightInd w:val="0"/>
              <w:jc w:val="left"/>
              <w:textAlignment w:val="baseline"/>
              <w:rPr>
                <w:color w:val="FF0000"/>
                <w:kern w:val="0"/>
                <w:szCs w:val="21"/>
              </w:rPr>
            </w:pPr>
            <w:r>
              <w:rPr>
                <w:rFonts w:hint="eastAsia"/>
                <w:kern w:val="0"/>
                <w:szCs w:val="21"/>
              </w:rPr>
              <w:t>③对岗位工作人员加强安全知识教育，工人上岗前进行专业的岗前培训，牢固树立安全生产，安全第一的思想。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3" w:type="pct"/>
            <w:noWrap w:val="0"/>
            <w:vAlign w:val="center"/>
          </w:tcPr>
          <w:p>
            <w:pPr>
              <w:adjustRightInd w:val="0"/>
              <w:jc w:val="center"/>
              <w:textAlignment w:val="baseline"/>
              <w:rPr>
                <w:kern w:val="0"/>
                <w:szCs w:val="21"/>
              </w:rPr>
            </w:pPr>
            <w:r>
              <w:rPr>
                <w:kern w:val="0"/>
                <w:szCs w:val="21"/>
              </w:rPr>
              <w:t>其他环境管理要求</w:t>
            </w:r>
          </w:p>
        </w:tc>
        <w:tc>
          <w:tcPr>
            <w:tcW w:w="4266" w:type="pct"/>
            <w:gridSpan w:val="4"/>
            <w:noWrap w:val="0"/>
            <w:vAlign w:val="center"/>
          </w:tcPr>
          <w:p>
            <w:pPr>
              <w:widowControl/>
              <w:adjustRightInd w:val="0"/>
              <w:spacing w:line="360" w:lineRule="auto"/>
              <w:ind w:firstLine="422" w:firstLineChars="200"/>
              <w:rPr>
                <w:b/>
                <w:szCs w:val="21"/>
              </w:rPr>
            </w:pPr>
            <w:r>
              <w:rPr>
                <w:b/>
                <w:szCs w:val="21"/>
              </w:rPr>
              <w:t>1、竣工环境保护验收</w:t>
            </w:r>
          </w:p>
          <w:p>
            <w:pPr>
              <w:widowControl/>
              <w:adjustRightInd w:val="0"/>
              <w:spacing w:line="360" w:lineRule="auto"/>
              <w:ind w:firstLine="420" w:firstLineChars="200"/>
              <w:rPr>
                <w:szCs w:val="21"/>
              </w:rPr>
            </w:pPr>
            <w:r>
              <w:rPr>
                <w:szCs w:val="21"/>
              </w:rPr>
              <w:t>根据《中华人民共和国环境影响评价法》、《建设项目环境保护管理条例》（2017年10月1日起施行）和环保部2017年11月20日发布《建设项目竣工环境保护验收暂行办法》的公告“国环规环评（2017）4号”，建设单位作为项目竣工环保验收的责任主体，应当按照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pPr>
              <w:widowControl/>
              <w:adjustRightInd w:val="0"/>
              <w:spacing w:line="360" w:lineRule="auto"/>
              <w:ind w:firstLine="422" w:firstLineChars="200"/>
              <w:rPr>
                <w:b/>
                <w:szCs w:val="21"/>
              </w:rPr>
            </w:pPr>
            <w:r>
              <w:rPr>
                <w:b/>
                <w:szCs w:val="21"/>
              </w:rPr>
              <w:t>2、排污许可</w:t>
            </w:r>
          </w:p>
          <w:p>
            <w:pPr>
              <w:widowControl/>
              <w:adjustRightInd w:val="0"/>
              <w:spacing w:line="360" w:lineRule="auto"/>
              <w:ind w:firstLine="420" w:firstLineChars="200"/>
              <w:rPr>
                <w:szCs w:val="21"/>
              </w:rPr>
            </w:pPr>
            <w:r>
              <w:rPr>
                <w:rFonts w:hint="eastAsia"/>
                <w:szCs w:val="21"/>
              </w:rPr>
              <w:t>根据《固定污染源排污许可分类管理名录（2019年版）》，本项目排污许可管理类别为简化管理，建设单位应按照《排污许可证申请与核发技术规范 总则》（HJ942-2018）和相关排污许可证申请与核发技术规范文件，</w:t>
            </w:r>
            <w:r>
              <w:rPr>
                <w:szCs w:val="21"/>
              </w:rPr>
              <w:t>按照规定的时限申请并取得排污许可证</w:t>
            </w:r>
            <w:r>
              <w:rPr>
                <w:rFonts w:hint="eastAsia"/>
                <w:szCs w:val="21"/>
              </w:rPr>
              <w:t>，</w:t>
            </w:r>
            <w:r>
              <w:rPr>
                <w:szCs w:val="21"/>
              </w:rPr>
              <w:t>并按照排污许可证的规定排放污染物。</w:t>
            </w:r>
          </w:p>
          <w:p>
            <w:pPr>
              <w:widowControl/>
              <w:adjustRightInd w:val="0"/>
              <w:spacing w:line="360" w:lineRule="auto"/>
              <w:ind w:firstLine="422" w:firstLineChars="200"/>
              <w:rPr>
                <w:b/>
                <w:szCs w:val="21"/>
              </w:rPr>
            </w:pPr>
            <w:r>
              <w:rPr>
                <w:b/>
                <w:szCs w:val="21"/>
              </w:rPr>
              <w:t>3、排污口规范化建设</w:t>
            </w:r>
          </w:p>
          <w:p>
            <w:pPr>
              <w:pStyle w:val="78"/>
              <w:wordWrap/>
              <w:adjustRightInd w:val="0"/>
              <w:snapToGrid/>
              <w:spacing w:line="360" w:lineRule="auto"/>
              <w:ind w:firstLine="420" w:firstLineChars="200"/>
              <w:jc w:val="left"/>
              <w:rPr>
                <w:rFonts w:hint="eastAsia"/>
                <w:bCs w:val="0"/>
                <w:szCs w:val="21"/>
              </w:rPr>
            </w:pPr>
            <w:r>
              <w:rPr>
                <w:rFonts w:hint="eastAsia"/>
                <w:bCs w:val="0"/>
                <w:szCs w:val="21"/>
              </w:rPr>
              <w:t>企业污染物排放口（源）及固体废物贮存、堆放场必须按照国家标准《环境保护图形标志》（GB15562.1-1995）及2023年修改单的规定设置与之相适应的环境保护图形标志牌，环境保护图形标志牌设置位置应距污染物排放口（源）、固体废物贮存（堆放）场或采样点较近且醒目处，并能长久保留。建设单位必须对排污口进行规范化建设，设立排放口标志，标志牌应注明污染物名称以警示周围群众。</w:t>
            </w:r>
          </w:p>
          <w:p>
            <w:pPr>
              <w:pStyle w:val="78"/>
              <w:wordWrap/>
              <w:adjustRightInd w:val="0"/>
              <w:snapToGrid/>
              <w:spacing w:line="360" w:lineRule="auto"/>
              <w:ind w:firstLine="420" w:firstLineChars="200"/>
              <w:jc w:val="left"/>
              <w:rPr>
                <w:rFonts w:hint="eastAsia"/>
                <w:bCs w:val="0"/>
                <w:szCs w:val="21"/>
              </w:rPr>
            </w:pPr>
            <w:r>
              <w:rPr>
                <w:rFonts w:hint="eastAsia"/>
                <w:bCs w:val="0"/>
                <w:szCs w:val="21"/>
              </w:rPr>
              <w:t>废气排放口必须设置便于采样、监测的采样口和采样监测平台，采样口和平台必须符合《污染源监测技术规范》的要求。</w:t>
            </w:r>
          </w:p>
          <w:p>
            <w:pPr>
              <w:pStyle w:val="78"/>
              <w:wordWrap/>
              <w:adjustRightInd w:val="0"/>
              <w:snapToGrid/>
              <w:spacing w:line="360" w:lineRule="auto"/>
              <w:ind w:firstLine="420" w:firstLineChars="200"/>
              <w:jc w:val="left"/>
              <w:rPr>
                <w:rFonts w:hint="eastAsia"/>
                <w:bCs w:val="0"/>
                <w:szCs w:val="21"/>
              </w:rPr>
            </w:pPr>
            <w:r>
              <w:rPr>
                <w:rFonts w:hint="eastAsia"/>
                <w:bCs w:val="0"/>
                <w:szCs w:val="21"/>
              </w:rPr>
              <w:t>建设单位应将相关排污情况，如：排污口的性质、编号、排污口的位置以及主要排放的污染物种类、数量、浓度、排放规律及污染治理设施的运行情况等进行建档管理，并报送环保主管部门备案。如实填写《中华人民共和国规范化排污口标记登记证》，由环保部门签发。</w:t>
            </w:r>
          </w:p>
          <w:p>
            <w:pPr>
              <w:pStyle w:val="78"/>
              <w:wordWrap/>
              <w:adjustRightInd w:val="0"/>
              <w:snapToGrid/>
              <w:spacing w:line="360" w:lineRule="auto"/>
              <w:ind w:firstLine="420" w:firstLineChars="200"/>
              <w:jc w:val="left"/>
              <w:rPr>
                <w:rFonts w:hint="eastAsia"/>
                <w:bCs w:val="0"/>
                <w:szCs w:val="21"/>
              </w:rPr>
            </w:pPr>
          </w:p>
          <w:p>
            <w:pPr>
              <w:pStyle w:val="78"/>
              <w:wordWrap/>
              <w:adjustRightInd w:val="0"/>
              <w:snapToGrid/>
              <w:spacing w:line="360" w:lineRule="auto"/>
              <w:ind w:firstLine="420" w:firstLineChars="200"/>
              <w:jc w:val="left"/>
              <w:rPr>
                <w:rFonts w:hint="eastAsia"/>
                <w:bCs w:val="0"/>
                <w:szCs w:val="21"/>
              </w:rPr>
            </w:pPr>
          </w:p>
          <w:p>
            <w:pPr>
              <w:pStyle w:val="78"/>
              <w:wordWrap/>
              <w:adjustRightInd w:val="0"/>
              <w:snapToGrid/>
              <w:spacing w:line="360" w:lineRule="auto"/>
              <w:ind w:firstLine="420" w:firstLineChars="200"/>
              <w:jc w:val="left"/>
              <w:rPr>
                <w:szCs w:val="21"/>
              </w:rPr>
            </w:pPr>
          </w:p>
        </w:tc>
      </w:tr>
    </w:tbl>
    <w:p>
      <w:pPr>
        <w:ind w:firstLine="480"/>
        <w:sectPr>
          <w:footerReference r:id="rId12" w:type="default"/>
          <w:pgSz w:w="11906" w:h="16838"/>
          <w:pgMar w:top="1440" w:right="1083" w:bottom="1440" w:left="1083" w:header="851" w:footer="851" w:gutter="0"/>
          <w:pgNumType w:fmt="numberInDash"/>
          <w:cols w:space="720" w:num="1"/>
          <w:docGrid w:linePitch="312" w:charSpace="0"/>
        </w:sectPr>
      </w:pPr>
    </w:p>
    <w:p>
      <w:pPr>
        <w:keepNext/>
        <w:wordWrap w:val="0"/>
        <w:overflowPunct w:val="0"/>
        <w:snapToGrid w:val="0"/>
        <w:spacing w:before="120" w:after="160" w:line="260" w:lineRule="auto"/>
        <w:outlineLvl w:val="0"/>
        <w:rPr>
          <w:rFonts w:eastAsia="黑体"/>
          <w:b/>
          <w:bCs/>
          <w:kern w:val="44"/>
          <w:sz w:val="36"/>
          <w:szCs w:val="30"/>
        </w:rPr>
      </w:pPr>
      <w:bookmarkStart w:id="137" w:name="_Toc23320"/>
      <w:bookmarkStart w:id="138" w:name="_Toc21423"/>
      <w:bookmarkStart w:id="139" w:name="_Toc111721087"/>
      <w:r>
        <w:rPr>
          <w:rFonts w:hint="eastAsia" w:eastAsia="黑体"/>
          <w:b/>
          <w:bCs/>
          <w:kern w:val="44"/>
          <w:sz w:val="36"/>
          <w:szCs w:val="30"/>
        </w:rPr>
        <w:t>六、结论</w:t>
      </w:r>
      <w:bookmarkEnd w:id="137"/>
      <w:bookmarkEnd w:id="138"/>
      <w:bookmarkEnd w:id="139"/>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5000" w:type="pct"/>
            <w:noWrap w:val="0"/>
            <w:vAlign w:val="top"/>
          </w:tcPr>
          <w:p>
            <w:pPr>
              <w:wordWrap w:val="0"/>
              <w:spacing w:line="360" w:lineRule="auto"/>
              <w:ind w:firstLine="480" w:firstLineChars="200"/>
              <w:rPr>
                <w:sz w:val="24"/>
              </w:rPr>
            </w:pPr>
            <w:r>
              <w:rPr>
                <w:rFonts w:hint="eastAsia"/>
                <w:sz w:val="24"/>
              </w:rPr>
              <w:t>紫霞大道工程建设、朝料村土地平整剩余砂石资源利用项目属于“C30</w:t>
            </w:r>
            <w:r>
              <w:rPr>
                <w:rFonts w:hint="eastAsia"/>
                <w:sz w:val="24"/>
                <w:lang w:val="en-US" w:eastAsia="zh-CN"/>
              </w:rPr>
              <w:t>39其他建筑材料制造</w:t>
            </w:r>
            <w:r>
              <w:rPr>
                <w:rFonts w:hint="eastAsia"/>
                <w:sz w:val="24"/>
              </w:rPr>
              <w:t>”，不属于《产业结构调整指导目录（2024年本）》中规定的“鼓励类”“限制类”和“淘汰类”，属于国家允许的生产建设，</w:t>
            </w:r>
            <w:r>
              <w:rPr>
                <w:sz w:val="24"/>
              </w:rPr>
              <w:t>符合国家产业政策</w:t>
            </w:r>
            <w:r>
              <w:rPr>
                <w:rFonts w:hint="eastAsia"/>
                <w:sz w:val="24"/>
              </w:rPr>
              <w:t>，符合国家产业政策及地方规划，符合“三线一单”要求。项目用地性质为集体林地，已取得湖南省林业局准予行政许可决定书，选址可行，平面布局基本合理。公司在全面落实并完善各项环保措施、设施及风险防范措施的前提下，废水、废气、噪声可实现达标排放，固体废物能得到有效、合理、安全处置，环境风险可控，项目建设对环境影响在可控制范围内。在严格执行环保“三同时”制度的前提下，从环境保护角度，本项目建设可行。</w:t>
            </w:r>
          </w:p>
          <w:p>
            <w:pPr>
              <w:wordWrap w:val="0"/>
              <w:spacing w:line="360" w:lineRule="auto"/>
              <w:ind w:firstLine="480" w:firstLineChars="200"/>
              <w:rPr>
                <w:sz w:val="24"/>
              </w:rPr>
            </w:pPr>
          </w:p>
        </w:tc>
      </w:tr>
    </w:tbl>
    <w:p>
      <w:pPr>
        <w:rPr>
          <w:rFonts w:ascii="宋体"/>
        </w:rPr>
        <w:sectPr>
          <w:footerReference r:id="rId13" w:type="default"/>
          <w:pgSz w:w="11906" w:h="16838"/>
          <w:pgMar w:top="1440" w:right="1083" w:bottom="1440" w:left="1531" w:header="851" w:footer="851" w:gutter="0"/>
          <w:pgNumType w:fmt="numberInDash"/>
          <w:cols w:space="720" w:num="1"/>
          <w:docGrid w:linePitch="312" w:charSpace="0"/>
        </w:sectPr>
      </w:pPr>
    </w:p>
    <w:p>
      <w:pPr>
        <w:wordWrap w:val="0"/>
        <w:spacing w:before="192" w:beforeLines="80" w:after="192" w:afterLines="80"/>
        <w:outlineLvl w:val="1"/>
        <w:rPr>
          <w:b/>
          <w:snapToGrid w:val="0"/>
          <w:sz w:val="32"/>
          <w:szCs w:val="30"/>
          <w:u w:val="single"/>
        </w:rPr>
      </w:pPr>
      <w:bookmarkStart w:id="140" w:name="_Toc111721090"/>
      <w:r>
        <w:rPr>
          <w:rFonts w:hint="eastAsia"/>
          <w:b/>
          <w:snapToGrid w:val="0"/>
          <w:sz w:val="32"/>
          <w:szCs w:val="30"/>
          <w:u w:val="single"/>
        </w:rPr>
        <w:t>附表</w:t>
      </w:r>
      <w:bookmarkEnd w:id="140"/>
      <w:r>
        <w:rPr>
          <w:rFonts w:hint="eastAsia"/>
          <w:b/>
          <w:snapToGrid w:val="0"/>
          <w:sz w:val="32"/>
          <w:szCs w:val="30"/>
          <w:u w:val="single"/>
        </w:rPr>
        <w:t>：建设项目污染物排放量汇总表</w:t>
      </w:r>
    </w:p>
    <w:tbl>
      <w:tblPr>
        <w:tblStyle w:val="2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799"/>
        <w:gridCol w:w="1547"/>
        <w:gridCol w:w="1242"/>
        <w:gridCol w:w="1634"/>
        <w:gridCol w:w="1796"/>
        <w:gridCol w:w="1377"/>
        <w:gridCol w:w="1696"/>
        <w:gridCol w:w="1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single" w:color="auto" w:sz="4" w:space="0"/>
            </w:tcBorders>
            <w:noWrap w:val="0"/>
            <w:tcMar>
              <w:left w:w="28" w:type="dxa"/>
              <w:right w:w="28" w:type="dxa"/>
            </w:tcMar>
            <w:vAlign w:val="center"/>
          </w:tcPr>
          <w:p>
            <w:pPr>
              <w:wordWrap w:val="0"/>
              <w:adjustRightInd w:val="0"/>
              <w:snapToGrid w:val="0"/>
              <w:jc w:val="center"/>
              <w:textAlignment w:val="baseline"/>
              <w:rPr>
                <w:b/>
                <w:bCs/>
                <w:kern w:val="0"/>
                <w:szCs w:val="21"/>
                <w:u w:val="single"/>
              </w:rPr>
            </w:pPr>
            <w:r>
              <w:rPr>
                <w:rFonts w:hint="eastAsia"/>
                <w:b/>
                <w:bCs/>
                <w:kern w:val="0"/>
                <w:szCs w:val="21"/>
                <w:u w:val="single"/>
              </w:rPr>
              <w:t>项目</w:t>
            </w:r>
          </w:p>
          <w:p>
            <w:pPr>
              <w:wordWrap w:val="0"/>
              <w:adjustRightInd w:val="0"/>
              <w:snapToGrid w:val="0"/>
              <w:jc w:val="center"/>
              <w:textAlignment w:val="baseline"/>
              <w:rPr>
                <w:b/>
                <w:bCs/>
                <w:kern w:val="0"/>
                <w:szCs w:val="21"/>
                <w:u w:val="single"/>
              </w:rPr>
            </w:pPr>
            <w:r>
              <w:rPr>
                <w:rFonts w:hint="eastAsia"/>
                <w:b/>
                <w:bCs/>
                <w:kern w:val="0"/>
                <w:szCs w:val="21"/>
                <w:u w:val="single"/>
              </w:rPr>
              <w:t>分类</w:t>
            </w:r>
          </w:p>
        </w:tc>
        <w:tc>
          <w:tcPr>
            <w:tcW w:w="666"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rFonts w:hint="eastAsia"/>
                <w:b/>
                <w:bCs/>
                <w:kern w:val="0"/>
                <w:szCs w:val="21"/>
                <w:u w:val="single"/>
              </w:rPr>
              <w:t>污染物名称</w:t>
            </w:r>
          </w:p>
        </w:tc>
        <w:tc>
          <w:tcPr>
            <w:tcW w:w="573"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现有工程</w:t>
            </w:r>
          </w:p>
          <w:p>
            <w:pPr>
              <w:wordWrap w:val="0"/>
              <w:adjustRightInd w:val="0"/>
              <w:snapToGrid w:val="0"/>
              <w:jc w:val="center"/>
              <w:textAlignment w:val="baseline"/>
              <w:rPr>
                <w:b/>
                <w:bCs/>
                <w:kern w:val="0"/>
                <w:szCs w:val="21"/>
                <w:u w:val="single"/>
              </w:rPr>
            </w:pPr>
            <w:r>
              <w:rPr>
                <w:b/>
                <w:bCs/>
                <w:kern w:val="0"/>
                <w:szCs w:val="21"/>
                <w:u w:val="single"/>
              </w:rPr>
              <w:t>排放量（固</w:t>
            </w:r>
            <w:r>
              <w:rPr>
                <w:rFonts w:hint="eastAsia"/>
                <w:b/>
                <w:bCs/>
                <w:kern w:val="0"/>
                <w:szCs w:val="21"/>
                <w:u w:val="single"/>
              </w:rPr>
              <w:t>体</w:t>
            </w:r>
            <w:r>
              <w:rPr>
                <w:b/>
                <w:bCs/>
                <w:kern w:val="0"/>
                <w:szCs w:val="21"/>
                <w:u w:val="single"/>
              </w:rPr>
              <w:t>废</w:t>
            </w:r>
            <w:r>
              <w:rPr>
                <w:rFonts w:hint="eastAsia"/>
                <w:b/>
                <w:bCs/>
                <w:kern w:val="0"/>
                <w:szCs w:val="21"/>
                <w:u w:val="single"/>
              </w:rPr>
              <w:t>物</w:t>
            </w:r>
            <w:r>
              <w:rPr>
                <w:b/>
                <w:bCs/>
                <w:kern w:val="0"/>
                <w:szCs w:val="21"/>
                <w:u w:val="single"/>
              </w:rPr>
              <w:t>产生量）</w:t>
            </w:r>
            <w:r>
              <w:rPr>
                <w:b/>
                <w:bCs/>
                <w:kern w:val="0"/>
                <w:szCs w:val="21"/>
                <w:u w:val="single"/>
              </w:rPr>
              <w:fldChar w:fldCharType="begin"/>
            </w:r>
            <w:r>
              <w:rPr>
                <w:b/>
                <w:bCs/>
                <w:kern w:val="0"/>
                <w:szCs w:val="21"/>
                <w:u w:val="single"/>
              </w:rPr>
              <w:instrText xml:space="preserve"> = 1 \* GB3 \* MERGEFORMAT </w:instrText>
            </w:r>
            <w:r>
              <w:rPr>
                <w:b/>
                <w:bCs/>
                <w:kern w:val="0"/>
                <w:szCs w:val="21"/>
                <w:u w:val="single"/>
              </w:rPr>
              <w:fldChar w:fldCharType="separate"/>
            </w:r>
            <w:r>
              <w:rPr>
                <w:rFonts w:hint="eastAsia"/>
                <w:b/>
                <w:bCs/>
                <w:kern w:val="0"/>
                <w:szCs w:val="21"/>
                <w:u w:val="single"/>
              </w:rPr>
              <w:t>①</w:t>
            </w:r>
            <w:r>
              <w:rPr>
                <w:b/>
                <w:bCs/>
                <w:kern w:val="0"/>
                <w:szCs w:val="21"/>
                <w:u w:val="single"/>
              </w:rPr>
              <w:fldChar w:fldCharType="end"/>
            </w:r>
          </w:p>
        </w:tc>
        <w:tc>
          <w:tcPr>
            <w:tcW w:w="460"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现有工程</w:t>
            </w:r>
          </w:p>
          <w:p>
            <w:pPr>
              <w:wordWrap w:val="0"/>
              <w:adjustRightInd w:val="0"/>
              <w:snapToGrid w:val="0"/>
              <w:jc w:val="center"/>
              <w:textAlignment w:val="baseline"/>
              <w:rPr>
                <w:b/>
                <w:bCs/>
                <w:kern w:val="0"/>
                <w:szCs w:val="21"/>
                <w:u w:val="single"/>
              </w:rPr>
            </w:pPr>
            <w:r>
              <w:rPr>
                <w:b/>
                <w:bCs/>
                <w:kern w:val="0"/>
                <w:szCs w:val="21"/>
                <w:u w:val="single"/>
              </w:rPr>
              <w:t>许可排放量</w:t>
            </w:r>
          </w:p>
          <w:p>
            <w:pPr>
              <w:wordWrap w:val="0"/>
              <w:adjustRightInd w:val="0"/>
              <w:snapToGrid w:val="0"/>
              <w:jc w:val="center"/>
              <w:textAlignment w:val="baseline"/>
              <w:rPr>
                <w:b/>
                <w:bCs/>
                <w:kern w:val="0"/>
                <w:szCs w:val="21"/>
                <w:u w:val="single"/>
              </w:rPr>
            </w:pPr>
            <w:r>
              <w:rPr>
                <w:b/>
                <w:bCs/>
                <w:kern w:val="0"/>
                <w:szCs w:val="21"/>
                <w:u w:val="single"/>
              </w:rPr>
              <w:fldChar w:fldCharType="begin"/>
            </w:r>
            <w:r>
              <w:rPr>
                <w:b/>
                <w:bCs/>
                <w:kern w:val="0"/>
                <w:szCs w:val="21"/>
                <w:u w:val="single"/>
              </w:rPr>
              <w:instrText xml:space="preserve"> = 2 \* GB3 \* MERGEFORMAT </w:instrText>
            </w:r>
            <w:r>
              <w:rPr>
                <w:b/>
                <w:bCs/>
                <w:kern w:val="0"/>
                <w:szCs w:val="21"/>
                <w:u w:val="single"/>
              </w:rPr>
              <w:fldChar w:fldCharType="separate"/>
            </w:r>
            <w:r>
              <w:rPr>
                <w:rFonts w:hint="eastAsia"/>
                <w:b/>
                <w:bCs/>
                <w:kern w:val="0"/>
                <w:szCs w:val="21"/>
                <w:u w:val="single"/>
              </w:rPr>
              <w:t>②</w:t>
            </w:r>
            <w:r>
              <w:rPr>
                <w:b/>
                <w:bCs/>
                <w:kern w:val="0"/>
                <w:szCs w:val="21"/>
                <w:u w:val="single"/>
              </w:rPr>
              <w:fldChar w:fldCharType="end"/>
            </w:r>
          </w:p>
        </w:tc>
        <w:tc>
          <w:tcPr>
            <w:tcW w:w="605"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在建工程</w:t>
            </w:r>
          </w:p>
          <w:p>
            <w:pPr>
              <w:wordWrap w:val="0"/>
              <w:adjustRightInd w:val="0"/>
              <w:snapToGrid w:val="0"/>
              <w:jc w:val="center"/>
              <w:textAlignment w:val="baseline"/>
              <w:rPr>
                <w:b/>
                <w:bCs/>
                <w:kern w:val="0"/>
                <w:szCs w:val="21"/>
                <w:u w:val="single"/>
              </w:rPr>
            </w:pPr>
            <w:r>
              <w:rPr>
                <w:b/>
                <w:bCs/>
                <w:kern w:val="0"/>
                <w:szCs w:val="21"/>
                <w:u w:val="single"/>
              </w:rPr>
              <w:t>排放量（固</w:t>
            </w:r>
            <w:r>
              <w:rPr>
                <w:rFonts w:hint="eastAsia"/>
                <w:b/>
                <w:bCs/>
                <w:kern w:val="0"/>
                <w:szCs w:val="21"/>
                <w:u w:val="single"/>
              </w:rPr>
              <w:t>体</w:t>
            </w:r>
            <w:r>
              <w:rPr>
                <w:b/>
                <w:bCs/>
                <w:kern w:val="0"/>
                <w:szCs w:val="21"/>
                <w:u w:val="single"/>
              </w:rPr>
              <w:t>废</w:t>
            </w:r>
            <w:r>
              <w:rPr>
                <w:rFonts w:hint="eastAsia"/>
                <w:b/>
                <w:bCs/>
                <w:kern w:val="0"/>
                <w:szCs w:val="21"/>
                <w:u w:val="single"/>
              </w:rPr>
              <w:t>物</w:t>
            </w:r>
            <w:r>
              <w:rPr>
                <w:b/>
                <w:bCs/>
                <w:kern w:val="0"/>
                <w:szCs w:val="21"/>
                <w:u w:val="single"/>
              </w:rPr>
              <w:t>产生量）</w:t>
            </w:r>
            <w:r>
              <w:rPr>
                <w:b/>
                <w:bCs/>
                <w:kern w:val="0"/>
                <w:szCs w:val="21"/>
                <w:u w:val="single"/>
              </w:rPr>
              <w:fldChar w:fldCharType="begin"/>
            </w:r>
            <w:r>
              <w:rPr>
                <w:b/>
                <w:bCs/>
                <w:kern w:val="0"/>
                <w:szCs w:val="21"/>
                <w:u w:val="single"/>
              </w:rPr>
              <w:instrText xml:space="preserve"> = 3 \* GB3 \* MERGEFORMAT </w:instrText>
            </w:r>
            <w:r>
              <w:rPr>
                <w:b/>
                <w:bCs/>
                <w:kern w:val="0"/>
                <w:szCs w:val="21"/>
                <w:u w:val="single"/>
              </w:rPr>
              <w:fldChar w:fldCharType="separate"/>
            </w:r>
            <w:r>
              <w:rPr>
                <w:rFonts w:hint="eastAsia"/>
                <w:b/>
                <w:bCs/>
                <w:kern w:val="0"/>
                <w:szCs w:val="21"/>
                <w:u w:val="single"/>
              </w:rPr>
              <w:t>③</w:t>
            </w:r>
            <w:r>
              <w:rPr>
                <w:b/>
                <w:bCs/>
                <w:kern w:val="0"/>
                <w:szCs w:val="21"/>
                <w:u w:val="single"/>
              </w:rPr>
              <w:fldChar w:fldCharType="end"/>
            </w:r>
          </w:p>
        </w:tc>
        <w:tc>
          <w:tcPr>
            <w:tcW w:w="665"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本项目</w:t>
            </w:r>
          </w:p>
          <w:p>
            <w:pPr>
              <w:wordWrap w:val="0"/>
              <w:adjustRightInd w:val="0"/>
              <w:snapToGrid w:val="0"/>
              <w:jc w:val="center"/>
              <w:textAlignment w:val="baseline"/>
              <w:rPr>
                <w:b/>
                <w:bCs/>
                <w:kern w:val="0"/>
                <w:szCs w:val="21"/>
                <w:u w:val="single"/>
              </w:rPr>
            </w:pPr>
            <w:r>
              <w:rPr>
                <w:b/>
                <w:bCs/>
                <w:kern w:val="0"/>
                <w:szCs w:val="21"/>
                <w:u w:val="single"/>
              </w:rPr>
              <w:t>排放量（固</w:t>
            </w:r>
            <w:r>
              <w:rPr>
                <w:rFonts w:hint="eastAsia"/>
                <w:b/>
                <w:bCs/>
                <w:kern w:val="0"/>
                <w:szCs w:val="21"/>
                <w:u w:val="single"/>
              </w:rPr>
              <w:t>体</w:t>
            </w:r>
            <w:r>
              <w:rPr>
                <w:b/>
                <w:bCs/>
                <w:kern w:val="0"/>
                <w:szCs w:val="21"/>
                <w:u w:val="single"/>
              </w:rPr>
              <w:t>废</w:t>
            </w:r>
            <w:r>
              <w:rPr>
                <w:rFonts w:hint="eastAsia"/>
                <w:b/>
                <w:bCs/>
                <w:kern w:val="0"/>
                <w:szCs w:val="21"/>
                <w:u w:val="single"/>
              </w:rPr>
              <w:t>物</w:t>
            </w:r>
            <w:r>
              <w:rPr>
                <w:b/>
                <w:bCs/>
                <w:kern w:val="0"/>
                <w:szCs w:val="21"/>
                <w:u w:val="single"/>
              </w:rPr>
              <w:t>产生量）</w:t>
            </w:r>
            <w:r>
              <w:rPr>
                <w:b/>
                <w:bCs/>
                <w:kern w:val="0"/>
                <w:szCs w:val="21"/>
                <w:u w:val="single"/>
              </w:rPr>
              <w:fldChar w:fldCharType="begin"/>
            </w:r>
            <w:r>
              <w:rPr>
                <w:b/>
                <w:bCs/>
                <w:kern w:val="0"/>
                <w:szCs w:val="21"/>
                <w:u w:val="single"/>
              </w:rPr>
              <w:instrText xml:space="preserve"> = 4 \* GB3 \* MERGEFORMAT </w:instrText>
            </w:r>
            <w:r>
              <w:rPr>
                <w:b/>
                <w:bCs/>
                <w:kern w:val="0"/>
                <w:szCs w:val="21"/>
                <w:u w:val="single"/>
              </w:rPr>
              <w:fldChar w:fldCharType="separate"/>
            </w:r>
            <w:r>
              <w:rPr>
                <w:rFonts w:hint="eastAsia"/>
                <w:b/>
                <w:bCs/>
                <w:kern w:val="0"/>
                <w:szCs w:val="21"/>
                <w:u w:val="single"/>
              </w:rPr>
              <w:t>④</w:t>
            </w:r>
            <w:r>
              <w:rPr>
                <w:b/>
                <w:bCs/>
                <w:kern w:val="0"/>
                <w:szCs w:val="21"/>
                <w:u w:val="single"/>
              </w:rPr>
              <w:fldChar w:fldCharType="end"/>
            </w:r>
          </w:p>
        </w:tc>
        <w:tc>
          <w:tcPr>
            <w:tcW w:w="510"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以新带老削减量（新建项目不填）</w:t>
            </w:r>
            <w:r>
              <w:rPr>
                <w:b/>
                <w:bCs/>
                <w:kern w:val="0"/>
                <w:szCs w:val="21"/>
                <w:u w:val="single"/>
              </w:rPr>
              <w:fldChar w:fldCharType="begin"/>
            </w:r>
            <w:r>
              <w:rPr>
                <w:b/>
                <w:bCs/>
                <w:kern w:val="0"/>
                <w:szCs w:val="21"/>
                <w:u w:val="single"/>
              </w:rPr>
              <w:instrText xml:space="preserve"> = 5 \* GB3 \* MERGEFORMAT </w:instrText>
            </w:r>
            <w:r>
              <w:rPr>
                <w:b/>
                <w:bCs/>
                <w:kern w:val="0"/>
                <w:szCs w:val="21"/>
                <w:u w:val="single"/>
              </w:rPr>
              <w:fldChar w:fldCharType="separate"/>
            </w:r>
            <w:r>
              <w:rPr>
                <w:rFonts w:hint="eastAsia"/>
                <w:b/>
                <w:bCs/>
                <w:kern w:val="0"/>
                <w:szCs w:val="21"/>
                <w:u w:val="single"/>
              </w:rPr>
              <w:t>⑤</w:t>
            </w:r>
            <w:r>
              <w:rPr>
                <w:b/>
                <w:bCs/>
                <w:kern w:val="0"/>
                <w:szCs w:val="21"/>
                <w:u w:val="single"/>
              </w:rPr>
              <w:fldChar w:fldCharType="end"/>
            </w:r>
          </w:p>
        </w:tc>
        <w:tc>
          <w:tcPr>
            <w:tcW w:w="628"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本项目建成后</w:t>
            </w:r>
          </w:p>
          <w:p>
            <w:pPr>
              <w:wordWrap w:val="0"/>
              <w:adjustRightInd w:val="0"/>
              <w:snapToGrid w:val="0"/>
              <w:jc w:val="center"/>
              <w:textAlignment w:val="baseline"/>
              <w:rPr>
                <w:b/>
                <w:bCs/>
                <w:kern w:val="0"/>
                <w:szCs w:val="21"/>
                <w:u w:val="single"/>
              </w:rPr>
            </w:pPr>
            <w:r>
              <w:rPr>
                <w:rFonts w:hint="eastAsia"/>
                <w:b/>
                <w:bCs/>
                <w:kern w:val="0"/>
                <w:szCs w:val="21"/>
                <w:u w:val="single"/>
              </w:rPr>
              <w:t>全厂</w:t>
            </w:r>
            <w:r>
              <w:rPr>
                <w:b/>
                <w:bCs/>
                <w:kern w:val="0"/>
                <w:szCs w:val="21"/>
                <w:u w:val="single"/>
              </w:rPr>
              <w:t>排放量（固</w:t>
            </w:r>
            <w:r>
              <w:rPr>
                <w:rFonts w:hint="eastAsia"/>
                <w:b/>
                <w:bCs/>
                <w:kern w:val="0"/>
                <w:szCs w:val="21"/>
                <w:u w:val="single"/>
              </w:rPr>
              <w:t>体</w:t>
            </w:r>
            <w:r>
              <w:rPr>
                <w:b/>
                <w:bCs/>
                <w:kern w:val="0"/>
                <w:szCs w:val="21"/>
                <w:u w:val="single"/>
              </w:rPr>
              <w:t>废</w:t>
            </w:r>
            <w:r>
              <w:rPr>
                <w:rFonts w:hint="eastAsia"/>
                <w:b/>
                <w:bCs/>
                <w:kern w:val="0"/>
                <w:szCs w:val="21"/>
                <w:u w:val="single"/>
              </w:rPr>
              <w:t>物</w:t>
            </w:r>
            <w:r>
              <w:rPr>
                <w:b/>
                <w:bCs/>
                <w:kern w:val="0"/>
                <w:szCs w:val="21"/>
                <w:u w:val="single"/>
              </w:rPr>
              <w:t>产生量）</w:t>
            </w:r>
            <w:r>
              <w:rPr>
                <w:b/>
                <w:bCs/>
                <w:kern w:val="0"/>
                <w:szCs w:val="21"/>
                <w:u w:val="single"/>
              </w:rPr>
              <w:fldChar w:fldCharType="begin"/>
            </w:r>
            <w:r>
              <w:rPr>
                <w:b/>
                <w:bCs/>
                <w:kern w:val="0"/>
                <w:szCs w:val="21"/>
                <w:u w:val="single"/>
              </w:rPr>
              <w:instrText xml:space="preserve"> = 6 \* GB3 \* MERGEFORMAT </w:instrText>
            </w:r>
            <w:r>
              <w:rPr>
                <w:b/>
                <w:bCs/>
                <w:kern w:val="0"/>
                <w:szCs w:val="21"/>
                <w:u w:val="single"/>
              </w:rPr>
              <w:fldChar w:fldCharType="separate"/>
            </w:r>
            <w:r>
              <w:rPr>
                <w:rFonts w:hint="eastAsia"/>
                <w:b/>
                <w:bCs/>
                <w:kern w:val="0"/>
                <w:szCs w:val="21"/>
                <w:u w:val="single"/>
              </w:rPr>
              <w:t>⑥</w:t>
            </w:r>
            <w:r>
              <w:rPr>
                <w:b/>
                <w:bCs/>
                <w:kern w:val="0"/>
                <w:szCs w:val="21"/>
                <w:u w:val="single"/>
              </w:rPr>
              <w:fldChar w:fldCharType="end"/>
            </w:r>
          </w:p>
        </w:tc>
        <w:tc>
          <w:tcPr>
            <w:tcW w:w="532" w:type="pct"/>
            <w:noWrap w:val="0"/>
            <w:tcMar>
              <w:left w:w="28" w:type="dxa"/>
              <w:right w:w="28" w:type="dxa"/>
            </w:tcMar>
            <w:vAlign w:val="center"/>
          </w:tcPr>
          <w:p>
            <w:pPr>
              <w:wordWrap w:val="0"/>
              <w:adjustRightInd w:val="0"/>
              <w:snapToGrid w:val="0"/>
              <w:jc w:val="center"/>
              <w:textAlignment w:val="baseline"/>
              <w:rPr>
                <w:b/>
                <w:bCs/>
                <w:kern w:val="0"/>
                <w:szCs w:val="21"/>
                <w:u w:val="single"/>
              </w:rPr>
            </w:pPr>
            <w:r>
              <w:rPr>
                <w:b/>
                <w:bCs/>
                <w:kern w:val="0"/>
                <w:szCs w:val="21"/>
                <w:u w:val="single"/>
              </w:rPr>
              <w:t>变化量</w:t>
            </w:r>
          </w:p>
          <w:p>
            <w:pPr>
              <w:wordWrap w:val="0"/>
              <w:adjustRightInd w:val="0"/>
              <w:snapToGrid w:val="0"/>
              <w:jc w:val="center"/>
              <w:textAlignment w:val="baseline"/>
              <w:rPr>
                <w:b/>
                <w:bCs/>
                <w:kern w:val="0"/>
                <w:szCs w:val="21"/>
                <w:u w:val="single"/>
              </w:rPr>
            </w:pPr>
            <w:r>
              <w:rPr>
                <w:b/>
                <w:bCs/>
                <w:kern w:val="0"/>
                <w:szCs w:val="21"/>
                <w:u w:val="single"/>
              </w:rPr>
              <w:fldChar w:fldCharType="begin"/>
            </w:r>
            <w:r>
              <w:rPr>
                <w:b/>
                <w:bCs/>
                <w:kern w:val="0"/>
                <w:szCs w:val="21"/>
                <w:u w:val="single"/>
              </w:rPr>
              <w:instrText xml:space="preserve"> = 7 \* GB3 \* MERGEFORMAT </w:instrText>
            </w:r>
            <w:r>
              <w:rPr>
                <w:b/>
                <w:bCs/>
                <w:kern w:val="0"/>
                <w:szCs w:val="21"/>
                <w:u w:val="single"/>
              </w:rPr>
              <w:fldChar w:fldCharType="separate"/>
            </w:r>
            <w:r>
              <w:rPr>
                <w:rFonts w:hint="eastAsia"/>
                <w:b/>
                <w:bCs/>
                <w:kern w:val="0"/>
                <w:szCs w:val="21"/>
                <w:u w:val="single"/>
              </w:rPr>
              <w:t>⑦</w:t>
            </w:r>
            <w:r>
              <w:rPr>
                <w:b/>
                <w:bCs/>
                <w:kern w:val="0"/>
                <w:szCs w:val="21"/>
                <w:u w:val="singl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restart"/>
            <w:noWrap w:val="0"/>
            <w:vAlign w:val="center"/>
          </w:tcPr>
          <w:p>
            <w:pPr>
              <w:wordWrap w:val="0"/>
              <w:adjustRightInd w:val="0"/>
              <w:snapToGrid w:val="0"/>
              <w:jc w:val="center"/>
              <w:textAlignment w:val="baseline"/>
              <w:rPr>
                <w:kern w:val="0"/>
                <w:szCs w:val="21"/>
                <w:u w:val="single"/>
              </w:rPr>
            </w:pPr>
            <w:r>
              <w:rPr>
                <w:rFonts w:hint="eastAsia"/>
                <w:kern w:val="0"/>
                <w:szCs w:val="21"/>
                <w:u w:val="single"/>
              </w:rPr>
              <w:t>废气</w:t>
            </w:r>
          </w:p>
        </w:tc>
        <w:tc>
          <w:tcPr>
            <w:tcW w:w="666" w:type="pct"/>
            <w:noWrap w:val="0"/>
            <w:vAlign w:val="center"/>
          </w:tcPr>
          <w:p>
            <w:pPr>
              <w:pStyle w:val="78"/>
              <w:rPr>
                <w:u w:val="single"/>
              </w:rPr>
            </w:pPr>
            <w:r>
              <w:rPr>
                <w:rFonts w:hint="eastAsia"/>
                <w:u w:val="single"/>
              </w:rPr>
              <w:t>颗粒物</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jc w:val="center"/>
              <w:rPr>
                <w:u w:val="single"/>
              </w:rPr>
            </w:pPr>
            <w:r>
              <w:rPr>
                <w:rFonts w:hint="eastAsia"/>
                <w:u w:val="single"/>
                <w:lang w:val="en-US" w:eastAsia="zh-CN"/>
              </w:rPr>
              <w:t>9.7633</w:t>
            </w:r>
            <w:r>
              <w:rPr>
                <w:rFonts w:hint="eastAsia"/>
                <w:u w:val="single"/>
              </w:rPr>
              <w:t>t/a</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jc w:val="center"/>
              <w:rPr>
                <w:u w:val="single"/>
              </w:rPr>
            </w:pPr>
            <w:r>
              <w:rPr>
                <w:rFonts w:hint="eastAsia"/>
                <w:u w:val="single"/>
                <w:lang w:val="en-US" w:eastAsia="zh-CN"/>
              </w:rPr>
              <w:t>9.7633</w:t>
            </w:r>
            <w:r>
              <w:rPr>
                <w:rFonts w:hint="eastAsia"/>
                <w:u w:val="single"/>
              </w:rPr>
              <w:t>t/a</w:t>
            </w:r>
          </w:p>
        </w:tc>
        <w:tc>
          <w:tcPr>
            <w:tcW w:w="532" w:type="pct"/>
            <w:noWrap w:val="0"/>
            <w:vAlign w:val="center"/>
          </w:tcPr>
          <w:p>
            <w:pPr>
              <w:wordWrap w:val="0"/>
              <w:jc w:val="center"/>
              <w:rPr>
                <w:u w:val="single"/>
              </w:rPr>
            </w:pPr>
            <w:r>
              <w:rPr>
                <w:rFonts w:hint="eastAsia"/>
                <w:u w:val="single"/>
              </w:rPr>
              <w:t>+</w:t>
            </w:r>
            <w:r>
              <w:rPr>
                <w:rFonts w:hint="eastAsia"/>
                <w:u w:val="single"/>
                <w:lang w:val="en-US" w:eastAsia="zh-CN"/>
              </w:rPr>
              <w:t>9.7633</w:t>
            </w:r>
            <w:r>
              <w:rPr>
                <w:rFonts w:hint="eastAsia"/>
                <w:u w:val="singl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rFonts w:hint="eastAsia"/>
                <w:kern w:val="0"/>
                <w:szCs w:val="21"/>
                <w:u w:val="single"/>
              </w:rPr>
            </w:pPr>
          </w:p>
        </w:tc>
        <w:tc>
          <w:tcPr>
            <w:tcW w:w="666" w:type="pct"/>
            <w:noWrap w:val="0"/>
            <w:vAlign w:val="center"/>
          </w:tcPr>
          <w:p>
            <w:pPr>
              <w:pStyle w:val="78"/>
              <w:rPr>
                <w:u w:val="single"/>
              </w:rPr>
            </w:pPr>
            <w:r>
              <w:rPr>
                <w:rFonts w:hint="eastAsia"/>
                <w:u w:val="single"/>
              </w:rPr>
              <w:t>CO</w:t>
            </w:r>
          </w:p>
        </w:tc>
        <w:tc>
          <w:tcPr>
            <w:tcW w:w="573"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65" w:type="pct"/>
            <w:noWrap w:val="0"/>
            <w:vAlign w:val="center"/>
          </w:tcPr>
          <w:p>
            <w:pPr>
              <w:wordWrap w:val="0"/>
              <w:jc w:val="center"/>
              <w:rPr>
                <w:u w:val="single"/>
              </w:rPr>
            </w:pPr>
            <w:r>
              <w:rPr>
                <w:rFonts w:hint="eastAsia"/>
                <w:u w:val="single"/>
              </w:rPr>
              <w:t>0.9882t/a</w:t>
            </w:r>
          </w:p>
        </w:tc>
        <w:tc>
          <w:tcPr>
            <w:tcW w:w="51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28" w:type="pct"/>
            <w:noWrap w:val="0"/>
            <w:vAlign w:val="center"/>
          </w:tcPr>
          <w:p>
            <w:pPr>
              <w:wordWrap w:val="0"/>
              <w:jc w:val="center"/>
              <w:rPr>
                <w:u w:val="single"/>
              </w:rPr>
            </w:pPr>
            <w:r>
              <w:rPr>
                <w:rFonts w:hint="eastAsia"/>
                <w:u w:val="single"/>
              </w:rPr>
              <w:t>0.9882t/a</w:t>
            </w:r>
          </w:p>
        </w:tc>
        <w:tc>
          <w:tcPr>
            <w:tcW w:w="532" w:type="pct"/>
            <w:noWrap w:val="0"/>
            <w:vAlign w:val="center"/>
          </w:tcPr>
          <w:p>
            <w:pPr>
              <w:wordWrap w:val="0"/>
              <w:jc w:val="center"/>
              <w:rPr>
                <w:u w:val="single"/>
              </w:rPr>
            </w:pPr>
            <w:r>
              <w:rPr>
                <w:rFonts w:hint="eastAsia"/>
                <w:u w:val="single"/>
              </w:rPr>
              <w:t>+0.9882t/a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rFonts w:hint="eastAsia"/>
                <w:kern w:val="0"/>
                <w:szCs w:val="21"/>
                <w:u w:val="single"/>
              </w:rPr>
            </w:pPr>
          </w:p>
        </w:tc>
        <w:tc>
          <w:tcPr>
            <w:tcW w:w="666" w:type="pct"/>
            <w:noWrap w:val="0"/>
            <w:vAlign w:val="center"/>
          </w:tcPr>
          <w:p>
            <w:pPr>
              <w:pStyle w:val="78"/>
              <w:rPr>
                <w:u w:val="single"/>
              </w:rPr>
            </w:pPr>
            <w:r>
              <w:rPr>
                <w:rFonts w:hint="eastAsia"/>
                <w:u w:val="single"/>
              </w:rPr>
              <w:t>NO</w:t>
            </w:r>
            <w:r>
              <w:rPr>
                <w:rFonts w:hint="eastAsia"/>
                <w:u w:val="single"/>
                <w:vertAlign w:val="subscript"/>
              </w:rPr>
              <w:t>X</w:t>
            </w:r>
          </w:p>
        </w:tc>
        <w:tc>
          <w:tcPr>
            <w:tcW w:w="573"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65" w:type="pct"/>
            <w:noWrap w:val="0"/>
            <w:vAlign w:val="center"/>
          </w:tcPr>
          <w:p>
            <w:pPr>
              <w:wordWrap w:val="0"/>
              <w:jc w:val="center"/>
              <w:rPr>
                <w:u w:val="single"/>
              </w:rPr>
            </w:pPr>
            <w:r>
              <w:rPr>
                <w:rFonts w:hint="eastAsia"/>
                <w:u w:val="single"/>
              </w:rPr>
              <w:t>1.0588t/a</w:t>
            </w:r>
          </w:p>
        </w:tc>
        <w:tc>
          <w:tcPr>
            <w:tcW w:w="51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28" w:type="pct"/>
            <w:noWrap w:val="0"/>
            <w:vAlign w:val="center"/>
          </w:tcPr>
          <w:p>
            <w:pPr>
              <w:wordWrap w:val="0"/>
              <w:jc w:val="center"/>
              <w:rPr>
                <w:u w:val="single"/>
              </w:rPr>
            </w:pPr>
            <w:r>
              <w:rPr>
                <w:rFonts w:hint="eastAsia"/>
                <w:u w:val="single"/>
              </w:rPr>
              <w:t>1.0588t/a</w:t>
            </w:r>
          </w:p>
        </w:tc>
        <w:tc>
          <w:tcPr>
            <w:tcW w:w="532" w:type="pct"/>
            <w:noWrap w:val="0"/>
            <w:vAlign w:val="center"/>
          </w:tcPr>
          <w:p>
            <w:pPr>
              <w:wordWrap w:val="0"/>
              <w:jc w:val="center"/>
              <w:rPr>
                <w:u w:val="single"/>
              </w:rPr>
            </w:pPr>
            <w:r>
              <w:rPr>
                <w:rFonts w:hint="eastAsia"/>
                <w:u w:val="single"/>
              </w:rPr>
              <w:t>+1.0588t/a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pStyle w:val="78"/>
              <w:rPr>
                <w:u w:val="single"/>
              </w:rPr>
            </w:pPr>
            <w:r>
              <w:rPr>
                <w:rFonts w:hint="eastAsia"/>
                <w:u w:val="single"/>
              </w:rPr>
              <w:t>HC</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jc w:val="center"/>
              <w:rPr>
                <w:u w:val="single"/>
              </w:rPr>
            </w:pPr>
            <w:r>
              <w:rPr>
                <w:rFonts w:hint="eastAsia"/>
                <w:u w:val="single"/>
              </w:rPr>
              <w:t>0.0806t/a</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jc w:val="center"/>
              <w:rPr>
                <w:u w:val="single"/>
              </w:rPr>
            </w:pPr>
            <w:r>
              <w:rPr>
                <w:rFonts w:hint="eastAsia"/>
                <w:u w:val="single"/>
              </w:rPr>
              <w:t>0.0806t/a</w:t>
            </w:r>
          </w:p>
        </w:tc>
        <w:tc>
          <w:tcPr>
            <w:tcW w:w="532" w:type="pct"/>
            <w:noWrap w:val="0"/>
            <w:vAlign w:val="center"/>
          </w:tcPr>
          <w:p>
            <w:pPr>
              <w:wordWrap w:val="0"/>
              <w:jc w:val="center"/>
              <w:rPr>
                <w:u w:val="single"/>
              </w:rPr>
            </w:pPr>
            <w:r>
              <w:rPr>
                <w:rFonts w:hint="eastAsia"/>
                <w:u w:val="single"/>
              </w:rPr>
              <w:t>+0.0806t/a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restart"/>
            <w:noWrap w:val="0"/>
            <w:vAlign w:val="center"/>
          </w:tcPr>
          <w:p>
            <w:pPr>
              <w:wordWrap w:val="0"/>
              <w:adjustRightInd w:val="0"/>
              <w:snapToGrid w:val="0"/>
              <w:jc w:val="center"/>
              <w:textAlignment w:val="baseline"/>
              <w:rPr>
                <w:kern w:val="0"/>
                <w:szCs w:val="21"/>
                <w:u w:val="single"/>
              </w:rPr>
            </w:pPr>
            <w:r>
              <w:rPr>
                <w:rFonts w:hint="eastAsia"/>
                <w:kern w:val="0"/>
                <w:szCs w:val="21"/>
                <w:u w:val="single"/>
              </w:rPr>
              <w:t>废水</w:t>
            </w: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COD</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32" w:type="pct"/>
            <w:noWrap w:val="0"/>
            <w:vAlign w:val="center"/>
          </w:tcPr>
          <w:p>
            <w:pPr>
              <w:wordWrap w:val="0"/>
              <w:adjustRightInd w:val="0"/>
              <w:snapToGrid w:val="0"/>
              <w:jc w:val="center"/>
              <w:textAlignment w:val="baseline"/>
              <w:rPr>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BOD</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32" w:type="pct"/>
            <w:noWrap w:val="0"/>
            <w:vAlign w:val="center"/>
          </w:tcPr>
          <w:p>
            <w:pPr>
              <w:wordWrap w:val="0"/>
              <w:adjustRightInd w:val="0"/>
              <w:snapToGrid w:val="0"/>
              <w:jc w:val="center"/>
              <w:textAlignment w:val="baseline"/>
              <w:rPr>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SS</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32" w:type="pct"/>
            <w:noWrap w:val="0"/>
            <w:vAlign w:val="center"/>
          </w:tcPr>
          <w:p>
            <w:pPr>
              <w:wordWrap w:val="0"/>
              <w:adjustRightInd w:val="0"/>
              <w:snapToGrid w:val="0"/>
              <w:jc w:val="center"/>
              <w:textAlignment w:val="baseline"/>
              <w:rPr>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NH</w:t>
            </w:r>
            <w:r>
              <w:rPr>
                <w:kern w:val="0"/>
                <w:szCs w:val="21"/>
                <w:u w:val="single"/>
                <w:vertAlign w:val="subscript"/>
              </w:rPr>
              <w:t>3</w:t>
            </w:r>
            <w:r>
              <w:rPr>
                <w:kern w:val="0"/>
                <w:szCs w:val="21"/>
                <w:u w:val="single"/>
              </w:rPr>
              <w:t>-</w:t>
            </w:r>
            <w:r>
              <w:rPr>
                <w:rFonts w:hint="eastAsia"/>
                <w:kern w:val="0"/>
                <w:szCs w:val="21"/>
                <w:u w:val="single"/>
              </w:rPr>
              <w:t>N</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adjustRightInd w:val="0"/>
              <w:snapToGrid w:val="0"/>
              <w:jc w:val="center"/>
              <w:textAlignment w:val="baseline"/>
              <w:rPr>
                <w:u w:val="single"/>
              </w:rPr>
            </w:pPr>
            <w:r>
              <w:rPr>
                <w:rFonts w:hint="eastAsia"/>
                <w:kern w:val="0"/>
                <w:szCs w:val="21"/>
                <w:u w:val="single"/>
              </w:rPr>
              <w:t>/</w:t>
            </w:r>
          </w:p>
        </w:tc>
        <w:tc>
          <w:tcPr>
            <w:tcW w:w="532" w:type="pct"/>
            <w:noWrap w:val="0"/>
            <w:vAlign w:val="center"/>
          </w:tcPr>
          <w:p>
            <w:pPr>
              <w:wordWrap w:val="0"/>
              <w:adjustRightInd w:val="0"/>
              <w:snapToGrid w:val="0"/>
              <w:jc w:val="center"/>
              <w:textAlignment w:val="baseline"/>
              <w:rPr>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TN</w:t>
            </w:r>
          </w:p>
        </w:tc>
        <w:tc>
          <w:tcPr>
            <w:tcW w:w="154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242"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634"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796"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37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696"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43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TP</w:t>
            </w:r>
          </w:p>
        </w:tc>
        <w:tc>
          <w:tcPr>
            <w:tcW w:w="154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242"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634"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796"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37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696"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1437" w:type="dxa"/>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restart"/>
            <w:noWrap w:val="0"/>
            <w:vAlign w:val="center"/>
          </w:tcPr>
          <w:p>
            <w:pPr>
              <w:wordWrap w:val="0"/>
              <w:adjustRightInd w:val="0"/>
              <w:snapToGrid w:val="0"/>
              <w:jc w:val="center"/>
              <w:textAlignment w:val="baseline"/>
              <w:rPr>
                <w:kern w:val="0"/>
                <w:szCs w:val="21"/>
                <w:u w:val="single"/>
              </w:rPr>
            </w:pPr>
            <w:r>
              <w:rPr>
                <w:rFonts w:hint="eastAsia"/>
                <w:kern w:val="0"/>
                <w:szCs w:val="21"/>
                <w:u w:val="single"/>
              </w:rPr>
              <w:t>一般工业固体废物</w:t>
            </w:r>
          </w:p>
        </w:tc>
        <w:tc>
          <w:tcPr>
            <w:tcW w:w="666" w:type="pct"/>
            <w:noWrap w:val="0"/>
            <w:vAlign w:val="center"/>
          </w:tcPr>
          <w:p>
            <w:pPr>
              <w:pStyle w:val="78"/>
              <w:rPr>
                <w:rFonts w:hint="eastAsia"/>
                <w:u w:val="single"/>
              </w:rPr>
            </w:pPr>
            <w:r>
              <w:rPr>
                <w:rFonts w:hint="eastAsia"/>
                <w:u w:val="single"/>
              </w:rPr>
              <w:t>布袋除尘器粉尘</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pStyle w:val="78"/>
              <w:rPr>
                <w:u w:val="single"/>
              </w:rPr>
            </w:pPr>
            <w:r>
              <w:rPr>
                <w:rFonts w:hint="eastAsia"/>
                <w:u w:val="single"/>
                <w:lang w:val="en-US" w:eastAsia="zh-CN"/>
              </w:rPr>
              <w:t>529.2738</w:t>
            </w:r>
            <w:r>
              <w:rPr>
                <w:rFonts w:hint="eastAsia"/>
                <w:u w:val="single"/>
              </w:rPr>
              <w:t>t/a</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pStyle w:val="78"/>
              <w:rPr>
                <w:rFonts w:hint="eastAsia"/>
                <w:u w:val="single"/>
              </w:rPr>
            </w:pPr>
            <w:r>
              <w:rPr>
                <w:rFonts w:hint="eastAsia"/>
                <w:u w:val="single"/>
                <w:lang w:val="en-US" w:eastAsia="zh-CN"/>
              </w:rPr>
              <w:t>529.2738</w:t>
            </w:r>
            <w:r>
              <w:rPr>
                <w:rFonts w:hint="eastAsia"/>
                <w:u w:val="single"/>
              </w:rPr>
              <w:t>t/a</w:t>
            </w:r>
          </w:p>
        </w:tc>
        <w:tc>
          <w:tcPr>
            <w:tcW w:w="532" w:type="pct"/>
            <w:noWrap w:val="0"/>
            <w:vAlign w:val="center"/>
          </w:tcPr>
          <w:p>
            <w:pPr>
              <w:pStyle w:val="78"/>
              <w:rPr>
                <w:u w:val="single"/>
              </w:rPr>
            </w:pPr>
            <w:r>
              <w:rPr>
                <w:rFonts w:hint="eastAsia"/>
                <w:u w:val="single"/>
              </w:rPr>
              <w:t>+</w:t>
            </w:r>
            <w:r>
              <w:rPr>
                <w:rFonts w:hint="eastAsia"/>
                <w:u w:val="single"/>
                <w:lang w:val="en-US" w:eastAsia="zh-CN"/>
              </w:rPr>
              <w:t>529.2738</w:t>
            </w:r>
            <w:r>
              <w:rPr>
                <w:rFonts w:hint="eastAsia"/>
                <w:u w:val="singl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pStyle w:val="78"/>
              <w:rPr>
                <w:rFonts w:hint="eastAsia"/>
                <w:u w:val="single"/>
              </w:rPr>
            </w:pPr>
            <w:r>
              <w:rPr>
                <w:rFonts w:hint="eastAsia"/>
                <w:u w:val="single"/>
              </w:rPr>
              <w:t>沉淀池沉渣</w:t>
            </w:r>
          </w:p>
        </w:tc>
        <w:tc>
          <w:tcPr>
            <w:tcW w:w="573"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65" w:type="pct"/>
            <w:noWrap w:val="0"/>
            <w:vAlign w:val="center"/>
          </w:tcPr>
          <w:p>
            <w:pPr>
              <w:pStyle w:val="78"/>
              <w:rPr>
                <w:u w:val="single"/>
              </w:rPr>
            </w:pPr>
            <w:r>
              <w:rPr>
                <w:rFonts w:hint="eastAsia"/>
                <w:u w:val="single"/>
              </w:rPr>
              <w:t>0.5t/a</w:t>
            </w:r>
          </w:p>
        </w:tc>
        <w:tc>
          <w:tcPr>
            <w:tcW w:w="510" w:type="pct"/>
            <w:noWrap w:val="0"/>
            <w:vAlign w:val="center"/>
          </w:tcPr>
          <w:p>
            <w:pPr>
              <w:wordWrap w:val="0"/>
              <w:adjustRightInd w:val="0"/>
              <w:snapToGrid w:val="0"/>
              <w:jc w:val="center"/>
              <w:textAlignment w:val="baseline"/>
              <w:rPr>
                <w:rFonts w:hint="eastAsia"/>
                <w:kern w:val="0"/>
                <w:szCs w:val="21"/>
                <w:u w:val="single"/>
              </w:rPr>
            </w:pPr>
            <w:r>
              <w:rPr>
                <w:rFonts w:hint="eastAsia"/>
                <w:kern w:val="0"/>
                <w:szCs w:val="21"/>
                <w:u w:val="single"/>
              </w:rPr>
              <w:t>/</w:t>
            </w:r>
          </w:p>
        </w:tc>
        <w:tc>
          <w:tcPr>
            <w:tcW w:w="628" w:type="pct"/>
            <w:noWrap w:val="0"/>
            <w:vAlign w:val="center"/>
          </w:tcPr>
          <w:p>
            <w:pPr>
              <w:pStyle w:val="78"/>
              <w:rPr>
                <w:rFonts w:hint="eastAsia"/>
                <w:u w:val="single"/>
              </w:rPr>
            </w:pPr>
            <w:r>
              <w:rPr>
                <w:rFonts w:hint="eastAsia"/>
                <w:u w:val="single"/>
              </w:rPr>
              <w:t>0.5t/a</w:t>
            </w:r>
          </w:p>
        </w:tc>
        <w:tc>
          <w:tcPr>
            <w:tcW w:w="532" w:type="pct"/>
            <w:noWrap w:val="0"/>
            <w:vAlign w:val="center"/>
          </w:tcPr>
          <w:p>
            <w:pPr>
              <w:pStyle w:val="78"/>
              <w:rPr>
                <w:u w:val="single"/>
              </w:rPr>
            </w:pPr>
            <w:r>
              <w:rPr>
                <w:rFonts w:hint="eastAsia"/>
                <w:u w:val="single"/>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vMerge w:val="continue"/>
            <w:noWrap w:val="0"/>
            <w:vAlign w:val="center"/>
          </w:tcPr>
          <w:p>
            <w:pPr>
              <w:wordWrap w:val="0"/>
              <w:adjustRightInd w:val="0"/>
              <w:snapToGrid w:val="0"/>
              <w:jc w:val="center"/>
              <w:textAlignment w:val="baseline"/>
              <w:rPr>
                <w:kern w:val="0"/>
                <w:szCs w:val="21"/>
                <w:u w:val="single"/>
              </w:rPr>
            </w:pPr>
          </w:p>
        </w:tc>
        <w:tc>
          <w:tcPr>
            <w:tcW w:w="666" w:type="pct"/>
            <w:noWrap w:val="0"/>
            <w:vAlign w:val="center"/>
          </w:tcPr>
          <w:p>
            <w:pPr>
              <w:pStyle w:val="78"/>
              <w:rPr>
                <w:u w:val="single"/>
              </w:rPr>
            </w:pPr>
            <w:r>
              <w:rPr>
                <w:rFonts w:hint="eastAsia"/>
                <w:u w:val="single"/>
              </w:rPr>
              <w:t>生活垃圾</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pStyle w:val="78"/>
              <w:rPr>
                <w:u w:val="single"/>
              </w:rPr>
            </w:pPr>
            <w:r>
              <w:rPr>
                <w:rFonts w:hint="eastAsia"/>
                <w:u w:val="single"/>
              </w:rPr>
              <w:t>1.825/a</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pStyle w:val="78"/>
              <w:rPr>
                <w:rFonts w:hint="eastAsia"/>
                <w:u w:val="single"/>
              </w:rPr>
            </w:pPr>
            <w:r>
              <w:rPr>
                <w:rFonts w:hint="eastAsia"/>
                <w:u w:val="single"/>
              </w:rPr>
              <w:t>1.825/a</w:t>
            </w:r>
          </w:p>
        </w:tc>
        <w:tc>
          <w:tcPr>
            <w:tcW w:w="532" w:type="pct"/>
            <w:noWrap w:val="0"/>
            <w:vAlign w:val="center"/>
          </w:tcPr>
          <w:p>
            <w:pPr>
              <w:pStyle w:val="78"/>
              <w:rPr>
                <w:u w:val="single"/>
              </w:rPr>
            </w:pPr>
            <w:r>
              <w:rPr>
                <w:rFonts w:hint="eastAsia"/>
                <w:u w:val="single"/>
              </w:rPr>
              <w:t>+1.825/a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危险废物</w:t>
            </w:r>
          </w:p>
        </w:tc>
        <w:tc>
          <w:tcPr>
            <w:tcW w:w="666" w:type="pct"/>
            <w:noWrap w:val="0"/>
            <w:vAlign w:val="center"/>
          </w:tcPr>
          <w:p>
            <w:pPr>
              <w:pStyle w:val="78"/>
              <w:rPr>
                <w:u w:val="single"/>
              </w:rPr>
            </w:pPr>
            <w:r>
              <w:rPr>
                <w:rFonts w:hint="eastAsia"/>
                <w:u w:val="single"/>
              </w:rPr>
              <w:t>废含油抹布</w:t>
            </w:r>
          </w:p>
        </w:tc>
        <w:tc>
          <w:tcPr>
            <w:tcW w:w="573"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46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0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65"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0.01t/a</w:t>
            </w:r>
          </w:p>
        </w:tc>
        <w:tc>
          <w:tcPr>
            <w:tcW w:w="510"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w:t>
            </w:r>
          </w:p>
        </w:tc>
        <w:tc>
          <w:tcPr>
            <w:tcW w:w="628"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0.01t/a</w:t>
            </w:r>
          </w:p>
        </w:tc>
        <w:tc>
          <w:tcPr>
            <w:tcW w:w="532" w:type="pct"/>
            <w:noWrap w:val="0"/>
            <w:vAlign w:val="center"/>
          </w:tcPr>
          <w:p>
            <w:pPr>
              <w:wordWrap w:val="0"/>
              <w:adjustRightInd w:val="0"/>
              <w:snapToGrid w:val="0"/>
              <w:jc w:val="center"/>
              <w:textAlignment w:val="baseline"/>
              <w:rPr>
                <w:kern w:val="0"/>
                <w:szCs w:val="21"/>
                <w:u w:val="single"/>
              </w:rPr>
            </w:pPr>
            <w:r>
              <w:rPr>
                <w:rFonts w:hint="eastAsia"/>
                <w:kern w:val="0"/>
                <w:szCs w:val="21"/>
                <w:u w:val="single"/>
              </w:rPr>
              <w:t>+0.01t/a</w:t>
            </w:r>
          </w:p>
        </w:tc>
      </w:tr>
    </w:tbl>
    <w:p>
      <w:pPr>
        <w:spacing w:before="192" w:beforeLines="80" w:after="24"/>
        <w:ind w:firstLine="420"/>
        <w:jc w:val="left"/>
        <w:rPr>
          <w:rFonts w:ascii="宋体" w:hAnsi="宋体" w:eastAsia="黑体"/>
          <w:u w:val="single"/>
        </w:rPr>
      </w:pPr>
      <w:r>
        <w:rPr>
          <w:rFonts w:hAnsi="宋体"/>
          <w:snapToGrid w:val="0"/>
          <w:kern w:val="21"/>
          <w:szCs w:val="21"/>
          <w:u w:val="single"/>
        </w:rPr>
        <w:t>注：</w:t>
      </w:r>
      <w:r>
        <w:rPr>
          <w:rFonts w:hAnsi="宋体"/>
          <w:snapToGrid w:val="0"/>
          <w:spacing w:val="-16"/>
          <w:kern w:val="21"/>
          <w:szCs w:val="21"/>
          <w:u w:val="single"/>
        </w:rPr>
        <w:fldChar w:fldCharType="begin"/>
      </w:r>
      <w:r>
        <w:rPr>
          <w:rFonts w:hAnsi="宋体"/>
          <w:snapToGrid w:val="0"/>
          <w:spacing w:val="-16"/>
          <w:kern w:val="21"/>
          <w:szCs w:val="21"/>
          <w:u w:val="single"/>
        </w:rPr>
        <w:instrText xml:space="preserve"> = 6 \* GB3 \* MERGEFORMAT </w:instrText>
      </w:r>
      <w:r>
        <w:rPr>
          <w:rFonts w:hAnsi="宋体"/>
          <w:snapToGrid w:val="0"/>
          <w:spacing w:val="-16"/>
          <w:kern w:val="21"/>
          <w:szCs w:val="21"/>
          <w:u w:val="single"/>
        </w:rPr>
        <w:fldChar w:fldCharType="separate"/>
      </w:r>
      <w:r>
        <w:rPr>
          <w:rFonts w:hint="eastAsia" w:hAnsi="宋体"/>
          <w:szCs w:val="21"/>
          <w:u w:val="single"/>
        </w:rPr>
        <w:t>⑥</w:t>
      </w:r>
      <w:r>
        <w:rPr>
          <w:rFonts w:hAnsi="宋体"/>
          <w:snapToGrid w:val="0"/>
          <w:spacing w:val="-16"/>
          <w:kern w:val="21"/>
          <w:szCs w:val="21"/>
          <w:u w:val="single"/>
        </w:rPr>
        <w:fldChar w:fldCharType="end"/>
      </w:r>
      <w:r>
        <w:rPr>
          <w:rFonts w:hAnsi="宋体"/>
          <w:snapToGrid w:val="0"/>
          <w:spacing w:val="-16"/>
          <w:kern w:val="21"/>
          <w:szCs w:val="21"/>
          <w:u w:val="single"/>
        </w:rPr>
        <w:t>=</w:t>
      </w:r>
      <w:r>
        <w:rPr>
          <w:rFonts w:hAnsi="宋体"/>
          <w:snapToGrid w:val="0"/>
          <w:spacing w:val="-6"/>
          <w:kern w:val="21"/>
          <w:szCs w:val="21"/>
          <w:u w:val="single"/>
        </w:rPr>
        <w:fldChar w:fldCharType="begin"/>
      </w:r>
      <w:r>
        <w:rPr>
          <w:rFonts w:hAnsi="宋体"/>
          <w:snapToGrid w:val="0"/>
          <w:spacing w:val="-6"/>
          <w:kern w:val="21"/>
          <w:szCs w:val="21"/>
          <w:u w:val="single"/>
        </w:rPr>
        <w:instrText xml:space="preserve"> = 1 \* GB3 \* MERGEFORMAT </w:instrText>
      </w:r>
      <w:r>
        <w:rPr>
          <w:rFonts w:hAnsi="宋体"/>
          <w:snapToGrid w:val="0"/>
          <w:spacing w:val="-6"/>
          <w:kern w:val="21"/>
          <w:szCs w:val="21"/>
          <w:u w:val="single"/>
        </w:rPr>
        <w:fldChar w:fldCharType="separate"/>
      </w:r>
      <w:r>
        <w:rPr>
          <w:rFonts w:hint="eastAsia" w:hAnsi="宋体"/>
          <w:szCs w:val="21"/>
          <w:u w:val="single"/>
        </w:rPr>
        <w:t>①</w:t>
      </w:r>
      <w:r>
        <w:rPr>
          <w:rFonts w:hAnsi="宋体"/>
          <w:snapToGrid w:val="0"/>
          <w:spacing w:val="-6"/>
          <w:kern w:val="21"/>
          <w:szCs w:val="21"/>
          <w:u w:val="single"/>
        </w:rPr>
        <w:fldChar w:fldCharType="end"/>
      </w:r>
      <w:r>
        <w:rPr>
          <w:rFonts w:hAnsi="宋体"/>
          <w:snapToGrid w:val="0"/>
          <w:spacing w:val="-6"/>
          <w:kern w:val="21"/>
          <w:szCs w:val="21"/>
          <w:u w:val="single"/>
        </w:rPr>
        <w:t>+</w:t>
      </w:r>
      <w:r>
        <w:rPr>
          <w:rFonts w:hAnsi="宋体"/>
          <w:snapToGrid w:val="0"/>
          <w:spacing w:val="-6"/>
          <w:kern w:val="21"/>
          <w:szCs w:val="21"/>
          <w:u w:val="single"/>
        </w:rPr>
        <w:fldChar w:fldCharType="begin"/>
      </w:r>
      <w:r>
        <w:rPr>
          <w:rFonts w:hAnsi="宋体"/>
          <w:snapToGrid w:val="0"/>
          <w:spacing w:val="-6"/>
          <w:kern w:val="21"/>
          <w:szCs w:val="21"/>
          <w:u w:val="single"/>
        </w:rPr>
        <w:instrText xml:space="preserve"> = 3 \* GB3 \* MERGEFORMAT </w:instrText>
      </w:r>
      <w:r>
        <w:rPr>
          <w:rFonts w:hAnsi="宋体"/>
          <w:snapToGrid w:val="0"/>
          <w:spacing w:val="-6"/>
          <w:kern w:val="21"/>
          <w:szCs w:val="21"/>
          <w:u w:val="single"/>
        </w:rPr>
        <w:fldChar w:fldCharType="separate"/>
      </w:r>
      <w:r>
        <w:rPr>
          <w:rFonts w:hint="eastAsia" w:hAnsi="宋体"/>
          <w:szCs w:val="21"/>
          <w:u w:val="single"/>
        </w:rPr>
        <w:t>③</w:t>
      </w:r>
      <w:r>
        <w:rPr>
          <w:rFonts w:hAnsi="宋体"/>
          <w:snapToGrid w:val="0"/>
          <w:spacing w:val="-6"/>
          <w:kern w:val="21"/>
          <w:szCs w:val="21"/>
          <w:u w:val="single"/>
        </w:rPr>
        <w:fldChar w:fldCharType="end"/>
      </w:r>
      <w:r>
        <w:rPr>
          <w:rFonts w:hAnsi="宋体"/>
          <w:snapToGrid w:val="0"/>
          <w:spacing w:val="-6"/>
          <w:kern w:val="21"/>
          <w:szCs w:val="21"/>
          <w:u w:val="single"/>
        </w:rPr>
        <w:t>+</w:t>
      </w:r>
      <w:r>
        <w:rPr>
          <w:rFonts w:hAnsi="宋体"/>
          <w:snapToGrid w:val="0"/>
          <w:spacing w:val="-6"/>
          <w:kern w:val="21"/>
          <w:szCs w:val="21"/>
          <w:u w:val="single"/>
        </w:rPr>
        <w:fldChar w:fldCharType="begin"/>
      </w:r>
      <w:r>
        <w:rPr>
          <w:rFonts w:hAnsi="宋体"/>
          <w:snapToGrid w:val="0"/>
          <w:spacing w:val="-6"/>
          <w:kern w:val="21"/>
          <w:szCs w:val="21"/>
          <w:u w:val="single"/>
        </w:rPr>
        <w:instrText xml:space="preserve"> = 4 \* GB3 \* MERGEFORMAT </w:instrText>
      </w:r>
      <w:r>
        <w:rPr>
          <w:rFonts w:hAnsi="宋体"/>
          <w:snapToGrid w:val="0"/>
          <w:spacing w:val="-6"/>
          <w:kern w:val="21"/>
          <w:szCs w:val="21"/>
          <w:u w:val="single"/>
        </w:rPr>
        <w:fldChar w:fldCharType="separate"/>
      </w:r>
      <w:r>
        <w:rPr>
          <w:rFonts w:hint="eastAsia" w:hAnsi="宋体"/>
          <w:szCs w:val="21"/>
          <w:u w:val="single"/>
        </w:rPr>
        <w:t>④</w:t>
      </w:r>
      <w:r>
        <w:rPr>
          <w:rFonts w:hAnsi="宋体"/>
          <w:snapToGrid w:val="0"/>
          <w:spacing w:val="-6"/>
          <w:kern w:val="21"/>
          <w:szCs w:val="21"/>
          <w:u w:val="single"/>
        </w:rPr>
        <w:fldChar w:fldCharType="end"/>
      </w:r>
      <w:r>
        <w:rPr>
          <w:rFonts w:hAnsi="宋体"/>
          <w:snapToGrid w:val="0"/>
          <w:spacing w:val="-6"/>
          <w:kern w:val="21"/>
          <w:szCs w:val="21"/>
          <w:u w:val="single"/>
        </w:rPr>
        <w:t>-</w:t>
      </w:r>
      <w:r>
        <w:rPr>
          <w:rFonts w:hAnsi="宋体"/>
          <w:snapToGrid w:val="0"/>
          <w:spacing w:val="-16"/>
          <w:kern w:val="21"/>
          <w:szCs w:val="21"/>
          <w:u w:val="single"/>
        </w:rPr>
        <w:fldChar w:fldCharType="begin"/>
      </w:r>
      <w:r>
        <w:rPr>
          <w:rFonts w:hAnsi="宋体"/>
          <w:snapToGrid w:val="0"/>
          <w:spacing w:val="-16"/>
          <w:kern w:val="21"/>
          <w:szCs w:val="21"/>
          <w:u w:val="single"/>
        </w:rPr>
        <w:instrText xml:space="preserve"> = 5 \* GB3 \* MERGEFORMAT </w:instrText>
      </w:r>
      <w:r>
        <w:rPr>
          <w:rFonts w:hAnsi="宋体"/>
          <w:snapToGrid w:val="0"/>
          <w:spacing w:val="-16"/>
          <w:kern w:val="21"/>
          <w:szCs w:val="21"/>
          <w:u w:val="single"/>
        </w:rPr>
        <w:fldChar w:fldCharType="separate"/>
      </w:r>
      <w:r>
        <w:rPr>
          <w:rFonts w:hint="eastAsia" w:hAnsi="宋体"/>
          <w:szCs w:val="21"/>
          <w:u w:val="single"/>
        </w:rPr>
        <w:t>⑤</w:t>
      </w:r>
      <w:r>
        <w:rPr>
          <w:rFonts w:hAnsi="宋体"/>
          <w:snapToGrid w:val="0"/>
          <w:spacing w:val="-16"/>
          <w:kern w:val="21"/>
          <w:szCs w:val="21"/>
          <w:u w:val="single"/>
        </w:rPr>
        <w:fldChar w:fldCharType="end"/>
      </w:r>
      <w:r>
        <w:rPr>
          <w:rFonts w:hAnsi="宋体"/>
          <w:snapToGrid w:val="0"/>
          <w:spacing w:val="-16"/>
          <w:kern w:val="21"/>
          <w:szCs w:val="21"/>
          <w:u w:val="single"/>
        </w:rPr>
        <w:t>；</w:t>
      </w:r>
      <w:r>
        <w:rPr>
          <w:rFonts w:hAnsi="宋体"/>
          <w:snapToGrid w:val="0"/>
          <w:spacing w:val="-6"/>
          <w:kern w:val="21"/>
          <w:szCs w:val="21"/>
          <w:u w:val="single"/>
        </w:rPr>
        <w:fldChar w:fldCharType="begin"/>
      </w:r>
      <w:r>
        <w:rPr>
          <w:rFonts w:hAnsi="宋体"/>
          <w:snapToGrid w:val="0"/>
          <w:spacing w:val="-6"/>
          <w:kern w:val="21"/>
          <w:szCs w:val="21"/>
          <w:u w:val="single"/>
        </w:rPr>
        <w:instrText xml:space="preserve"> = 7 \* GB3 \* MERGEFORMAT </w:instrText>
      </w:r>
      <w:r>
        <w:rPr>
          <w:rFonts w:hAnsi="宋体"/>
          <w:snapToGrid w:val="0"/>
          <w:spacing w:val="-6"/>
          <w:kern w:val="21"/>
          <w:szCs w:val="21"/>
          <w:u w:val="single"/>
        </w:rPr>
        <w:fldChar w:fldCharType="separate"/>
      </w:r>
      <w:r>
        <w:rPr>
          <w:rFonts w:hint="eastAsia" w:hAnsi="宋体"/>
          <w:szCs w:val="21"/>
          <w:u w:val="single"/>
        </w:rPr>
        <w:t>⑦</w:t>
      </w:r>
      <w:r>
        <w:rPr>
          <w:rFonts w:hAnsi="宋体"/>
          <w:snapToGrid w:val="0"/>
          <w:spacing w:val="-6"/>
          <w:kern w:val="21"/>
          <w:szCs w:val="21"/>
          <w:u w:val="single"/>
        </w:rPr>
        <w:fldChar w:fldCharType="end"/>
      </w:r>
      <w:r>
        <w:rPr>
          <w:rFonts w:hAnsi="宋体"/>
          <w:snapToGrid w:val="0"/>
          <w:spacing w:val="-6"/>
          <w:kern w:val="21"/>
          <w:szCs w:val="21"/>
          <w:u w:val="single"/>
        </w:rPr>
        <w:t>=</w:t>
      </w:r>
      <w:r>
        <w:rPr>
          <w:rFonts w:hAnsi="宋体"/>
          <w:snapToGrid w:val="0"/>
          <w:spacing w:val="-16"/>
          <w:kern w:val="21"/>
          <w:szCs w:val="21"/>
          <w:u w:val="single"/>
        </w:rPr>
        <w:fldChar w:fldCharType="begin"/>
      </w:r>
      <w:r>
        <w:rPr>
          <w:rFonts w:hAnsi="宋体"/>
          <w:snapToGrid w:val="0"/>
          <w:spacing w:val="-16"/>
          <w:kern w:val="21"/>
          <w:szCs w:val="21"/>
          <w:u w:val="single"/>
        </w:rPr>
        <w:instrText xml:space="preserve"> = 6 \* GB3 \* MERGEFORMAT </w:instrText>
      </w:r>
      <w:r>
        <w:rPr>
          <w:rFonts w:hAnsi="宋体"/>
          <w:snapToGrid w:val="0"/>
          <w:spacing w:val="-16"/>
          <w:kern w:val="21"/>
          <w:szCs w:val="21"/>
          <w:u w:val="single"/>
        </w:rPr>
        <w:fldChar w:fldCharType="separate"/>
      </w:r>
      <w:r>
        <w:rPr>
          <w:rFonts w:hint="eastAsia" w:hAnsi="宋体"/>
          <w:szCs w:val="21"/>
          <w:u w:val="single"/>
        </w:rPr>
        <w:t>⑥</w:t>
      </w:r>
      <w:r>
        <w:rPr>
          <w:rFonts w:hAnsi="宋体"/>
          <w:snapToGrid w:val="0"/>
          <w:spacing w:val="-16"/>
          <w:kern w:val="21"/>
          <w:szCs w:val="21"/>
          <w:u w:val="single"/>
        </w:rPr>
        <w:fldChar w:fldCharType="end"/>
      </w:r>
      <w:r>
        <w:rPr>
          <w:rFonts w:hAnsi="宋体"/>
          <w:snapToGrid w:val="0"/>
          <w:spacing w:val="-16"/>
          <w:kern w:val="21"/>
          <w:szCs w:val="21"/>
          <w:u w:val="single"/>
        </w:rPr>
        <w:t>-</w:t>
      </w:r>
      <w:r>
        <w:rPr>
          <w:rFonts w:hAnsi="宋体"/>
          <w:snapToGrid w:val="0"/>
          <w:spacing w:val="-6"/>
          <w:kern w:val="21"/>
          <w:szCs w:val="21"/>
          <w:u w:val="single"/>
        </w:rPr>
        <w:fldChar w:fldCharType="begin"/>
      </w:r>
      <w:r>
        <w:rPr>
          <w:rFonts w:hAnsi="宋体"/>
          <w:snapToGrid w:val="0"/>
          <w:spacing w:val="-6"/>
          <w:kern w:val="21"/>
          <w:szCs w:val="21"/>
          <w:u w:val="single"/>
        </w:rPr>
        <w:instrText xml:space="preserve"> = 1 \* GB3 \* MERGEFORMAT </w:instrText>
      </w:r>
      <w:r>
        <w:rPr>
          <w:rFonts w:hAnsi="宋体"/>
          <w:snapToGrid w:val="0"/>
          <w:spacing w:val="-6"/>
          <w:kern w:val="21"/>
          <w:szCs w:val="21"/>
          <w:u w:val="single"/>
        </w:rPr>
        <w:fldChar w:fldCharType="separate"/>
      </w:r>
      <w:r>
        <w:rPr>
          <w:rFonts w:hint="eastAsia" w:hAnsi="宋体"/>
          <w:szCs w:val="21"/>
          <w:u w:val="single"/>
        </w:rPr>
        <w:t>①</w:t>
      </w:r>
      <w:r>
        <w:rPr>
          <w:rFonts w:hAnsi="宋体"/>
          <w:snapToGrid w:val="0"/>
          <w:spacing w:val="-6"/>
          <w:kern w:val="21"/>
          <w:szCs w:val="21"/>
          <w:u w:val="single"/>
        </w:rPr>
        <w:fldChar w:fldCharType="end"/>
      </w:r>
    </w:p>
    <w:sectPr>
      <w:footerReference r:id="rId14" w:type="default"/>
      <w:pgSz w:w="16838" w:h="11906" w:orient="landscape"/>
      <w:pgMar w:top="1531" w:right="1701" w:bottom="1531" w:left="170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A537BE-2497-4774-866C-9E102852C8EB}"/>
  </w:font>
  <w:font w:name="Courier New">
    <w:panose1 w:val="02070309020205020404"/>
    <w:charset w:val="01"/>
    <w:family w:val="modern"/>
    <w:pitch w:val="default"/>
    <w:sig w:usb0="E0002AFF" w:usb1="C0007843" w:usb2="00000009" w:usb3="00000000" w:csb0="400001FF" w:csb1="FFFF0000"/>
    <w:embedRegular r:id="rId2" w:fontKey="{C952D3F2-9255-405A-A2D1-992F8EC21D6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8321F44-F841-40B8-BE83-0745D1130FBD}"/>
  </w:font>
  <w:font w:name="仿宋">
    <w:panose1 w:val="02010609060101010101"/>
    <w:charset w:val="86"/>
    <w:family w:val="auto"/>
    <w:pitch w:val="default"/>
    <w:sig w:usb0="800002BF" w:usb1="38CF7CFA" w:usb2="00000016" w:usb3="00000000" w:csb0="00040001" w:csb1="00000000"/>
    <w:embedRegular r:id="rId4" w:fontKey="{3B1AC59D-2F45-4124-903F-70FCDE10B8C5}"/>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5" w:fontKey="{AC506D90-5ED6-4312-B5BD-031184E54B79}"/>
  </w:font>
  <w:font w:name="楷体_GB2312">
    <w:panose1 w:val="02010609030101010101"/>
    <w:charset w:val="86"/>
    <w:family w:val="roman"/>
    <w:pitch w:val="default"/>
    <w:sig w:usb0="00000001" w:usb1="080E0000" w:usb2="00000000" w:usb3="00000000" w:csb0="00040000" w:csb1="00000000"/>
    <w:embedRegular r:id="rId6" w:fontKey="{5454D73F-1381-488E-A14F-AEF4D231F56E}"/>
  </w:font>
  <w:font w:name="方正小标宋_GBK">
    <w:altName w:val="宋体"/>
    <w:panose1 w:val="03000509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embedRegular r:id="rId7" w:fontKey="{6B671E14-75B5-41C0-9F8A-BA6A316009D0}"/>
  </w:font>
  <w:font w:name="Cambria Math">
    <w:panose1 w:val="02040503050406030204"/>
    <w:charset w:val="00"/>
    <w:family w:val="auto"/>
    <w:pitch w:val="default"/>
    <w:sig w:usb0="E00002FF" w:usb1="420024FF" w:usb2="00000000" w:usb3="00000000" w:csb0="2000019F" w:csb1="00000000"/>
    <w:embedRegular r:id="rId8" w:fontKey="{7ADFBF08-F4A9-4556-A27E-D3832D601F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pPr>
    <w:r>
      <w:fldChar w:fldCharType="begin"/>
    </w:r>
    <w:r>
      <w:instrText xml:space="preserve">PAGE  </w:instrText>
    </w:r>
    <w:r>
      <w:fldChar w:fldCharType="separate"/>
    </w:r>
    <w:r>
      <w:t>1</w:t>
    </w:r>
    <w:r>
      <w:fldChar w:fldCharType="end"/>
    </w:r>
  </w:p>
  <w:p>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5377"/>
        <w:tab w:val="clear" w:pos="4153"/>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V768gBAACa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3iJrylxHGLEz///HH+9ef8+zt5&#10;k/XpA9SYdhswMQ3v/YC5sx/QmWkPKtr8RUIE46ju6aKuHBIR+dFquVpVGBIYmy+Iz+6fhwjpg/SW&#10;ZKOhEcdXVOXHT5DG1DklV3P+RhtTRmjcfw7EzB6Wex97zFYadsNEaOfbE/LpcfINdbjolJiPDoXN&#10;SzIbcTZ2s3EIUe+7skW5HoR3h4RNlN5yhRF2KowjK+ym9co78e+9ZN3/U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vle+v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wordWrap w:val="0"/>
      <w:spacing w:line="360" w:lineRule="auto"/>
      <w:ind w:firstLine="480" w:firstLineChars="200"/>
      <w:jc w:val="center"/>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59</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EmZcgBAACa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dI2SOG5x4pcf3y8/f19+fSN1&#10;1mcI0GDafcDENL71I27N4gd0ZtqjijZ/kRDBOEKdr+rKMRGRH9Xruq4wJDC2XBCfPTwPEdI76S3J&#10;Rksjjq+oyk8fIE2pS0qu5vydNqaM0Li/HIiZPSz3PvWYrTTux5nQ3ndn5DPg5FvqcNEpMe8dCov9&#10;pcWIi7FfjGOI+tCXLcr1ILw5Jmyi9JYrTLBzYRxZYTevV96Jx/eS9fBLb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ZBJmXIAQAAmgMAAA4AAAAAAAAAAQAgAAAAHgEAAGRycy9lMm9Eb2Mu&#10;eG1sUEsFBgAAAAAGAAYAWQEAAFg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eRUs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lpS4rjFiV++f7v8+HX5+ZW8&#10;yf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J5FSyQEAAJoDAAAOAAAAAAAAAAEAIAAAAB4BAABkcnMvZTJvRG9j&#10;LnhtbFBLBQYAAAAABgAGAFkBAABZ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ToXUmyQEAAJsDAAAOAAAAAAAAAAEAIAAAAB4BAABkcnMvZTJvRG9j&#10;LnhtbFBLBQYAAAAABgAGAFkBAABZ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BA9431"/>
    <w:multiLevelType w:val="singleLevel"/>
    <w:tmpl w:val="F7BA9431"/>
    <w:lvl w:ilvl="0" w:tentative="0">
      <w:start w:val="2"/>
      <w:numFmt w:val="decimal"/>
      <w:suff w:val="nothing"/>
      <w:lvlText w:val="（%1）"/>
      <w:lvlJc w:val="left"/>
    </w:lvl>
  </w:abstractNum>
  <w:abstractNum w:abstractNumId="1">
    <w:nsid w:val="FE8150F2"/>
    <w:multiLevelType w:val="singleLevel"/>
    <w:tmpl w:val="FE8150F2"/>
    <w:lvl w:ilvl="0" w:tentative="0">
      <w:start w:val="2"/>
      <w:numFmt w:val="decimal"/>
      <w:suff w:val="nothing"/>
      <w:lvlText w:val="（%1）"/>
      <w:lvlJc w:val="left"/>
    </w:lvl>
  </w:abstractNum>
  <w:abstractNum w:abstractNumId="2">
    <w:nsid w:val="18413852"/>
    <w:multiLevelType w:val="singleLevel"/>
    <w:tmpl w:val="1841385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2MTM5NWY1MDI3ZWYxN2U0NDc4MTU4OTExNzgwOGQifQ=="/>
  </w:docVars>
  <w:rsids>
    <w:rsidRoot w:val="00A14947"/>
    <w:rsid w:val="000060B3"/>
    <w:rsid w:val="00007B56"/>
    <w:rsid w:val="000118A6"/>
    <w:rsid w:val="0004364B"/>
    <w:rsid w:val="00044BE6"/>
    <w:rsid w:val="00061B1F"/>
    <w:rsid w:val="000733C4"/>
    <w:rsid w:val="00074783"/>
    <w:rsid w:val="0008070B"/>
    <w:rsid w:val="000810AC"/>
    <w:rsid w:val="00081A02"/>
    <w:rsid w:val="00082231"/>
    <w:rsid w:val="000833F9"/>
    <w:rsid w:val="00092D38"/>
    <w:rsid w:val="0009377B"/>
    <w:rsid w:val="000A20C9"/>
    <w:rsid w:val="000B058F"/>
    <w:rsid w:val="000B4467"/>
    <w:rsid w:val="000B4DB9"/>
    <w:rsid w:val="000C09AC"/>
    <w:rsid w:val="000C767F"/>
    <w:rsid w:val="000D5A44"/>
    <w:rsid w:val="000E0251"/>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3180"/>
    <w:rsid w:val="003357D8"/>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4D77"/>
    <w:rsid w:val="00452738"/>
    <w:rsid w:val="00456091"/>
    <w:rsid w:val="00466321"/>
    <w:rsid w:val="00480BC4"/>
    <w:rsid w:val="00484B9B"/>
    <w:rsid w:val="004855F6"/>
    <w:rsid w:val="0048661E"/>
    <w:rsid w:val="00494670"/>
    <w:rsid w:val="004A3823"/>
    <w:rsid w:val="004A3F06"/>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3490"/>
    <w:rsid w:val="00594D77"/>
    <w:rsid w:val="005969E4"/>
    <w:rsid w:val="005A06B7"/>
    <w:rsid w:val="005A1759"/>
    <w:rsid w:val="005A68A7"/>
    <w:rsid w:val="005D36AB"/>
    <w:rsid w:val="00617CC3"/>
    <w:rsid w:val="006377A6"/>
    <w:rsid w:val="00637A3D"/>
    <w:rsid w:val="006411EF"/>
    <w:rsid w:val="00643BE3"/>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0AC7"/>
    <w:rsid w:val="00732922"/>
    <w:rsid w:val="0075162E"/>
    <w:rsid w:val="00754034"/>
    <w:rsid w:val="00756556"/>
    <w:rsid w:val="007618C4"/>
    <w:rsid w:val="00767980"/>
    <w:rsid w:val="00770B19"/>
    <w:rsid w:val="0077463F"/>
    <w:rsid w:val="007836EA"/>
    <w:rsid w:val="00784CDA"/>
    <w:rsid w:val="007906C4"/>
    <w:rsid w:val="007940EA"/>
    <w:rsid w:val="00794E32"/>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89B"/>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0750"/>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231"/>
    <w:rsid w:val="00A423AA"/>
    <w:rsid w:val="00A45009"/>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507A"/>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21A8"/>
    <w:rsid w:val="00C64BFF"/>
    <w:rsid w:val="00C704E9"/>
    <w:rsid w:val="00C763C9"/>
    <w:rsid w:val="00C80057"/>
    <w:rsid w:val="00C82232"/>
    <w:rsid w:val="00C82913"/>
    <w:rsid w:val="00C872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A3EA5"/>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46AD2"/>
    <w:rsid w:val="00E56322"/>
    <w:rsid w:val="00E60982"/>
    <w:rsid w:val="00E62C62"/>
    <w:rsid w:val="00E654C1"/>
    <w:rsid w:val="00E65D97"/>
    <w:rsid w:val="00E72A5A"/>
    <w:rsid w:val="00E73354"/>
    <w:rsid w:val="00E80370"/>
    <w:rsid w:val="00E9242D"/>
    <w:rsid w:val="00EB5255"/>
    <w:rsid w:val="00EB5C47"/>
    <w:rsid w:val="00EB60B2"/>
    <w:rsid w:val="00ED0639"/>
    <w:rsid w:val="00EF4755"/>
    <w:rsid w:val="00EF7135"/>
    <w:rsid w:val="00F027DB"/>
    <w:rsid w:val="00F14A7A"/>
    <w:rsid w:val="00F22985"/>
    <w:rsid w:val="00F3383E"/>
    <w:rsid w:val="00F465A7"/>
    <w:rsid w:val="00F50B7C"/>
    <w:rsid w:val="00F550E6"/>
    <w:rsid w:val="00F74345"/>
    <w:rsid w:val="00F76805"/>
    <w:rsid w:val="00F80A0A"/>
    <w:rsid w:val="00F82B19"/>
    <w:rsid w:val="00F9212D"/>
    <w:rsid w:val="00F965DA"/>
    <w:rsid w:val="00FA406A"/>
    <w:rsid w:val="00FB503A"/>
    <w:rsid w:val="00FB516C"/>
    <w:rsid w:val="00FD0236"/>
    <w:rsid w:val="00FD18F4"/>
    <w:rsid w:val="00FD54DB"/>
    <w:rsid w:val="00FD619F"/>
    <w:rsid w:val="01177506"/>
    <w:rsid w:val="01192C1F"/>
    <w:rsid w:val="01290F7E"/>
    <w:rsid w:val="01395070"/>
    <w:rsid w:val="014F4893"/>
    <w:rsid w:val="015D1E09"/>
    <w:rsid w:val="017E2A82"/>
    <w:rsid w:val="01CA63A7"/>
    <w:rsid w:val="01CC1A40"/>
    <w:rsid w:val="01CC715B"/>
    <w:rsid w:val="01E30AD4"/>
    <w:rsid w:val="01F80A87"/>
    <w:rsid w:val="0204742C"/>
    <w:rsid w:val="021A27AB"/>
    <w:rsid w:val="02203B3A"/>
    <w:rsid w:val="0227136C"/>
    <w:rsid w:val="023575E5"/>
    <w:rsid w:val="023F66B6"/>
    <w:rsid w:val="025A34EF"/>
    <w:rsid w:val="02697903"/>
    <w:rsid w:val="0273635F"/>
    <w:rsid w:val="02781BC8"/>
    <w:rsid w:val="02784778"/>
    <w:rsid w:val="027F6AB2"/>
    <w:rsid w:val="028B18FB"/>
    <w:rsid w:val="028E13EB"/>
    <w:rsid w:val="02B250DA"/>
    <w:rsid w:val="02BA3F8E"/>
    <w:rsid w:val="02C34EEE"/>
    <w:rsid w:val="02C40969"/>
    <w:rsid w:val="02CD3CC1"/>
    <w:rsid w:val="02CF4893"/>
    <w:rsid w:val="02D432A2"/>
    <w:rsid w:val="02E103FD"/>
    <w:rsid w:val="02F96569"/>
    <w:rsid w:val="03457CFC"/>
    <w:rsid w:val="03650B17"/>
    <w:rsid w:val="038861D4"/>
    <w:rsid w:val="038F71C9"/>
    <w:rsid w:val="03B22EB7"/>
    <w:rsid w:val="03B67770"/>
    <w:rsid w:val="03CF3A69"/>
    <w:rsid w:val="03D90444"/>
    <w:rsid w:val="03DE194E"/>
    <w:rsid w:val="03DE3CAC"/>
    <w:rsid w:val="03E07A24"/>
    <w:rsid w:val="03EA7B21"/>
    <w:rsid w:val="041651F4"/>
    <w:rsid w:val="04180F6C"/>
    <w:rsid w:val="041B1889"/>
    <w:rsid w:val="041C3CAA"/>
    <w:rsid w:val="041F679F"/>
    <w:rsid w:val="04463D2B"/>
    <w:rsid w:val="044955CA"/>
    <w:rsid w:val="044D05C0"/>
    <w:rsid w:val="04531FA4"/>
    <w:rsid w:val="04553F6E"/>
    <w:rsid w:val="0466617C"/>
    <w:rsid w:val="046E6DDE"/>
    <w:rsid w:val="047C0E2B"/>
    <w:rsid w:val="047D1717"/>
    <w:rsid w:val="047F2D99"/>
    <w:rsid w:val="049A5E25"/>
    <w:rsid w:val="04A62A1C"/>
    <w:rsid w:val="04BF3ADE"/>
    <w:rsid w:val="04C42EA2"/>
    <w:rsid w:val="04C959D7"/>
    <w:rsid w:val="04CB3E7D"/>
    <w:rsid w:val="04E80EFE"/>
    <w:rsid w:val="04FD0162"/>
    <w:rsid w:val="050634BB"/>
    <w:rsid w:val="0511564D"/>
    <w:rsid w:val="05145FF9"/>
    <w:rsid w:val="051A51B8"/>
    <w:rsid w:val="051E25B2"/>
    <w:rsid w:val="05542478"/>
    <w:rsid w:val="055A2FAF"/>
    <w:rsid w:val="0579237E"/>
    <w:rsid w:val="05C14C3D"/>
    <w:rsid w:val="05CD3FD8"/>
    <w:rsid w:val="05D15877"/>
    <w:rsid w:val="05DB3E17"/>
    <w:rsid w:val="05F83EAE"/>
    <w:rsid w:val="06024233"/>
    <w:rsid w:val="061C410F"/>
    <w:rsid w:val="063D6CE4"/>
    <w:rsid w:val="063E7D85"/>
    <w:rsid w:val="064829DB"/>
    <w:rsid w:val="06532730"/>
    <w:rsid w:val="065D535C"/>
    <w:rsid w:val="06606BFB"/>
    <w:rsid w:val="06695AAF"/>
    <w:rsid w:val="066E30C6"/>
    <w:rsid w:val="066F10E5"/>
    <w:rsid w:val="068E3768"/>
    <w:rsid w:val="06915006"/>
    <w:rsid w:val="069A3EBB"/>
    <w:rsid w:val="069D39AB"/>
    <w:rsid w:val="06A25465"/>
    <w:rsid w:val="06AB431A"/>
    <w:rsid w:val="06CB676A"/>
    <w:rsid w:val="06D4668A"/>
    <w:rsid w:val="06DC2725"/>
    <w:rsid w:val="06E97196"/>
    <w:rsid w:val="07140111"/>
    <w:rsid w:val="071A324D"/>
    <w:rsid w:val="071F0864"/>
    <w:rsid w:val="07293586"/>
    <w:rsid w:val="07295285"/>
    <w:rsid w:val="0730481F"/>
    <w:rsid w:val="07375BAD"/>
    <w:rsid w:val="07636392"/>
    <w:rsid w:val="07770C56"/>
    <w:rsid w:val="079052BE"/>
    <w:rsid w:val="07966D78"/>
    <w:rsid w:val="07BE1E2B"/>
    <w:rsid w:val="07C136C9"/>
    <w:rsid w:val="07C42BF4"/>
    <w:rsid w:val="07C54C87"/>
    <w:rsid w:val="07F25F78"/>
    <w:rsid w:val="08000695"/>
    <w:rsid w:val="08145EEF"/>
    <w:rsid w:val="083C281C"/>
    <w:rsid w:val="085E53BC"/>
    <w:rsid w:val="086C1887"/>
    <w:rsid w:val="086E55FF"/>
    <w:rsid w:val="086F1377"/>
    <w:rsid w:val="086F18EA"/>
    <w:rsid w:val="08A26F9A"/>
    <w:rsid w:val="08AC02CB"/>
    <w:rsid w:val="08BE3947"/>
    <w:rsid w:val="08CC4A1B"/>
    <w:rsid w:val="08DF474E"/>
    <w:rsid w:val="08E51639"/>
    <w:rsid w:val="08ED5D2A"/>
    <w:rsid w:val="08FE5A3C"/>
    <w:rsid w:val="0906330E"/>
    <w:rsid w:val="09112865"/>
    <w:rsid w:val="092217DD"/>
    <w:rsid w:val="09297778"/>
    <w:rsid w:val="092E1232"/>
    <w:rsid w:val="093A7294"/>
    <w:rsid w:val="09630EDC"/>
    <w:rsid w:val="0963712E"/>
    <w:rsid w:val="096B7D90"/>
    <w:rsid w:val="099E1F14"/>
    <w:rsid w:val="09A60DC8"/>
    <w:rsid w:val="09AD65FB"/>
    <w:rsid w:val="09C15C02"/>
    <w:rsid w:val="09C474A0"/>
    <w:rsid w:val="09C86F91"/>
    <w:rsid w:val="09D05AAE"/>
    <w:rsid w:val="09EC7123"/>
    <w:rsid w:val="0A0818BB"/>
    <w:rsid w:val="0A221EE6"/>
    <w:rsid w:val="0A263993"/>
    <w:rsid w:val="0A2D3AC2"/>
    <w:rsid w:val="0A3E7253"/>
    <w:rsid w:val="0A486323"/>
    <w:rsid w:val="0A4D175D"/>
    <w:rsid w:val="0A595E3B"/>
    <w:rsid w:val="0A701BE2"/>
    <w:rsid w:val="0A7113D6"/>
    <w:rsid w:val="0A717628"/>
    <w:rsid w:val="0A823CEB"/>
    <w:rsid w:val="0A870BFA"/>
    <w:rsid w:val="0A99092D"/>
    <w:rsid w:val="0A9B3267"/>
    <w:rsid w:val="0AA01CBB"/>
    <w:rsid w:val="0AA03A6A"/>
    <w:rsid w:val="0AA755DF"/>
    <w:rsid w:val="0AAE262A"/>
    <w:rsid w:val="0AC938AC"/>
    <w:rsid w:val="0AD35BED"/>
    <w:rsid w:val="0AD96222"/>
    <w:rsid w:val="0AF22E39"/>
    <w:rsid w:val="0B0104D8"/>
    <w:rsid w:val="0B120D44"/>
    <w:rsid w:val="0B1D1B14"/>
    <w:rsid w:val="0B293498"/>
    <w:rsid w:val="0B293A5F"/>
    <w:rsid w:val="0B444D3D"/>
    <w:rsid w:val="0B5C5BE2"/>
    <w:rsid w:val="0B6D6042"/>
    <w:rsid w:val="0B770C6E"/>
    <w:rsid w:val="0B7F7B23"/>
    <w:rsid w:val="0B9F3D21"/>
    <w:rsid w:val="0BA23811"/>
    <w:rsid w:val="0BB35A1E"/>
    <w:rsid w:val="0BB828ED"/>
    <w:rsid w:val="0BBE064B"/>
    <w:rsid w:val="0BBF4C07"/>
    <w:rsid w:val="0BC419DA"/>
    <w:rsid w:val="0BD22349"/>
    <w:rsid w:val="0BD27BF6"/>
    <w:rsid w:val="0BD54DED"/>
    <w:rsid w:val="0BEB51B8"/>
    <w:rsid w:val="0C030754"/>
    <w:rsid w:val="0C057EC4"/>
    <w:rsid w:val="0C1B7A99"/>
    <w:rsid w:val="0C1C35C4"/>
    <w:rsid w:val="0C281F69"/>
    <w:rsid w:val="0C3B3C7D"/>
    <w:rsid w:val="0C566AD6"/>
    <w:rsid w:val="0C607954"/>
    <w:rsid w:val="0C637445"/>
    <w:rsid w:val="0C6C00A7"/>
    <w:rsid w:val="0C7B653C"/>
    <w:rsid w:val="0C871385"/>
    <w:rsid w:val="0C880C59"/>
    <w:rsid w:val="0CAB2EAE"/>
    <w:rsid w:val="0CAD246E"/>
    <w:rsid w:val="0CD30126"/>
    <w:rsid w:val="0CD914B5"/>
    <w:rsid w:val="0CDB347F"/>
    <w:rsid w:val="0CDD4579"/>
    <w:rsid w:val="0D0066D8"/>
    <w:rsid w:val="0D083A90"/>
    <w:rsid w:val="0D2D6E32"/>
    <w:rsid w:val="0D305579"/>
    <w:rsid w:val="0D346A4C"/>
    <w:rsid w:val="0D5F5E5E"/>
    <w:rsid w:val="0D621C7D"/>
    <w:rsid w:val="0D646FD0"/>
    <w:rsid w:val="0D8238FA"/>
    <w:rsid w:val="0D832182"/>
    <w:rsid w:val="0D891D01"/>
    <w:rsid w:val="0DA466A2"/>
    <w:rsid w:val="0DA47D15"/>
    <w:rsid w:val="0DAE5F61"/>
    <w:rsid w:val="0DC83A03"/>
    <w:rsid w:val="0DF0289C"/>
    <w:rsid w:val="0E1053AA"/>
    <w:rsid w:val="0E1B64AA"/>
    <w:rsid w:val="0E320E7D"/>
    <w:rsid w:val="0E3C7F4D"/>
    <w:rsid w:val="0E4D3F08"/>
    <w:rsid w:val="0E651252"/>
    <w:rsid w:val="0E73034D"/>
    <w:rsid w:val="0E7B0A75"/>
    <w:rsid w:val="0E820056"/>
    <w:rsid w:val="0E87566C"/>
    <w:rsid w:val="0E8A3350"/>
    <w:rsid w:val="0EAE1E76"/>
    <w:rsid w:val="0ECC307F"/>
    <w:rsid w:val="0EDE1004"/>
    <w:rsid w:val="0EF95E3E"/>
    <w:rsid w:val="0F0A3BA7"/>
    <w:rsid w:val="0F0F6F17"/>
    <w:rsid w:val="0F13775A"/>
    <w:rsid w:val="0F334030"/>
    <w:rsid w:val="0F5F45FE"/>
    <w:rsid w:val="0F721887"/>
    <w:rsid w:val="0F7B1AD0"/>
    <w:rsid w:val="0F9A112B"/>
    <w:rsid w:val="0F9C5147"/>
    <w:rsid w:val="0FA062BA"/>
    <w:rsid w:val="0FAC4C5F"/>
    <w:rsid w:val="0FAD4882"/>
    <w:rsid w:val="0FB029A1"/>
    <w:rsid w:val="0FBC7598"/>
    <w:rsid w:val="0FC41FA8"/>
    <w:rsid w:val="0FCE2E27"/>
    <w:rsid w:val="0FD50659"/>
    <w:rsid w:val="0FEB39D9"/>
    <w:rsid w:val="0FF7237E"/>
    <w:rsid w:val="10166C7F"/>
    <w:rsid w:val="101C0036"/>
    <w:rsid w:val="103E1D5B"/>
    <w:rsid w:val="104135F9"/>
    <w:rsid w:val="106D2F64"/>
    <w:rsid w:val="108178F9"/>
    <w:rsid w:val="10857989"/>
    <w:rsid w:val="10886BB5"/>
    <w:rsid w:val="108C51BC"/>
    <w:rsid w:val="1092654A"/>
    <w:rsid w:val="10957D29"/>
    <w:rsid w:val="109E4EEF"/>
    <w:rsid w:val="10B63710"/>
    <w:rsid w:val="10D64689"/>
    <w:rsid w:val="10E5231F"/>
    <w:rsid w:val="10EC5C5A"/>
    <w:rsid w:val="10F10820"/>
    <w:rsid w:val="11085182"/>
    <w:rsid w:val="11174F6F"/>
    <w:rsid w:val="111C2F7A"/>
    <w:rsid w:val="11301FEB"/>
    <w:rsid w:val="11317630"/>
    <w:rsid w:val="11347067"/>
    <w:rsid w:val="114943D9"/>
    <w:rsid w:val="114F61E9"/>
    <w:rsid w:val="11567B18"/>
    <w:rsid w:val="115F642C"/>
    <w:rsid w:val="11665CA1"/>
    <w:rsid w:val="117479FE"/>
    <w:rsid w:val="118B484C"/>
    <w:rsid w:val="11965BC6"/>
    <w:rsid w:val="11B30526"/>
    <w:rsid w:val="11BB284B"/>
    <w:rsid w:val="11C6025A"/>
    <w:rsid w:val="11D0273B"/>
    <w:rsid w:val="11DA3722"/>
    <w:rsid w:val="11FF376C"/>
    <w:rsid w:val="12137217"/>
    <w:rsid w:val="12217B86"/>
    <w:rsid w:val="12353631"/>
    <w:rsid w:val="12503FC7"/>
    <w:rsid w:val="12597320"/>
    <w:rsid w:val="125C0BBE"/>
    <w:rsid w:val="12635BF0"/>
    <w:rsid w:val="126857B5"/>
    <w:rsid w:val="126A7ED4"/>
    <w:rsid w:val="12851EC3"/>
    <w:rsid w:val="12985F6F"/>
    <w:rsid w:val="12BD6CF7"/>
    <w:rsid w:val="12E017EF"/>
    <w:rsid w:val="12F13FA9"/>
    <w:rsid w:val="12F72695"/>
    <w:rsid w:val="12FD414F"/>
    <w:rsid w:val="13117BFA"/>
    <w:rsid w:val="13122ABD"/>
    <w:rsid w:val="13180F89"/>
    <w:rsid w:val="133438E9"/>
    <w:rsid w:val="134D0507"/>
    <w:rsid w:val="135B70C7"/>
    <w:rsid w:val="135D4BEE"/>
    <w:rsid w:val="13693592"/>
    <w:rsid w:val="137668AA"/>
    <w:rsid w:val="138265B3"/>
    <w:rsid w:val="138F28CD"/>
    <w:rsid w:val="13951726"/>
    <w:rsid w:val="13A66C4F"/>
    <w:rsid w:val="13AA5006"/>
    <w:rsid w:val="13B50516"/>
    <w:rsid w:val="13B54A2A"/>
    <w:rsid w:val="13BD38DE"/>
    <w:rsid w:val="13BF7656"/>
    <w:rsid w:val="13C94031"/>
    <w:rsid w:val="13DD188A"/>
    <w:rsid w:val="141B0BDF"/>
    <w:rsid w:val="14255513"/>
    <w:rsid w:val="14373691"/>
    <w:rsid w:val="14396509"/>
    <w:rsid w:val="143C4803"/>
    <w:rsid w:val="144D1B4E"/>
    <w:rsid w:val="14505A8C"/>
    <w:rsid w:val="145A2EDB"/>
    <w:rsid w:val="145D29CB"/>
    <w:rsid w:val="14812B5E"/>
    <w:rsid w:val="14860174"/>
    <w:rsid w:val="149363ED"/>
    <w:rsid w:val="1497412F"/>
    <w:rsid w:val="14AD3BD1"/>
    <w:rsid w:val="14DD2C3C"/>
    <w:rsid w:val="14DF1632"/>
    <w:rsid w:val="14EF4124"/>
    <w:rsid w:val="14EF7AC7"/>
    <w:rsid w:val="14F25809"/>
    <w:rsid w:val="14F670A8"/>
    <w:rsid w:val="14FB21D3"/>
    <w:rsid w:val="15033573"/>
    <w:rsid w:val="150C0679"/>
    <w:rsid w:val="152D05F0"/>
    <w:rsid w:val="153951E6"/>
    <w:rsid w:val="154222ED"/>
    <w:rsid w:val="15455939"/>
    <w:rsid w:val="154C316C"/>
    <w:rsid w:val="154C4F1A"/>
    <w:rsid w:val="15520D96"/>
    <w:rsid w:val="156C736A"/>
    <w:rsid w:val="15712BD2"/>
    <w:rsid w:val="157224A6"/>
    <w:rsid w:val="15866F2A"/>
    <w:rsid w:val="158F4E06"/>
    <w:rsid w:val="15A20FDE"/>
    <w:rsid w:val="15B42C19"/>
    <w:rsid w:val="15D13671"/>
    <w:rsid w:val="15DA0777"/>
    <w:rsid w:val="15F15AC1"/>
    <w:rsid w:val="15F35395"/>
    <w:rsid w:val="16087E1D"/>
    <w:rsid w:val="161672D6"/>
    <w:rsid w:val="161A722E"/>
    <w:rsid w:val="1626576B"/>
    <w:rsid w:val="162B0FD3"/>
    <w:rsid w:val="164756E1"/>
    <w:rsid w:val="16493207"/>
    <w:rsid w:val="164E5FA3"/>
    <w:rsid w:val="16511225"/>
    <w:rsid w:val="165F34D5"/>
    <w:rsid w:val="1663076D"/>
    <w:rsid w:val="16992E4F"/>
    <w:rsid w:val="169D3553"/>
    <w:rsid w:val="169E79F7"/>
    <w:rsid w:val="16AF39B2"/>
    <w:rsid w:val="16BA2155"/>
    <w:rsid w:val="16C967F1"/>
    <w:rsid w:val="16CD208A"/>
    <w:rsid w:val="16CF5E02"/>
    <w:rsid w:val="16D57191"/>
    <w:rsid w:val="16EB5C11"/>
    <w:rsid w:val="16F25E4A"/>
    <w:rsid w:val="16F615E1"/>
    <w:rsid w:val="170C43B0"/>
    <w:rsid w:val="171F21BA"/>
    <w:rsid w:val="175224D1"/>
    <w:rsid w:val="17555237"/>
    <w:rsid w:val="175D5BB8"/>
    <w:rsid w:val="175E0F34"/>
    <w:rsid w:val="17701D14"/>
    <w:rsid w:val="17735226"/>
    <w:rsid w:val="178070FD"/>
    <w:rsid w:val="17824C23"/>
    <w:rsid w:val="17896F7F"/>
    <w:rsid w:val="178B40C7"/>
    <w:rsid w:val="178D5376"/>
    <w:rsid w:val="17AF353E"/>
    <w:rsid w:val="17B60D70"/>
    <w:rsid w:val="181C79DD"/>
    <w:rsid w:val="18253800"/>
    <w:rsid w:val="183A3CF4"/>
    <w:rsid w:val="185C36C6"/>
    <w:rsid w:val="18644328"/>
    <w:rsid w:val="188449CB"/>
    <w:rsid w:val="18925671"/>
    <w:rsid w:val="189F624C"/>
    <w:rsid w:val="18A46E1B"/>
    <w:rsid w:val="18B51028"/>
    <w:rsid w:val="18B708FC"/>
    <w:rsid w:val="18B84674"/>
    <w:rsid w:val="18C13529"/>
    <w:rsid w:val="18C82B09"/>
    <w:rsid w:val="18D86AC4"/>
    <w:rsid w:val="18EB58C6"/>
    <w:rsid w:val="18F338FE"/>
    <w:rsid w:val="18FF04F5"/>
    <w:rsid w:val="1913123F"/>
    <w:rsid w:val="191A61EC"/>
    <w:rsid w:val="193C7053"/>
    <w:rsid w:val="19481E9C"/>
    <w:rsid w:val="19482A9A"/>
    <w:rsid w:val="19526877"/>
    <w:rsid w:val="19537D99"/>
    <w:rsid w:val="19550115"/>
    <w:rsid w:val="19575C3B"/>
    <w:rsid w:val="195919B3"/>
    <w:rsid w:val="19603F1C"/>
    <w:rsid w:val="19700F61"/>
    <w:rsid w:val="198A4786"/>
    <w:rsid w:val="19936669"/>
    <w:rsid w:val="19960E59"/>
    <w:rsid w:val="199C5D44"/>
    <w:rsid w:val="19AD7F51"/>
    <w:rsid w:val="19B47531"/>
    <w:rsid w:val="19B72B7E"/>
    <w:rsid w:val="19C84D8B"/>
    <w:rsid w:val="19DD0836"/>
    <w:rsid w:val="19E94800"/>
    <w:rsid w:val="19EF40C6"/>
    <w:rsid w:val="19F53DD2"/>
    <w:rsid w:val="19F65454"/>
    <w:rsid w:val="19FD2C86"/>
    <w:rsid w:val="19FF69FF"/>
    <w:rsid w:val="1A1C66C0"/>
    <w:rsid w:val="1A225A66"/>
    <w:rsid w:val="1A271AB1"/>
    <w:rsid w:val="1A381F10"/>
    <w:rsid w:val="1A3F6DFB"/>
    <w:rsid w:val="1A42393B"/>
    <w:rsid w:val="1A772A39"/>
    <w:rsid w:val="1A8011C2"/>
    <w:rsid w:val="1A8567D8"/>
    <w:rsid w:val="1A911621"/>
    <w:rsid w:val="1A9609E5"/>
    <w:rsid w:val="1A997188"/>
    <w:rsid w:val="1AAD45DE"/>
    <w:rsid w:val="1AC76DF0"/>
    <w:rsid w:val="1ACD08AB"/>
    <w:rsid w:val="1ACE4623"/>
    <w:rsid w:val="1AD82DAC"/>
    <w:rsid w:val="1AE45BF4"/>
    <w:rsid w:val="1AEF299D"/>
    <w:rsid w:val="1B046F80"/>
    <w:rsid w:val="1B171B26"/>
    <w:rsid w:val="1B1A33C4"/>
    <w:rsid w:val="1B223E33"/>
    <w:rsid w:val="1B3267B5"/>
    <w:rsid w:val="1B3A3A66"/>
    <w:rsid w:val="1B40161D"/>
    <w:rsid w:val="1B430B6D"/>
    <w:rsid w:val="1B441859"/>
    <w:rsid w:val="1B5543FC"/>
    <w:rsid w:val="1B6606B1"/>
    <w:rsid w:val="1B713102"/>
    <w:rsid w:val="1B726910"/>
    <w:rsid w:val="1B750F69"/>
    <w:rsid w:val="1B803B6F"/>
    <w:rsid w:val="1B8F790E"/>
    <w:rsid w:val="1BBE1FA1"/>
    <w:rsid w:val="1BC21F3A"/>
    <w:rsid w:val="1BC74CD4"/>
    <w:rsid w:val="1BC872C4"/>
    <w:rsid w:val="1BE0460E"/>
    <w:rsid w:val="1BE13EE2"/>
    <w:rsid w:val="1BE35EAC"/>
    <w:rsid w:val="1BEB2CD8"/>
    <w:rsid w:val="1C054157"/>
    <w:rsid w:val="1C2022D8"/>
    <w:rsid w:val="1C4050AC"/>
    <w:rsid w:val="1C4C71A9"/>
    <w:rsid w:val="1C5B5A42"/>
    <w:rsid w:val="1C5D12C5"/>
    <w:rsid w:val="1C5E7925"/>
    <w:rsid w:val="1C672639"/>
    <w:rsid w:val="1C6D3DC3"/>
    <w:rsid w:val="1C6F168E"/>
    <w:rsid w:val="1C7865F4"/>
    <w:rsid w:val="1C7F7983"/>
    <w:rsid w:val="1CAA64D5"/>
    <w:rsid w:val="1CB17D58"/>
    <w:rsid w:val="1CBD0799"/>
    <w:rsid w:val="1CD51C99"/>
    <w:rsid w:val="1CE0488E"/>
    <w:rsid w:val="1CF653C3"/>
    <w:rsid w:val="1CFD070F"/>
    <w:rsid w:val="1D012A8E"/>
    <w:rsid w:val="1D1A76AB"/>
    <w:rsid w:val="1D1C1676"/>
    <w:rsid w:val="1D1F4CC2"/>
    <w:rsid w:val="1D3544E5"/>
    <w:rsid w:val="1D525097"/>
    <w:rsid w:val="1D5F6196"/>
    <w:rsid w:val="1D6132A5"/>
    <w:rsid w:val="1D632E00"/>
    <w:rsid w:val="1D8334A3"/>
    <w:rsid w:val="1D890952"/>
    <w:rsid w:val="1D8E56D5"/>
    <w:rsid w:val="1D905BC0"/>
    <w:rsid w:val="1D990F18"/>
    <w:rsid w:val="1DCB6BF8"/>
    <w:rsid w:val="1DD2442A"/>
    <w:rsid w:val="1DE1641B"/>
    <w:rsid w:val="1E1F0255"/>
    <w:rsid w:val="1E200CF1"/>
    <w:rsid w:val="1E2D340E"/>
    <w:rsid w:val="1E7A43DA"/>
    <w:rsid w:val="1E94348E"/>
    <w:rsid w:val="1EB5581B"/>
    <w:rsid w:val="1EBA7398"/>
    <w:rsid w:val="1EC02370"/>
    <w:rsid w:val="1ED16490"/>
    <w:rsid w:val="1ED57D2E"/>
    <w:rsid w:val="1EE066D3"/>
    <w:rsid w:val="1F212F73"/>
    <w:rsid w:val="1F550E6F"/>
    <w:rsid w:val="1F6317DE"/>
    <w:rsid w:val="1F881244"/>
    <w:rsid w:val="1FA15E62"/>
    <w:rsid w:val="1FA976C2"/>
    <w:rsid w:val="1FAA11BB"/>
    <w:rsid w:val="1FE7539E"/>
    <w:rsid w:val="1FE872EE"/>
    <w:rsid w:val="1FFC34F8"/>
    <w:rsid w:val="20120B0E"/>
    <w:rsid w:val="20280331"/>
    <w:rsid w:val="205834A5"/>
    <w:rsid w:val="20605D1D"/>
    <w:rsid w:val="20671BE0"/>
    <w:rsid w:val="209029D8"/>
    <w:rsid w:val="20963CB8"/>
    <w:rsid w:val="20A025BE"/>
    <w:rsid w:val="20A81A1B"/>
    <w:rsid w:val="20AE4CDA"/>
    <w:rsid w:val="20B07FB6"/>
    <w:rsid w:val="20B646FB"/>
    <w:rsid w:val="20BD316F"/>
    <w:rsid w:val="20DD55C0"/>
    <w:rsid w:val="2100305C"/>
    <w:rsid w:val="210B63F6"/>
    <w:rsid w:val="211C7E96"/>
    <w:rsid w:val="21303941"/>
    <w:rsid w:val="21333432"/>
    <w:rsid w:val="213B74B1"/>
    <w:rsid w:val="21500258"/>
    <w:rsid w:val="215A2310"/>
    <w:rsid w:val="21613AFB"/>
    <w:rsid w:val="21946E9D"/>
    <w:rsid w:val="21AE1413"/>
    <w:rsid w:val="21D249F9"/>
    <w:rsid w:val="21DE318A"/>
    <w:rsid w:val="21E169EA"/>
    <w:rsid w:val="21E604A4"/>
    <w:rsid w:val="21E64000"/>
    <w:rsid w:val="21E72446"/>
    <w:rsid w:val="21EF5B80"/>
    <w:rsid w:val="22097CEF"/>
    <w:rsid w:val="220A4192"/>
    <w:rsid w:val="220F79FB"/>
    <w:rsid w:val="22177D6C"/>
    <w:rsid w:val="22364F87"/>
    <w:rsid w:val="22425151"/>
    <w:rsid w:val="22576990"/>
    <w:rsid w:val="226A4C31"/>
    <w:rsid w:val="2271479E"/>
    <w:rsid w:val="22733ED9"/>
    <w:rsid w:val="22794E74"/>
    <w:rsid w:val="22A001C4"/>
    <w:rsid w:val="22B24A96"/>
    <w:rsid w:val="22B8599C"/>
    <w:rsid w:val="22EE1374"/>
    <w:rsid w:val="22EF5136"/>
    <w:rsid w:val="22F47480"/>
    <w:rsid w:val="23052BAC"/>
    <w:rsid w:val="231921B3"/>
    <w:rsid w:val="2350145F"/>
    <w:rsid w:val="2355143D"/>
    <w:rsid w:val="23733FB9"/>
    <w:rsid w:val="238C6E29"/>
    <w:rsid w:val="23AD74CB"/>
    <w:rsid w:val="23B02B18"/>
    <w:rsid w:val="23B5012E"/>
    <w:rsid w:val="23C028B7"/>
    <w:rsid w:val="23DE1C48"/>
    <w:rsid w:val="23DE7685"/>
    <w:rsid w:val="23F24EDE"/>
    <w:rsid w:val="23F427B1"/>
    <w:rsid w:val="23F429F7"/>
    <w:rsid w:val="240210CD"/>
    <w:rsid w:val="240370EB"/>
    <w:rsid w:val="24134E54"/>
    <w:rsid w:val="24343749"/>
    <w:rsid w:val="24415E66"/>
    <w:rsid w:val="2443573A"/>
    <w:rsid w:val="24527AC0"/>
    <w:rsid w:val="24773635"/>
    <w:rsid w:val="248636AC"/>
    <w:rsid w:val="249577B8"/>
    <w:rsid w:val="24AA3D15"/>
    <w:rsid w:val="24AA57B9"/>
    <w:rsid w:val="24B77ED6"/>
    <w:rsid w:val="24BF09F7"/>
    <w:rsid w:val="24C83E91"/>
    <w:rsid w:val="25293D1F"/>
    <w:rsid w:val="252D53FE"/>
    <w:rsid w:val="2547125A"/>
    <w:rsid w:val="256E2C8A"/>
    <w:rsid w:val="25783B09"/>
    <w:rsid w:val="258000FC"/>
    <w:rsid w:val="258B7398"/>
    <w:rsid w:val="2593449F"/>
    <w:rsid w:val="25A81B02"/>
    <w:rsid w:val="25B12B77"/>
    <w:rsid w:val="25B30B82"/>
    <w:rsid w:val="25C04C60"/>
    <w:rsid w:val="25C66622"/>
    <w:rsid w:val="25E42F4C"/>
    <w:rsid w:val="25E92311"/>
    <w:rsid w:val="25EC2D81"/>
    <w:rsid w:val="25F10580"/>
    <w:rsid w:val="25F46AA1"/>
    <w:rsid w:val="25F50CB6"/>
    <w:rsid w:val="25F767DC"/>
    <w:rsid w:val="2607261F"/>
    <w:rsid w:val="26086C3B"/>
    <w:rsid w:val="26170C2C"/>
    <w:rsid w:val="262B4D16"/>
    <w:rsid w:val="26345C82"/>
    <w:rsid w:val="267E0CAB"/>
    <w:rsid w:val="26867B60"/>
    <w:rsid w:val="2694227D"/>
    <w:rsid w:val="26A30EAA"/>
    <w:rsid w:val="26CE29D6"/>
    <w:rsid w:val="26E34EAD"/>
    <w:rsid w:val="26EA6341"/>
    <w:rsid w:val="26EB3E67"/>
    <w:rsid w:val="26ED5E31"/>
    <w:rsid w:val="26F947D6"/>
    <w:rsid w:val="26FD42C6"/>
    <w:rsid w:val="2707038B"/>
    <w:rsid w:val="27070CA1"/>
    <w:rsid w:val="27130D6B"/>
    <w:rsid w:val="27160EE4"/>
    <w:rsid w:val="271D6716"/>
    <w:rsid w:val="273121C1"/>
    <w:rsid w:val="27475541"/>
    <w:rsid w:val="277057A2"/>
    <w:rsid w:val="277976C4"/>
    <w:rsid w:val="2790513A"/>
    <w:rsid w:val="279D49E5"/>
    <w:rsid w:val="27A209C9"/>
    <w:rsid w:val="27AC1848"/>
    <w:rsid w:val="27D843EB"/>
    <w:rsid w:val="280C22E7"/>
    <w:rsid w:val="281D44F4"/>
    <w:rsid w:val="284D302B"/>
    <w:rsid w:val="285B4667"/>
    <w:rsid w:val="285F68BA"/>
    <w:rsid w:val="286839C1"/>
    <w:rsid w:val="28942A08"/>
    <w:rsid w:val="28A770F0"/>
    <w:rsid w:val="28A8200F"/>
    <w:rsid w:val="28AD5878"/>
    <w:rsid w:val="28B210E0"/>
    <w:rsid w:val="28B766F6"/>
    <w:rsid w:val="28DF17A9"/>
    <w:rsid w:val="28FD33DB"/>
    <w:rsid w:val="29206EB8"/>
    <w:rsid w:val="2927562A"/>
    <w:rsid w:val="2936586D"/>
    <w:rsid w:val="29370FFC"/>
    <w:rsid w:val="293D309F"/>
    <w:rsid w:val="2940493E"/>
    <w:rsid w:val="29480D4F"/>
    <w:rsid w:val="29595666"/>
    <w:rsid w:val="295E4DC4"/>
    <w:rsid w:val="29673DD7"/>
    <w:rsid w:val="297671DC"/>
    <w:rsid w:val="297C3120"/>
    <w:rsid w:val="29874881"/>
    <w:rsid w:val="29CC2EC5"/>
    <w:rsid w:val="29E21551"/>
    <w:rsid w:val="29E325E0"/>
    <w:rsid w:val="2A100EEF"/>
    <w:rsid w:val="2A2C6C70"/>
    <w:rsid w:val="2A391AB9"/>
    <w:rsid w:val="2A3D1EA3"/>
    <w:rsid w:val="2A452503"/>
    <w:rsid w:val="2A4E6BE6"/>
    <w:rsid w:val="2A594EE2"/>
    <w:rsid w:val="2A5E32CD"/>
    <w:rsid w:val="2A622692"/>
    <w:rsid w:val="2A790107"/>
    <w:rsid w:val="2AA44A58"/>
    <w:rsid w:val="2AA64C74"/>
    <w:rsid w:val="2AAA7F08"/>
    <w:rsid w:val="2AAF18B0"/>
    <w:rsid w:val="2AB70C30"/>
    <w:rsid w:val="2ABC4498"/>
    <w:rsid w:val="2ABE5B1A"/>
    <w:rsid w:val="2AC84BEB"/>
    <w:rsid w:val="2ADA66CC"/>
    <w:rsid w:val="2AE936A5"/>
    <w:rsid w:val="2AF552B4"/>
    <w:rsid w:val="2B013C59"/>
    <w:rsid w:val="2B03342D"/>
    <w:rsid w:val="2B33475A"/>
    <w:rsid w:val="2B3758CC"/>
    <w:rsid w:val="2B3E4EAD"/>
    <w:rsid w:val="2B514BE0"/>
    <w:rsid w:val="2B6C1A1A"/>
    <w:rsid w:val="2B797C93"/>
    <w:rsid w:val="2B7B7EAF"/>
    <w:rsid w:val="2B8D4F32"/>
    <w:rsid w:val="2BA2543C"/>
    <w:rsid w:val="2BA936A8"/>
    <w:rsid w:val="2BAE0C52"/>
    <w:rsid w:val="2BCC4267"/>
    <w:rsid w:val="2BE47802"/>
    <w:rsid w:val="2C035BCB"/>
    <w:rsid w:val="2C1D4AC2"/>
    <w:rsid w:val="2C315A5A"/>
    <w:rsid w:val="2C42277B"/>
    <w:rsid w:val="2C444745"/>
    <w:rsid w:val="2C4B1C25"/>
    <w:rsid w:val="2C4C53A8"/>
    <w:rsid w:val="2C5E18F7"/>
    <w:rsid w:val="2C5F3D9D"/>
    <w:rsid w:val="2C6E17C2"/>
    <w:rsid w:val="2C732934"/>
    <w:rsid w:val="2C7548FE"/>
    <w:rsid w:val="2C7D449F"/>
    <w:rsid w:val="2C8F6CA4"/>
    <w:rsid w:val="2C9D2348"/>
    <w:rsid w:val="2C9F5E1F"/>
    <w:rsid w:val="2CBF3DCB"/>
    <w:rsid w:val="2CCA2A42"/>
    <w:rsid w:val="2CDD77DB"/>
    <w:rsid w:val="2CE51A84"/>
    <w:rsid w:val="2D144117"/>
    <w:rsid w:val="2D393B7E"/>
    <w:rsid w:val="2D8A6187"/>
    <w:rsid w:val="2D9708A4"/>
    <w:rsid w:val="2D9E56F5"/>
    <w:rsid w:val="2D9E7FB4"/>
    <w:rsid w:val="2DA21723"/>
    <w:rsid w:val="2DA73216"/>
    <w:rsid w:val="2DB33930"/>
    <w:rsid w:val="2DB63420"/>
    <w:rsid w:val="2DBA01FC"/>
    <w:rsid w:val="2DE0224B"/>
    <w:rsid w:val="2DEE59AB"/>
    <w:rsid w:val="2DFB0E33"/>
    <w:rsid w:val="2E0B6A2C"/>
    <w:rsid w:val="2E156399"/>
    <w:rsid w:val="2E180404"/>
    <w:rsid w:val="2E187C37"/>
    <w:rsid w:val="2E1A39AF"/>
    <w:rsid w:val="2E201B98"/>
    <w:rsid w:val="2E271C28"/>
    <w:rsid w:val="2E2F6D2F"/>
    <w:rsid w:val="2E3D769E"/>
    <w:rsid w:val="2E610457"/>
    <w:rsid w:val="2E627104"/>
    <w:rsid w:val="2E667F96"/>
    <w:rsid w:val="2E6E7857"/>
    <w:rsid w:val="2E7D5C9D"/>
    <w:rsid w:val="2E820036"/>
    <w:rsid w:val="2E8226AB"/>
    <w:rsid w:val="2E9A4AF0"/>
    <w:rsid w:val="2E9D013C"/>
    <w:rsid w:val="2EA26E8C"/>
    <w:rsid w:val="2EE144CD"/>
    <w:rsid w:val="2EE30245"/>
    <w:rsid w:val="2EFF4953"/>
    <w:rsid w:val="2F0023CA"/>
    <w:rsid w:val="2F171C9D"/>
    <w:rsid w:val="2F306030"/>
    <w:rsid w:val="2F5527C5"/>
    <w:rsid w:val="2F656EAC"/>
    <w:rsid w:val="2F6F1AD9"/>
    <w:rsid w:val="2F950E14"/>
    <w:rsid w:val="2FAD43AF"/>
    <w:rsid w:val="2FD065E6"/>
    <w:rsid w:val="2FD96870"/>
    <w:rsid w:val="2FDF30B0"/>
    <w:rsid w:val="2FE57FED"/>
    <w:rsid w:val="2FFB511A"/>
    <w:rsid w:val="300C557A"/>
    <w:rsid w:val="301548AA"/>
    <w:rsid w:val="30580BC9"/>
    <w:rsid w:val="30601827"/>
    <w:rsid w:val="30A13F14"/>
    <w:rsid w:val="30A47560"/>
    <w:rsid w:val="30A532D8"/>
    <w:rsid w:val="30B11C7D"/>
    <w:rsid w:val="30BB2AFC"/>
    <w:rsid w:val="30BF439A"/>
    <w:rsid w:val="30C10112"/>
    <w:rsid w:val="30C916BD"/>
    <w:rsid w:val="30EB518F"/>
    <w:rsid w:val="311E2ED7"/>
    <w:rsid w:val="31267093"/>
    <w:rsid w:val="313A1C72"/>
    <w:rsid w:val="314D7BF8"/>
    <w:rsid w:val="31501496"/>
    <w:rsid w:val="315619EE"/>
    <w:rsid w:val="315A40C3"/>
    <w:rsid w:val="315C449C"/>
    <w:rsid w:val="31837ABD"/>
    <w:rsid w:val="318555E4"/>
    <w:rsid w:val="318A0752"/>
    <w:rsid w:val="319C292D"/>
    <w:rsid w:val="31A35A6A"/>
    <w:rsid w:val="31A45C1D"/>
    <w:rsid w:val="31B6514C"/>
    <w:rsid w:val="31B82709"/>
    <w:rsid w:val="31C12394"/>
    <w:rsid w:val="31C83722"/>
    <w:rsid w:val="31D05482"/>
    <w:rsid w:val="31D67BED"/>
    <w:rsid w:val="31F2254D"/>
    <w:rsid w:val="31FF6F86"/>
    <w:rsid w:val="320F137B"/>
    <w:rsid w:val="321A2D0F"/>
    <w:rsid w:val="32270996"/>
    <w:rsid w:val="32400B34"/>
    <w:rsid w:val="326C2300"/>
    <w:rsid w:val="327613D0"/>
    <w:rsid w:val="32794773"/>
    <w:rsid w:val="327D450D"/>
    <w:rsid w:val="32807B59"/>
    <w:rsid w:val="328B4E7C"/>
    <w:rsid w:val="328E2276"/>
    <w:rsid w:val="3296737C"/>
    <w:rsid w:val="329E6876"/>
    <w:rsid w:val="32A50F33"/>
    <w:rsid w:val="32B83797"/>
    <w:rsid w:val="32C959A4"/>
    <w:rsid w:val="32D305D1"/>
    <w:rsid w:val="32EC5E34"/>
    <w:rsid w:val="33134E71"/>
    <w:rsid w:val="333015F2"/>
    <w:rsid w:val="334B6320"/>
    <w:rsid w:val="334E7CC4"/>
    <w:rsid w:val="335C6172"/>
    <w:rsid w:val="33947D60"/>
    <w:rsid w:val="3399410A"/>
    <w:rsid w:val="33AB0337"/>
    <w:rsid w:val="33AF4B9A"/>
    <w:rsid w:val="33BC72B7"/>
    <w:rsid w:val="33CF6FEA"/>
    <w:rsid w:val="33D4015C"/>
    <w:rsid w:val="33D934D4"/>
    <w:rsid w:val="33DE77D3"/>
    <w:rsid w:val="33F94067"/>
    <w:rsid w:val="33FE2F6A"/>
    <w:rsid w:val="33FF778B"/>
    <w:rsid w:val="340A0D53"/>
    <w:rsid w:val="340E07E5"/>
    <w:rsid w:val="34235BF7"/>
    <w:rsid w:val="34254E5C"/>
    <w:rsid w:val="342F7A89"/>
    <w:rsid w:val="343721D6"/>
    <w:rsid w:val="344A61E6"/>
    <w:rsid w:val="345D63A4"/>
    <w:rsid w:val="34655258"/>
    <w:rsid w:val="346D06AE"/>
    <w:rsid w:val="3474193F"/>
    <w:rsid w:val="347A2826"/>
    <w:rsid w:val="348F605A"/>
    <w:rsid w:val="349873DC"/>
    <w:rsid w:val="349A13A6"/>
    <w:rsid w:val="349F69BC"/>
    <w:rsid w:val="34AE30A3"/>
    <w:rsid w:val="34BD32E6"/>
    <w:rsid w:val="34C74165"/>
    <w:rsid w:val="34D10B40"/>
    <w:rsid w:val="34D4418C"/>
    <w:rsid w:val="34D523DE"/>
    <w:rsid w:val="34DE7744"/>
    <w:rsid w:val="34F860CC"/>
    <w:rsid w:val="351110E2"/>
    <w:rsid w:val="35431A3E"/>
    <w:rsid w:val="354475BF"/>
    <w:rsid w:val="35481E9E"/>
    <w:rsid w:val="35496928"/>
    <w:rsid w:val="354F72C2"/>
    <w:rsid w:val="3550415A"/>
    <w:rsid w:val="355D23D3"/>
    <w:rsid w:val="356465F1"/>
    <w:rsid w:val="35690D78"/>
    <w:rsid w:val="356D0868"/>
    <w:rsid w:val="357C0AAC"/>
    <w:rsid w:val="358C5FA8"/>
    <w:rsid w:val="35AB1391"/>
    <w:rsid w:val="35C15DF1"/>
    <w:rsid w:val="35CB558F"/>
    <w:rsid w:val="35D46E09"/>
    <w:rsid w:val="35E3546D"/>
    <w:rsid w:val="35EB79DF"/>
    <w:rsid w:val="36074A7F"/>
    <w:rsid w:val="361138EA"/>
    <w:rsid w:val="36261281"/>
    <w:rsid w:val="363D5FAB"/>
    <w:rsid w:val="364B0521"/>
    <w:rsid w:val="36633A19"/>
    <w:rsid w:val="367D0F7F"/>
    <w:rsid w:val="367E6AA5"/>
    <w:rsid w:val="36857E34"/>
    <w:rsid w:val="3687718E"/>
    <w:rsid w:val="369074A8"/>
    <w:rsid w:val="36923549"/>
    <w:rsid w:val="36B2214A"/>
    <w:rsid w:val="36B75FBF"/>
    <w:rsid w:val="36BD0C45"/>
    <w:rsid w:val="36D55D6B"/>
    <w:rsid w:val="36E903C3"/>
    <w:rsid w:val="36EB2C2B"/>
    <w:rsid w:val="36EF52AD"/>
    <w:rsid w:val="36F823B4"/>
    <w:rsid w:val="370945C1"/>
    <w:rsid w:val="37182A56"/>
    <w:rsid w:val="372D6F81"/>
    <w:rsid w:val="37337890"/>
    <w:rsid w:val="374C0952"/>
    <w:rsid w:val="375F35B5"/>
    <w:rsid w:val="377063EE"/>
    <w:rsid w:val="37761D13"/>
    <w:rsid w:val="37865C12"/>
    <w:rsid w:val="37A4253C"/>
    <w:rsid w:val="37A662B4"/>
    <w:rsid w:val="37AB1B1C"/>
    <w:rsid w:val="37BA1D5F"/>
    <w:rsid w:val="37D72911"/>
    <w:rsid w:val="37E00298"/>
    <w:rsid w:val="3816520F"/>
    <w:rsid w:val="38705A4C"/>
    <w:rsid w:val="387130ED"/>
    <w:rsid w:val="38795776"/>
    <w:rsid w:val="38997BC6"/>
    <w:rsid w:val="38A345A1"/>
    <w:rsid w:val="38A51017"/>
    <w:rsid w:val="38B302F9"/>
    <w:rsid w:val="38B44A00"/>
    <w:rsid w:val="38C70290"/>
    <w:rsid w:val="38CE5AC2"/>
    <w:rsid w:val="38CF360B"/>
    <w:rsid w:val="38F12CD3"/>
    <w:rsid w:val="38F94775"/>
    <w:rsid w:val="38FF3ECD"/>
    <w:rsid w:val="3902576C"/>
    <w:rsid w:val="391536F1"/>
    <w:rsid w:val="392313D8"/>
    <w:rsid w:val="392971ED"/>
    <w:rsid w:val="39325651"/>
    <w:rsid w:val="3948754F"/>
    <w:rsid w:val="394E6C03"/>
    <w:rsid w:val="396957EB"/>
    <w:rsid w:val="397228F1"/>
    <w:rsid w:val="39A14F85"/>
    <w:rsid w:val="39A700C1"/>
    <w:rsid w:val="39C87740"/>
    <w:rsid w:val="39E135D3"/>
    <w:rsid w:val="39E60BE9"/>
    <w:rsid w:val="39E84962"/>
    <w:rsid w:val="39EC3D26"/>
    <w:rsid w:val="39F50E2C"/>
    <w:rsid w:val="3A323E2F"/>
    <w:rsid w:val="3A347BA7"/>
    <w:rsid w:val="3A4662B6"/>
    <w:rsid w:val="3A540249"/>
    <w:rsid w:val="3A6B16A6"/>
    <w:rsid w:val="3A872856"/>
    <w:rsid w:val="3A916DA7"/>
    <w:rsid w:val="3AA20FB4"/>
    <w:rsid w:val="3AA34D2C"/>
    <w:rsid w:val="3AB960FF"/>
    <w:rsid w:val="3ABC194A"/>
    <w:rsid w:val="3B1A3241"/>
    <w:rsid w:val="3B3763D1"/>
    <w:rsid w:val="3B3A743F"/>
    <w:rsid w:val="3B3B6D13"/>
    <w:rsid w:val="3B3C0BA3"/>
    <w:rsid w:val="3B554279"/>
    <w:rsid w:val="3B69515A"/>
    <w:rsid w:val="3B862684"/>
    <w:rsid w:val="3B8E1539"/>
    <w:rsid w:val="3B936B4F"/>
    <w:rsid w:val="3B9C4EC4"/>
    <w:rsid w:val="3BA1126C"/>
    <w:rsid w:val="3BAC1D73"/>
    <w:rsid w:val="3BAC7C11"/>
    <w:rsid w:val="3BC11A77"/>
    <w:rsid w:val="3BE21884"/>
    <w:rsid w:val="3BE473AB"/>
    <w:rsid w:val="3BF539A4"/>
    <w:rsid w:val="3C036EED"/>
    <w:rsid w:val="3C2022F0"/>
    <w:rsid w:val="3C2105FF"/>
    <w:rsid w:val="3C261771"/>
    <w:rsid w:val="3C2F6E1E"/>
    <w:rsid w:val="3C313778"/>
    <w:rsid w:val="3C3C08E3"/>
    <w:rsid w:val="3C445E89"/>
    <w:rsid w:val="3C4936B2"/>
    <w:rsid w:val="3C4B3CAF"/>
    <w:rsid w:val="3C4B4027"/>
    <w:rsid w:val="3C4E196E"/>
    <w:rsid w:val="3C4F036E"/>
    <w:rsid w:val="3C4F64BA"/>
    <w:rsid w:val="3C5F2ED5"/>
    <w:rsid w:val="3C6B3628"/>
    <w:rsid w:val="3C74072E"/>
    <w:rsid w:val="3C7626F9"/>
    <w:rsid w:val="3C7921E9"/>
    <w:rsid w:val="3C8841DA"/>
    <w:rsid w:val="3C916256"/>
    <w:rsid w:val="3CC33464"/>
    <w:rsid w:val="3CDA245A"/>
    <w:rsid w:val="3CED228F"/>
    <w:rsid w:val="3CF74EBC"/>
    <w:rsid w:val="3D1E06B7"/>
    <w:rsid w:val="3D424389"/>
    <w:rsid w:val="3D6407A3"/>
    <w:rsid w:val="3D6A1B31"/>
    <w:rsid w:val="3D6C58AA"/>
    <w:rsid w:val="3D6E33D0"/>
    <w:rsid w:val="3D70539A"/>
    <w:rsid w:val="3D7E08AA"/>
    <w:rsid w:val="3D964ECC"/>
    <w:rsid w:val="3D9752D9"/>
    <w:rsid w:val="3D9B1D3F"/>
    <w:rsid w:val="3DB01C3A"/>
    <w:rsid w:val="3DC8357D"/>
    <w:rsid w:val="3DCE0312"/>
    <w:rsid w:val="3DDD2303"/>
    <w:rsid w:val="3DFD4754"/>
    <w:rsid w:val="3E012496"/>
    <w:rsid w:val="3E0E2FF2"/>
    <w:rsid w:val="3E175815"/>
    <w:rsid w:val="3E1B038F"/>
    <w:rsid w:val="3E210442"/>
    <w:rsid w:val="3E3D2DA2"/>
    <w:rsid w:val="3E3F2FBE"/>
    <w:rsid w:val="3E4203B8"/>
    <w:rsid w:val="3E456178"/>
    <w:rsid w:val="3E497999"/>
    <w:rsid w:val="3E6B3098"/>
    <w:rsid w:val="3E78202C"/>
    <w:rsid w:val="3E7E5894"/>
    <w:rsid w:val="3E877D39"/>
    <w:rsid w:val="3E970704"/>
    <w:rsid w:val="3E98745F"/>
    <w:rsid w:val="3EAD43CC"/>
    <w:rsid w:val="3EBF1A09"/>
    <w:rsid w:val="3EC83B16"/>
    <w:rsid w:val="3EDA0523"/>
    <w:rsid w:val="3EE06168"/>
    <w:rsid w:val="3EEC4EF4"/>
    <w:rsid w:val="3EF75647"/>
    <w:rsid w:val="3F0743D7"/>
    <w:rsid w:val="3F0A7128"/>
    <w:rsid w:val="3F0D6C18"/>
    <w:rsid w:val="3F235AF6"/>
    <w:rsid w:val="3F607DA8"/>
    <w:rsid w:val="3F646D67"/>
    <w:rsid w:val="3F8213B4"/>
    <w:rsid w:val="3F8A5120"/>
    <w:rsid w:val="3FA23805"/>
    <w:rsid w:val="3FB6105E"/>
    <w:rsid w:val="3FC1012F"/>
    <w:rsid w:val="3FCF2120"/>
    <w:rsid w:val="3FDD483D"/>
    <w:rsid w:val="3FF33D1E"/>
    <w:rsid w:val="3FF658FE"/>
    <w:rsid w:val="402406BD"/>
    <w:rsid w:val="4033445D"/>
    <w:rsid w:val="403B7942"/>
    <w:rsid w:val="40572841"/>
    <w:rsid w:val="407A6407"/>
    <w:rsid w:val="407C22A8"/>
    <w:rsid w:val="407F58F4"/>
    <w:rsid w:val="40906AC8"/>
    <w:rsid w:val="409475F1"/>
    <w:rsid w:val="40A67324"/>
    <w:rsid w:val="40B82BB4"/>
    <w:rsid w:val="40E76CD2"/>
    <w:rsid w:val="40E816EB"/>
    <w:rsid w:val="40F700A0"/>
    <w:rsid w:val="410860B3"/>
    <w:rsid w:val="41140732"/>
    <w:rsid w:val="41374D7D"/>
    <w:rsid w:val="41377999"/>
    <w:rsid w:val="413A0B2D"/>
    <w:rsid w:val="415154E2"/>
    <w:rsid w:val="415D3E87"/>
    <w:rsid w:val="41652D3C"/>
    <w:rsid w:val="4168282C"/>
    <w:rsid w:val="416E7E42"/>
    <w:rsid w:val="41720FB5"/>
    <w:rsid w:val="418507A1"/>
    <w:rsid w:val="41A82C28"/>
    <w:rsid w:val="41CE268F"/>
    <w:rsid w:val="41D852BC"/>
    <w:rsid w:val="41D91034"/>
    <w:rsid w:val="4200449D"/>
    <w:rsid w:val="421A3B26"/>
    <w:rsid w:val="421A58D4"/>
    <w:rsid w:val="42291FBB"/>
    <w:rsid w:val="422C1AAB"/>
    <w:rsid w:val="42312C1E"/>
    <w:rsid w:val="423A3BCC"/>
    <w:rsid w:val="424E57D2"/>
    <w:rsid w:val="425752A0"/>
    <w:rsid w:val="427C033D"/>
    <w:rsid w:val="42987ECC"/>
    <w:rsid w:val="429B776B"/>
    <w:rsid w:val="429C6D8B"/>
    <w:rsid w:val="42A063E2"/>
    <w:rsid w:val="42A11B51"/>
    <w:rsid w:val="42A96C58"/>
    <w:rsid w:val="42B21FB1"/>
    <w:rsid w:val="42B26C49"/>
    <w:rsid w:val="42C41CE4"/>
    <w:rsid w:val="42CB56C2"/>
    <w:rsid w:val="42F1333E"/>
    <w:rsid w:val="43175059"/>
    <w:rsid w:val="431B51A4"/>
    <w:rsid w:val="432F1853"/>
    <w:rsid w:val="43347151"/>
    <w:rsid w:val="433A6FE6"/>
    <w:rsid w:val="43480868"/>
    <w:rsid w:val="43482915"/>
    <w:rsid w:val="43486471"/>
    <w:rsid w:val="4350713C"/>
    <w:rsid w:val="435E3EE6"/>
    <w:rsid w:val="43601A0D"/>
    <w:rsid w:val="436653E0"/>
    <w:rsid w:val="43715C63"/>
    <w:rsid w:val="43790D20"/>
    <w:rsid w:val="438576C5"/>
    <w:rsid w:val="4396542E"/>
    <w:rsid w:val="43A833B4"/>
    <w:rsid w:val="43A85162"/>
    <w:rsid w:val="43C26223"/>
    <w:rsid w:val="43C4431A"/>
    <w:rsid w:val="43D646FF"/>
    <w:rsid w:val="43D877F5"/>
    <w:rsid w:val="4404683C"/>
    <w:rsid w:val="440920A4"/>
    <w:rsid w:val="440F6F8F"/>
    <w:rsid w:val="44114AB5"/>
    <w:rsid w:val="441427F7"/>
    <w:rsid w:val="441445A5"/>
    <w:rsid w:val="44384737"/>
    <w:rsid w:val="443E5386"/>
    <w:rsid w:val="44417F49"/>
    <w:rsid w:val="4461128F"/>
    <w:rsid w:val="44760DBC"/>
    <w:rsid w:val="448F51CB"/>
    <w:rsid w:val="44986F84"/>
    <w:rsid w:val="44A616A1"/>
    <w:rsid w:val="44B32010"/>
    <w:rsid w:val="44B951CC"/>
    <w:rsid w:val="44BE2E8F"/>
    <w:rsid w:val="44C71617"/>
    <w:rsid w:val="44C935E1"/>
    <w:rsid w:val="44CD14E0"/>
    <w:rsid w:val="44E93C84"/>
    <w:rsid w:val="44EE2CAA"/>
    <w:rsid w:val="44F20B0B"/>
    <w:rsid w:val="44FA379B"/>
    <w:rsid w:val="44FC5765"/>
    <w:rsid w:val="45091C30"/>
    <w:rsid w:val="45102FBE"/>
    <w:rsid w:val="452B4224"/>
    <w:rsid w:val="452E5F4C"/>
    <w:rsid w:val="453A628D"/>
    <w:rsid w:val="45612018"/>
    <w:rsid w:val="456A12FE"/>
    <w:rsid w:val="45763769"/>
    <w:rsid w:val="457B2B2E"/>
    <w:rsid w:val="458946E9"/>
    <w:rsid w:val="458D460F"/>
    <w:rsid w:val="45937381"/>
    <w:rsid w:val="45A47C0E"/>
    <w:rsid w:val="45C344D5"/>
    <w:rsid w:val="45CC3389"/>
    <w:rsid w:val="45EC7588"/>
    <w:rsid w:val="45F428E0"/>
    <w:rsid w:val="46160AA8"/>
    <w:rsid w:val="462036D5"/>
    <w:rsid w:val="4646138E"/>
    <w:rsid w:val="464B2231"/>
    <w:rsid w:val="46577FD6"/>
    <w:rsid w:val="46601D24"/>
    <w:rsid w:val="46712183"/>
    <w:rsid w:val="4674757D"/>
    <w:rsid w:val="46790A87"/>
    <w:rsid w:val="46841EB6"/>
    <w:rsid w:val="46C823CD"/>
    <w:rsid w:val="46CB1893"/>
    <w:rsid w:val="46CD560B"/>
    <w:rsid w:val="46D36999"/>
    <w:rsid w:val="46D955A7"/>
    <w:rsid w:val="46E14C12"/>
    <w:rsid w:val="46F506BE"/>
    <w:rsid w:val="46F96400"/>
    <w:rsid w:val="47044DA5"/>
    <w:rsid w:val="47133957"/>
    <w:rsid w:val="474A3B9E"/>
    <w:rsid w:val="475A68B7"/>
    <w:rsid w:val="478C7274"/>
    <w:rsid w:val="47A07E0C"/>
    <w:rsid w:val="47B440D5"/>
    <w:rsid w:val="47C6205A"/>
    <w:rsid w:val="47CE1987"/>
    <w:rsid w:val="47E26E94"/>
    <w:rsid w:val="47F52016"/>
    <w:rsid w:val="48082673"/>
    <w:rsid w:val="48233009"/>
    <w:rsid w:val="482F4B78"/>
    <w:rsid w:val="48382F58"/>
    <w:rsid w:val="4847426C"/>
    <w:rsid w:val="48575BD9"/>
    <w:rsid w:val="486024AF"/>
    <w:rsid w:val="486A6E89"/>
    <w:rsid w:val="4870272E"/>
    <w:rsid w:val="489B5295"/>
    <w:rsid w:val="48B40105"/>
    <w:rsid w:val="48BF71D5"/>
    <w:rsid w:val="48CB5B7A"/>
    <w:rsid w:val="48CC18F2"/>
    <w:rsid w:val="48D367DD"/>
    <w:rsid w:val="48E56510"/>
    <w:rsid w:val="48E76CDB"/>
    <w:rsid w:val="48EC789E"/>
    <w:rsid w:val="48FC21D7"/>
    <w:rsid w:val="48FF5823"/>
    <w:rsid w:val="4900334A"/>
    <w:rsid w:val="490C1CEF"/>
    <w:rsid w:val="49437E06"/>
    <w:rsid w:val="49470D20"/>
    <w:rsid w:val="495A6EFE"/>
    <w:rsid w:val="495D254A"/>
    <w:rsid w:val="495F4514"/>
    <w:rsid w:val="496B110B"/>
    <w:rsid w:val="49771888"/>
    <w:rsid w:val="49A60395"/>
    <w:rsid w:val="49DB1DED"/>
    <w:rsid w:val="49DC7715"/>
    <w:rsid w:val="49DE4242"/>
    <w:rsid w:val="49ED7D72"/>
    <w:rsid w:val="49F25388"/>
    <w:rsid w:val="4A023139"/>
    <w:rsid w:val="4A2B43F6"/>
    <w:rsid w:val="4A2F3EE7"/>
    <w:rsid w:val="4A3B064B"/>
    <w:rsid w:val="4A3C6604"/>
    <w:rsid w:val="4A64750C"/>
    <w:rsid w:val="4A68505D"/>
    <w:rsid w:val="4A6D4A0F"/>
    <w:rsid w:val="4A7B576F"/>
    <w:rsid w:val="4A7D2EA4"/>
    <w:rsid w:val="4A9A0F36"/>
    <w:rsid w:val="4AD60806"/>
    <w:rsid w:val="4ADA20A4"/>
    <w:rsid w:val="4ADB406F"/>
    <w:rsid w:val="4ADD1B95"/>
    <w:rsid w:val="4AE178D7"/>
    <w:rsid w:val="4AEF6A83"/>
    <w:rsid w:val="4AF561A9"/>
    <w:rsid w:val="4B094738"/>
    <w:rsid w:val="4B1B26BD"/>
    <w:rsid w:val="4B3A0D95"/>
    <w:rsid w:val="4B4320F8"/>
    <w:rsid w:val="4B4D54A1"/>
    <w:rsid w:val="4B7509E6"/>
    <w:rsid w:val="4B7D0C82"/>
    <w:rsid w:val="4B904E59"/>
    <w:rsid w:val="4B9E7576"/>
    <w:rsid w:val="4BA12BC2"/>
    <w:rsid w:val="4BBF3760"/>
    <w:rsid w:val="4BCD1C09"/>
    <w:rsid w:val="4BD765E4"/>
    <w:rsid w:val="4BE56F53"/>
    <w:rsid w:val="4BEF7DD1"/>
    <w:rsid w:val="4BF453E8"/>
    <w:rsid w:val="4C03387D"/>
    <w:rsid w:val="4C0D0258"/>
    <w:rsid w:val="4C177328"/>
    <w:rsid w:val="4C1A4723"/>
    <w:rsid w:val="4C2832E3"/>
    <w:rsid w:val="4C3A6B73"/>
    <w:rsid w:val="4C3B4DC5"/>
    <w:rsid w:val="4C3C1FA9"/>
    <w:rsid w:val="4C45489B"/>
    <w:rsid w:val="4C4A0649"/>
    <w:rsid w:val="4C561BFF"/>
    <w:rsid w:val="4C575977"/>
    <w:rsid w:val="4C716A38"/>
    <w:rsid w:val="4C7E5ECA"/>
    <w:rsid w:val="4C876AA5"/>
    <w:rsid w:val="4C8A5D4C"/>
    <w:rsid w:val="4CB37051"/>
    <w:rsid w:val="4CE74F4D"/>
    <w:rsid w:val="4CEF795D"/>
    <w:rsid w:val="4CF5766A"/>
    <w:rsid w:val="4D077983"/>
    <w:rsid w:val="4D090A1F"/>
    <w:rsid w:val="4D0E00FB"/>
    <w:rsid w:val="4D176606"/>
    <w:rsid w:val="4D2B308B"/>
    <w:rsid w:val="4D436182"/>
    <w:rsid w:val="4D495436"/>
    <w:rsid w:val="4D5123C6"/>
    <w:rsid w:val="4D587BF8"/>
    <w:rsid w:val="4D6D5DAB"/>
    <w:rsid w:val="4D785BA5"/>
    <w:rsid w:val="4D8E6C2B"/>
    <w:rsid w:val="4D9C373D"/>
    <w:rsid w:val="4DA93FB0"/>
    <w:rsid w:val="4DAC584E"/>
    <w:rsid w:val="4DC27402"/>
    <w:rsid w:val="4DCA28A4"/>
    <w:rsid w:val="4DD70B1D"/>
    <w:rsid w:val="4DD76D6F"/>
    <w:rsid w:val="4DEC4FB0"/>
    <w:rsid w:val="4DFE0555"/>
    <w:rsid w:val="4E075D8A"/>
    <w:rsid w:val="4E08517B"/>
    <w:rsid w:val="4E0E6CB9"/>
    <w:rsid w:val="4E151645"/>
    <w:rsid w:val="4E17359C"/>
    <w:rsid w:val="4E1753BE"/>
    <w:rsid w:val="4E1E499E"/>
    <w:rsid w:val="4E2E3E79"/>
    <w:rsid w:val="4E465CA3"/>
    <w:rsid w:val="4E80426E"/>
    <w:rsid w:val="4EA85EEE"/>
    <w:rsid w:val="4EAA7FE0"/>
    <w:rsid w:val="4EC00FAD"/>
    <w:rsid w:val="4EDD03B5"/>
    <w:rsid w:val="4EEF1E97"/>
    <w:rsid w:val="4EEF2AAB"/>
    <w:rsid w:val="4F0771E0"/>
    <w:rsid w:val="4F0B3174"/>
    <w:rsid w:val="4F1B0EDE"/>
    <w:rsid w:val="4F204746"/>
    <w:rsid w:val="4F2204BE"/>
    <w:rsid w:val="4F384A33"/>
    <w:rsid w:val="4F42646A"/>
    <w:rsid w:val="4F51715C"/>
    <w:rsid w:val="4F5F526E"/>
    <w:rsid w:val="4F6F0BB5"/>
    <w:rsid w:val="4F936CC6"/>
    <w:rsid w:val="4F9843DC"/>
    <w:rsid w:val="4FC43323"/>
    <w:rsid w:val="4FC62A8C"/>
    <w:rsid w:val="4FC7696F"/>
    <w:rsid w:val="4FD07F1A"/>
    <w:rsid w:val="4FDD74EF"/>
    <w:rsid w:val="4FE20F0D"/>
    <w:rsid w:val="4FE51552"/>
    <w:rsid w:val="50371D47"/>
    <w:rsid w:val="50487AB0"/>
    <w:rsid w:val="50504BB7"/>
    <w:rsid w:val="50504C4B"/>
    <w:rsid w:val="509176A9"/>
    <w:rsid w:val="50962F12"/>
    <w:rsid w:val="509C6E7C"/>
    <w:rsid w:val="50A22688"/>
    <w:rsid w:val="50A849F3"/>
    <w:rsid w:val="50BB0282"/>
    <w:rsid w:val="50BC3FFA"/>
    <w:rsid w:val="50E517A3"/>
    <w:rsid w:val="50F10148"/>
    <w:rsid w:val="50F94204"/>
    <w:rsid w:val="50FE4613"/>
    <w:rsid w:val="51015D6B"/>
    <w:rsid w:val="510E07AC"/>
    <w:rsid w:val="51316796"/>
    <w:rsid w:val="51452242"/>
    <w:rsid w:val="51491D32"/>
    <w:rsid w:val="51501312"/>
    <w:rsid w:val="515D60B6"/>
    <w:rsid w:val="5162104E"/>
    <w:rsid w:val="51695F30"/>
    <w:rsid w:val="518C60C3"/>
    <w:rsid w:val="519F5DF6"/>
    <w:rsid w:val="51A52CE0"/>
    <w:rsid w:val="51C3126A"/>
    <w:rsid w:val="51CD2963"/>
    <w:rsid w:val="51DA0BDC"/>
    <w:rsid w:val="51DB6702"/>
    <w:rsid w:val="51DC4954"/>
    <w:rsid w:val="51DD247A"/>
    <w:rsid w:val="51E25CE3"/>
    <w:rsid w:val="51E97071"/>
    <w:rsid w:val="51F54115"/>
    <w:rsid w:val="51F6353C"/>
    <w:rsid w:val="51FD48CA"/>
    <w:rsid w:val="520D662D"/>
    <w:rsid w:val="521C68BA"/>
    <w:rsid w:val="521C7446"/>
    <w:rsid w:val="521D51BC"/>
    <w:rsid w:val="52214A5D"/>
    <w:rsid w:val="52554706"/>
    <w:rsid w:val="52666914"/>
    <w:rsid w:val="526F2F30"/>
    <w:rsid w:val="52872C3E"/>
    <w:rsid w:val="52943481"/>
    <w:rsid w:val="52992845"/>
    <w:rsid w:val="529B480F"/>
    <w:rsid w:val="52C553E8"/>
    <w:rsid w:val="52CF6267"/>
    <w:rsid w:val="52F201A7"/>
    <w:rsid w:val="532365B3"/>
    <w:rsid w:val="53285977"/>
    <w:rsid w:val="532C5467"/>
    <w:rsid w:val="535E75EB"/>
    <w:rsid w:val="536413C1"/>
    <w:rsid w:val="537D4CC5"/>
    <w:rsid w:val="53A039CC"/>
    <w:rsid w:val="53A07C03"/>
    <w:rsid w:val="53A1505A"/>
    <w:rsid w:val="53AA2830"/>
    <w:rsid w:val="53BA0CC5"/>
    <w:rsid w:val="53CB1124"/>
    <w:rsid w:val="53E21FCA"/>
    <w:rsid w:val="54063E08"/>
    <w:rsid w:val="54085ED4"/>
    <w:rsid w:val="541A1764"/>
    <w:rsid w:val="541A79B6"/>
    <w:rsid w:val="541E6E5F"/>
    <w:rsid w:val="54324CFF"/>
    <w:rsid w:val="543437E8"/>
    <w:rsid w:val="54387E3C"/>
    <w:rsid w:val="54694499"/>
    <w:rsid w:val="54837EFF"/>
    <w:rsid w:val="5486329D"/>
    <w:rsid w:val="549069B8"/>
    <w:rsid w:val="54972DB4"/>
    <w:rsid w:val="54C618EB"/>
    <w:rsid w:val="54CA13DC"/>
    <w:rsid w:val="54E104D3"/>
    <w:rsid w:val="54E81862"/>
    <w:rsid w:val="54F73313"/>
    <w:rsid w:val="54F80955"/>
    <w:rsid w:val="54F975CB"/>
    <w:rsid w:val="54FB77E7"/>
    <w:rsid w:val="55004DFD"/>
    <w:rsid w:val="551B39E5"/>
    <w:rsid w:val="55230AEC"/>
    <w:rsid w:val="552F123F"/>
    <w:rsid w:val="553B4087"/>
    <w:rsid w:val="554E3DBB"/>
    <w:rsid w:val="555170A7"/>
    <w:rsid w:val="555313D1"/>
    <w:rsid w:val="55674B67"/>
    <w:rsid w:val="5579200B"/>
    <w:rsid w:val="5587536D"/>
    <w:rsid w:val="558C48E3"/>
    <w:rsid w:val="55937A20"/>
    <w:rsid w:val="559A1AA6"/>
    <w:rsid w:val="559B174B"/>
    <w:rsid w:val="55A03EEB"/>
    <w:rsid w:val="55AC6D33"/>
    <w:rsid w:val="55CE0CF4"/>
    <w:rsid w:val="55D122F6"/>
    <w:rsid w:val="55EB07FC"/>
    <w:rsid w:val="55F52488"/>
    <w:rsid w:val="55F54236"/>
    <w:rsid w:val="55FB55C5"/>
    <w:rsid w:val="56076A84"/>
    <w:rsid w:val="562525BB"/>
    <w:rsid w:val="5637264E"/>
    <w:rsid w:val="56486A5C"/>
    <w:rsid w:val="566E3FE9"/>
    <w:rsid w:val="56995D14"/>
    <w:rsid w:val="56B22A9C"/>
    <w:rsid w:val="56B23ED5"/>
    <w:rsid w:val="56E36785"/>
    <w:rsid w:val="56EC52F3"/>
    <w:rsid w:val="571B7CCD"/>
    <w:rsid w:val="57201787"/>
    <w:rsid w:val="572052E3"/>
    <w:rsid w:val="57572CCF"/>
    <w:rsid w:val="575E6A88"/>
    <w:rsid w:val="576378C6"/>
    <w:rsid w:val="576B5048"/>
    <w:rsid w:val="57727B09"/>
    <w:rsid w:val="577E46FF"/>
    <w:rsid w:val="579161E1"/>
    <w:rsid w:val="57B123DF"/>
    <w:rsid w:val="57B72A76"/>
    <w:rsid w:val="57B803DD"/>
    <w:rsid w:val="57C3426C"/>
    <w:rsid w:val="57CE1F93"/>
    <w:rsid w:val="57F10A2D"/>
    <w:rsid w:val="57FB18AC"/>
    <w:rsid w:val="582157B7"/>
    <w:rsid w:val="58262DCD"/>
    <w:rsid w:val="583A6878"/>
    <w:rsid w:val="583D1EC5"/>
    <w:rsid w:val="584E1E05"/>
    <w:rsid w:val="58550FBC"/>
    <w:rsid w:val="58627B7D"/>
    <w:rsid w:val="58694A68"/>
    <w:rsid w:val="587D0513"/>
    <w:rsid w:val="588743D1"/>
    <w:rsid w:val="5887701A"/>
    <w:rsid w:val="588C0756"/>
    <w:rsid w:val="588E6443"/>
    <w:rsid w:val="589046EA"/>
    <w:rsid w:val="589D2963"/>
    <w:rsid w:val="58A837E2"/>
    <w:rsid w:val="58C6010C"/>
    <w:rsid w:val="58E30CBE"/>
    <w:rsid w:val="58FC2F6D"/>
    <w:rsid w:val="59101387"/>
    <w:rsid w:val="5922541F"/>
    <w:rsid w:val="592B747B"/>
    <w:rsid w:val="593772D0"/>
    <w:rsid w:val="59401C6C"/>
    <w:rsid w:val="5947124D"/>
    <w:rsid w:val="594B23BF"/>
    <w:rsid w:val="594D4389"/>
    <w:rsid w:val="596D0588"/>
    <w:rsid w:val="59975605"/>
    <w:rsid w:val="59A815C0"/>
    <w:rsid w:val="59A860E0"/>
    <w:rsid w:val="59C0439F"/>
    <w:rsid w:val="59C12681"/>
    <w:rsid w:val="59CA7788"/>
    <w:rsid w:val="59E940B2"/>
    <w:rsid w:val="59FA62BF"/>
    <w:rsid w:val="5A026F22"/>
    <w:rsid w:val="5A0F399B"/>
    <w:rsid w:val="5A166E71"/>
    <w:rsid w:val="5A221372"/>
    <w:rsid w:val="5A460C39"/>
    <w:rsid w:val="5A494FF7"/>
    <w:rsid w:val="5A7D0C9E"/>
    <w:rsid w:val="5AA955EF"/>
    <w:rsid w:val="5AB911F4"/>
    <w:rsid w:val="5ABD553F"/>
    <w:rsid w:val="5ABE2233"/>
    <w:rsid w:val="5AC4067B"/>
    <w:rsid w:val="5AF251E8"/>
    <w:rsid w:val="5AFC6067"/>
    <w:rsid w:val="5B024529"/>
    <w:rsid w:val="5B046CCA"/>
    <w:rsid w:val="5B0D4A78"/>
    <w:rsid w:val="5B1C4013"/>
    <w:rsid w:val="5B2F71C3"/>
    <w:rsid w:val="5B427539"/>
    <w:rsid w:val="5B57733F"/>
    <w:rsid w:val="5B5E1421"/>
    <w:rsid w:val="5B6B4F9B"/>
    <w:rsid w:val="5B70610D"/>
    <w:rsid w:val="5B721E85"/>
    <w:rsid w:val="5B751975"/>
    <w:rsid w:val="5B7E082A"/>
    <w:rsid w:val="5B9938B6"/>
    <w:rsid w:val="5BA1276A"/>
    <w:rsid w:val="5BB73D3C"/>
    <w:rsid w:val="5BB93F58"/>
    <w:rsid w:val="5BBB1A7E"/>
    <w:rsid w:val="5BBD5242"/>
    <w:rsid w:val="5BC16969"/>
    <w:rsid w:val="5BCE5E90"/>
    <w:rsid w:val="5BDE2546"/>
    <w:rsid w:val="5BDF5D95"/>
    <w:rsid w:val="5BE80399"/>
    <w:rsid w:val="5BFE7528"/>
    <w:rsid w:val="5C0C257E"/>
    <w:rsid w:val="5C0E6052"/>
    <w:rsid w:val="5C1E3DBB"/>
    <w:rsid w:val="5C1F42A8"/>
    <w:rsid w:val="5C270EC2"/>
    <w:rsid w:val="5C361105"/>
    <w:rsid w:val="5C490CC7"/>
    <w:rsid w:val="5C6D01F8"/>
    <w:rsid w:val="5C8A1451"/>
    <w:rsid w:val="5C9F6CAA"/>
    <w:rsid w:val="5CAA6E48"/>
    <w:rsid w:val="5CB36BF9"/>
    <w:rsid w:val="5CD90F0B"/>
    <w:rsid w:val="5CE13766"/>
    <w:rsid w:val="5CE6025C"/>
    <w:rsid w:val="5CEE19DF"/>
    <w:rsid w:val="5CF50FC0"/>
    <w:rsid w:val="5CF65041"/>
    <w:rsid w:val="5D011713"/>
    <w:rsid w:val="5D0E5BDE"/>
    <w:rsid w:val="5D177188"/>
    <w:rsid w:val="5D1A4582"/>
    <w:rsid w:val="5D2B5F91"/>
    <w:rsid w:val="5D335644"/>
    <w:rsid w:val="5D417D61"/>
    <w:rsid w:val="5D465377"/>
    <w:rsid w:val="5D4F42C0"/>
    <w:rsid w:val="5D557CB0"/>
    <w:rsid w:val="5D7E7207"/>
    <w:rsid w:val="5D8F4F70"/>
    <w:rsid w:val="5D92680F"/>
    <w:rsid w:val="5DA86032"/>
    <w:rsid w:val="5DC866D4"/>
    <w:rsid w:val="5DCA5FA9"/>
    <w:rsid w:val="5DD60DF1"/>
    <w:rsid w:val="5DE60909"/>
    <w:rsid w:val="5DF254FF"/>
    <w:rsid w:val="5E056FE1"/>
    <w:rsid w:val="5E2467F1"/>
    <w:rsid w:val="5E287173"/>
    <w:rsid w:val="5E457D25"/>
    <w:rsid w:val="5E4C2B8A"/>
    <w:rsid w:val="5E51556C"/>
    <w:rsid w:val="5E9411F1"/>
    <w:rsid w:val="5EAE7678"/>
    <w:rsid w:val="5EB32EE1"/>
    <w:rsid w:val="5EB6477F"/>
    <w:rsid w:val="5EBA2F4C"/>
    <w:rsid w:val="5EC0263B"/>
    <w:rsid w:val="5EC7073A"/>
    <w:rsid w:val="5EC92704"/>
    <w:rsid w:val="5EE41FF6"/>
    <w:rsid w:val="5EE74938"/>
    <w:rsid w:val="5EF01A3F"/>
    <w:rsid w:val="5F1A2B43"/>
    <w:rsid w:val="5F21370F"/>
    <w:rsid w:val="5F230487"/>
    <w:rsid w:val="5F3F29C6"/>
    <w:rsid w:val="5F4E6765"/>
    <w:rsid w:val="5F6258FF"/>
    <w:rsid w:val="5F700DD2"/>
    <w:rsid w:val="5F904FD0"/>
    <w:rsid w:val="5FA016B7"/>
    <w:rsid w:val="5FB011CE"/>
    <w:rsid w:val="5FB07420"/>
    <w:rsid w:val="5FB837BB"/>
    <w:rsid w:val="60172FFB"/>
    <w:rsid w:val="60194FC5"/>
    <w:rsid w:val="603B13E0"/>
    <w:rsid w:val="603B4F3C"/>
    <w:rsid w:val="60402552"/>
    <w:rsid w:val="60430294"/>
    <w:rsid w:val="60536729"/>
    <w:rsid w:val="605D1C94"/>
    <w:rsid w:val="60694FCB"/>
    <w:rsid w:val="606C77EB"/>
    <w:rsid w:val="606F72DB"/>
    <w:rsid w:val="607431F7"/>
    <w:rsid w:val="60824919"/>
    <w:rsid w:val="6085265B"/>
    <w:rsid w:val="608D48F9"/>
    <w:rsid w:val="60AC5E39"/>
    <w:rsid w:val="60AC7BE7"/>
    <w:rsid w:val="60C43183"/>
    <w:rsid w:val="60C655F8"/>
    <w:rsid w:val="60CC405A"/>
    <w:rsid w:val="60D620D5"/>
    <w:rsid w:val="60D66C58"/>
    <w:rsid w:val="60E8429D"/>
    <w:rsid w:val="610B09D8"/>
    <w:rsid w:val="6110461A"/>
    <w:rsid w:val="612B3202"/>
    <w:rsid w:val="61446072"/>
    <w:rsid w:val="614B5652"/>
    <w:rsid w:val="61532ACB"/>
    <w:rsid w:val="615A5895"/>
    <w:rsid w:val="6171498D"/>
    <w:rsid w:val="61926DDD"/>
    <w:rsid w:val="61A66D2D"/>
    <w:rsid w:val="61AB60F1"/>
    <w:rsid w:val="61C96411"/>
    <w:rsid w:val="61E215D8"/>
    <w:rsid w:val="61EA4E6B"/>
    <w:rsid w:val="61F93300"/>
    <w:rsid w:val="620D6DAC"/>
    <w:rsid w:val="62126170"/>
    <w:rsid w:val="621B3775"/>
    <w:rsid w:val="62364782"/>
    <w:rsid w:val="624479E6"/>
    <w:rsid w:val="624A3B5C"/>
    <w:rsid w:val="62522A10"/>
    <w:rsid w:val="6256605D"/>
    <w:rsid w:val="625E13B5"/>
    <w:rsid w:val="626544F2"/>
    <w:rsid w:val="626A7D5A"/>
    <w:rsid w:val="626D15F8"/>
    <w:rsid w:val="626D33A6"/>
    <w:rsid w:val="627625F6"/>
    <w:rsid w:val="62A45562"/>
    <w:rsid w:val="62A51328"/>
    <w:rsid w:val="62A72D5C"/>
    <w:rsid w:val="62BF47B3"/>
    <w:rsid w:val="62CC342A"/>
    <w:rsid w:val="62D701C0"/>
    <w:rsid w:val="62F31AFE"/>
    <w:rsid w:val="62F53AC8"/>
    <w:rsid w:val="62F8107D"/>
    <w:rsid w:val="6303702A"/>
    <w:rsid w:val="631657EC"/>
    <w:rsid w:val="63514A76"/>
    <w:rsid w:val="63636B3B"/>
    <w:rsid w:val="636C021F"/>
    <w:rsid w:val="638766EA"/>
    <w:rsid w:val="638E5CCA"/>
    <w:rsid w:val="6394356A"/>
    <w:rsid w:val="63B53257"/>
    <w:rsid w:val="63BE65AF"/>
    <w:rsid w:val="63BF7C32"/>
    <w:rsid w:val="63C61B2C"/>
    <w:rsid w:val="63D40BE9"/>
    <w:rsid w:val="63FA53A5"/>
    <w:rsid w:val="63FF0976"/>
    <w:rsid w:val="64102431"/>
    <w:rsid w:val="64104931"/>
    <w:rsid w:val="641A130C"/>
    <w:rsid w:val="641C5084"/>
    <w:rsid w:val="642735EE"/>
    <w:rsid w:val="642A783A"/>
    <w:rsid w:val="64303292"/>
    <w:rsid w:val="643423CE"/>
    <w:rsid w:val="643A7875"/>
    <w:rsid w:val="643C74D4"/>
    <w:rsid w:val="64410F8F"/>
    <w:rsid w:val="64496080"/>
    <w:rsid w:val="644C515F"/>
    <w:rsid w:val="645967E3"/>
    <w:rsid w:val="647E5D3F"/>
    <w:rsid w:val="648275DD"/>
    <w:rsid w:val="64A5243A"/>
    <w:rsid w:val="64B85C73"/>
    <w:rsid w:val="64D4595F"/>
    <w:rsid w:val="64F531DE"/>
    <w:rsid w:val="64FF6ADE"/>
    <w:rsid w:val="65136487"/>
    <w:rsid w:val="65373578"/>
    <w:rsid w:val="653B2028"/>
    <w:rsid w:val="65654809"/>
    <w:rsid w:val="6569254B"/>
    <w:rsid w:val="656C3DE9"/>
    <w:rsid w:val="65856C59"/>
    <w:rsid w:val="658630FD"/>
    <w:rsid w:val="65A13A93"/>
    <w:rsid w:val="65B337C6"/>
    <w:rsid w:val="65BA2DA7"/>
    <w:rsid w:val="65EC0A86"/>
    <w:rsid w:val="65F30067"/>
    <w:rsid w:val="6603474E"/>
    <w:rsid w:val="661E1E95"/>
    <w:rsid w:val="661F2C0A"/>
    <w:rsid w:val="661F70AE"/>
    <w:rsid w:val="664D7777"/>
    <w:rsid w:val="664F7993"/>
    <w:rsid w:val="6659611C"/>
    <w:rsid w:val="66611474"/>
    <w:rsid w:val="66680A54"/>
    <w:rsid w:val="668A4527"/>
    <w:rsid w:val="669058B5"/>
    <w:rsid w:val="6692787F"/>
    <w:rsid w:val="66971ACC"/>
    <w:rsid w:val="66AA2E1B"/>
    <w:rsid w:val="66BB6DD6"/>
    <w:rsid w:val="6703077D"/>
    <w:rsid w:val="671F124A"/>
    <w:rsid w:val="67220C03"/>
    <w:rsid w:val="673646AF"/>
    <w:rsid w:val="673B1CC5"/>
    <w:rsid w:val="673E3563"/>
    <w:rsid w:val="674072DB"/>
    <w:rsid w:val="67431DD3"/>
    <w:rsid w:val="6759039D"/>
    <w:rsid w:val="677A33C6"/>
    <w:rsid w:val="678F3DBF"/>
    <w:rsid w:val="67A05FCC"/>
    <w:rsid w:val="67AC2BC3"/>
    <w:rsid w:val="67B0620F"/>
    <w:rsid w:val="67C24194"/>
    <w:rsid w:val="67CD5013"/>
    <w:rsid w:val="67DA328C"/>
    <w:rsid w:val="67EE31DB"/>
    <w:rsid w:val="680B5B3B"/>
    <w:rsid w:val="6817003C"/>
    <w:rsid w:val="68175212"/>
    <w:rsid w:val="681F6961"/>
    <w:rsid w:val="68262975"/>
    <w:rsid w:val="683C39C2"/>
    <w:rsid w:val="684A23F5"/>
    <w:rsid w:val="684D7F02"/>
    <w:rsid w:val="685F19E3"/>
    <w:rsid w:val="68610A2F"/>
    <w:rsid w:val="686979DD"/>
    <w:rsid w:val="687A05CB"/>
    <w:rsid w:val="68805514"/>
    <w:rsid w:val="68863414"/>
    <w:rsid w:val="68C656C9"/>
    <w:rsid w:val="68E1689C"/>
    <w:rsid w:val="68F20AA9"/>
    <w:rsid w:val="691B1DAE"/>
    <w:rsid w:val="692844CB"/>
    <w:rsid w:val="69316E2F"/>
    <w:rsid w:val="694E2071"/>
    <w:rsid w:val="69564B94"/>
    <w:rsid w:val="69605A13"/>
    <w:rsid w:val="69635503"/>
    <w:rsid w:val="69766163"/>
    <w:rsid w:val="697A3B33"/>
    <w:rsid w:val="698C05B6"/>
    <w:rsid w:val="699102C2"/>
    <w:rsid w:val="699851AD"/>
    <w:rsid w:val="69A973BA"/>
    <w:rsid w:val="69BD2E65"/>
    <w:rsid w:val="69D44760"/>
    <w:rsid w:val="69EF12C4"/>
    <w:rsid w:val="69FC1C8E"/>
    <w:rsid w:val="6A2373AF"/>
    <w:rsid w:val="6A2627B9"/>
    <w:rsid w:val="6A334ED5"/>
    <w:rsid w:val="6A520EC7"/>
    <w:rsid w:val="6A745C1A"/>
    <w:rsid w:val="6A75729C"/>
    <w:rsid w:val="6A8B2F63"/>
    <w:rsid w:val="6A90057A"/>
    <w:rsid w:val="6A935974"/>
    <w:rsid w:val="6AB51A05"/>
    <w:rsid w:val="6ACE43D9"/>
    <w:rsid w:val="6AE6019A"/>
    <w:rsid w:val="6AF87E20"/>
    <w:rsid w:val="6AFC176B"/>
    <w:rsid w:val="6B0D5727"/>
    <w:rsid w:val="6B19231D"/>
    <w:rsid w:val="6B2A277C"/>
    <w:rsid w:val="6B322639"/>
    <w:rsid w:val="6B642F9C"/>
    <w:rsid w:val="6B8D6867"/>
    <w:rsid w:val="6B9419A4"/>
    <w:rsid w:val="6B945E48"/>
    <w:rsid w:val="6BA06A50"/>
    <w:rsid w:val="6BA37E39"/>
    <w:rsid w:val="6BA77CE4"/>
    <w:rsid w:val="6BC65B6B"/>
    <w:rsid w:val="6BD82D67"/>
    <w:rsid w:val="6BDB5825"/>
    <w:rsid w:val="6BE175B8"/>
    <w:rsid w:val="6BFD39ED"/>
    <w:rsid w:val="6C270A6A"/>
    <w:rsid w:val="6C5E0930"/>
    <w:rsid w:val="6C5F064E"/>
    <w:rsid w:val="6C621AA2"/>
    <w:rsid w:val="6C636C38"/>
    <w:rsid w:val="6C7041BF"/>
    <w:rsid w:val="6C711CE5"/>
    <w:rsid w:val="6C845EBC"/>
    <w:rsid w:val="6C850CCB"/>
    <w:rsid w:val="6C9D0D2C"/>
    <w:rsid w:val="6C9D2ADA"/>
    <w:rsid w:val="6CA4030D"/>
    <w:rsid w:val="6CA64085"/>
    <w:rsid w:val="6CA9147F"/>
    <w:rsid w:val="6CB653F2"/>
    <w:rsid w:val="6CB73B9C"/>
    <w:rsid w:val="6CBE317C"/>
    <w:rsid w:val="6CC22541"/>
    <w:rsid w:val="6CCB5899"/>
    <w:rsid w:val="6CD3474E"/>
    <w:rsid w:val="6CD430FB"/>
    <w:rsid w:val="6CEA3AB2"/>
    <w:rsid w:val="6CF7668E"/>
    <w:rsid w:val="6D013069"/>
    <w:rsid w:val="6D064B23"/>
    <w:rsid w:val="6D0842FD"/>
    <w:rsid w:val="6D107750"/>
    <w:rsid w:val="6D223052"/>
    <w:rsid w:val="6D2F5E28"/>
    <w:rsid w:val="6D526D38"/>
    <w:rsid w:val="6D527D69"/>
    <w:rsid w:val="6D685080"/>
    <w:rsid w:val="6D716441"/>
    <w:rsid w:val="6D77332B"/>
    <w:rsid w:val="6D7952F5"/>
    <w:rsid w:val="6D806C06"/>
    <w:rsid w:val="6D9640F9"/>
    <w:rsid w:val="6D9E4D5C"/>
    <w:rsid w:val="6DA154DD"/>
    <w:rsid w:val="6DB34098"/>
    <w:rsid w:val="6DB545B6"/>
    <w:rsid w:val="6DBC4FDA"/>
    <w:rsid w:val="6DC36570"/>
    <w:rsid w:val="6DCF760B"/>
    <w:rsid w:val="6DD84013"/>
    <w:rsid w:val="6DD864C0"/>
    <w:rsid w:val="6DE02FB4"/>
    <w:rsid w:val="6DE74955"/>
    <w:rsid w:val="6E0A419F"/>
    <w:rsid w:val="6E0E0C26"/>
    <w:rsid w:val="6E0F1884"/>
    <w:rsid w:val="6E22773B"/>
    <w:rsid w:val="6E340ADE"/>
    <w:rsid w:val="6E4B6C92"/>
    <w:rsid w:val="6E514CED"/>
    <w:rsid w:val="6E69536A"/>
    <w:rsid w:val="6E922B12"/>
    <w:rsid w:val="6E9543B1"/>
    <w:rsid w:val="6E9A12BD"/>
    <w:rsid w:val="6EA21848"/>
    <w:rsid w:val="6EAC5256"/>
    <w:rsid w:val="6EAE0FCF"/>
    <w:rsid w:val="6EB563D5"/>
    <w:rsid w:val="6EBF4F8A"/>
    <w:rsid w:val="6ED92677"/>
    <w:rsid w:val="6EEE3AC1"/>
    <w:rsid w:val="6EF307D1"/>
    <w:rsid w:val="6EF773B9"/>
    <w:rsid w:val="6EFE0E88"/>
    <w:rsid w:val="6F101C89"/>
    <w:rsid w:val="6F141745"/>
    <w:rsid w:val="6F225983"/>
    <w:rsid w:val="6F343BCA"/>
    <w:rsid w:val="6F4A00F0"/>
    <w:rsid w:val="6F4B0F13"/>
    <w:rsid w:val="6F5778B8"/>
    <w:rsid w:val="6F63625D"/>
    <w:rsid w:val="6F651FD5"/>
    <w:rsid w:val="6F743FC6"/>
    <w:rsid w:val="6F7E3097"/>
    <w:rsid w:val="6F854425"/>
    <w:rsid w:val="6F901C47"/>
    <w:rsid w:val="6F9A1D4E"/>
    <w:rsid w:val="6F9B1682"/>
    <w:rsid w:val="6FAC19B2"/>
    <w:rsid w:val="6FB645DF"/>
    <w:rsid w:val="6FCA62DC"/>
    <w:rsid w:val="6FDE7692"/>
    <w:rsid w:val="6FF70753"/>
    <w:rsid w:val="6FF84BF7"/>
    <w:rsid w:val="6FFC2CD4"/>
    <w:rsid w:val="6FFC5590"/>
    <w:rsid w:val="70020958"/>
    <w:rsid w:val="703419A7"/>
    <w:rsid w:val="703561B0"/>
    <w:rsid w:val="703674CE"/>
    <w:rsid w:val="703A5210"/>
    <w:rsid w:val="703D260A"/>
    <w:rsid w:val="70457711"/>
    <w:rsid w:val="7058027F"/>
    <w:rsid w:val="705D3AD4"/>
    <w:rsid w:val="706D1DD0"/>
    <w:rsid w:val="707379AA"/>
    <w:rsid w:val="70856B87"/>
    <w:rsid w:val="70A66401"/>
    <w:rsid w:val="70A72179"/>
    <w:rsid w:val="70C64CF5"/>
    <w:rsid w:val="70C90342"/>
    <w:rsid w:val="70D527EE"/>
    <w:rsid w:val="70E46F2A"/>
    <w:rsid w:val="71050FD1"/>
    <w:rsid w:val="71213CDA"/>
    <w:rsid w:val="71486D48"/>
    <w:rsid w:val="71566079"/>
    <w:rsid w:val="715831DB"/>
    <w:rsid w:val="715B5300"/>
    <w:rsid w:val="717300E1"/>
    <w:rsid w:val="71777D9E"/>
    <w:rsid w:val="7185070D"/>
    <w:rsid w:val="71CC633B"/>
    <w:rsid w:val="71D1496D"/>
    <w:rsid w:val="71D27F8A"/>
    <w:rsid w:val="71D60F68"/>
    <w:rsid w:val="71D92806"/>
    <w:rsid w:val="71DF0E24"/>
    <w:rsid w:val="72035AD5"/>
    <w:rsid w:val="720A6E64"/>
    <w:rsid w:val="722A121F"/>
    <w:rsid w:val="72367C59"/>
    <w:rsid w:val="724F2AC9"/>
    <w:rsid w:val="72553024"/>
    <w:rsid w:val="725A3947"/>
    <w:rsid w:val="72691DDC"/>
    <w:rsid w:val="7275252F"/>
    <w:rsid w:val="728409C4"/>
    <w:rsid w:val="729A0BB7"/>
    <w:rsid w:val="72A20E4A"/>
    <w:rsid w:val="72A5093A"/>
    <w:rsid w:val="72D1172F"/>
    <w:rsid w:val="72D2478B"/>
    <w:rsid w:val="72D66D46"/>
    <w:rsid w:val="72E41463"/>
    <w:rsid w:val="730B2E93"/>
    <w:rsid w:val="73122968"/>
    <w:rsid w:val="73131D48"/>
    <w:rsid w:val="731F5D5E"/>
    <w:rsid w:val="732706D6"/>
    <w:rsid w:val="73316424"/>
    <w:rsid w:val="733F0D8F"/>
    <w:rsid w:val="734D525A"/>
    <w:rsid w:val="736B1B84"/>
    <w:rsid w:val="737D520E"/>
    <w:rsid w:val="73903399"/>
    <w:rsid w:val="7399049F"/>
    <w:rsid w:val="73C05A2C"/>
    <w:rsid w:val="73C51AD5"/>
    <w:rsid w:val="73C6500C"/>
    <w:rsid w:val="73C85B40"/>
    <w:rsid w:val="73CA68AB"/>
    <w:rsid w:val="73D70FC8"/>
    <w:rsid w:val="73E536E4"/>
    <w:rsid w:val="73E7745D"/>
    <w:rsid w:val="73F05BE5"/>
    <w:rsid w:val="7408068F"/>
    <w:rsid w:val="740F70C2"/>
    <w:rsid w:val="74143FCA"/>
    <w:rsid w:val="741E793C"/>
    <w:rsid w:val="742A10F7"/>
    <w:rsid w:val="742C0A38"/>
    <w:rsid w:val="743B2D1A"/>
    <w:rsid w:val="743B50B2"/>
    <w:rsid w:val="743E4BA3"/>
    <w:rsid w:val="745E3944"/>
    <w:rsid w:val="74624D35"/>
    <w:rsid w:val="746A5998"/>
    <w:rsid w:val="746D4579"/>
    <w:rsid w:val="74714F78"/>
    <w:rsid w:val="74850408"/>
    <w:rsid w:val="74877556"/>
    <w:rsid w:val="748922C2"/>
    <w:rsid w:val="74896172"/>
    <w:rsid w:val="748C3B60"/>
    <w:rsid w:val="748E5B2A"/>
    <w:rsid w:val="749649DF"/>
    <w:rsid w:val="74A54E21"/>
    <w:rsid w:val="74AC5FB0"/>
    <w:rsid w:val="74C376A4"/>
    <w:rsid w:val="74C83AAD"/>
    <w:rsid w:val="74CE4179"/>
    <w:rsid w:val="74E14761"/>
    <w:rsid w:val="74EE7C94"/>
    <w:rsid w:val="74F040EF"/>
    <w:rsid w:val="74F17E67"/>
    <w:rsid w:val="74F6266B"/>
    <w:rsid w:val="74F636CF"/>
    <w:rsid w:val="74F82FA3"/>
    <w:rsid w:val="74FF2959"/>
    <w:rsid w:val="7507768A"/>
    <w:rsid w:val="751F402F"/>
    <w:rsid w:val="754B57C9"/>
    <w:rsid w:val="75526B58"/>
    <w:rsid w:val="75752846"/>
    <w:rsid w:val="75836A21"/>
    <w:rsid w:val="75874327"/>
    <w:rsid w:val="758E3908"/>
    <w:rsid w:val="75A31161"/>
    <w:rsid w:val="75AD1FE0"/>
    <w:rsid w:val="75C23ADA"/>
    <w:rsid w:val="75C44D0C"/>
    <w:rsid w:val="75C612F4"/>
    <w:rsid w:val="75ED062E"/>
    <w:rsid w:val="761C7166"/>
    <w:rsid w:val="762229CE"/>
    <w:rsid w:val="76236746"/>
    <w:rsid w:val="7630676D"/>
    <w:rsid w:val="7635099D"/>
    <w:rsid w:val="76366479"/>
    <w:rsid w:val="763E70DC"/>
    <w:rsid w:val="76402E54"/>
    <w:rsid w:val="764C17F9"/>
    <w:rsid w:val="76592168"/>
    <w:rsid w:val="767A2F74"/>
    <w:rsid w:val="76991F49"/>
    <w:rsid w:val="769E5DCD"/>
    <w:rsid w:val="76A827A7"/>
    <w:rsid w:val="76C92E49"/>
    <w:rsid w:val="76D161A2"/>
    <w:rsid w:val="76DD06A3"/>
    <w:rsid w:val="76F0487A"/>
    <w:rsid w:val="77073972"/>
    <w:rsid w:val="773B361B"/>
    <w:rsid w:val="774C076E"/>
    <w:rsid w:val="774C5829"/>
    <w:rsid w:val="775A7F45"/>
    <w:rsid w:val="775B4610"/>
    <w:rsid w:val="7769462C"/>
    <w:rsid w:val="77762421"/>
    <w:rsid w:val="7778661E"/>
    <w:rsid w:val="77B358A8"/>
    <w:rsid w:val="77B37656"/>
    <w:rsid w:val="77B56B1F"/>
    <w:rsid w:val="77B75398"/>
    <w:rsid w:val="77F03F5B"/>
    <w:rsid w:val="77FA7033"/>
    <w:rsid w:val="78037F43"/>
    <w:rsid w:val="78056103"/>
    <w:rsid w:val="780F09F4"/>
    <w:rsid w:val="781C51FB"/>
    <w:rsid w:val="781E71C5"/>
    <w:rsid w:val="78236589"/>
    <w:rsid w:val="783C589D"/>
    <w:rsid w:val="78495630"/>
    <w:rsid w:val="786848E4"/>
    <w:rsid w:val="786B1CDE"/>
    <w:rsid w:val="78745037"/>
    <w:rsid w:val="78760DAF"/>
    <w:rsid w:val="788A485A"/>
    <w:rsid w:val="788F1E71"/>
    <w:rsid w:val="789D523F"/>
    <w:rsid w:val="78A90480"/>
    <w:rsid w:val="78B11DE7"/>
    <w:rsid w:val="78D06A88"/>
    <w:rsid w:val="78E977D3"/>
    <w:rsid w:val="790D41CB"/>
    <w:rsid w:val="79206F6D"/>
    <w:rsid w:val="79242C0B"/>
    <w:rsid w:val="792B3D7D"/>
    <w:rsid w:val="792B789D"/>
    <w:rsid w:val="792F0F5E"/>
    <w:rsid w:val="79314CD6"/>
    <w:rsid w:val="793B5B55"/>
    <w:rsid w:val="795D2923"/>
    <w:rsid w:val="7977248F"/>
    <w:rsid w:val="797A7744"/>
    <w:rsid w:val="79905EA0"/>
    <w:rsid w:val="79915775"/>
    <w:rsid w:val="79951709"/>
    <w:rsid w:val="799D236B"/>
    <w:rsid w:val="79A13C0A"/>
    <w:rsid w:val="79AE4579"/>
    <w:rsid w:val="79AE6327"/>
    <w:rsid w:val="79B37DE1"/>
    <w:rsid w:val="79BE0C60"/>
    <w:rsid w:val="79D51B05"/>
    <w:rsid w:val="79ED6E4F"/>
    <w:rsid w:val="79FA156C"/>
    <w:rsid w:val="7A0E55E5"/>
    <w:rsid w:val="7A24483B"/>
    <w:rsid w:val="7A2860D9"/>
    <w:rsid w:val="7A2B18F4"/>
    <w:rsid w:val="7A340F22"/>
    <w:rsid w:val="7A364017"/>
    <w:rsid w:val="7A3A405E"/>
    <w:rsid w:val="7A4C1132"/>
    <w:rsid w:val="7A4E3666"/>
    <w:rsid w:val="7A540C7C"/>
    <w:rsid w:val="7A5C1F07"/>
    <w:rsid w:val="7A6F1F5A"/>
    <w:rsid w:val="7A795A34"/>
    <w:rsid w:val="7A811C8D"/>
    <w:rsid w:val="7A8265E1"/>
    <w:rsid w:val="7AC878BC"/>
    <w:rsid w:val="7ACF47A6"/>
    <w:rsid w:val="7AD16771"/>
    <w:rsid w:val="7AD87AFF"/>
    <w:rsid w:val="7AF4420D"/>
    <w:rsid w:val="7AFC477A"/>
    <w:rsid w:val="7B0408F4"/>
    <w:rsid w:val="7B0D0E08"/>
    <w:rsid w:val="7B203254"/>
    <w:rsid w:val="7B354F51"/>
    <w:rsid w:val="7B3E46E9"/>
    <w:rsid w:val="7B450F0D"/>
    <w:rsid w:val="7B65510B"/>
    <w:rsid w:val="7B686D42"/>
    <w:rsid w:val="7B6E5D6D"/>
    <w:rsid w:val="7B710130"/>
    <w:rsid w:val="7B787C13"/>
    <w:rsid w:val="7B841746"/>
    <w:rsid w:val="7B9F23CB"/>
    <w:rsid w:val="7BA619AB"/>
    <w:rsid w:val="7BA774D1"/>
    <w:rsid w:val="7BAC4AE8"/>
    <w:rsid w:val="7BDA78A7"/>
    <w:rsid w:val="7BE424D4"/>
    <w:rsid w:val="7BEE62DE"/>
    <w:rsid w:val="7BF5023D"/>
    <w:rsid w:val="7BFC2A96"/>
    <w:rsid w:val="7C35247C"/>
    <w:rsid w:val="7C3945F2"/>
    <w:rsid w:val="7C501917"/>
    <w:rsid w:val="7C5807CC"/>
    <w:rsid w:val="7C5B09E8"/>
    <w:rsid w:val="7C5C650E"/>
    <w:rsid w:val="7C6C5AC7"/>
    <w:rsid w:val="7C931ECD"/>
    <w:rsid w:val="7C961A20"/>
    <w:rsid w:val="7C9B7036"/>
    <w:rsid w:val="7C9C2FD3"/>
    <w:rsid w:val="7CA659DB"/>
    <w:rsid w:val="7CB225D2"/>
    <w:rsid w:val="7CB65C1E"/>
    <w:rsid w:val="7CB974BC"/>
    <w:rsid w:val="7CC6544B"/>
    <w:rsid w:val="7CD60D99"/>
    <w:rsid w:val="7CEF7382"/>
    <w:rsid w:val="7CF3625E"/>
    <w:rsid w:val="7CFE5817"/>
    <w:rsid w:val="7D0239FF"/>
    <w:rsid w:val="7D097714"/>
    <w:rsid w:val="7D0E5A5A"/>
    <w:rsid w:val="7D142975"/>
    <w:rsid w:val="7D17314C"/>
    <w:rsid w:val="7D2A660C"/>
    <w:rsid w:val="7D3E79C1"/>
    <w:rsid w:val="7D436164"/>
    <w:rsid w:val="7D5316BF"/>
    <w:rsid w:val="7D562F5D"/>
    <w:rsid w:val="7D5E40CD"/>
    <w:rsid w:val="7D625DA6"/>
    <w:rsid w:val="7D654B5B"/>
    <w:rsid w:val="7DAB14FB"/>
    <w:rsid w:val="7DAE4B47"/>
    <w:rsid w:val="7DCB56F9"/>
    <w:rsid w:val="7DCD56F2"/>
    <w:rsid w:val="7DD24CD9"/>
    <w:rsid w:val="7DD6409E"/>
    <w:rsid w:val="7DE44A0D"/>
    <w:rsid w:val="7DF12C86"/>
    <w:rsid w:val="7DF478B8"/>
    <w:rsid w:val="7DFC1D56"/>
    <w:rsid w:val="7E16235D"/>
    <w:rsid w:val="7E1D3A7B"/>
    <w:rsid w:val="7E4234E1"/>
    <w:rsid w:val="7E553215"/>
    <w:rsid w:val="7E6478FC"/>
    <w:rsid w:val="7E797637"/>
    <w:rsid w:val="7E843AFA"/>
    <w:rsid w:val="7E926217"/>
    <w:rsid w:val="7E927FC5"/>
    <w:rsid w:val="7E97382D"/>
    <w:rsid w:val="7EA1645A"/>
    <w:rsid w:val="7EB268B9"/>
    <w:rsid w:val="7ECD54A1"/>
    <w:rsid w:val="7ED24865"/>
    <w:rsid w:val="7EF84914"/>
    <w:rsid w:val="7F001CE7"/>
    <w:rsid w:val="7F020597"/>
    <w:rsid w:val="7F0F1615"/>
    <w:rsid w:val="7F1B5744"/>
    <w:rsid w:val="7F286B7B"/>
    <w:rsid w:val="7F2F3A66"/>
    <w:rsid w:val="7F4A08A0"/>
    <w:rsid w:val="7F5B2AAD"/>
    <w:rsid w:val="7F6C63AB"/>
    <w:rsid w:val="7F857B2A"/>
    <w:rsid w:val="7F8C0EB8"/>
    <w:rsid w:val="7F8D69DE"/>
    <w:rsid w:val="7F961D37"/>
    <w:rsid w:val="7F9B734D"/>
    <w:rsid w:val="7F9D4E73"/>
    <w:rsid w:val="7F9E0F54"/>
    <w:rsid w:val="7FA3036E"/>
    <w:rsid w:val="7FB16B71"/>
    <w:rsid w:val="7FB5625E"/>
    <w:rsid w:val="7FB637D5"/>
    <w:rsid w:val="7FB65F35"/>
    <w:rsid w:val="7FD5285F"/>
    <w:rsid w:val="7FE47E50"/>
    <w:rsid w:val="7FFA22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spacing w:before="260" w:after="260" w:line="416" w:lineRule="auto"/>
      <w:ind w:firstLine="200" w:firstLineChars="200"/>
      <w:outlineLvl w:val="1"/>
    </w:pPr>
    <w:rPr>
      <w:rFonts w:ascii="Arial" w:hAnsi="Arial" w:eastAsia="黑体"/>
      <w:b/>
      <w:bCs/>
      <w:sz w:val="32"/>
      <w:szCs w:val="32"/>
    </w:rPr>
  </w:style>
  <w:style w:type="paragraph" w:styleId="4">
    <w:name w:val="heading 3"/>
    <w:basedOn w:val="3"/>
    <w:next w:val="1"/>
    <w:autoRedefine/>
    <w:qFormat/>
    <w:uiPriority w:val="0"/>
    <w:pPr>
      <w:keepNext/>
      <w:autoSpaceDE w:val="0"/>
      <w:autoSpaceDN w:val="0"/>
      <w:adjustRightInd w:val="0"/>
      <w:outlineLvl w:val="2"/>
    </w:pPr>
    <w:rPr>
      <w:rFonts w:ascii="宋体" w:hAnsi="宋体"/>
    </w:rPr>
  </w:style>
  <w:style w:type="paragraph" w:styleId="5">
    <w:name w:val="heading 4"/>
    <w:basedOn w:val="4"/>
    <w:next w:val="1"/>
    <w:autoRedefine/>
    <w:qFormat/>
    <w:uiPriority w:val="0"/>
    <w:pPr>
      <w:keepNext/>
      <w:keepLines/>
      <w:adjustRightInd w:val="0"/>
      <w:snapToGrid w:val="0"/>
      <w:textAlignment w:val="baseline"/>
      <w:outlineLvl w:val="3"/>
    </w:pPr>
    <w:rPr>
      <w:rFonts w:ascii="黑体" w:eastAsia="黑体"/>
      <w:kern w:val="0"/>
      <w:sz w:val="28"/>
      <w:szCs w:val="20"/>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60" w:lineRule="auto"/>
      <w:ind w:firstLine="420"/>
    </w:pPr>
    <w:rPr>
      <w:rFonts w:ascii="宋体" w:hAnsi="Times New Roman" w:eastAsia="宋体" w:cs="Times New Roman"/>
      <w:sz w:val="24"/>
      <w:szCs w:val="24"/>
    </w:rPr>
  </w:style>
  <w:style w:type="paragraph" w:styleId="7">
    <w:name w:val="annotation text"/>
    <w:basedOn w:val="1"/>
    <w:link w:val="32"/>
    <w:autoRedefine/>
    <w:semiHidden/>
    <w:qFormat/>
    <w:uiPriority w:val="0"/>
    <w:pPr>
      <w:jc w:val="left"/>
    </w:pPr>
    <w:rPr>
      <w:kern w:val="0"/>
      <w:sz w:val="24"/>
      <w:szCs w:val="20"/>
    </w:rPr>
  </w:style>
  <w:style w:type="paragraph" w:styleId="8">
    <w:name w:val="Body Text"/>
    <w:basedOn w:val="1"/>
    <w:next w:val="9"/>
    <w:link w:val="33"/>
    <w:autoRedefine/>
    <w:qFormat/>
    <w:uiPriority w:val="0"/>
    <w:pPr>
      <w:widowControl/>
      <w:snapToGrid w:val="0"/>
      <w:spacing w:before="60" w:after="160" w:line="259" w:lineRule="auto"/>
      <w:ind w:right="113"/>
    </w:pPr>
    <w:rPr>
      <w:kern w:val="0"/>
      <w:sz w:val="18"/>
      <w:szCs w:val="20"/>
    </w:rPr>
  </w:style>
  <w:style w:type="paragraph" w:customStyle="1" w:styleId="9">
    <w:name w:val="xl27"/>
    <w:basedOn w:val="1"/>
    <w:next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0">
    <w:name w:val="Body Text Indent"/>
    <w:basedOn w:val="1"/>
    <w:link w:val="34"/>
    <w:autoRedefine/>
    <w:qFormat/>
    <w:uiPriority w:val="0"/>
    <w:pPr>
      <w:spacing w:after="120"/>
      <w:ind w:left="420" w:leftChars="200"/>
    </w:pPr>
    <w:rPr>
      <w:kern w:val="0"/>
      <w:sz w:val="24"/>
      <w:szCs w:val="20"/>
    </w:rPr>
  </w:style>
  <w:style w:type="paragraph" w:styleId="11">
    <w:name w:val="Plain Text"/>
    <w:basedOn w:val="1"/>
    <w:autoRedefine/>
    <w:qFormat/>
    <w:uiPriority w:val="0"/>
    <w:pPr>
      <w:spacing w:line="360" w:lineRule="auto"/>
      <w:ind w:firstLine="200" w:firstLineChars="200"/>
      <w:contextualSpacing/>
      <w:jc w:val="left"/>
    </w:pPr>
    <w:rPr>
      <w:rFonts w:ascii="宋体" w:hAnsi="Courier New" w:eastAsia="仿宋_GB2312"/>
      <w:color w:val="000000"/>
      <w:sz w:val="28"/>
      <w:szCs w:val="20"/>
    </w:rPr>
  </w:style>
  <w:style w:type="paragraph" w:styleId="12">
    <w:name w:val="Date"/>
    <w:basedOn w:val="1"/>
    <w:next w:val="1"/>
    <w:link w:val="35"/>
    <w:autoRedefine/>
    <w:qFormat/>
    <w:uiPriority w:val="0"/>
    <w:pPr>
      <w:ind w:left="100" w:leftChars="2500"/>
    </w:pPr>
    <w:rPr>
      <w:kern w:val="0"/>
      <w:sz w:val="24"/>
      <w:szCs w:val="20"/>
    </w:rPr>
  </w:style>
  <w:style w:type="paragraph" w:styleId="13">
    <w:name w:val="Body Text Indent 2"/>
    <w:basedOn w:val="1"/>
    <w:next w:val="1"/>
    <w:autoRedefine/>
    <w:unhideWhenUsed/>
    <w:qFormat/>
    <w:uiPriority w:val="99"/>
    <w:pPr>
      <w:spacing w:after="120" w:line="480" w:lineRule="auto"/>
      <w:ind w:left="420" w:leftChars="200"/>
    </w:pPr>
    <w:rPr>
      <w:rFonts w:ascii="Calibri" w:hAnsi="Calibri" w:eastAsia="宋体" w:cs="黑体"/>
    </w:rPr>
  </w:style>
  <w:style w:type="paragraph" w:styleId="14">
    <w:name w:val="Balloon Text"/>
    <w:basedOn w:val="1"/>
    <w:link w:val="36"/>
    <w:autoRedefine/>
    <w:semiHidden/>
    <w:qFormat/>
    <w:uiPriority w:val="0"/>
    <w:rPr>
      <w:kern w:val="0"/>
      <w:sz w:val="18"/>
      <w:szCs w:val="20"/>
    </w:rPr>
  </w:style>
  <w:style w:type="paragraph" w:styleId="15">
    <w:name w:val="footer"/>
    <w:basedOn w:val="1"/>
    <w:link w:val="37"/>
    <w:autoRedefine/>
    <w:qFormat/>
    <w:uiPriority w:val="99"/>
    <w:pPr>
      <w:tabs>
        <w:tab w:val="center" w:pos="4153"/>
        <w:tab w:val="right" w:pos="8306"/>
      </w:tabs>
      <w:snapToGrid w:val="0"/>
      <w:jc w:val="left"/>
    </w:pPr>
    <w:rPr>
      <w:kern w:val="0"/>
      <w:sz w:val="18"/>
      <w:szCs w:val="20"/>
    </w:rPr>
  </w:style>
  <w:style w:type="paragraph" w:styleId="16">
    <w:name w:val="header"/>
    <w:basedOn w:val="1"/>
    <w:link w:val="4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autoRedefine/>
    <w:unhideWhenUsed/>
    <w:qFormat/>
    <w:uiPriority w:val="39"/>
    <w:pPr>
      <w:widowControl/>
      <w:spacing w:after="100"/>
      <w:ind w:firstLine="0" w:firstLineChars="0"/>
      <w:jc w:val="left"/>
    </w:pPr>
    <w:rPr>
      <w:b/>
      <w:kern w:val="0"/>
      <w:sz w:val="28"/>
      <w:szCs w:val="22"/>
    </w:rPr>
  </w:style>
  <w:style w:type="paragraph" w:styleId="18">
    <w:name w:val="Body Text Indent 3"/>
    <w:basedOn w:val="1"/>
    <w:autoRedefine/>
    <w:unhideWhenUsed/>
    <w:qFormat/>
    <w:uiPriority w:val="99"/>
    <w:pPr>
      <w:spacing w:after="120"/>
      <w:ind w:left="420" w:leftChars="200"/>
    </w:pPr>
    <w:rPr>
      <w:sz w:val="16"/>
      <w:szCs w:val="16"/>
    </w:rPr>
  </w:style>
  <w:style w:type="paragraph" w:styleId="19">
    <w:name w:val="toc 2"/>
    <w:basedOn w:val="1"/>
    <w:next w:val="1"/>
    <w:autoRedefine/>
    <w:qFormat/>
    <w:uiPriority w:val="0"/>
    <w:pPr>
      <w:ind w:left="420" w:leftChars="200"/>
    </w:pPr>
  </w:style>
  <w:style w:type="paragraph" w:styleId="20">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40"/>
    <w:autoRedefine/>
    <w:semiHidden/>
    <w:qFormat/>
    <w:uiPriority w:val="0"/>
    <w:rPr>
      <w:b/>
      <w:sz w:val="24"/>
      <w:szCs w:val="20"/>
    </w:rPr>
  </w:style>
  <w:style w:type="paragraph" w:styleId="22">
    <w:name w:val="Body Text First Indent"/>
    <w:basedOn w:val="8"/>
    <w:autoRedefine/>
    <w:qFormat/>
    <w:uiPriority w:val="0"/>
    <w:pPr>
      <w:spacing w:after="120"/>
      <w:ind w:firstLine="420" w:firstLineChars="100"/>
      <w:jc w:val="both"/>
    </w:pPr>
    <w:rPr>
      <w:sz w:val="21"/>
    </w:rPr>
  </w:style>
  <w:style w:type="paragraph" w:styleId="23">
    <w:name w:val="Body Text First Indent 2"/>
    <w:basedOn w:val="10"/>
    <w:autoRedefine/>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autoRedefine/>
    <w:qFormat/>
    <w:uiPriority w:val="0"/>
    <w:rPr>
      <w:b/>
    </w:rPr>
  </w:style>
  <w:style w:type="character" w:styleId="28">
    <w:name w:val="page number"/>
    <w:autoRedefine/>
    <w:qFormat/>
    <w:uiPriority w:val="0"/>
  </w:style>
  <w:style w:type="character" w:styleId="29">
    <w:name w:val="FollowedHyperlink"/>
    <w:autoRedefine/>
    <w:qFormat/>
    <w:uiPriority w:val="0"/>
    <w:rPr>
      <w:color w:val="954F72"/>
      <w:u w:val="single"/>
    </w:rPr>
  </w:style>
  <w:style w:type="character" w:styleId="30">
    <w:name w:val="Hyperlink"/>
    <w:autoRedefine/>
    <w:unhideWhenUsed/>
    <w:qFormat/>
    <w:uiPriority w:val="99"/>
    <w:rPr>
      <w:color w:val="4D4D4D"/>
      <w:u w:val="none"/>
    </w:rPr>
  </w:style>
  <w:style w:type="character" w:styleId="31">
    <w:name w:val="annotation reference"/>
    <w:autoRedefine/>
    <w:semiHidden/>
    <w:qFormat/>
    <w:uiPriority w:val="0"/>
    <w:rPr>
      <w:sz w:val="21"/>
    </w:rPr>
  </w:style>
  <w:style w:type="character" w:customStyle="1" w:styleId="32">
    <w:name w:val="批注文字 字符"/>
    <w:link w:val="7"/>
    <w:autoRedefine/>
    <w:qFormat/>
    <w:uiPriority w:val="0"/>
    <w:rPr>
      <w:rFonts w:ascii="Times New Roman" w:hAnsi="Times New Roman" w:eastAsia="宋体"/>
      <w:sz w:val="24"/>
    </w:rPr>
  </w:style>
  <w:style w:type="character" w:customStyle="1" w:styleId="33">
    <w:name w:val="正文文本 字符"/>
    <w:link w:val="8"/>
    <w:autoRedefine/>
    <w:qFormat/>
    <w:uiPriority w:val="0"/>
    <w:rPr>
      <w:sz w:val="18"/>
    </w:rPr>
  </w:style>
  <w:style w:type="character" w:customStyle="1" w:styleId="34">
    <w:name w:val="正文文本缩进 字符"/>
    <w:link w:val="10"/>
    <w:autoRedefine/>
    <w:semiHidden/>
    <w:qFormat/>
    <w:uiPriority w:val="0"/>
    <w:rPr>
      <w:rFonts w:ascii="Times New Roman" w:hAnsi="Times New Roman" w:eastAsia="宋体"/>
      <w:sz w:val="24"/>
    </w:rPr>
  </w:style>
  <w:style w:type="character" w:customStyle="1" w:styleId="35">
    <w:name w:val="日期 字符1"/>
    <w:link w:val="12"/>
    <w:autoRedefine/>
    <w:qFormat/>
    <w:uiPriority w:val="0"/>
    <w:rPr>
      <w:rFonts w:ascii="Times New Roman" w:hAnsi="Times New Roman" w:eastAsia="宋体"/>
      <w:sz w:val="24"/>
    </w:rPr>
  </w:style>
  <w:style w:type="character" w:customStyle="1" w:styleId="36">
    <w:name w:val="批注框文本 字符"/>
    <w:link w:val="14"/>
    <w:autoRedefine/>
    <w:semiHidden/>
    <w:qFormat/>
    <w:uiPriority w:val="0"/>
    <w:rPr>
      <w:rFonts w:ascii="Times New Roman" w:hAnsi="Times New Roman" w:eastAsia="宋体"/>
      <w:sz w:val="18"/>
    </w:rPr>
  </w:style>
  <w:style w:type="character" w:customStyle="1" w:styleId="37">
    <w:name w:val="页脚 字符1"/>
    <w:link w:val="15"/>
    <w:autoRedefine/>
    <w:qFormat/>
    <w:uiPriority w:val="99"/>
    <w:rPr>
      <w:sz w:val="18"/>
    </w:rPr>
  </w:style>
  <w:style w:type="character" w:customStyle="1" w:styleId="38">
    <w:name w:val="页眉 Char"/>
    <w:link w:val="16"/>
    <w:autoRedefine/>
    <w:qFormat/>
    <w:uiPriority w:val="0"/>
    <w:rPr>
      <w:sz w:val="18"/>
    </w:rPr>
  </w:style>
  <w:style w:type="character" w:customStyle="1" w:styleId="39">
    <w:name w:val="普通(网站) 字符"/>
    <w:link w:val="20"/>
    <w:autoRedefine/>
    <w:qFormat/>
    <w:uiPriority w:val="0"/>
    <w:rPr>
      <w:rFonts w:ascii="宋体" w:hAnsi="宋体" w:eastAsia="宋体"/>
      <w:sz w:val="24"/>
    </w:rPr>
  </w:style>
  <w:style w:type="character" w:customStyle="1" w:styleId="40">
    <w:name w:val="批注主题 字符"/>
    <w:link w:val="21"/>
    <w:autoRedefine/>
    <w:semiHidden/>
    <w:qFormat/>
    <w:uiPriority w:val="0"/>
    <w:rPr>
      <w:rFonts w:ascii="Times New Roman" w:hAnsi="Times New Roman" w:eastAsia="宋体"/>
      <w:b/>
      <w:kern w:val="2"/>
      <w:sz w:val="24"/>
    </w:rPr>
  </w:style>
  <w:style w:type="character" w:customStyle="1" w:styleId="41">
    <w:name w:val="页眉 字符"/>
    <w:link w:val="16"/>
    <w:autoRedefine/>
    <w:qFormat/>
    <w:uiPriority w:val="0"/>
    <w:rPr>
      <w:rFonts w:hint="eastAsia" w:ascii="Arial Unicode MS" w:hAnsi="Arial Unicode MS" w:eastAsia="Arial Unicode MS" w:cs="Arial Unicode MS"/>
    </w:rPr>
  </w:style>
  <w:style w:type="paragraph" w:customStyle="1" w:styleId="42">
    <w:name w:val="Default"/>
    <w:basedOn w:val="43"/>
    <w:next w:val="44"/>
    <w:autoRedefine/>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43">
    <w:name w:val="纯文本1"/>
    <w:basedOn w:val="1"/>
    <w:autoRedefine/>
    <w:qFormat/>
    <w:uiPriority w:val="99"/>
    <w:rPr>
      <w:rFonts w:ascii="宋体" w:hAnsi="Courier New"/>
      <w:szCs w:val="21"/>
    </w:rPr>
  </w:style>
  <w:style w:type="paragraph" w:customStyle="1" w:styleId="44">
    <w:name w:val="样式35"/>
    <w:basedOn w:val="1"/>
    <w:next w:val="45"/>
    <w:autoRedefine/>
    <w:qFormat/>
    <w:uiPriority w:val="0"/>
    <w:pPr>
      <w:adjustRightInd w:val="0"/>
      <w:spacing w:line="312" w:lineRule="auto"/>
      <w:ind w:firstLine="567" w:firstLineChars="200"/>
    </w:pPr>
    <w:rPr>
      <w:rFonts w:ascii="宋体"/>
      <w:kern w:val="0"/>
      <w:sz w:val="28"/>
      <w:szCs w:val="20"/>
    </w:rPr>
  </w:style>
  <w:style w:type="paragraph" w:customStyle="1" w:styleId="45">
    <w:name w:val="font6"/>
    <w:next w:val="19"/>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46">
    <w:name w:val="批注文字 字符1"/>
    <w:autoRedefine/>
    <w:semiHidden/>
    <w:qFormat/>
    <w:uiPriority w:val="0"/>
    <w:rPr>
      <w:rFonts w:ascii="Times New Roman" w:hAnsi="Times New Roman" w:eastAsia="宋体"/>
      <w:sz w:val="24"/>
    </w:rPr>
  </w:style>
  <w:style w:type="character" w:customStyle="1" w:styleId="47">
    <w:name w:val="日期 字符"/>
    <w:autoRedefine/>
    <w:semiHidden/>
    <w:qFormat/>
    <w:uiPriority w:val="0"/>
    <w:rPr>
      <w:rFonts w:ascii="Times New Roman" w:hAnsi="Times New Roman" w:eastAsia="宋体"/>
      <w:sz w:val="24"/>
    </w:rPr>
  </w:style>
  <w:style w:type="character" w:customStyle="1" w:styleId="48">
    <w:name w:val="表格 Char"/>
    <w:link w:val="49"/>
    <w:autoRedefine/>
    <w:qFormat/>
    <w:uiPriority w:val="0"/>
    <w:rPr>
      <w:rFonts w:ascii="宋体"/>
      <w:sz w:val="21"/>
    </w:rPr>
  </w:style>
  <w:style w:type="paragraph" w:customStyle="1" w:styleId="49">
    <w:name w:val="表格"/>
    <w:basedOn w:val="50"/>
    <w:next w:val="1"/>
    <w:link w:val="48"/>
    <w:autoRedefine/>
    <w:qFormat/>
    <w:uiPriority w:val="0"/>
    <w:pPr>
      <w:tabs>
        <w:tab w:val="left" w:pos="940"/>
      </w:tabs>
      <w:adjustRightInd w:val="0"/>
      <w:snapToGrid w:val="0"/>
      <w:spacing w:beforeLines="10" w:afterLines="10" w:line="259" w:lineRule="auto"/>
      <w:jc w:val="center"/>
    </w:pPr>
    <w:rPr>
      <w:rFonts w:ascii="宋体"/>
      <w:kern w:val="0"/>
      <w:szCs w:val="20"/>
    </w:rPr>
  </w:style>
  <w:style w:type="paragraph" w:customStyle="1" w:styleId="50">
    <w:name w:val="表题"/>
    <w:basedOn w:val="1"/>
    <w:autoRedefine/>
    <w:qFormat/>
    <w:uiPriority w:val="0"/>
    <w:pPr>
      <w:tabs>
        <w:tab w:val="left" w:pos="940"/>
      </w:tabs>
      <w:snapToGrid w:val="0"/>
      <w:spacing w:line="240" w:lineRule="auto"/>
      <w:jc w:val="center"/>
    </w:pPr>
    <w:rPr>
      <w:rFonts w:eastAsia="黑体"/>
      <w:sz w:val="21"/>
      <w:szCs w:val="20"/>
    </w:rPr>
  </w:style>
  <w:style w:type="character" w:customStyle="1" w:styleId="51">
    <w:name w:val="正文文本 字符1"/>
    <w:autoRedefine/>
    <w:semiHidden/>
    <w:qFormat/>
    <w:uiPriority w:val="0"/>
    <w:rPr>
      <w:rFonts w:ascii="Times New Roman" w:hAnsi="Times New Roman" w:eastAsia="宋体"/>
      <w:sz w:val="24"/>
    </w:rPr>
  </w:style>
  <w:style w:type="character" w:customStyle="1" w:styleId="52">
    <w:name w:val="页脚 字符"/>
    <w:autoRedefine/>
    <w:qFormat/>
    <w:uiPriority w:val="99"/>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4">
    <w:name w:val="333"/>
    <w:basedOn w:val="1"/>
    <w:autoRedefine/>
    <w:qFormat/>
    <w:uiPriority w:val="0"/>
    <w:pPr>
      <w:adjustRightInd w:val="0"/>
      <w:spacing w:line="480" w:lineRule="exact"/>
      <w:ind w:firstLine="192" w:firstLineChars="192"/>
      <w:textAlignment w:val="baseline"/>
    </w:pPr>
    <w:rPr>
      <w:rFonts w:ascii="宋体" w:hAnsi="宋体" w:eastAsia="宋体" w:cs="Times New Roman"/>
      <w:kern w:val="0"/>
      <w:sz w:val="28"/>
      <w:szCs w:val="28"/>
    </w:rPr>
  </w:style>
  <w:style w:type="paragraph" w:customStyle="1" w:styleId="55">
    <w:name w:val="表中文字"/>
    <w:basedOn w:val="1"/>
    <w:autoRedefine/>
    <w:qFormat/>
    <w:uiPriority w:val="0"/>
    <w:pPr>
      <w:jc w:val="center"/>
    </w:pPr>
    <w:rPr>
      <w:szCs w:val="21"/>
    </w:rPr>
  </w:style>
  <w:style w:type="paragraph" w:customStyle="1" w:styleId="5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Z正文"/>
    <w:basedOn w:val="1"/>
    <w:autoRedefine/>
    <w:qFormat/>
    <w:uiPriority w:val="0"/>
    <w:pPr>
      <w:snapToGrid w:val="0"/>
      <w:spacing w:line="360" w:lineRule="auto"/>
      <w:ind w:firstLine="560" w:firstLineChars="200"/>
    </w:pPr>
    <w:rPr>
      <w:kern w:val="0"/>
      <w:sz w:val="24"/>
      <w:szCs w:val="20"/>
    </w:rPr>
  </w:style>
  <w:style w:type="paragraph" w:customStyle="1" w:styleId="58">
    <w:name w:val="表格新"/>
    <w:basedOn w:val="49"/>
    <w:autoRedefine/>
    <w:qFormat/>
    <w:uiPriority w:val="0"/>
    <w:pPr>
      <w:topLinePunct w:val="0"/>
      <w:spacing w:line="0" w:lineRule="atLeast"/>
      <w:jc w:val="center"/>
    </w:pPr>
    <w:rPr>
      <w:rFonts w:eastAsia="宋体"/>
      <w:kern w:val="0"/>
      <w:szCs w:val="20"/>
    </w:rPr>
  </w:style>
  <w:style w:type="paragraph" w:customStyle="1" w:styleId="59">
    <w:name w:val="表格内容"/>
    <w:basedOn w:val="6"/>
    <w:autoRedefine/>
    <w:qFormat/>
    <w:uiPriority w:val="0"/>
    <w:pPr>
      <w:spacing w:line="312" w:lineRule="auto"/>
      <w:ind w:firstLine="0"/>
      <w:jc w:val="center"/>
    </w:pPr>
    <w:rPr>
      <w:rFonts w:ascii="Times New Roman"/>
      <w:sz w:val="21"/>
      <w:szCs w:val="20"/>
    </w:rPr>
  </w:style>
  <w:style w:type="paragraph" w:customStyle="1" w:styleId="60">
    <w:name w:val="标准正文"/>
    <w:basedOn w:val="1"/>
    <w:autoRedefine/>
    <w:qFormat/>
    <w:uiPriority w:val="0"/>
    <w:pPr>
      <w:spacing w:line="360" w:lineRule="auto"/>
      <w:ind w:firstLine="200" w:firstLineChars="200"/>
      <w:jc w:val="left"/>
    </w:pPr>
    <w:rPr>
      <w:sz w:val="24"/>
      <w:szCs w:val="22"/>
    </w:rPr>
  </w:style>
  <w:style w:type="paragraph" w:customStyle="1" w:styleId="61">
    <w:name w:val="正文首行缩进1"/>
    <w:basedOn w:val="1"/>
    <w:autoRedefine/>
    <w:qFormat/>
    <w:uiPriority w:val="0"/>
    <w:pPr>
      <w:adjustRightInd w:val="0"/>
      <w:snapToGrid w:val="0"/>
      <w:spacing w:line="360" w:lineRule="auto"/>
      <w:ind w:firstLine="482"/>
      <w:jc w:val="left"/>
    </w:pPr>
    <w:rPr>
      <w:snapToGrid w:val="0"/>
      <w:sz w:val="24"/>
      <w:szCs w:val="24"/>
    </w:rPr>
  </w:style>
  <w:style w:type="paragraph" w:customStyle="1" w:styleId="62">
    <w:name w:val="0正文"/>
    <w:basedOn w:val="10"/>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63">
    <w:name w:val="样式5"/>
    <w:basedOn w:val="6"/>
    <w:autoRedefine/>
    <w:qFormat/>
    <w:uiPriority w:val="0"/>
    <w:pPr>
      <w:adjustRightInd w:val="0"/>
      <w:snapToGrid w:val="0"/>
      <w:spacing w:line="360" w:lineRule="auto"/>
      <w:jc w:val="left"/>
      <w:textAlignment w:val="baseline"/>
    </w:pPr>
    <w:rPr>
      <w:kern w:val="0"/>
      <w:sz w:val="24"/>
    </w:rPr>
  </w:style>
  <w:style w:type="paragraph" w:customStyle="1" w:styleId="64">
    <w:name w:val="样式 正文缩进正文缩进2正文缩进 Char Char正文缩进 Char Char Char Char正文缩进 Char ..."/>
    <w:basedOn w:val="6"/>
    <w:autoRedefine/>
    <w:qFormat/>
    <w:uiPriority w:val="0"/>
    <w:pPr>
      <w:spacing w:line="360" w:lineRule="auto"/>
      <w:ind w:firstLine="200"/>
    </w:pPr>
    <w:rPr>
      <w:rFonts w:cs="宋体"/>
      <w:sz w:val="24"/>
    </w:rPr>
  </w:style>
  <w:style w:type="paragraph" w:customStyle="1" w:styleId="65">
    <w:name w:val="表头"/>
    <w:basedOn w:val="66"/>
    <w:next w:val="1"/>
    <w:autoRedefine/>
    <w:qFormat/>
    <w:uiPriority w:val="0"/>
    <w:pPr>
      <w:tabs>
        <w:tab w:val="left" w:pos="1080"/>
        <w:tab w:val="left" w:pos="1280"/>
      </w:tabs>
      <w:ind w:firstLine="0" w:firstLineChars="0"/>
      <w:jc w:val="center"/>
    </w:pPr>
    <w:rPr>
      <w:rFonts w:ascii="Times New Roman" w:hAnsi="Times New Roman" w:eastAsia="宋体" w:cs="宋体"/>
      <w:color w:val="000000"/>
      <w:sz w:val="21"/>
      <w:szCs w:val="21"/>
    </w:rPr>
  </w:style>
  <w:style w:type="paragraph" w:customStyle="1" w:styleId="66">
    <w:name w:val="标题4"/>
    <w:basedOn w:val="67"/>
    <w:autoRedefine/>
    <w:qFormat/>
    <w:uiPriority w:val="0"/>
    <w:pPr>
      <w:tabs>
        <w:tab w:val="left" w:pos="1280"/>
      </w:tabs>
      <w:spacing w:line="360" w:lineRule="auto"/>
      <w:jc w:val="left"/>
      <w:textAlignment w:val="baseline"/>
    </w:pPr>
    <w:rPr>
      <w:snapToGrid w:val="0"/>
      <w:kern w:val="0"/>
      <w:szCs w:val="20"/>
    </w:rPr>
  </w:style>
  <w:style w:type="paragraph" w:customStyle="1" w:styleId="67">
    <w:name w:val="标题3"/>
    <w:basedOn w:val="4"/>
    <w:autoRedefine/>
    <w:qFormat/>
    <w:uiPriority w:val="0"/>
    <w:pPr>
      <w:tabs>
        <w:tab w:val="left" w:pos="1280"/>
      </w:tabs>
      <w:ind w:firstLine="3784" w:firstLineChars="1050"/>
    </w:pPr>
    <w:rPr>
      <w:rFonts w:eastAsia="仿宋_GB2312"/>
      <w:sz w:val="36"/>
      <w:szCs w:val="36"/>
    </w:rPr>
  </w:style>
  <w:style w:type="paragraph" w:customStyle="1" w:styleId="68">
    <w:name w:val="一级标题"/>
    <w:autoRedefine/>
    <w:qFormat/>
    <w:uiPriority w:val="0"/>
    <w:pPr>
      <w:adjustRightInd w:val="0"/>
      <w:snapToGrid w:val="0"/>
      <w:spacing w:line="360" w:lineRule="auto"/>
      <w:outlineLvl w:val="0"/>
    </w:pPr>
    <w:rPr>
      <w:rFonts w:ascii="Times New Roman" w:hAnsi="Times New Roman" w:eastAsia="黑体" w:cs="Times New Roman"/>
      <w:snapToGrid w:val="0"/>
      <w:sz w:val="30"/>
      <w:szCs w:val="30"/>
      <w:lang w:val="en-US" w:eastAsia="zh-CN" w:bidi="ar-SA"/>
    </w:rPr>
  </w:style>
  <w:style w:type="paragraph" w:customStyle="1" w:styleId="69">
    <w:name w:val="表格正文"/>
    <w:basedOn w:val="70"/>
    <w:next w:val="1"/>
    <w:autoRedefine/>
    <w:qFormat/>
    <w:uiPriority w:val="0"/>
    <w:pPr>
      <w:topLinePunct/>
      <w:snapToGrid w:val="0"/>
      <w:spacing w:line="240" w:lineRule="auto"/>
    </w:pPr>
    <w:rPr>
      <w:color w:val="000000"/>
      <w:sz w:val="21"/>
    </w:rPr>
  </w:style>
  <w:style w:type="paragraph" w:customStyle="1" w:styleId="70">
    <w:name w:val="表格标题"/>
    <w:basedOn w:val="1"/>
    <w:autoRedefine/>
    <w:qFormat/>
    <w:uiPriority w:val="0"/>
    <w:pPr>
      <w:ind w:firstLine="0" w:firstLineChars="0"/>
      <w:jc w:val="center"/>
    </w:pPr>
    <w:rPr>
      <w:rFonts w:hAnsi="宋体"/>
      <w:b/>
    </w:rPr>
  </w:style>
  <w:style w:type="paragraph" w:customStyle="1" w:styleId="71">
    <w:name w:val="目录1"/>
    <w:basedOn w:val="1"/>
    <w:autoRedefine/>
    <w:qFormat/>
    <w:uiPriority w:val="0"/>
    <w:pPr>
      <w:adjustRightInd w:val="0"/>
      <w:snapToGrid w:val="0"/>
      <w:jc w:val="center"/>
    </w:pPr>
    <w:rPr>
      <w:rFonts w:eastAsia="黑体"/>
      <w:color w:val="000000"/>
      <w:sz w:val="36"/>
      <w:szCs w:val="36"/>
    </w:rPr>
  </w:style>
  <w:style w:type="paragraph" w:customStyle="1" w:styleId="72">
    <w:name w:val="图表标题"/>
    <w:basedOn w:val="73"/>
    <w:next w:val="1"/>
    <w:autoRedefine/>
    <w:qFormat/>
    <w:uiPriority w:val="0"/>
    <w:pPr>
      <w:tabs>
        <w:tab w:val="left" w:pos="1080"/>
        <w:tab w:val="left" w:pos="1280"/>
      </w:tabs>
      <w:spacing w:before="60" w:beforeLines="60" w:after="60" w:afterLines="60"/>
    </w:pPr>
    <w:rPr>
      <w:rFonts w:cs="宋体"/>
    </w:rPr>
  </w:style>
  <w:style w:type="paragraph" w:customStyle="1" w:styleId="73">
    <w:name w:val="表内文字"/>
    <w:basedOn w:val="65"/>
    <w:next w:val="1"/>
    <w:autoRedefine/>
    <w:qFormat/>
    <w:uiPriority w:val="99"/>
    <w:pPr>
      <w:wordWrap w:val="0"/>
      <w:snapToGrid w:val="0"/>
    </w:pPr>
    <w:rPr>
      <w:szCs w:val="21"/>
    </w:rPr>
  </w:style>
  <w:style w:type="paragraph" w:customStyle="1" w:styleId="74">
    <w:name w:val="表格文字   5号"/>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75">
    <w:name w:val="Table Paragraph"/>
    <w:basedOn w:val="1"/>
    <w:autoRedefine/>
    <w:qFormat/>
    <w:uiPriority w:val="1"/>
  </w:style>
  <w:style w:type="paragraph" w:customStyle="1" w:styleId="76">
    <w:name w:val="Normal Indent1"/>
    <w:basedOn w:val="1"/>
    <w:autoRedefine/>
    <w:qFormat/>
    <w:uiPriority w:val="0"/>
    <w:pPr>
      <w:ind w:firstLine="420" w:firstLineChars="200"/>
    </w:pPr>
    <w:rPr>
      <w:rFonts w:eastAsia="宋体"/>
      <w:kern w:val="2"/>
      <w:sz w:val="21"/>
      <w:szCs w:val="24"/>
      <w:lang w:val="en-US" w:eastAsia="zh-CN" w:bidi="ar-SA"/>
    </w:rPr>
  </w:style>
  <w:style w:type="paragraph" w:customStyle="1" w:styleId="77">
    <w:name w:val="表中字"/>
    <w:autoRedefine/>
    <w:qFormat/>
    <w:uiPriority w:val="0"/>
    <w:pPr>
      <w:wordWrap w:val="0"/>
      <w:jc w:val="center"/>
    </w:pPr>
    <w:rPr>
      <w:rFonts w:ascii="Times New Roman" w:hAnsi="Times New Roman" w:eastAsia="宋体" w:cs="Times New Roman"/>
      <w:kern w:val="2"/>
      <w:sz w:val="21"/>
      <w:szCs w:val="24"/>
      <w:lang w:val="en-US" w:eastAsia="zh-CN" w:bidi="ar-SA"/>
    </w:rPr>
  </w:style>
  <w:style w:type="paragraph" w:customStyle="1" w:styleId="78">
    <w:name w:val="图表格式"/>
    <w:basedOn w:val="1"/>
    <w:autoRedefine/>
    <w:qFormat/>
    <w:uiPriority w:val="0"/>
    <w:pPr>
      <w:wordWrap w:val="0"/>
      <w:snapToGrid w:val="0"/>
      <w:spacing w:line="240" w:lineRule="auto"/>
      <w:ind w:firstLine="0" w:firstLineChars="0"/>
      <w:jc w:val="center"/>
    </w:pPr>
    <w:rPr>
      <w:bCs/>
      <w:sz w:val="21"/>
      <w:szCs w:val="22"/>
    </w:rPr>
  </w:style>
  <w:style w:type="paragraph" w:customStyle="1" w:styleId="79">
    <w:name w:val="丽~表头"/>
    <w:basedOn w:val="1"/>
    <w:autoRedefine/>
    <w:qFormat/>
    <w:uiPriority w:val="0"/>
    <w:pPr>
      <w:widowControl/>
      <w:wordWrap/>
      <w:spacing w:before="120" w:after="120" w:line="240" w:lineRule="auto"/>
      <w:ind w:firstLine="0" w:firstLineChars="0"/>
      <w:jc w:val="center"/>
    </w:pPr>
    <w:rPr>
      <w:rFonts w:cs="Times New Roman"/>
      <w:b/>
      <w:bCs/>
      <w:sz w:val="21"/>
      <w:szCs w:val="21"/>
    </w:rPr>
  </w:style>
  <w:style w:type="paragraph" w:customStyle="1" w:styleId="80">
    <w:name w:val="丽~表格"/>
    <w:basedOn w:val="1"/>
    <w:autoRedefine/>
    <w:qFormat/>
    <w:uiPriority w:val="0"/>
    <w:pPr>
      <w:wordWrap/>
      <w:spacing w:line="240" w:lineRule="auto"/>
      <w:ind w:firstLine="0" w:firstLineChars="0"/>
      <w:jc w:val="center"/>
    </w:pPr>
    <w:rPr>
      <w:rFonts w:cs="Times New Roman"/>
      <w:sz w:val="21"/>
      <w:szCs w:val="21"/>
    </w:rPr>
  </w:style>
  <w:style w:type="paragraph" w:customStyle="1" w:styleId="81">
    <w:name w:val="文本"/>
    <w:basedOn w:val="1"/>
    <w:autoRedefine/>
    <w:qFormat/>
    <w:uiPriority w:val="0"/>
    <w:pPr>
      <w:wordWrap/>
      <w:ind w:firstLine="422"/>
    </w:pPr>
  </w:style>
  <w:style w:type="paragraph" w:customStyle="1" w:styleId="82">
    <w:name w:val="标题2"/>
    <w:basedOn w:val="83"/>
    <w:autoRedefine/>
    <w:qFormat/>
    <w:uiPriority w:val="0"/>
    <w:pPr>
      <w:ind w:firstLine="0" w:firstLineChars="0"/>
      <w:jc w:val="both"/>
      <w:outlineLvl w:val="1"/>
    </w:pPr>
    <w:rPr>
      <w:sz w:val="32"/>
    </w:rPr>
  </w:style>
  <w:style w:type="paragraph" w:customStyle="1" w:styleId="83">
    <w:name w:val="标题1"/>
    <w:basedOn w:val="1"/>
    <w:autoRedefine/>
    <w:qFormat/>
    <w:uiPriority w:val="0"/>
    <w:pPr>
      <w:spacing w:before="80" w:beforeLines="80" w:beforeAutospacing="0" w:after="80" w:afterLines="80" w:afterAutospacing="0" w:line="240" w:lineRule="auto"/>
      <w:jc w:val="left"/>
      <w:outlineLvl w:val="0"/>
    </w:pPr>
    <w:rPr>
      <w:rFonts w:ascii="Times New Roman" w:hAnsi="Times New Roman" w:eastAsia="宋体"/>
      <w:b/>
      <w:snapToGrid w:val="0"/>
      <w:sz w:val="36"/>
      <w:szCs w:val="30"/>
    </w:rPr>
  </w:style>
  <w:style w:type="character" w:customStyle="1" w:styleId="84">
    <w:name w:val="font31"/>
    <w:autoRedefine/>
    <w:qFormat/>
    <w:uiPriority w:val="0"/>
    <w:rPr>
      <w:rFonts w:hint="default" w:ascii="Times New Roman" w:hAnsi="Times New Roman" w:cs="Times New Roman"/>
      <w:color w:val="000000"/>
      <w:sz w:val="18"/>
      <w:szCs w:val="18"/>
      <w:u w:val="none"/>
    </w:rPr>
  </w:style>
  <w:style w:type="character" w:customStyle="1" w:styleId="85">
    <w:name w:val="font11"/>
    <w:autoRedefine/>
    <w:qFormat/>
    <w:uiPriority w:val="0"/>
    <w:rPr>
      <w:rFonts w:hint="eastAsia" w:ascii="宋体" w:hAnsi="宋体" w:eastAsia="宋体" w:cs="宋体"/>
      <w:color w:val="000000"/>
      <w:sz w:val="18"/>
      <w:szCs w:val="18"/>
      <w:u w:val="none"/>
    </w:rPr>
  </w:style>
  <w:style w:type="character" w:customStyle="1" w:styleId="86">
    <w:name w:val="font21"/>
    <w:autoRedefine/>
    <w:qFormat/>
    <w:uiPriority w:val="0"/>
    <w:rPr>
      <w:rFonts w:hint="eastAsia" w:ascii="宋体" w:hAnsi="宋体" w:eastAsia="宋体" w:cs="宋体"/>
      <w:color w:val="000000"/>
      <w:sz w:val="18"/>
      <w:szCs w:val="18"/>
      <w:u w:val="none"/>
    </w:rPr>
  </w:style>
  <w:style w:type="character" w:customStyle="1" w:styleId="87">
    <w:name w:val="font41"/>
    <w:autoRedefine/>
    <w:qFormat/>
    <w:uiPriority w:val="0"/>
    <w:rPr>
      <w:rFonts w:hint="default" w:ascii="Times New Roman" w:hAnsi="Times New Roman" w:cs="Times New Roman"/>
      <w:color w:val="000000"/>
      <w:sz w:val="18"/>
      <w:szCs w:val="18"/>
      <w:u w:val="none"/>
    </w:rPr>
  </w:style>
  <w:style w:type="paragraph" w:customStyle="1" w:styleId="88">
    <w:name w:val="表标题"/>
    <w:basedOn w:val="5"/>
    <w:autoRedefine/>
    <w:qFormat/>
    <w:uiPriority w:val="0"/>
    <w:pPr>
      <w:tabs>
        <w:tab w:val="left" w:pos="2976"/>
      </w:tabs>
      <w:spacing w:before="0" w:after="0" w:line="360" w:lineRule="auto"/>
      <w:jc w:val="center"/>
      <w:outlineLvl w:val="4"/>
    </w:pPr>
    <w:rPr>
      <w:rFonts w:ascii="Times New Roman" w:hAnsi="Times New Roman" w:eastAsia="宋体"/>
      <w:sz w:val="21"/>
      <w:szCs w:val="20"/>
    </w:rPr>
  </w:style>
  <w:style w:type="paragraph" w:customStyle="1" w:styleId="89">
    <w:name w:val="表格格式"/>
    <w:next w:val="1"/>
    <w:autoRedefine/>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90">
    <w:name w:val="列出段落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wmf"/><Relationship Id="rId33" Type="http://schemas.openxmlformats.org/officeDocument/2006/relationships/image" Target="media/image15.wmf"/><Relationship Id="rId32" Type="http://schemas.openxmlformats.org/officeDocument/2006/relationships/image" Target="media/image14.wmf"/><Relationship Id="rId31" Type="http://schemas.openxmlformats.org/officeDocument/2006/relationships/image" Target="media/image13.png"/><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2.bin"/><Relationship Id="rId21" Type="http://schemas.openxmlformats.org/officeDocument/2006/relationships/image" Target="media/image5.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g1NDczOTQxOTI5IiwKCSJHcm91cElkIiA6ICIyMTA3NzMzNDAiLAoJIkltYWdlIiA6ICJpVkJPUncwS0dnb0FBQUFOU1VoRVVnQUFCQ2tBQUFTR0NBWUFBQUFFdlBSY0FBQUFBWE5TUjBJQXJzNGM2UUFBSUFCSlJFRlVlSnpzM1h0OFhIV1pQL0RQOHowem1VbDZUNXRTUzRGYUFtMURNNWx6QW5LL3F5dElFUVRFNVNyZ2lpc3E2eUxnWmJrcEtQeEFYVVJjWWNVTGk0TEtSVVRaQ3VxQ2dLSTQ1OHdrYldpeGxBQ2hGa3FiTm1sem4vUDgvc2hNT0puT0pKTTA3U1RONS8xNjVjVjhMK2Q3bmlsTm12UE05d0l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k2dkgrUDFsUWJCV1RIWXIvQUFBQUFFbEZUa1N1UW1DQyIsCgkiVGhlbWUiIDogIiIsCgkiVHlwZSIgOiAiZmxvdyIsCgkiVmVyc2lvbiIgOiAiMzIiCn0K"/>
    </extobj>
    <extobj name="ECB019B1-382A-4266-B25C-5B523AA43C14-2">
      <extobjdata type="ECB019B1-382A-4266-B25C-5B523AA43C14" data="ewoJIkZpbGVJZCIgOiAiMjg1NDczOTQxOTI5IiwKCSJHcm91cElkIiA6ICIyMTA3NzMzNDAiLAoJIkltYWdlIiA6ICJpVkJPUncwS0dnb0FBQUFOU1VoRVVnQUFCQ2tBQUFTR0NBWUFBQUFFdlBSY0FBQUFBWE5TUjBJQXJzNGM2UUFBSUFCSlJFRlVlSnpzM1h0OFhIV1pQL0RQOHowem1VbDZUNXRTUzRGYUFtMURNNWx6QW5LL3F5dElFUVRFNVNyZ2lpc3E2eUxnWmJrcEtQeEFYVVJjWWNVTGk0TEtSVVRaQ3VxQ2dLSTQ1OHdrYldpeGxBQ2hGa3FiTm1sem4vUDgvc2hNT0puT0pKTTA3U1RONS8xNjVjVjhMK2Q3bmlsTm12UE05d0l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k2dkgrUDFsUWJCV1RIWXIvQUFBQUFFbEZUa1N1UW1DQyIsCgkiVGhlbWUiIDogIiIsCgkiVHlwZSIgOiAiZmxvdyIsCgkiVmVyc2lvbiIgOiAiMz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41597</Words>
  <Characters>47136</Characters>
  <Lines>345</Lines>
  <Paragraphs>97</Paragraphs>
  <TotalTime>3</TotalTime>
  <ScaleCrop>false</ScaleCrop>
  <LinksUpToDate>false</LinksUpToDate>
  <CharactersWithSpaces>47973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2024-03-27T01:28:00Z</dcterms:created>
  <dc:creator>lhj</dc:creator>
  <cp:lastModifiedBy>茶</cp:lastModifiedBy>
  <cp:lastPrinted>2024-04-12T09:42:00Z</cp:lastPrinted>
  <dcterms:modified xsi:type="dcterms:W3CDTF">2024-04-19T01:07:18Z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C8A53F8BD3E346CCAD7D5826DC3DDF8E_13</vt:lpwstr>
  </property>
  <property fmtid="{D5CDD505-2E9C-101B-9397-08002B2CF9AE}" pid="4" name="KSOSaveFontToCloudKey">
    <vt:lpwstr>986201086_cloud</vt:lpwstr>
  </property>
</Properties>
</file>