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1"/>
        <w:rPr>
          <w:rFonts w:ascii="Times New Roman" w:hAnsi="Times New Roman" w:eastAsia="仿宋_GB2312" w:cs="Times New Roman"/>
          <w:sz w:val="36"/>
          <w:szCs w:val="36"/>
        </w:rPr>
      </w:pPr>
    </w:p>
    <w:p>
      <w:pPr>
        <w:pStyle w:val="51"/>
        <w:ind w:left="0" w:leftChars="0" w:firstLine="0" w:firstLineChars="0"/>
        <w:rPr>
          <w:rFonts w:ascii="Times New Roman" w:hAnsi="Times New Roman" w:eastAsia="仿宋_GB2312" w:cs="Times New Roman"/>
          <w:sz w:val="36"/>
          <w:szCs w:val="36"/>
        </w:rPr>
      </w:pPr>
    </w:p>
    <w:p>
      <w:pPr>
        <w:adjustRightInd w:val="0"/>
        <w:snapToGrid w:val="0"/>
        <w:jc w:val="center"/>
        <w:outlineLvl w:val="0"/>
        <w:rPr>
          <w:rFonts w:hint="eastAsia" w:ascii="方正小标宋_GBK" w:eastAsia="方正小标宋_GBK"/>
          <w:bCs/>
          <w:sz w:val="72"/>
          <w:szCs w:val="72"/>
        </w:rPr>
      </w:pPr>
      <w:bookmarkStart w:id="0" w:name="_Toc21200"/>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rPr>
          <w:color w:val="000000"/>
        </w:rPr>
      </w:pPr>
    </w:p>
    <w:p>
      <w:pPr>
        <w:jc w:val="center"/>
        <w:rPr>
          <w:rFonts w:eastAsia="仿宋"/>
          <w:color w:val="000000"/>
          <w:sz w:val="52"/>
          <w:szCs w:val="52"/>
        </w:rPr>
      </w:pPr>
    </w:p>
    <w:p>
      <w:pPr>
        <w:ind w:firstLine="1040"/>
        <w:jc w:val="both"/>
        <w:rPr>
          <w:rFonts w:eastAsia="仿宋"/>
          <w:color w:val="000000"/>
          <w:sz w:val="44"/>
          <w:szCs w:val="44"/>
        </w:rPr>
      </w:pPr>
    </w:p>
    <w:p/>
    <w:p/>
    <w:p/>
    <w:p/>
    <w:p>
      <w:pPr>
        <w:spacing w:line="288" w:lineRule="auto"/>
        <w:ind w:firstLine="1040"/>
        <w:jc w:val="both"/>
        <w:rPr>
          <w:rFonts w:eastAsia="仿宋"/>
          <w:color w:val="000000"/>
          <w:sz w:val="44"/>
          <w:szCs w:val="44"/>
        </w:rPr>
      </w:pPr>
    </w:p>
    <w:p>
      <w:pPr>
        <w:pStyle w:val="13"/>
      </w:pPr>
    </w:p>
    <w:p>
      <w:pPr>
        <w:pStyle w:val="13"/>
        <w:rPr>
          <w:rFonts w:eastAsia="仿宋"/>
          <w:color w:val="000000"/>
          <w:sz w:val="44"/>
          <w:szCs w:val="44"/>
        </w:rPr>
      </w:pPr>
    </w:p>
    <w:p>
      <w:pPr>
        <w:keepNext w:val="0"/>
        <w:keepLines w:val="0"/>
        <w:pageBreakBefore w:val="0"/>
        <w:widowControl w:val="0"/>
        <w:kinsoku/>
        <w:wordWrap/>
        <w:overflowPunct/>
        <w:topLinePunct w:val="0"/>
        <w:autoSpaceDE/>
        <w:autoSpaceDN/>
        <w:bidi w:val="0"/>
        <w:spacing w:line="360" w:lineRule="auto"/>
        <w:jc w:val="both"/>
        <w:textAlignment w:val="auto"/>
        <w:rPr>
          <w:rFonts w:hint="default" w:eastAsia="仿宋_GB2312"/>
          <w:color w:val="000000"/>
          <w:sz w:val="36"/>
          <w:szCs w:val="36"/>
          <w:u w:val="single"/>
          <w:lang w:val="en-US"/>
        </w:rPr>
      </w:pPr>
      <w:r>
        <w:rPr>
          <w:rFonts w:eastAsia="仿宋_GB2312"/>
          <w:color w:val="000000"/>
          <w:sz w:val="36"/>
          <w:szCs w:val="36"/>
        </w:rPr>
        <w:t>项目名称：</w:t>
      </w:r>
      <w:r>
        <w:rPr>
          <w:rFonts w:hint="eastAsia" w:eastAsia="仿宋_GB2312"/>
          <w:color w:val="000000"/>
          <w:sz w:val="36"/>
          <w:szCs w:val="36"/>
          <w:u w:val="single"/>
          <w:lang w:val="en-US" w:eastAsia="zh-CN"/>
        </w:rPr>
        <w:t xml:space="preserve">    </w:t>
      </w:r>
      <w:r>
        <w:rPr>
          <w:rFonts w:hint="eastAsia" w:ascii="仿宋_GB2312" w:eastAsia="仿宋_GB2312"/>
          <w:color w:val="auto"/>
          <w:sz w:val="36"/>
          <w:szCs w:val="36"/>
          <w:u w:val="single"/>
          <w:lang w:val="en-US" w:eastAsia="zh-CN"/>
        </w:rPr>
        <w:t xml:space="preserve">花垣县人民医院精神科项目   </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eastAsia="仿宋_GB2312"/>
          <w:color w:val="000000"/>
          <w:sz w:val="36"/>
          <w:szCs w:val="36"/>
          <w:u w:val="single"/>
          <w:lang w:val="en-US" w:eastAsia="zh-CN"/>
        </w:rPr>
      </w:pPr>
      <w:r>
        <w:rPr>
          <w:rFonts w:eastAsia="仿宋_GB2312"/>
          <w:color w:val="000000"/>
          <w:sz w:val="36"/>
          <w:szCs w:val="36"/>
        </w:rPr>
        <w:t>建设单位（盖章）：</w:t>
      </w:r>
      <w:r>
        <w:rPr>
          <w:rFonts w:hint="eastAsia" w:eastAsia="仿宋_GB2312"/>
          <w:color w:val="000000"/>
          <w:sz w:val="36"/>
          <w:szCs w:val="36"/>
          <w:u w:val="single"/>
          <w:lang w:val="en-US" w:eastAsia="zh-CN"/>
        </w:rPr>
        <w:t xml:space="preserve">  </w:t>
      </w:r>
      <w:r>
        <w:rPr>
          <w:rFonts w:hint="eastAsia" w:ascii="仿宋_GB2312" w:eastAsia="仿宋_GB2312"/>
          <w:color w:val="auto"/>
          <w:sz w:val="36"/>
          <w:szCs w:val="36"/>
          <w:u w:val="single"/>
          <w:lang w:val="en-US" w:eastAsia="zh-CN"/>
        </w:rPr>
        <w:t>花垣县人民医院</w:t>
      </w:r>
      <w:r>
        <w:rPr>
          <w:rFonts w:hint="eastAsia" w:eastAsia="仿宋_GB2312"/>
          <w:color w:val="000000"/>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eastAsia="仿宋_GB2312"/>
          <w:color w:val="000000"/>
          <w:sz w:val="36"/>
          <w:szCs w:val="36"/>
        </w:rPr>
      </w:pPr>
      <w:r>
        <w:rPr>
          <w:rFonts w:eastAsia="仿宋_GB2312"/>
          <w:color w:val="000000"/>
          <w:sz w:val="36"/>
          <w:szCs w:val="36"/>
        </w:rPr>
        <w:t>编制日期：</w:t>
      </w:r>
      <w:r>
        <w:rPr>
          <w:rFonts w:eastAsia="仿宋_GB2312"/>
          <w:color w:val="000000"/>
          <w:sz w:val="36"/>
          <w:szCs w:val="36"/>
          <w:u w:val="single"/>
        </w:rPr>
        <w:t xml:space="preserve">  </w:t>
      </w:r>
      <w:r>
        <w:rPr>
          <w:rFonts w:hint="eastAsia" w:eastAsia="仿宋_GB2312"/>
          <w:color w:val="000000"/>
          <w:sz w:val="36"/>
          <w:szCs w:val="36"/>
          <w:u w:val="single"/>
        </w:rPr>
        <w:t xml:space="preserve">      </w:t>
      </w:r>
      <w:r>
        <w:rPr>
          <w:rFonts w:hint="eastAsia" w:eastAsia="仿宋_GB2312"/>
          <w:color w:val="000000"/>
          <w:sz w:val="36"/>
          <w:szCs w:val="36"/>
          <w:u w:val="single"/>
          <w:lang w:val="en-US" w:eastAsia="zh-CN"/>
        </w:rPr>
        <w:t xml:space="preserve">  </w:t>
      </w:r>
      <w:r>
        <w:rPr>
          <w:rFonts w:hint="default" w:ascii="Times New Roman" w:hAnsi="Times New Roman" w:eastAsia="仿宋_GB2312" w:cs="Times New Roman"/>
          <w:color w:val="auto"/>
          <w:sz w:val="36"/>
          <w:szCs w:val="36"/>
          <w:u w:val="single"/>
          <w:lang w:val="en-US" w:eastAsia="zh-CN"/>
        </w:rPr>
        <w:t>202</w:t>
      </w:r>
      <w:r>
        <w:rPr>
          <w:rFonts w:hint="eastAsia" w:ascii="Times New Roman" w:hAnsi="Times New Roman" w:eastAsia="仿宋_GB2312" w:cs="Times New Roman"/>
          <w:color w:val="auto"/>
          <w:sz w:val="36"/>
          <w:szCs w:val="36"/>
          <w:u w:val="single"/>
          <w:lang w:val="en-US" w:eastAsia="zh-CN"/>
        </w:rPr>
        <w:t>4</w:t>
      </w:r>
      <w:r>
        <w:rPr>
          <w:rFonts w:hint="default" w:ascii="Times New Roman" w:hAnsi="Times New Roman" w:eastAsia="仿宋_GB2312" w:cs="Times New Roman"/>
          <w:color w:val="auto"/>
          <w:sz w:val="36"/>
          <w:szCs w:val="36"/>
          <w:u w:val="single"/>
          <w:lang w:val="en-US" w:eastAsia="zh-CN"/>
        </w:rPr>
        <w:t>年</w:t>
      </w:r>
      <w:r>
        <w:rPr>
          <w:rFonts w:hint="eastAsia" w:eastAsia="仿宋_GB2312" w:cs="Times New Roman"/>
          <w:color w:val="auto"/>
          <w:sz w:val="36"/>
          <w:szCs w:val="36"/>
          <w:u w:val="single"/>
          <w:lang w:val="en-US" w:eastAsia="zh-CN"/>
        </w:rPr>
        <w:t>5</w:t>
      </w:r>
      <w:r>
        <w:rPr>
          <w:rFonts w:hint="default" w:ascii="Times New Roman" w:hAnsi="Times New Roman" w:eastAsia="仿宋_GB2312" w:cs="Times New Roman"/>
          <w:color w:val="auto"/>
          <w:sz w:val="36"/>
          <w:szCs w:val="36"/>
          <w:u w:val="single"/>
          <w:lang w:val="en-US" w:eastAsia="zh-CN"/>
        </w:rPr>
        <w:t>月</w:t>
      </w:r>
      <w:r>
        <w:rPr>
          <w:rFonts w:eastAsia="仿宋_GB2312"/>
          <w:color w:val="000000"/>
          <w:sz w:val="36"/>
          <w:szCs w:val="36"/>
          <w:u w:val="single"/>
        </w:rPr>
        <w:t xml:space="preserve">       </w:t>
      </w:r>
      <w:r>
        <w:rPr>
          <w:rFonts w:hint="eastAsia" w:eastAsia="仿宋_GB2312"/>
          <w:color w:val="000000"/>
          <w:sz w:val="36"/>
          <w:szCs w:val="36"/>
          <w:u w:val="single"/>
          <w:lang w:val="en-US" w:eastAsia="zh-CN"/>
        </w:rPr>
        <w:t xml:space="preserve">  </w:t>
      </w:r>
      <w:r>
        <w:rPr>
          <w:rFonts w:eastAsia="仿宋_GB2312"/>
          <w:color w:val="000000"/>
          <w:sz w:val="36"/>
          <w:szCs w:val="36"/>
          <w:u w:val="single"/>
        </w:rPr>
        <w:t xml:space="preserve"> </w:t>
      </w:r>
      <w:r>
        <w:rPr>
          <w:rFonts w:hint="eastAsia" w:eastAsia="仿宋_GB2312"/>
          <w:color w:val="000000"/>
          <w:sz w:val="36"/>
          <w:szCs w:val="36"/>
          <w:u w:val="single"/>
          <w:lang w:val="en-US" w:eastAsia="zh-CN"/>
        </w:rPr>
        <w:t xml:space="preserve">    </w:t>
      </w:r>
      <w:r>
        <w:rPr>
          <w:rFonts w:eastAsia="仿宋_GB2312"/>
          <w:color w:val="000000"/>
          <w:sz w:val="36"/>
          <w:szCs w:val="36"/>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both"/>
        <w:textAlignment w:val="auto"/>
        <w:rPr>
          <w:rFonts w:eastAsia="仿宋_GB2312"/>
          <w:color w:val="000000"/>
          <w:sz w:val="36"/>
          <w:szCs w:val="36"/>
        </w:rPr>
      </w:pPr>
      <w:bookmarkStart w:id="1" w:name="_Hlk57884087"/>
    </w:p>
    <w:p>
      <w:pPr>
        <w:adjustRightInd w:val="0"/>
        <w:snapToGrid w:val="0"/>
        <w:spacing w:line="288" w:lineRule="auto"/>
        <w:ind w:firstLine="1040"/>
        <w:jc w:val="both"/>
        <w:rPr>
          <w:rFonts w:eastAsia="仿宋_GB2312"/>
          <w:color w:val="000000"/>
          <w:sz w:val="36"/>
          <w:szCs w:val="36"/>
        </w:rPr>
      </w:pPr>
    </w:p>
    <w:p>
      <w:pPr>
        <w:adjustRightInd w:val="0"/>
        <w:snapToGrid w:val="0"/>
        <w:spacing w:line="288" w:lineRule="auto"/>
        <w:jc w:val="both"/>
        <w:rPr>
          <w:rFonts w:eastAsia="仿宋_GB2312"/>
          <w:color w:val="000000"/>
          <w:sz w:val="36"/>
          <w:szCs w:val="36"/>
        </w:rPr>
      </w:pPr>
    </w:p>
    <w:bookmarkEnd w:id="1"/>
    <w:p>
      <w:pPr>
        <w:adjustRightInd w:val="0"/>
        <w:snapToGrid w:val="0"/>
        <w:spacing w:line="288" w:lineRule="auto"/>
        <w:jc w:val="center"/>
        <w:rPr>
          <w:rFonts w:eastAsia="楷体_GB2312"/>
          <w:color w:val="000000"/>
          <w:sz w:val="36"/>
          <w:szCs w:val="36"/>
        </w:rPr>
      </w:pPr>
      <w:r>
        <w:rPr>
          <w:rFonts w:eastAsia="楷体_GB2312"/>
          <w:color w:val="000000"/>
          <w:sz w:val="36"/>
          <w:szCs w:val="36"/>
        </w:rPr>
        <w:t>中华人民共和国生态环境部制</w:t>
      </w:r>
    </w:p>
    <w:p>
      <w:pPr>
        <w:pStyle w:val="51"/>
        <w:rPr>
          <w:rFonts w:hint="eastAsia" w:ascii="Times New Roman" w:hAnsi="Times New Roman" w:eastAsia="仿宋_GB2312" w:cs="Times New Roman"/>
          <w:sz w:val="36"/>
          <w:szCs w:val="36"/>
          <w:lang w:eastAsia="zh-CN"/>
        </w:rPr>
      </w:pPr>
    </w:p>
    <w:p>
      <w:pPr>
        <w:rPr>
          <w:rFonts w:hint="eastAsia" w:eastAsia="仿宋_GB2312"/>
          <w:color w:val="000000"/>
          <w:sz w:val="36"/>
          <w:szCs w:val="36"/>
          <w:lang w:eastAsia="zh-CN"/>
        </w:rPr>
        <w:sectPr>
          <w:pgSz w:w="11906" w:h="16838"/>
          <w:pgMar w:top="1440" w:right="1803" w:bottom="1440" w:left="1803"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inline distT="0" distB="0" distL="114300" distR="114300">
            <wp:extent cx="5264785" cy="7339965"/>
            <wp:effectExtent l="0" t="0" r="12065" b="13335"/>
            <wp:docPr id="49" name="图片 8" descr="6a1ce7f47c31156815fd6a7a4364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descr="6a1ce7f47c31156815fd6a7a43645ae"/>
                    <pic:cNvPicPr>
                      <a:picLocks noChangeAspect="1"/>
                    </pic:cNvPicPr>
                  </pic:nvPicPr>
                  <pic:blipFill>
                    <a:blip r:embed="rId9"/>
                    <a:stretch>
                      <a:fillRect/>
                    </a:stretch>
                  </pic:blipFill>
                  <pic:spPr>
                    <a:xfrm>
                      <a:off x="0" y="0"/>
                      <a:ext cx="5264785" cy="7339965"/>
                    </a:xfrm>
                    <a:prstGeom prst="rect">
                      <a:avLst/>
                    </a:prstGeom>
                    <a:noFill/>
                    <a:ln>
                      <a:noFill/>
                    </a:ln>
                  </pic:spPr>
                </pic:pic>
              </a:graphicData>
            </a:graphic>
          </wp:inline>
        </w:drawing>
      </w:r>
      <w:r>
        <w:rPr>
          <w:rFonts w:hint="eastAsia" w:eastAsia="宋体"/>
          <w:lang w:eastAsia="zh-CN"/>
        </w:rPr>
        <w:drawing>
          <wp:inline distT="0" distB="0" distL="114300" distR="114300">
            <wp:extent cx="5282565" cy="7084060"/>
            <wp:effectExtent l="0" t="0" r="13335" b="2540"/>
            <wp:docPr id="50" name="图片 9" descr="9692f19fd8f57b5189118e2f5eed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descr="9692f19fd8f57b5189118e2f5eed43f"/>
                    <pic:cNvPicPr>
                      <a:picLocks noChangeAspect="1"/>
                    </pic:cNvPicPr>
                  </pic:nvPicPr>
                  <pic:blipFill>
                    <a:blip r:embed="rId10"/>
                    <a:stretch>
                      <a:fillRect/>
                    </a:stretch>
                  </pic:blipFill>
                  <pic:spPr>
                    <a:xfrm>
                      <a:off x="0" y="0"/>
                      <a:ext cx="5282565" cy="7084060"/>
                    </a:xfrm>
                    <a:prstGeom prst="rect">
                      <a:avLst/>
                    </a:prstGeom>
                    <a:noFill/>
                    <a:ln>
                      <a:noFill/>
                    </a:ln>
                  </pic:spPr>
                </pic:pic>
              </a:graphicData>
            </a:graphic>
          </wp:inline>
        </w:drawing>
      </w:r>
      <w:r>
        <w:rPr>
          <w:rFonts w:hint="eastAsia" w:eastAsia="宋体"/>
          <w:lang w:eastAsia="zh-CN"/>
        </w:rPr>
        <w:drawing>
          <wp:inline distT="0" distB="0" distL="114300" distR="114300">
            <wp:extent cx="7483475" cy="5442585"/>
            <wp:effectExtent l="0" t="0" r="5715" b="3175"/>
            <wp:docPr id="51" name="图片 10" descr="4ab289e1704a55583300ec45c24d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4ab289e1704a55583300ec45c24d7a6"/>
                    <pic:cNvPicPr>
                      <a:picLocks noChangeAspect="1"/>
                    </pic:cNvPicPr>
                  </pic:nvPicPr>
                  <pic:blipFill>
                    <a:blip r:embed="rId11"/>
                    <a:stretch>
                      <a:fillRect/>
                    </a:stretch>
                  </pic:blipFill>
                  <pic:spPr>
                    <a:xfrm rot="16200000">
                      <a:off x="0" y="0"/>
                      <a:ext cx="7483475" cy="5442585"/>
                    </a:xfrm>
                    <a:prstGeom prst="rect">
                      <a:avLst/>
                    </a:prstGeom>
                    <a:noFill/>
                    <a:ln>
                      <a:noFill/>
                    </a:ln>
                  </pic:spPr>
                </pic:pic>
              </a:graphicData>
            </a:graphic>
          </wp:inline>
        </w:drawing>
      </w:r>
      <w:r>
        <w:rPr>
          <w:rFonts w:hint="eastAsia" w:eastAsia="宋体"/>
          <w:lang w:eastAsia="zh-CN"/>
        </w:rPr>
        <w:drawing>
          <wp:inline distT="0" distB="0" distL="114300" distR="114300">
            <wp:extent cx="7535545" cy="5334635"/>
            <wp:effectExtent l="0" t="0" r="18415" b="8255"/>
            <wp:docPr id="52" name="图片 11" descr="96222173fd6b3903d05785d7ecb7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descr="96222173fd6b3903d05785d7ecb70da"/>
                    <pic:cNvPicPr>
                      <a:picLocks noChangeAspect="1"/>
                    </pic:cNvPicPr>
                  </pic:nvPicPr>
                  <pic:blipFill>
                    <a:blip r:embed="rId12"/>
                    <a:stretch>
                      <a:fillRect/>
                    </a:stretch>
                  </pic:blipFill>
                  <pic:spPr>
                    <a:xfrm rot="16200000">
                      <a:off x="0" y="0"/>
                      <a:ext cx="7535545" cy="5334635"/>
                    </a:xfrm>
                    <a:prstGeom prst="rect">
                      <a:avLst/>
                    </a:prstGeom>
                    <a:noFill/>
                    <a:ln>
                      <a:noFill/>
                    </a:ln>
                  </pic:spPr>
                </pic:pic>
              </a:graphicData>
            </a:graphic>
          </wp:inline>
        </w:drawing>
      </w:r>
      <w:r>
        <w:rPr>
          <w:rFonts w:hint="eastAsia" w:eastAsia="宋体"/>
          <w:lang w:eastAsia="zh-CN"/>
        </w:rPr>
        <w:drawing>
          <wp:inline distT="0" distB="0" distL="114300" distR="114300">
            <wp:extent cx="8315960" cy="3451860"/>
            <wp:effectExtent l="0" t="0" r="15240" b="8890"/>
            <wp:docPr id="53" name="图片 12" descr="807177a4c208c20a840abfb69ec9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descr="807177a4c208c20a840abfb69ec9efb"/>
                    <pic:cNvPicPr>
                      <a:picLocks noChangeAspect="1"/>
                    </pic:cNvPicPr>
                  </pic:nvPicPr>
                  <pic:blipFill>
                    <a:blip r:embed="rId13"/>
                    <a:stretch>
                      <a:fillRect/>
                    </a:stretch>
                  </pic:blipFill>
                  <pic:spPr>
                    <a:xfrm rot="16200000">
                      <a:off x="0" y="0"/>
                      <a:ext cx="8315960" cy="3451860"/>
                    </a:xfrm>
                    <a:prstGeom prst="rect">
                      <a:avLst/>
                    </a:prstGeom>
                    <a:noFill/>
                    <a:ln>
                      <a:noFill/>
                    </a:ln>
                  </pic:spPr>
                </pic:pic>
              </a:graphicData>
            </a:graphic>
          </wp:inline>
        </w:drawing>
      </w:r>
      <w:r>
        <w:rPr>
          <w:rFonts w:hint="eastAsia" w:eastAsia="宋体"/>
          <w:lang w:eastAsia="zh-CN"/>
        </w:rPr>
        <w:drawing>
          <wp:inline distT="0" distB="0" distL="114300" distR="114300">
            <wp:extent cx="8483600" cy="3770630"/>
            <wp:effectExtent l="0" t="0" r="1270" b="12700"/>
            <wp:docPr id="54" name="图片 13" descr="ef11766d38aff23a39f594dfc5b0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ef11766d38aff23a39f594dfc5b0fb5"/>
                    <pic:cNvPicPr>
                      <a:picLocks noChangeAspect="1"/>
                    </pic:cNvPicPr>
                  </pic:nvPicPr>
                  <pic:blipFill>
                    <a:blip r:embed="rId14"/>
                    <a:stretch>
                      <a:fillRect/>
                    </a:stretch>
                  </pic:blipFill>
                  <pic:spPr>
                    <a:xfrm rot="16200000">
                      <a:off x="0" y="0"/>
                      <a:ext cx="8483600" cy="3770630"/>
                    </a:xfrm>
                    <a:prstGeom prst="rect">
                      <a:avLst/>
                    </a:prstGeom>
                    <a:noFill/>
                    <a:ln>
                      <a:noFill/>
                    </a:ln>
                  </pic:spPr>
                </pic:pic>
              </a:graphicData>
            </a:graphic>
          </wp:inline>
        </w:drawing>
      </w:r>
      <w:r>
        <w:rPr>
          <w:rFonts w:hint="eastAsia" w:eastAsia="宋体"/>
          <w:lang w:eastAsia="zh-CN"/>
        </w:rPr>
        <w:drawing>
          <wp:inline distT="0" distB="0" distL="114300" distR="114300">
            <wp:extent cx="5133975" cy="8964295"/>
            <wp:effectExtent l="0" t="0" r="9525" b="8255"/>
            <wp:docPr id="55" name="图片 14" descr="7c66768eba7da269041111a73a10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descr="7c66768eba7da269041111a73a10a32"/>
                    <pic:cNvPicPr>
                      <a:picLocks noChangeAspect="1"/>
                    </pic:cNvPicPr>
                  </pic:nvPicPr>
                  <pic:blipFill>
                    <a:blip r:embed="rId15"/>
                    <a:srcRect t="10258" b="5135"/>
                    <a:stretch>
                      <a:fillRect/>
                    </a:stretch>
                  </pic:blipFill>
                  <pic:spPr>
                    <a:xfrm>
                      <a:off x="0" y="0"/>
                      <a:ext cx="5133975" cy="8964295"/>
                    </a:xfrm>
                    <a:prstGeom prst="rect">
                      <a:avLst/>
                    </a:prstGeom>
                    <a:noFill/>
                    <a:ln>
                      <a:noFill/>
                    </a:ln>
                  </pic:spPr>
                </pic:pic>
              </a:graphicData>
            </a:graphic>
          </wp:inline>
        </w:drawing>
      </w:r>
    </w:p>
    <w:p>
      <w:pPr>
        <w:pStyle w:val="51"/>
        <w:rPr>
          <w:rFonts w:hint="eastAsia"/>
        </w:rPr>
      </w:pPr>
    </w:p>
    <w:p>
      <w:pPr>
        <w:keepNext w:val="0"/>
        <w:keepLines w:val="0"/>
        <w:pageBreakBefore w:val="0"/>
        <w:kinsoku/>
        <w:wordWrap/>
        <w:overflowPunct/>
        <w:topLinePunct w:val="0"/>
        <w:autoSpaceDE/>
        <w:autoSpaceDN/>
        <w:bidi w:val="0"/>
        <w:spacing w:before="0" w:beforeLines="0" w:after="0" w:afterLines="0" w:line="480" w:lineRule="exact"/>
        <w:ind w:left="0" w:leftChars="0" w:right="0" w:rightChars="0" w:firstLine="0" w:firstLineChars="0"/>
        <w:jc w:val="center"/>
        <w:textAlignment w:val="auto"/>
        <w:rPr>
          <w:rFonts w:hint="eastAsia" w:ascii="宋体" w:hAnsi="宋体" w:eastAsia="宋体" w:cs="宋体"/>
          <w:b/>
          <w:bCs/>
          <w:sz w:val="32"/>
          <w:szCs w:val="32"/>
          <w:u w:val="none" w:color="auto"/>
        </w:rPr>
      </w:pPr>
      <w:r>
        <w:rPr>
          <w:rFonts w:hint="eastAsia" w:ascii="宋体" w:hAnsi="宋体" w:eastAsia="宋体" w:cs="宋体"/>
          <w:b/>
          <w:bCs/>
          <w:sz w:val="32"/>
          <w:szCs w:val="32"/>
          <w:u w:val="none" w:color="auto"/>
        </w:rPr>
        <w:t>目</w:t>
      </w:r>
      <w:r>
        <w:rPr>
          <w:rFonts w:hint="eastAsia" w:ascii="宋体" w:hAnsi="宋体" w:eastAsia="宋体" w:cs="宋体"/>
          <w:b/>
          <w:bCs/>
          <w:sz w:val="32"/>
          <w:szCs w:val="32"/>
          <w:u w:val="none" w:color="auto"/>
          <w:lang w:val="en-US" w:eastAsia="zh-CN"/>
        </w:rPr>
        <w:t xml:space="preserve"> </w:t>
      </w:r>
      <w:r>
        <w:rPr>
          <w:rFonts w:hint="eastAsia" w:ascii="宋体" w:hAnsi="宋体" w:eastAsia="宋体" w:cs="宋体"/>
          <w:b/>
          <w:bCs/>
          <w:sz w:val="32"/>
          <w:szCs w:val="32"/>
          <w:u w:val="none" w:color="auto"/>
        </w:rPr>
        <w:t>录</w:t>
      </w:r>
    </w:p>
    <w:p>
      <w:pPr>
        <w:keepNext w:val="0"/>
        <w:keepLines w:val="0"/>
        <w:pageBreakBefore w:val="0"/>
        <w:kinsoku/>
        <w:wordWrap/>
        <w:overflowPunct/>
        <w:topLinePunct w:val="0"/>
        <w:autoSpaceDE/>
        <w:autoSpaceDN/>
        <w:bidi w:val="0"/>
        <w:spacing w:before="0" w:beforeLines="0" w:after="0" w:afterLines="0" w:line="480" w:lineRule="exact"/>
        <w:ind w:left="0" w:leftChars="0" w:right="0" w:rightChars="0" w:firstLine="0" w:firstLineChars="0"/>
        <w:jc w:val="center"/>
        <w:textAlignment w:val="auto"/>
        <w:rPr>
          <w:rFonts w:hint="eastAsia" w:ascii="宋体" w:hAnsi="宋体" w:eastAsia="宋体" w:cs="宋体"/>
          <w:sz w:val="24"/>
          <w:szCs w:val="24"/>
          <w:u w:val="none" w:color="auto"/>
        </w:rPr>
      </w:pPr>
      <w:r>
        <w:rPr>
          <w:rFonts w:hint="eastAsia" w:ascii="宋体" w:hAnsi="宋体" w:eastAsia="宋体" w:cs="宋体"/>
          <w:sz w:val="24"/>
          <w:szCs w:val="24"/>
          <w:u w:val="none" w:color="auto"/>
        </w:rPr>
        <w:fldChar w:fldCharType="begin"/>
      </w:r>
      <w:r>
        <w:rPr>
          <w:rFonts w:hint="eastAsia" w:ascii="宋体" w:hAnsi="宋体" w:eastAsia="宋体" w:cs="宋体"/>
          <w:sz w:val="24"/>
          <w:szCs w:val="24"/>
          <w:u w:val="none" w:color="auto"/>
        </w:rPr>
        <w:instrText xml:space="preserve">TOC \o "1-1" \h \u </w:instrText>
      </w:r>
      <w:r>
        <w:rPr>
          <w:rFonts w:hint="eastAsia" w:ascii="宋体" w:hAnsi="宋体" w:eastAsia="宋体" w:cs="宋体"/>
          <w:sz w:val="24"/>
          <w:szCs w:val="24"/>
          <w:u w:val="none" w:color="auto"/>
        </w:rPr>
        <w:fldChar w:fldCharType="separate"/>
      </w:r>
    </w:p>
    <w:p>
      <w:pPr>
        <w:pStyle w:val="153"/>
        <w:keepNext w:val="0"/>
        <w:keepLines w:val="0"/>
        <w:pageBreakBefore w:val="0"/>
        <w:widowControl/>
        <w:tabs>
          <w:tab w:val="right" w:leader="dot" w:pos="8844"/>
        </w:tabs>
        <w:kinsoku/>
        <w:wordWrap/>
        <w:overflowPunct/>
        <w:topLinePunct w:val="0"/>
        <w:autoSpaceDE/>
        <w:autoSpaceDN/>
        <w:bidi w:val="0"/>
        <w:adjustRightInd/>
        <w:snapToGrid/>
        <w:spacing w:line="480" w:lineRule="auto"/>
        <w:textAlignment w:val="auto"/>
        <w:rPr>
          <w:rFonts w:hint="eastAsia" w:ascii="Times New Roman" w:hAnsi="Times New Roman" w:eastAsia="宋体" w:cs="Times New Roman"/>
          <w:b/>
          <w:bCs/>
          <w:sz w:val="28"/>
          <w:szCs w:val="28"/>
          <w:highlight w:val="none"/>
          <w:u w:val="none" w:color="auto"/>
          <w:lang w:val="en-US" w:eastAsia="zh-CN"/>
        </w:rPr>
      </w:pPr>
      <w:r>
        <w:rPr>
          <w:rFonts w:hint="default" w:ascii="Times New Roman" w:hAnsi="Times New Roman" w:eastAsia="宋体" w:cs="Times New Roman"/>
          <w:b/>
          <w:bCs/>
          <w:sz w:val="28"/>
          <w:szCs w:val="28"/>
          <w:highlight w:val="none"/>
          <w:u w:val="none" w:color="auto"/>
        </w:rPr>
        <w:fldChar w:fldCharType="begin"/>
      </w:r>
      <w:r>
        <w:rPr>
          <w:rFonts w:hint="default" w:ascii="Times New Roman" w:hAnsi="Times New Roman" w:eastAsia="宋体" w:cs="Times New Roman"/>
          <w:b/>
          <w:bCs/>
          <w:sz w:val="28"/>
          <w:szCs w:val="28"/>
          <w:highlight w:val="none"/>
          <w:u w:val="none" w:color="auto"/>
        </w:rPr>
        <w:instrText xml:space="preserve"> HYPERLINK \l _Toc829 </w:instrText>
      </w:r>
      <w:r>
        <w:rPr>
          <w:rFonts w:hint="default" w:ascii="Times New Roman" w:hAnsi="Times New Roman" w:eastAsia="宋体" w:cs="Times New Roman"/>
          <w:b/>
          <w:bCs/>
          <w:sz w:val="28"/>
          <w:szCs w:val="28"/>
          <w:highlight w:val="none"/>
          <w:u w:val="none" w:color="auto"/>
        </w:rPr>
        <w:fldChar w:fldCharType="separate"/>
      </w:r>
      <w:r>
        <w:rPr>
          <w:rFonts w:hint="default" w:ascii="Times New Roman" w:hAnsi="Times New Roman" w:eastAsia="宋体" w:cs="Times New Roman"/>
          <w:b/>
          <w:bCs/>
          <w:sz w:val="28"/>
          <w:szCs w:val="28"/>
          <w:highlight w:val="none"/>
          <w:u w:val="none" w:color="auto"/>
        </w:rPr>
        <w:t>一、建设项目基本情况</w:t>
      </w:r>
      <w:r>
        <w:rPr>
          <w:rFonts w:hint="default" w:ascii="Times New Roman" w:hAnsi="Times New Roman" w:eastAsia="宋体" w:cs="Times New Roman"/>
          <w:b/>
          <w:bCs/>
          <w:sz w:val="28"/>
          <w:szCs w:val="28"/>
          <w:highlight w:val="none"/>
          <w:u w:val="none" w:color="auto"/>
        </w:rPr>
        <w:tab/>
      </w:r>
      <w:r>
        <w:rPr>
          <w:rFonts w:hint="default" w:ascii="Times New Roman" w:hAnsi="Times New Roman" w:eastAsia="宋体" w:cs="Times New Roman"/>
          <w:b/>
          <w:bCs/>
          <w:sz w:val="28"/>
          <w:szCs w:val="28"/>
          <w:highlight w:val="none"/>
          <w:u w:val="none" w:color="auto"/>
        </w:rPr>
        <w:fldChar w:fldCharType="end"/>
      </w:r>
      <w:r>
        <w:rPr>
          <w:rFonts w:hint="eastAsia" w:ascii="Times New Roman" w:hAnsi="Times New Roman" w:eastAsia="宋体" w:cs="Times New Roman"/>
          <w:b/>
          <w:bCs/>
          <w:sz w:val="28"/>
          <w:szCs w:val="28"/>
          <w:highlight w:val="none"/>
          <w:u w:val="none" w:color="auto"/>
          <w:lang w:val="en-US" w:eastAsia="zh-CN"/>
        </w:rPr>
        <w:t>1</w:t>
      </w:r>
    </w:p>
    <w:p>
      <w:pPr>
        <w:pStyle w:val="153"/>
        <w:keepNext w:val="0"/>
        <w:keepLines w:val="0"/>
        <w:pageBreakBefore w:val="0"/>
        <w:widowControl/>
        <w:tabs>
          <w:tab w:val="right" w:leader="dot" w:pos="8844"/>
        </w:tabs>
        <w:kinsoku/>
        <w:wordWrap/>
        <w:overflowPunct/>
        <w:topLinePunct w:val="0"/>
        <w:autoSpaceDE/>
        <w:autoSpaceDN/>
        <w:bidi w:val="0"/>
        <w:adjustRightInd/>
        <w:snapToGrid/>
        <w:spacing w:line="480" w:lineRule="auto"/>
        <w:textAlignment w:val="auto"/>
        <w:rPr>
          <w:rFonts w:hint="eastAsia" w:ascii="Times New Roman" w:hAnsi="Times New Roman" w:eastAsia="宋体" w:cs="Times New Roman"/>
          <w:b/>
          <w:bCs/>
          <w:sz w:val="28"/>
          <w:szCs w:val="28"/>
          <w:highlight w:val="none"/>
          <w:u w:val="none" w:color="auto"/>
          <w:lang w:val="en-US" w:eastAsia="zh-CN"/>
        </w:rPr>
      </w:pPr>
      <w:r>
        <w:rPr>
          <w:rFonts w:hint="default" w:ascii="Times New Roman" w:hAnsi="Times New Roman" w:eastAsia="宋体" w:cs="Times New Roman"/>
          <w:b/>
          <w:bCs/>
          <w:sz w:val="28"/>
          <w:szCs w:val="28"/>
          <w:highlight w:val="none"/>
          <w:u w:val="none" w:color="auto"/>
        </w:rPr>
        <w:fldChar w:fldCharType="begin"/>
      </w:r>
      <w:r>
        <w:rPr>
          <w:rFonts w:hint="default" w:ascii="Times New Roman" w:hAnsi="Times New Roman" w:eastAsia="宋体" w:cs="Times New Roman"/>
          <w:b/>
          <w:bCs/>
          <w:sz w:val="28"/>
          <w:szCs w:val="28"/>
          <w:highlight w:val="none"/>
          <w:u w:val="none" w:color="auto"/>
        </w:rPr>
        <w:instrText xml:space="preserve"> HYPERLINK \l _Toc22281 </w:instrText>
      </w:r>
      <w:r>
        <w:rPr>
          <w:rFonts w:hint="default" w:ascii="Times New Roman" w:hAnsi="Times New Roman" w:eastAsia="宋体" w:cs="Times New Roman"/>
          <w:b/>
          <w:bCs/>
          <w:sz w:val="28"/>
          <w:szCs w:val="28"/>
          <w:highlight w:val="none"/>
          <w:u w:val="none" w:color="auto"/>
        </w:rPr>
        <w:fldChar w:fldCharType="separate"/>
      </w:r>
      <w:r>
        <w:rPr>
          <w:rFonts w:hint="default" w:ascii="Times New Roman" w:hAnsi="Times New Roman" w:eastAsia="宋体" w:cs="Times New Roman"/>
          <w:b/>
          <w:bCs/>
          <w:sz w:val="28"/>
          <w:szCs w:val="28"/>
          <w:highlight w:val="none"/>
          <w:u w:val="none" w:color="auto"/>
        </w:rPr>
        <w:t>二、建设项目工程分析</w:t>
      </w:r>
      <w:r>
        <w:rPr>
          <w:rFonts w:hint="default" w:ascii="Times New Roman" w:hAnsi="Times New Roman" w:eastAsia="宋体" w:cs="Times New Roman"/>
          <w:b/>
          <w:bCs/>
          <w:sz w:val="28"/>
          <w:szCs w:val="28"/>
          <w:highlight w:val="none"/>
          <w:u w:val="none" w:color="auto"/>
        </w:rPr>
        <w:tab/>
      </w:r>
      <w:r>
        <w:rPr>
          <w:rFonts w:hint="eastAsia" w:cs="Times New Roman"/>
          <w:b/>
          <w:bCs/>
          <w:sz w:val="28"/>
          <w:szCs w:val="28"/>
          <w:highlight w:val="none"/>
          <w:u w:val="none" w:color="auto"/>
          <w:lang w:val="en-US" w:eastAsia="zh-CN"/>
        </w:rPr>
        <w:t>1</w:t>
      </w:r>
      <w:r>
        <w:rPr>
          <w:rFonts w:hint="default" w:ascii="Times New Roman" w:hAnsi="Times New Roman" w:eastAsia="宋体" w:cs="Times New Roman"/>
          <w:b/>
          <w:bCs/>
          <w:sz w:val="28"/>
          <w:szCs w:val="28"/>
          <w:highlight w:val="none"/>
          <w:u w:val="none" w:color="auto"/>
        </w:rPr>
        <w:fldChar w:fldCharType="end"/>
      </w:r>
      <w:r>
        <w:rPr>
          <w:rFonts w:hint="eastAsia" w:cs="Times New Roman"/>
          <w:b/>
          <w:bCs/>
          <w:sz w:val="28"/>
          <w:szCs w:val="28"/>
          <w:highlight w:val="none"/>
          <w:u w:val="none" w:color="auto"/>
          <w:lang w:val="en-US" w:eastAsia="zh-CN"/>
        </w:rPr>
        <w:t>4</w:t>
      </w:r>
    </w:p>
    <w:p>
      <w:pPr>
        <w:pStyle w:val="153"/>
        <w:keepNext w:val="0"/>
        <w:keepLines w:val="0"/>
        <w:pageBreakBefore w:val="0"/>
        <w:widowControl/>
        <w:tabs>
          <w:tab w:val="right" w:leader="dot" w:pos="8844"/>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bCs/>
          <w:sz w:val="28"/>
          <w:szCs w:val="28"/>
          <w:highlight w:val="none"/>
          <w:u w:val="none" w:color="auto"/>
          <w:lang w:val="en-US" w:eastAsia="zh-CN"/>
        </w:rPr>
      </w:pPr>
      <w:r>
        <w:rPr>
          <w:rFonts w:hint="default" w:ascii="Times New Roman" w:hAnsi="Times New Roman" w:eastAsia="宋体" w:cs="Times New Roman"/>
          <w:b/>
          <w:bCs/>
          <w:sz w:val="28"/>
          <w:szCs w:val="28"/>
          <w:highlight w:val="none"/>
          <w:u w:val="none" w:color="auto"/>
        </w:rPr>
        <w:fldChar w:fldCharType="begin"/>
      </w:r>
      <w:r>
        <w:rPr>
          <w:rFonts w:hint="default" w:ascii="Times New Roman" w:hAnsi="Times New Roman" w:eastAsia="宋体" w:cs="Times New Roman"/>
          <w:b/>
          <w:bCs/>
          <w:sz w:val="28"/>
          <w:szCs w:val="28"/>
          <w:highlight w:val="none"/>
          <w:u w:val="none" w:color="auto"/>
        </w:rPr>
        <w:instrText xml:space="preserve"> HYPERLINK \l _Toc21192 </w:instrText>
      </w:r>
      <w:r>
        <w:rPr>
          <w:rFonts w:hint="default" w:ascii="Times New Roman" w:hAnsi="Times New Roman" w:eastAsia="宋体" w:cs="Times New Roman"/>
          <w:b/>
          <w:bCs/>
          <w:sz w:val="28"/>
          <w:szCs w:val="28"/>
          <w:highlight w:val="none"/>
          <w:u w:val="none" w:color="auto"/>
        </w:rPr>
        <w:fldChar w:fldCharType="separate"/>
      </w:r>
      <w:r>
        <w:rPr>
          <w:rFonts w:hint="default" w:ascii="Times New Roman" w:hAnsi="Times New Roman" w:eastAsia="宋体" w:cs="Times New Roman"/>
          <w:b/>
          <w:bCs/>
          <w:sz w:val="28"/>
          <w:szCs w:val="28"/>
          <w:highlight w:val="none"/>
          <w:u w:val="none" w:color="auto"/>
        </w:rPr>
        <w:t>三、区域环境质量现状、环境保护目标及评价标准</w:t>
      </w:r>
      <w:r>
        <w:rPr>
          <w:rFonts w:hint="default" w:ascii="Times New Roman" w:hAnsi="Times New Roman" w:eastAsia="宋体" w:cs="Times New Roman"/>
          <w:b/>
          <w:bCs/>
          <w:sz w:val="28"/>
          <w:szCs w:val="28"/>
          <w:highlight w:val="none"/>
          <w:u w:val="none" w:color="auto"/>
        </w:rPr>
        <w:tab/>
      </w:r>
      <w:r>
        <w:rPr>
          <w:rFonts w:hint="default" w:ascii="Times New Roman" w:hAnsi="Times New Roman" w:eastAsia="宋体" w:cs="Times New Roman"/>
          <w:b/>
          <w:bCs/>
          <w:sz w:val="28"/>
          <w:szCs w:val="28"/>
          <w:highlight w:val="none"/>
          <w:u w:val="none" w:color="auto"/>
        </w:rPr>
        <w:fldChar w:fldCharType="end"/>
      </w:r>
      <w:r>
        <w:rPr>
          <w:rFonts w:hint="eastAsia" w:ascii="Times New Roman" w:hAnsi="Times New Roman" w:eastAsia="宋体" w:cs="Times New Roman"/>
          <w:b/>
          <w:bCs/>
          <w:sz w:val="28"/>
          <w:szCs w:val="28"/>
          <w:highlight w:val="none"/>
          <w:u w:val="none" w:color="auto"/>
          <w:lang w:val="en-US" w:eastAsia="zh-CN"/>
        </w:rPr>
        <w:t>2</w:t>
      </w:r>
      <w:r>
        <w:rPr>
          <w:rFonts w:hint="eastAsia" w:cs="Times New Roman"/>
          <w:b/>
          <w:bCs/>
          <w:sz w:val="28"/>
          <w:szCs w:val="28"/>
          <w:highlight w:val="none"/>
          <w:u w:val="none" w:color="auto"/>
          <w:lang w:val="en-US" w:eastAsia="zh-CN"/>
        </w:rPr>
        <w:t>7</w:t>
      </w:r>
    </w:p>
    <w:p>
      <w:pPr>
        <w:pStyle w:val="153"/>
        <w:keepNext w:val="0"/>
        <w:keepLines w:val="0"/>
        <w:pageBreakBefore w:val="0"/>
        <w:widowControl/>
        <w:tabs>
          <w:tab w:val="right" w:leader="dot" w:pos="8844"/>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bCs/>
          <w:sz w:val="28"/>
          <w:szCs w:val="28"/>
          <w:highlight w:val="none"/>
          <w:u w:val="none" w:color="auto"/>
          <w:lang w:val="en-US" w:eastAsia="zh-CN"/>
        </w:rPr>
      </w:pPr>
      <w:r>
        <w:rPr>
          <w:rFonts w:hint="default" w:ascii="Times New Roman" w:hAnsi="Times New Roman" w:eastAsia="宋体" w:cs="Times New Roman"/>
          <w:b/>
          <w:bCs/>
          <w:sz w:val="28"/>
          <w:szCs w:val="28"/>
          <w:highlight w:val="none"/>
          <w:u w:val="none" w:color="auto"/>
        </w:rPr>
        <w:fldChar w:fldCharType="begin"/>
      </w:r>
      <w:r>
        <w:rPr>
          <w:rFonts w:hint="default" w:ascii="Times New Roman" w:hAnsi="Times New Roman" w:eastAsia="宋体" w:cs="Times New Roman"/>
          <w:b/>
          <w:bCs/>
          <w:sz w:val="28"/>
          <w:szCs w:val="28"/>
          <w:highlight w:val="none"/>
          <w:u w:val="none" w:color="auto"/>
        </w:rPr>
        <w:instrText xml:space="preserve"> HYPERLINK \l _Toc30672 </w:instrText>
      </w:r>
      <w:r>
        <w:rPr>
          <w:rFonts w:hint="default" w:ascii="Times New Roman" w:hAnsi="Times New Roman" w:eastAsia="宋体" w:cs="Times New Roman"/>
          <w:b/>
          <w:bCs/>
          <w:sz w:val="28"/>
          <w:szCs w:val="28"/>
          <w:highlight w:val="none"/>
          <w:u w:val="none" w:color="auto"/>
        </w:rPr>
        <w:fldChar w:fldCharType="separate"/>
      </w:r>
      <w:r>
        <w:rPr>
          <w:rFonts w:hint="default" w:ascii="Times New Roman" w:hAnsi="Times New Roman" w:eastAsia="宋体" w:cs="Times New Roman"/>
          <w:b/>
          <w:bCs/>
          <w:kern w:val="44"/>
          <w:sz w:val="28"/>
          <w:szCs w:val="28"/>
          <w:highlight w:val="none"/>
          <w:u w:val="none" w:color="auto"/>
          <w:lang w:val="en-US" w:eastAsia="zh-CN" w:bidi="ar-SA"/>
        </w:rPr>
        <w:t>四、主要环境影响和保护措施</w:t>
      </w:r>
      <w:r>
        <w:rPr>
          <w:rFonts w:hint="default" w:ascii="Times New Roman" w:hAnsi="Times New Roman" w:eastAsia="宋体" w:cs="Times New Roman"/>
          <w:b/>
          <w:bCs/>
          <w:sz w:val="28"/>
          <w:szCs w:val="28"/>
          <w:highlight w:val="none"/>
          <w:u w:val="none" w:color="auto"/>
        </w:rPr>
        <w:tab/>
      </w:r>
      <w:r>
        <w:rPr>
          <w:rFonts w:hint="default" w:ascii="Times New Roman" w:hAnsi="Times New Roman" w:eastAsia="宋体" w:cs="Times New Roman"/>
          <w:b/>
          <w:bCs/>
          <w:sz w:val="28"/>
          <w:szCs w:val="28"/>
          <w:highlight w:val="none"/>
          <w:u w:val="none" w:color="auto"/>
        </w:rPr>
        <w:fldChar w:fldCharType="end"/>
      </w:r>
      <w:r>
        <w:rPr>
          <w:rFonts w:hint="eastAsia" w:ascii="Times New Roman" w:hAnsi="Times New Roman" w:eastAsia="宋体" w:cs="Times New Roman"/>
          <w:b/>
          <w:bCs/>
          <w:sz w:val="28"/>
          <w:szCs w:val="28"/>
          <w:highlight w:val="none"/>
          <w:u w:val="none" w:color="auto"/>
          <w:lang w:val="en-US" w:eastAsia="zh-CN"/>
        </w:rPr>
        <w:t>3</w:t>
      </w:r>
      <w:r>
        <w:rPr>
          <w:rFonts w:hint="eastAsia" w:cs="Times New Roman"/>
          <w:b/>
          <w:bCs/>
          <w:sz w:val="28"/>
          <w:szCs w:val="28"/>
          <w:highlight w:val="none"/>
          <w:u w:val="none" w:color="auto"/>
          <w:lang w:val="en-US" w:eastAsia="zh-CN"/>
        </w:rPr>
        <w:t>7</w:t>
      </w:r>
    </w:p>
    <w:p>
      <w:pPr>
        <w:pStyle w:val="153"/>
        <w:keepNext w:val="0"/>
        <w:keepLines w:val="0"/>
        <w:pageBreakBefore w:val="0"/>
        <w:widowControl/>
        <w:tabs>
          <w:tab w:val="right" w:leader="dot" w:pos="8844"/>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bCs/>
          <w:sz w:val="28"/>
          <w:szCs w:val="28"/>
          <w:highlight w:val="none"/>
          <w:u w:val="none" w:color="auto"/>
          <w:lang w:val="en-US" w:eastAsia="zh-CN"/>
        </w:rPr>
      </w:pPr>
      <w:r>
        <w:rPr>
          <w:rFonts w:hint="default" w:ascii="Times New Roman" w:hAnsi="Times New Roman" w:eastAsia="宋体" w:cs="Times New Roman"/>
          <w:b/>
          <w:bCs/>
          <w:sz w:val="28"/>
          <w:szCs w:val="28"/>
          <w:highlight w:val="none"/>
          <w:u w:val="none" w:color="auto"/>
        </w:rPr>
        <w:fldChar w:fldCharType="begin"/>
      </w:r>
      <w:r>
        <w:rPr>
          <w:rFonts w:hint="default" w:ascii="Times New Roman" w:hAnsi="Times New Roman" w:eastAsia="宋体" w:cs="Times New Roman"/>
          <w:b/>
          <w:bCs/>
          <w:sz w:val="28"/>
          <w:szCs w:val="28"/>
          <w:highlight w:val="none"/>
          <w:u w:val="none" w:color="auto"/>
        </w:rPr>
        <w:instrText xml:space="preserve"> HYPERLINK \l _Toc1753 </w:instrText>
      </w:r>
      <w:r>
        <w:rPr>
          <w:rFonts w:hint="default" w:ascii="Times New Roman" w:hAnsi="Times New Roman" w:eastAsia="宋体" w:cs="Times New Roman"/>
          <w:b/>
          <w:bCs/>
          <w:sz w:val="28"/>
          <w:szCs w:val="28"/>
          <w:highlight w:val="none"/>
          <w:u w:val="none" w:color="auto"/>
        </w:rPr>
        <w:fldChar w:fldCharType="separate"/>
      </w:r>
      <w:r>
        <w:rPr>
          <w:rFonts w:hint="default" w:ascii="Times New Roman" w:hAnsi="Times New Roman" w:eastAsia="宋体" w:cs="Times New Roman"/>
          <w:b/>
          <w:bCs/>
          <w:sz w:val="28"/>
          <w:szCs w:val="28"/>
          <w:highlight w:val="none"/>
          <w:u w:val="none" w:color="auto"/>
        </w:rPr>
        <w:t>五、环境保护措施监督检查清单</w:t>
      </w:r>
      <w:r>
        <w:rPr>
          <w:rFonts w:hint="default" w:ascii="Times New Roman" w:hAnsi="Times New Roman" w:eastAsia="宋体" w:cs="Times New Roman"/>
          <w:b/>
          <w:bCs/>
          <w:sz w:val="28"/>
          <w:szCs w:val="28"/>
          <w:highlight w:val="none"/>
          <w:u w:val="none" w:color="auto"/>
        </w:rPr>
        <w:tab/>
      </w:r>
      <w:r>
        <w:rPr>
          <w:rFonts w:hint="default" w:ascii="Times New Roman" w:hAnsi="Times New Roman" w:eastAsia="宋体" w:cs="Times New Roman"/>
          <w:b/>
          <w:bCs/>
          <w:sz w:val="28"/>
          <w:szCs w:val="28"/>
          <w:highlight w:val="none"/>
          <w:u w:val="none" w:color="auto"/>
        </w:rPr>
        <w:fldChar w:fldCharType="end"/>
      </w:r>
      <w:r>
        <w:rPr>
          <w:rFonts w:hint="eastAsia" w:cs="Times New Roman"/>
          <w:b/>
          <w:bCs/>
          <w:sz w:val="28"/>
          <w:szCs w:val="28"/>
          <w:highlight w:val="none"/>
          <w:u w:val="none" w:color="auto"/>
          <w:lang w:val="en-US" w:eastAsia="zh-CN"/>
        </w:rPr>
        <w:t>64</w:t>
      </w:r>
    </w:p>
    <w:p>
      <w:pPr>
        <w:pStyle w:val="153"/>
        <w:keepNext w:val="0"/>
        <w:keepLines w:val="0"/>
        <w:pageBreakBefore w:val="0"/>
        <w:widowControl/>
        <w:tabs>
          <w:tab w:val="right" w:leader="dot" w:pos="8844"/>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bCs/>
          <w:sz w:val="28"/>
          <w:szCs w:val="28"/>
          <w:highlight w:val="none"/>
          <w:u w:val="none" w:color="auto"/>
        </w:rPr>
        <w:fldChar w:fldCharType="begin"/>
      </w:r>
      <w:r>
        <w:rPr>
          <w:rFonts w:hint="default" w:ascii="Times New Roman" w:hAnsi="Times New Roman" w:eastAsia="宋体" w:cs="Times New Roman"/>
          <w:b/>
          <w:bCs/>
          <w:sz w:val="28"/>
          <w:szCs w:val="28"/>
          <w:highlight w:val="none"/>
          <w:u w:val="none" w:color="auto"/>
        </w:rPr>
        <w:instrText xml:space="preserve"> HYPERLINK \l _Toc19084 </w:instrText>
      </w:r>
      <w:r>
        <w:rPr>
          <w:rFonts w:hint="default" w:ascii="Times New Roman" w:hAnsi="Times New Roman" w:eastAsia="宋体" w:cs="Times New Roman"/>
          <w:b/>
          <w:bCs/>
          <w:sz w:val="28"/>
          <w:szCs w:val="28"/>
          <w:highlight w:val="none"/>
          <w:u w:val="none" w:color="auto"/>
        </w:rPr>
        <w:fldChar w:fldCharType="separate"/>
      </w:r>
      <w:r>
        <w:rPr>
          <w:rFonts w:hint="default" w:ascii="Times New Roman" w:hAnsi="Times New Roman" w:eastAsia="宋体" w:cs="Times New Roman"/>
          <w:b/>
          <w:bCs/>
          <w:kern w:val="44"/>
          <w:sz w:val="28"/>
          <w:szCs w:val="28"/>
          <w:highlight w:val="none"/>
          <w:u w:val="none" w:color="auto"/>
          <w:lang w:val="en-US" w:eastAsia="zh-CN" w:bidi="ar-SA"/>
        </w:rPr>
        <w:t>六、结论</w:t>
      </w:r>
      <w:r>
        <w:rPr>
          <w:rFonts w:hint="default" w:ascii="Times New Roman" w:hAnsi="Times New Roman" w:eastAsia="宋体" w:cs="Times New Roman"/>
          <w:b/>
          <w:bCs/>
          <w:sz w:val="28"/>
          <w:szCs w:val="28"/>
          <w:highlight w:val="none"/>
          <w:u w:val="none" w:color="auto"/>
        </w:rPr>
        <w:tab/>
      </w:r>
      <w:r>
        <w:rPr>
          <w:rFonts w:hint="default" w:ascii="Times New Roman" w:hAnsi="Times New Roman" w:eastAsia="宋体" w:cs="Times New Roman"/>
          <w:b/>
          <w:bCs/>
          <w:sz w:val="28"/>
          <w:szCs w:val="28"/>
          <w:highlight w:val="none"/>
          <w:u w:val="none" w:color="auto"/>
        </w:rPr>
        <w:fldChar w:fldCharType="end"/>
      </w:r>
      <w:r>
        <w:rPr>
          <w:rFonts w:hint="eastAsia" w:cs="Times New Roman"/>
          <w:b/>
          <w:bCs/>
          <w:sz w:val="28"/>
          <w:szCs w:val="28"/>
          <w:highlight w:val="none"/>
          <w:u w:val="none" w:color="auto"/>
          <w:lang w:val="en-US" w:eastAsia="zh-CN"/>
        </w:rPr>
        <w:t>66</w:t>
      </w:r>
    </w:p>
    <w:p>
      <w:pPr>
        <w:pStyle w:val="51"/>
        <w:rPr>
          <w:rFonts w:hint="default" w:ascii="Times New Roman" w:hAnsi="Times New Roman" w:cs="Times New Roman"/>
          <w:b w:val="0"/>
          <w:bCs w:val="0"/>
          <w:color w:val="000000"/>
          <w:sz w:val="24"/>
          <w:szCs w:val="24"/>
          <w:lang w:eastAsia="zh-CN"/>
        </w:rPr>
      </w:pPr>
    </w:p>
    <w:p>
      <w:pPr>
        <w:rPr>
          <w:rFonts w:hint="default" w:ascii="Times New Roman" w:hAnsi="Times New Roman" w:cs="Times New Roman"/>
          <w:b w:val="0"/>
          <w:bCs w:val="0"/>
          <w:color w:val="000000"/>
          <w:sz w:val="24"/>
          <w:szCs w:val="24"/>
          <w:lang w:eastAsia="zh-CN"/>
        </w:rPr>
      </w:pPr>
    </w:p>
    <w:p>
      <w:pPr>
        <w:pStyle w:val="51"/>
        <w:rPr>
          <w:rFonts w:hint="default" w:ascii="Times New Roman" w:hAnsi="Times New Roman" w:cs="Times New Roman"/>
          <w:b w:val="0"/>
          <w:bCs w:val="0"/>
          <w:color w:val="000000"/>
          <w:sz w:val="24"/>
          <w:szCs w:val="24"/>
          <w:lang w:eastAsia="zh-CN"/>
        </w:rPr>
      </w:pPr>
    </w:p>
    <w:p>
      <w:pPr>
        <w:rPr>
          <w:rFonts w:hint="default" w:ascii="Times New Roman" w:hAnsi="Times New Roman" w:cs="Times New Roman"/>
          <w:b w:val="0"/>
          <w:bCs w:val="0"/>
          <w:color w:val="000000"/>
          <w:sz w:val="24"/>
          <w:szCs w:val="24"/>
          <w:lang w:eastAsia="zh-CN"/>
        </w:rPr>
      </w:pPr>
    </w:p>
    <w:p>
      <w:pPr>
        <w:pStyle w:val="51"/>
        <w:rPr>
          <w:rFonts w:hint="default" w:ascii="Times New Roman" w:hAnsi="Times New Roman" w:cs="Times New Roman"/>
          <w:b w:val="0"/>
          <w:bCs w:val="0"/>
          <w:color w:val="000000"/>
          <w:sz w:val="24"/>
          <w:szCs w:val="24"/>
          <w:lang w:eastAsia="zh-CN"/>
        </w:rPr>
      </w:pPr>
    </w:p>
    <w:p>
      <w:pPr>
        <w:rPr>
          <w:rFonts w:hint="default" w:ascii="Times New Roman" w:hAnsi="Times New Roman" w:cs="Times New Roman"/>
          <w:b w:val="0"/>
          <w:bCs w:val="0"/>
          <w:color w:val="000000"/>
          <w:sz w:val="24"/>
          <w:szCs w:val="24"/>
          <w:lang w:eastAsia="zh-CN"/>
        </w:rPr>
      </w:pPr>
    </w:p>
    <w:p>
      <w:pPr>
        <w:pStyle w:val="51"/>
        <w:rPr>
          <w:rFonts w:hint="default" w:ascii="Times New Roman" w:hAnsi="Times New Roman" w:cs="Times New Roman"/>
          <w:b w:val="0"/>
          <w:bCs w:val="0"/>
          <w:color w:val="000000"/>
          <w:sz w:val="24"/>
          <w:szCs w:val="24"/>
          <w:lang w:eastAsia="zh-CN"/>
        </w:rPr>
      </w:pPr>
    </w:p>
    <w:p>
      <w:pPr>
        <w:rPr>
          <w:rFonts w:hint="default" w:ascii="Times New Roman" w:hAnsi="Times New Roman" w:cs="Times New Roman"/>
          <w:b w:val="0"/>
          <w:bCs w:val="0"/>
          <w:color w:val="000000"/>
          <w:sz w:val="24"/>
          <w:szCs w:val="24"/>
          <w:lang w:eastAsia="zh-CN"/>
        </w:rPr>
      </w:pPr>
    </w:p>
    <w:p>
      <w:pPr>
        <w:pStyle w:val="51"/>
        <w:rPr>
          <w:rFonts w:hint="default" w:ascii="Times New Roman" w:hAnsi="Times New Roman" w:cs="Times New Roman"/>
          <w:b w:val="0"/>
          <w:bCs w:val="0"/>
          <w:color w:val="000000"/>
          <w:sz w:val="24"/>
          <w:szCs w:val="24"/>
          <w:lang w:eastAsia="zh-CN"/>
        </w:rPr>
      </w:pPr>
    </w:p>
    <w:p>
      <w:pPr>
        <w:rPr>
          <w:rFonts w:hint="default" w:ascii="Times New Roman" w:hAnsi="Times New Roman" w:cs="Times New Roman"/>
          <w:b w:val="0"/>
          <w:bCs w:val="0"/>
          <w:color w:val="000000"/>
          <w:sz w:val="24"/>
          <w:szCs w:val="24"/>
          <w:lang w:eastAsia="zh-CN"/>
        </w:rPr>
      </w:pPr>
    </w:p>
    <w:p>
      <w:pPr>
        <w:pStyle w:val="51"/>
        <w:rPr>
          <w:rFonts w:hint="default" w:ascii="Times New Roman" w:hAnsi="Times New Roman" w:cs="Times New Roman"/>
          <w:b w:val="0"/>
          <w:bCs w:val="0"/>
          <w:color w:val="000000"/>
          <w:sz w:val="24"/>
          <w:szCs w:val="24"/>
          <w:lang w:eastAsia="zh-CN"/>
        </w:rPr>
      </w:pPr>
    </w:p>
    <w:p>
      <w:pPr>
        <w:rPr>
          <w:rFonts w:hint="default" w:ascii="Times New Roman" w:hAnsi="Times New Roman" w:cs="Times New Roman"/>
          <w:b w:val="0"/>
          <w:bCs w:val="0"/>
          <w:color w:val="000000"/>
          <w:sz w:val="24"/>
          <w:szCs w:val="24"/>
          <w:lang w:eastAsia="zh-CN"/>
        </w:rPr>
      </w:pPr>
    </w:p>
    <w:p>
      <w:pPr>
        <w:pStyle w:val="51"/>
        <w:rPr>
          <w:rFonts w:hint="default" w:ascii="Times New Roman" w:hAnsi="Times New Roman" w:cs="Times New Roman"/>
          <w:b w:val="0"/>
          <w:bCs w:val="0"/>
          <w:color w:val="000000"/>
          <w:sz w:val="24"/>
          <w:szCs w:val="24"/>
          <w:lang w:eastAsia="zh-CN"/>
        </w:rPr>
      </w:pPr>
    </w:p>
    <w:p>
      <w:pPr>
        <w:rPr>
          <w:rFonts w:hint="default" w:ascii="Times New Roman" w:hAnsi="Times New Roman" w:cs="Times New Roman"/>
          <w:b w:val="0"/>
          <w:bCs w:val="0"/>
          <w:color w:val="000000"/>
          <w:sz w:val="24"/>
          <w:szCs w:val="24"/>
          <w:lang w:eastAsia="zh-CN"/>
        </w:rPr>
      </w:pPr>
    </w:p>
    <w:p>
      <w:pPr>
        <w:pStyle w:val="51"/>
        <w:rPr>
          <w:rFonts w:hint="default" w:ascii="Times New Roman" w:hAnsi="Times New Roman" w:cs="Times New Roman"/>
          <w:b w:val="0"/>
          <w:bCs w:val="0"/>
          <w:color w:val="000000"/>
          <w:sz w:val="24"/>
          <w:szCs w:val="24"/>
          <w:lang w:eastAsia="zh-CN"/>
        </w:rPr>
      </w:pPr>
    </w:p>
    <w:p>
      <w:pPr>
        <w:rPr>
          <w:rFonts w:hint="default" w:ascii="Times New Roman" w:hAnsi="Times New Roman" w:cs="Times New Roman"/>
          <w:b w:val="0"/>
          <w:bCs w:val="0"/>
          <w:color w:val="000000"/>
          <w:sz w:val="24"/>
          <w:szCs w:val="24"/>
          <w:lang w:eastAsia="zh-CN"/>
        </w:rPr>
      </w:pPr>
    </w:p>
    <w:p>
      <w:pPr>
        <w:pStyle w:val="51"/>
        <w:rPr>
          <w:rFonts w:hint="default" w:ascii="Times New Roman" w:hAnsi="Times New Roman" w:cs="Times New Roman"/>
          <w:b w:val="0"/>
          <w:bCs w:val="0"/>
          <w:color w:val="000000"/>
          <w:sz w:val="24"/>
          <w:szCs w:val="24"/>
          <w:lang w:eastAsia="zh-CN"/>
        </w:rPr>
      </w:pPr>
    </w:p>
    <w:p>
      <w:pPr>
        <w:rPr>
          <w:rFonts w:hint="default" w:ascii="Times New Roman" w:hAnsi="Times New Roman" w:cs="Times New Roman"/>
          <w:b w:val="0"/>
          <w:bCs w:val="0"/>
          <w:color w:val="000000"/>
          <w:sz w:val="24"/>
          <w:szCs w:val="24"/>
          <w:lang w:eastAsia="zh-CN"/>
        </w:rPr>
      </w:pPr>
    </w:p>
    <w:p>
      <w:pPr>
        <w:pStyle w:val="51"/>
        <w:rPr>
          <w:rFonts w:hint="default" w:ascii="Times New Roman" w:hAnsi="Times New Roman" w:cs="Times New Roman"/>
          <w:b w:val="0"/>
          <w:bCs w:val="0"/>
          <w:color w:val="000000"/>
          <w:sz w:val="24"/>
          <w:szCs w:val="24"/>
          <w:lang w:eastAsia="zh-CN"/>
        </w:rPr>
      </w:pPr>
    </w:p>
    <w:p>
      <w:pPr>
        <w:rPr>
          <w:rFonts w:hint="default" w:ascii="Times New Roman" w:hAnsi="Times New Roman" w:cs="Times New Roman"/>
          <w:b w:val="0"/>
          <w:bCs w:val="0"/>
          <w:color w:val="000000"/>
          <w:sz w:val="24"/>
          <w:szCs w:val="24"/>
          <w:lang w:eastAsia="zh-CN"/>
        </w:rPr>
      </w:pPr>
    </w:p>
    <w:p>
      <w:pPr>
        <w:pStyle w:val="51"/>
        <w:rPr>
          <w:rFonts w:hint="default" w:ascii="Times New Roman" w:hAnsi="Times New Roman" w:cs="Times New Roman"/>
          <w:b w:val="0"/>
          <w:bCs w:val="0"/>
          <w:color w:val="000000"/>
          <w:sz w:val="24"/>
          <w:szCs w:val="24"/>
          <w:lang w:eastAsia="zh-CN"/>
        </w:rPr>
      </w:pPr>
    </w:p>
    <w:p>
      <w:pPr>
        <w:rPr>
          <w:rFonts w:hint="default"/>
          <w:lang w:eastAsia="zh-CN"/>
        </w:rPr>
      </w:pPr>
    </w:p>
    <w:p>
      <w:pPr>
        <w:rPr>
          <w:rFonts w:hint="default"/>
          <w:lang w:val="en-US"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rPr>
          <w:rFonts w:hint="default"/>
          <w:lang w:eastAsia="zh-CN"/>
        </w:rPr>
        <w:sectPr>
          <w:footerReference r:id="rId4" w:type="default"/>
          <w:type w:val="continuous"/>
          <w:pgSz w:w="11906" w:h="16838"/>
          <w:pgMar w:top="1134" w:right="1531" w:bottom="1134" w:left="1531" w:header="851" w:footer="1077" w:gutter="0"/>
          <w:pgNumType w:start="1"/>
          <w:cols w:space="720" w:num="1"/>
          <w:docGrid w:linePitch="312" w:charSpace="0"/>
        </w:sectPr>
      </w:pPr>
    </w:p>
    <w:p>
      <w:pPr>
        <w:pStyle w:val="33"/>
        <w:rPr>
          <w:rFonts w:hint="default"/>
          <w:lang w:eastAsia="zh-CN"/>
        </w:rPr>
      </w:pPr>
    </w:p>
    <w:p>
      <w:pPr>
        <w:pStyle w:val="33"/>
        <w:rPr>
          <w:rFonts w:hint="default"/>
          <w:lang w:eastAsia="zh-CN"/>
        </w:rPr>
      </w:pPr>
    </w:p>
    <w:p>
      <w:pPr>
        <w:pStyle w:val="33"/>
        <w:rPr>
          <w:rFonts w:hint="default"/>
          <w:lang w:eastAsia="zh-CN"/>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default" w:ascii="Times New Roman" w:hAnsi="Times New Roman" w:eastAsia="宋体" w:cs="Times New Roman"/>
          <w:b w:val="0"/>
          <w:bCs w:val="0"/>
          <w:color w:val="000000"/>
          <w:sz w:val="28"/>
          <w:szCs w:val="28"/>
          <w:lang w:val="en-US" w:eastAsia="zh-CN"/>
        </w:rPr>
        <w:sectPr>
          <w:type w:val="continuous"/>
          <w:pgSz w:w="11906" w:h="16838"/>
          <w:pgMar w:top="1134" w:right="1531" w:bottom="1134" w:left="1531" w:header="851" w:footer="1077" w:gutter="0"/>
          <w:pgNumType w:start="1"/>
          <w:cols w:space="720" w:num="1"/>
          <w:docGrid w:linePitch="312" w:charSpace="0"/>
        </w:sect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default" w:ascii="Times New Roman" w:hAnsi="Times New Roman" w:eastAsia="宋体" w:cs="Times New Roman"/>
          <w:b w:val="0"/>
          <w:bCs w:val="0"/>
          <w:color w:val="000000"/>
          <w:sz w:val="28"/>
          <w:szCs w:val="28"/>
          <w:lang w:val="en-US" w:eastAsia="zh-CN"/>
        </w:rPr>
      </w:pPr>
      <w:r>
        <w:rPr>
          <w:rFonts w:hint="default" w:ascii="Times New Roman" w:hAnsi="Times New Roman" w:eastAsia="宋体" w:cs="Times New Roman"/>
          <w:b w:val="0"/>
          <w:bCs w:val="0"/>
          <w:color w:val="000000"/>
          <w:sz w:val="28"/>
          <w:szCs w:val="28"/>
          <w:lang w:val="en-US" w:eastAsia="zh-CN"/>
        </w:rPr>
        <w:t>附表、附件及附图</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附表：</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lang w:eastAsia="zh-CN"/>
        </w:rPr>
        <w:t>附表</w:t>
      </w:r>
      <w:r>
        <w:rPr>
          <w:rFonts w:hint="default" w:ascii="Times New Roman" w:hAnsi="Times New Roman" w:eastAsia="宋体" w:cs="Times New Roman"/>
          <w:b w:val="0"/>
          <w:bCs w:val="0"/>
          <w:color w:val="000000"/>
          <w:sz w:val="24"/>
          <w:szCs w:val="24"/>
          <w:lang w:val="en-US" w:eastAsia="zh-CN"/>
        </w:rPr>
        <w:t xml:space="preserve">1 </w:t>
      </w:r>
      <w:r>
        <w:rPr>
          <w:rFonts w:hint="eastAsia" w:cs="Times New Roman"/>
          <w:b w:val="0"/>
          <w:bCs w:val="0"/>
          <w:color w:val="000000"/>
          <w:sz w:val="24"/>
          <w:szCs w:val="24"/>
          <w:lang w:val="en-US" w:eastAsia="zh-CN"/>
        </w:rPr>
        <w:t xml:space="preserve"> </w:t>
      </w:r>
      <w:r>
        <w:rPr>
          <w:rFonts w:hint="default" w:ascii="Times New Roman" w:hAnsi="Times New Roman" w:eastAsia="宋体" w:cs="Times New Roman"/>
          <w:b w:val="0"/>
          <w:bCs w:val="0"/>
          <w:color w:val="000000"/>
          <w:sz w:val="24"/>
          <w:szCs w:val="24"/>
          <w:lang w:eastAsia="zh-CN"/>
        </w:rPr>
        <w:t>建设项目污染物排放汇总表</w:t>
      </w:r>
    </w:p>
    <w:p>
      <w:pPr>
        <w:pStyle w:val="13"/>
        <w:keepNext w:val="0"/>
        <w:keepLines w:val="0"/>
        <w:pageBreakBefore w:val="0"/>
        <w:kinsoku/>
        <w:wordWrap/>
        <w:overflowPunct/>
        <w:topLinePunct w:val="0"/>
        <w:autoSpaceDE/>
        <w:autoSpaceDN/>
        <w:bidi w:val="0"/>
        <w:snapToGrid/>
        <w:spacing w:after="0" w:line="360" w:lineRule="auto"/>
        <w:ind w:firstLine="0" w:firstLineChars="0"/>
        <w:jc w:val="left"/>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附件</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附件1  委托书</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 xml:space="preserve">附件2  </w:t>
      </w:r>
      <w:r>
        <w:rPr>
          <w:rFonts w:hint="eastAsia" w:cs="Times New Roman"/>
          <w:b w:val="0"/>
          <w:bCs w:val="0"/>
          <w:sz w:val="24"/>
          <w:lang w:val="en-US" w:eastAsia="zh-CN"/>
        </w:rPr>
        <w:t>事业单位法人证书</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u w:val="none"/>
          <w:lang w:val="en-US" w:eastAsia="zh-CN"/>
        </w:rPr>
      </w:pPr>
      <w:r>
        <w:rPr>
          <w:rFonts w:hint="default" w:ascii="Times New Roman" w:hAnsi="Times New Roman" w:eastAsia="宋体" w:cs="Times New Roman"/>
          <w:b w:val="0"/>
          <w:bCs w:val="0"/>
          <w:sz w:val="24"/>
          <w:u w:val="none"/>
        </w:rPr>
        <w:t xml:space="preserve">附件3  </w:t>
      </w:r>
      <w:r>
        <w:rPr>
          <w:rFonts w:hint="eastAsia" w:cs="Times New Roman"/>
          <w:b w:val="0"/>
          <w:bCs w:val="0"/>
          <w:sz w:val="24"/>
          <w:u w:val="none"/>
          <w:lang w:val="en-US" w:eastAsia="zh-CN"/>
        </w:rPr>
        <w:t>医疗机构执业许可证</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附件</w:t>
      </w:r>
      <w:r>
        <w:rPr>
          <w:rFonts w:hint="default" w:ascii="Times New Roman" w:hAnsi="Times New Roman" w:eastAsia="宋体" w:cs="Times New Roman"/>
          <w:b w:val="0"/>
          <w:bCs w:val="0"/>
          <w:sz w:val="24"/>
          <w:lang w:val="en-US" w:eastAsia="zh-CN"/>
        </w:rPr>
        <w:t>4</w:t>
      </w:r>
      <w:r>
        <w:rPr>
          <w:rFonts w:hint="default" w:ascii="Times New Roman" w:hAnsi="Times New Roman" w:eastAsia="宋体" w:cs="Times New Roman"/>
          <w:b w:val="0"/>
          <w:bCs w:val="0"/>
          <w:sz w:val="24"/>
        </w:rPr>
        <w:t xml:space="preserve">  </w:t>
      </w:r>
      <w:r>
        <w:rPr>
          <w:rFonts w:hint="eastAsia" w:cs="Times New Roman"/>
          <w:b w:val="0"/>
          <w:bCs w:val="0"/>
          <w:sz w:val="24"/>
          <w:lang w:val="en-US" w:eastAsia="zh-CN"/>
        </w:rPr>
        <w:t>花垣县人民医院精神科成立文件</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附件</w:t>
      </w:r>
      <w:r>
        <w:rPr>
          <w:rFonts w:hint="eastAsia" w:ascii="Times New Roman" w:hAnsi="Times New Roman" w:eastAsia="宋体" w:cs="Times New Roman"/>
          <w:b w:val="0"/>
          <w:bCs w:val="0"/>
          <w:sz w:val="24"/>
          <w:lang w:val="en-US" w:eastAsia="zh-CN"/>
        </w:rPr>
        <w:t>5</w:t>
      </w:r>
      <w:r>
        <w:rPr>
          <w:rFonts w:hint="default" w:ascii="Times New Roman" w:hAnsi="Times New Roman" w:eastAsia="宋体" w:cs="Times New Roman"/>
          <w:b w:val="0"/>
          <w:bCs w:val="0"/>
          <w:sz w:val="24"/>
        </w:rPr>
        <w:t xml:space="preserve">  </w:t>
      </w:r>
      <w:r>
        <w:rPr>
          <w:rFonts w:hint="eastAsia" w:cs="Times New Roman"/>
          <w:b w:val="0"/>
          <w:bCs w:val="0"/>
          <w:sz w:val="24"/>
          <w:lang w:val="en-US" w:eastAsia="zh-CN"/>
        </w:rPr>
        <w:t>本项目立项证明</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eastAsia" w:cs="Times New Roman"/>
          <w:b w:val="0"/>
          <w:bCs w:val="0"/>
          <w:sz w:val="24"/>
          <w:lang w:val="en-US" w:eastAsia="zh-CN"/>
        </w:rPr>
      </w:pPr>
      <w:r>
        <w:rPr>
          <w:rFonts w:hint="default" w:ascii="Times New Roman" w:hAnsi="Times New Roman" w:eastAsia="宋体" w:cs="Times New Roman"/>
          <w:b w:val="0"/>
          <w:bCs w:val="0"/>
          <w:sz w:val="24"/>
        </w:rPr>
        <w:t>附件</w:t>
      </w:r>
      <w:r>
        <w:rPr>
          <w:rFonts w:hint="eastAsia" w:ascii="Times New Roman" w:hAnsi="Times New Roman" w:eastAsia="宋体" w:cs="Times New Roman"/>
          <w:b w:val="0"/>
          <w:bCs w:val="0"/>
          <w:sz w:val="24"/>
          <w:lang w:val="en-US" w:eastAsia="zh-CN"/>
        </w:rPr>
        <w:t>6</w:t>
      </w:r>
      <w:r>
        <w:rPr>
          <w:rFonts w:hint="default" w:ascii="Times New Roman" w:hAnsi="Times New Roman" w:eastAsia="宋体" w:cs="Times New Roman"/>
          <w:b w:val="0"/>
          <w:bCs w:val="0"/>
          <w:sz w:val="24"/>
        </w:rPr>
        <w:t xml:space="preserve">  </w:t>
      </w:r>
      <w:r>
        <w:rPr>
          <w:rFonts w:hint="eastAsia" w:cs="Times New Roman"/>
          <w:b w:val="0"/>
          <w:bCs w:val="0"/>
          <w:sz w:val="24"/>
          <w:lang w:val="en-US" w:eastAsia="zh-CN"/>
        </w:rPr>
        <w:t>不动产权证书</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附件</w:t>
      </w:r>
      <w:r>
        <w:rPr>
          <w:rFonts w:hint="eastAsia" w:cs="Times New Roman"/>
          <w:b w:val="0"/>
          <w:bCs w:val="0"/>
          <w:sz w:val="24"/>
          <w:lang w:val="en-US" w:eastAsia="zh-CN"/>
        </w:rPr>
        <w:t>7</w:t>
      </w:r>
      <w:r>
        <w:rPr>
          <w:rFonts w:hint="default" w:ascii="Times New Roman" w:hAnsi="Times New Roman" w:eastAsia="宋体" w:cs="Times New Roman"/>
          <w:b w:val="0"/>
          <w:bCs w:val="0"/>
          <w:sz w:val="24"/>
        </w:rPr>
        <w:t xml:space="preserve">  </w:t>
      </w:r>
      <w:r>
        <w:rPr>
          <w:rFonts w:hint="eastAsia" w:cs="Times New Roman"/>
          <w:b w:val="0"/>
          <w:bCs w:val="0"/>
          <w:sz w:val="24"/>
          <w:lang w:val="en-US" w:eastAsia="zh-CN"/>
        </w:rPr>
        <w:t>项目用地证明</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附件</w:t>
      </w:r>
      <w:r>
        <w:rPr>
          <w:rFonts w:hint="eastAsia" w:cs="Times New Roman"/>
          <w:b w:val="0"/>
          <w:bCs w:val="0"/>
          <w:sz w:val="24"/>
          <w:lang w:val="en-US" w:eastAsia="zh-CN"/>
        </w:rPr>
        <w:t>8</w:t>
      </w:r>
      <w:r>
        <w:rPr>
          <w:rFonts w:hint="default" w:ascii="Times New Roman" w:hAnsi="Times New Roman" w:eastAsia="宋体" w:cs="Times New Roman"/>
          <w:b w:val="0"/>
          <w:bCs w:val="0"/>
          <w:sz w:val="24"/>
        </w:rPr>
        <w:t xml:space="preserve">  </w:t>
      </w:r>
      <w:r>
        <w:rPr>
          <w:rFonts w:hint="eastAsia" w:cs="Times New Roman"/>
          <w:b w:val="0"/>
          <w:bCs w:val="0"/>
          <w:sz w:val="24"/>
          <w:lang w:val="en-US" w:eastAsia="zh-CN"/>
        </w:rPr>
        <w:t>项目依托证明</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附件</w:t>
      </w:r>
      <w:r>
        <w:rPr>
          <w:rFonts w:hint="eastAsia" w:cs="Times New Roman"/>
          <w:b w:val="0"/>
          <w:bCs w:val="0"/>
          <w:sz w:val="24"/>
          <w:lang w:val="en-US" w:eastAsia="zh-CN"/>
        </w:rPr>
        <w:t>9</w:t>
      </w:r>
      <w:r>
        <w:rPr>
          <w:rFonts w:hint="default" w:ascii="Times New Roman" w:hAnsi="Times New Roman" w:eastAsia="宋体" w:cs="Times New Roman"/>
          <w:b w:val="0"/>
          <w:bCs w:val="0"/>
          <w:sz w:val="24"/>
        </w:rPr>
        <w:t xml:space="preserve">  </w:t>
      </w:r>
      <w:r>
        <w:rPr>
          <w:rFonts w:hint="eastAsia" w:cs="Times New Roman"/>
          <w:b w:val="0"/>
          <w:bCs w:val="0"/>
          <w:sz w:val="24"/>
          <w:lang w:val="en-US" w:eastAsia="zh-CN"/>
        </w:rPr>
        <w:t>噪声</w:t>
      </w:r>
      <w:r>
        <w:rPr>
          <w:rFonts w:hint="default" w:ascii="Times New Roman" w:hAnsi="Times New Roman" w:eastAsia="宋体" w:cs="Times New Roman"/>
          <w:b w:val="0"/>
          <w:bCs w:val="0"/>
          <w:sz w:val="24"/>
          <w:lang w:val="en-US" w:eastAsia="zh-CN"/>
        </w:rPr>
        <w:t>监测报告</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附件</w:t>
      </w:r>
      <w:r>
        <w:rPr>
          <w:rFonts w:hint="eastAsia" w:cs="Times New Roman"/>
          <w:b w:val="0"/>
          <w:bCs w:val="0"/>
          <w:sz w:val="24"/>
          <w:lang w:val="en-US" w:eastAsia="zh-CN"/>
        </w:rPr>
        <w:t>10</w:t>
      </w:r>
      <w:r>
        <w:rPr>
          <w:rFonts w:hint="default" w:ascii="Times New Roman" w:hAnsi="Times New Roman" w:eastAsia="宋体" w:cs="Times New Roman"/>
          <w:b w:val="0"/>
          <w:bCs w:val="0"/>
          <w:sz w:val="24"/>
        </w:rPr>
        <w:t xml:space="preserve">  </w:t>
      </w:r>
      <w:r>
        <w:rPr>
          <w:rFonts w:hint="eastAsia" w:cs="Times New Roman"/>
          <w:b w:val="0"/>
          <w:bCs w:val="0"/>
          <w:sz w:val="24"/>
          <w:lang w:val="en-US" w:eastAsia="zh-CN"/>
        </w:rPr>
        <w:t>环境检测质量保证单</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附件</w:t>
      </w:r>
      <w:r>
        <w:rPr>
          <w:rFonts w:hint="eastAsia" w:cs="Times New Roman"/>
          <w:b w:val="0"/>
          <w:bCs w:val="0"/>
          <w:sz w:val="24"/>
          <w:lang w:val="en-US" w:eastAsia="zh-CN"/>
        </w:rPr>
        <w:t>11</w:t>
      </w:r>
      <w:r>
        <w:rPr>
          <w:rFonts w:hint="default" w:ascii="Times New Roman" w:hAnsi="Times New Roman" w:eastAsia="宋体" w:cs="Times New Roman"/>
          <w:b w:val="0"/>
          <w:bCs w:val="0"/>
          <w:sz w:val="24"/>
          <w:lang w:val="en-US" w:eastAsia="zh-CN"/>
        </w:rPr>
        <w:t xml:space="preserve">  </w:t>
      </w:r>
      <w:r>
        <w:rPr>
          <w:rFonts w:hint="eastAsia" w:cs="Times New Roman"/>
          <w:b w:val="0"/>
          <w:bCs w:val="0"/>
          <w:sz w:val="24"/>
          <w:lang w:val="en-US" w:eastAsia="zh-CN"/>
        </w:rPr>
        <w:t>引用监测报告</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highlight w:val="lightGray"/>
        </w:rPr>
      </w:pP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附图</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附图1  项目地理位置图</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 xml:space="preserve">附图2  </w:t>
      </w:r>
      <w:r>
        <w:rPr>
          <w:rFonts w:hint="default" w:ascii="Times New Roman" w:hAnsi="Times New Roman" w:eastAsia="宋体" w:cs="Times New Roman"/>
          <w:b w:val="0"/>
          <w:bCs w:val="0"/>
          <w:sz w:val="24"/>
          <w:lang w:val="en-US" w:eastAsia="zh-CN"/>
        </w:rPr>
        <w:t>项目</w:t>
      </w:r>
      <w:r>
        <w:rPr>
          <w:rFonts w:hint="eastAsia" w:cs="Times New Roman"/>
          <w:b w:val="0"/>
          <w:bCs w:val="0"/>
          <w:sz w:val="24"/>
          <w:lang w:val="en-US" w:eastAsia="zh-CN"/>
        </w:rPr>
        <w:t>总</w:t>
      </w:r>
      <w:r>
        <w:rPr>
          <w:rFonts w:hint="default" w:ascii="Times New Roman" w:hAnsi="Times New Roman" w:eastAsia="宋体" w:cs="Times New Roman"/>
          <w:b w:val="0"/>
          <w:bCs w:val="0"/>
          <w:sz w:val="24"/>
          <w:lang w:val="en-US" w:eastAsia="zh-CN"/>
        </w:rPr>
        <w:t>平面布置图</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附图</w:t>
      </w:r>
      <w:r>
        <w:rPr>
          <w:rFonts w:hint="eastAsia" w:cs="Times New Roman"/>
          <w:b w:val="0"/>
          <w:bCs w:val="0"/>
          <w:sz w:val="24"/>
          <w:lang w:val="en-US" w:eastAsia="zh-CN"/>
        </w:rPr>
        <w:t>2-1~2-5</w:t>
      </w:r>
      <w:r>
        <w:rPr>
          <w:rFonts w:hint="default" w:ascii="Times New Roman" w:hAnsi="Times New Roman" w:eastAsia="宋体" w:cs="Times New Roman"/>
          <w:b w:val="0"/>
          <w:bCs w:val="0"/>
          <w:sz w:val="24"/>
        </w:rPr>
        <w:t xml:space="preserve">  </w:t>
      </w:r>
      <w:r>
        <w:rPr>
          <w:rFonts w:hint="default" w:ascii="Times New Roman" w:hAnsi="Times New Roman" w:eastAsia="宋体" w:cs="Times New Roman"/>
          <w:b w:val="0"/>
          <w:bCs w:val="0"/>
          <w:sz w:val="24"/>
          <w:lang w:val="en-US" w:eastAsia="zh-CN"/>
        </w:rPr>
        <w:t>项目</w:t>
      </w:r>
      <w:r>
        <w:rPr>
          <w:rFonts w:hint="eastAsia" w:cs="Times New Roman"/>
          <w:b w:val="0"/>
          <w:bCs w:val="0"/>
          <w:sz w:val="24"/>
          <w:lang w:val="en-US" w:eastAsia="zh-CN"/>
        </w:rPr>
        <w:t>精神卫生楼平面布置图（1层~5层）</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附图</w:t>
      </w:r>
      <w:r>
        <w:rPr>
          <w:rFonts w:hint="eastAsia" w:cs="Times New Roman"/>
          <w:b w:val="0"/>
          <w:bCs w:val="0"/>
          <w:sz w:val="24"/>
          <w:lang w:val="en-US" w:eastAsia="zh-CN"/>
        </w:rPr>
        <w:t>3</w:t>
      </w:r>
      <w:r>
        <w:rPr>
          <w:rFonts w:hint="default" w:ascii="Times New Roman" w:hAnsi="Times New Roman" w:eastAsia="宋体" w:cs="Times New Roman"/>
          <w:b w:val="0"/>
          <w:bCs w:val="0"/>
          <w:sz w:val="24"/>
        </w:rPr>
        <w:t xml:space="preserve">  </w:t>
      </w:r>
      <w:r>
        <w:rPr>
          <w:rFonts w:hint="default" w:ascii="Times New Roman" w:hAnsi="Times New Roman" w:eastAsia="宋体" w:cs="Times New Roman"/>
          <w:b w:val="0"/>
          <w:bCs w:val="0"/>
          <w:sz w:val="24"/>
          <w:lang w:val="en-US" w:eastAsia="zh-CN"/>
        </w:rPr>
        <w:t>项目</w:t>
      </w:r>
      <w:r>
        <w:rPr>
          <w:rFonts w:hint="eastAsia" w:cs="Times New Roman"/>
          <w:b w:val="0"/>
          <w:bCs w:val="0"/>
          <w:sz w:val="24"/>
          <w:lang w:val="en-US" w:eastAsia="zh-CN"/>
        </w:rPr>
        <w:t>外环境关系图</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eastAsia" w:ascii="Times New Roman" w:hAnsi="Times New Roman" w:eastAsia="宋体" w:cs="Times New Roman"/>
          <w:b w:val="0"/>
          <w:bCs w:val="0"/>
          <w:sz w:val="24"/>
          <w:u w:val="none"/>
          <w:lang w:val="en-US" w:eastAsia="zh-CN"/>
        </w:rPr>
      </w:pPr>
      <w:r>
        <w:rPr>
          <w:rFonts w:hint="default" w:ascii="Times New Roman" w:hAnsi="Times New Roman" w:eastAsia="宋体" w:cs="Times New Roman"/>
          <w:b w:val="0"/>
          <w:bCs w:val="0"/>
          <w:sz w:val="24"/>
          <w:u w:val="none"/>
        </w:rPr>
        <w:t>附图</w:t>
      </w:r>
      <w:r>
        <w:rPr>
          <w:rFonts w:hint="eastAsia" w:cs="Times New Roman"/>
          <w:b w:val="0"/>
          <w:bCs w:val="0"/>
          <w:sz w:val="24"/>
          <w:u w:val="none"/>
          <w:lang w:val="en-US" w:eastAsia="zh-CN"/>
        </w:rPr>
        <w:t>4</w:t>
      </w:r>
      <w:r>
        <w:rPr>
          <w:rFonts w:hint="default" w:ascii="Times New Roman" w:hAnsi="Times New Roman" w:eastAsia="宋体" w:cs="Times New Roman"/>
          <w:b w:val="0"/>
          <w:bCs w:val="0"/>
          <w:sz w:val="24"/>
          <w:u w:val="none"/>
        </w:rPr>
        <w:t xml:space="preserve">  </w:t>
      </w:r>
      <w:r>
        <w:rPr>
          <w:rFonts w:hint="eastAsia" w:cs="Times New Roman"/>
          <w:b w:val="0"/>
          <w:bCs w:val="0"/>
          <w:sz w:val="24"/>
          <w:u w:val="none"/>
          <w:lang w:val="en-US" w:eastAsia="zh-CN"/>
        </w:rPr>
        <w:t>噪声</w:t>
      </w:r>
      <w:r>
        <w:rPr>
          <w:rFonts w:hint="eastAsia" w:ascii="Times New Roman" w:hAnsi="Times New Roman" w:eastAsia="宋体" w:cs="Times New Roman"/>
          <w:b w:val="0"/>
          <w:bCs w:val="0"/>
          <w:sz w:val="24"/>
          <w:u w:val="none"/>
          <w:lang w:val="en-US" w:eastAsia="zh-CN"/>
        </w:rPr>
        <w:t>监测布点图</w:t>
      </w:r>
    </w:p>
    <w:p>
      <w:pPr>
        <w:pStyle w:val="13"/>
        <w:keepNext w:val="0"/>
        <w:keepLines w:val="0"/>
        <w:pageBreakBefore w:val="0"/>
        <w:kinsoku/>
        <w:wordWrap/>
        <w:overflowPunct/>
        <w:topLinePunct w:val="0"/>
        <w:autoSpaceDE/>
        <w:autoSpaceDN/>
        <w:bidi w:val="0"/>
        <w:snapToGrid/>
        <w:spacing w:before="0" w:after="0" w:line="360" w:lineRule="auto"/>
        <w:ind w:right="0" w:firstLine="0" w:firstLineChars="0"/>
        <w:jc w:val="left"/>
        <w:textAlignment w:val="auto"/>
        <w:rPr>
          <w:rFonts w:hint="default" w:ascii="Times New Roman" w:hAnsi="Times New Roman" w:eastAsia="宋体" w:cs="Times New Roman"/>
          <w:b w:val="0"/>
          <w:bCs w:val="0"/>
          <w:sz w:val="24"/>
          <w:u w:val="none"/>
          <w:lang w:val="en-US" w:eastAsia="zh-CN"/>
        </w:rPr>
      </w:pPr>
      <w:r>
        <w:rPr>
          <w:rFonts w:hint="default" w:ascii="Times New Roman" w:hAnsi="Times New Roman" w:eastAsia="宋体" w:cs="Times New Roman"/>
          <w:b w:val="0"/>
          <w:bCs w:val="0"/>
          <w:sz w:val="24"/>
          <w:u w:val="none"/>
        </w:rPr>
        <w:t>附图</w:t>
      </w:r>
      <w:r>
        <w:rPr>
          <w:rFonts w:hint="eastAsia" w:cs="Times New Roman"/>
          <w:b w:val="0"/>
          <w:bCs w:val="0"/>
          <w:sz w:val="24"/>
          <w:u w:val="none"/>
          <w:lang w:val="en-US" w:eastAsia="zh-CN"/>
        </w:rPr>
        <w:t>5</w:t>
      </w:r>
      <w:r>
        <w:rPr>
          <w:rFonts w:hint="default" w:ascii="Times New Roman" w:hAnsi="Times New Roman" w:eastAsia="宋体" w:cs="Times New Roman"/>
          <w:b w:val="0"/>
          <w:bCs w:val="0"/>
          <w:sz w:val="24"/>
          <w:u w:val="none"/>
        </w:rPr>
        <w:t xml:space="preserve">  </w:t>
      </w:r>
      <w:r>
        <w:rPr>
          <w:rFonts w:hint="eastAsia" w:cs="Times New Roman"/>
          <w:b w:val="0"/>
          <w:bCs w:val="0"/>
          <w:sz w:val="24"/>
          <w:u w:val="none"/>
          <w:lang w:val="en-US" w:eastAsia="zh-CN"/>
        </w:rPr>
        <w:t>项目引用监测布点图</w:t>
      </w:r>
    </w:p>
    <w:p>
      <w:pPr>
        <w:pStyle w:val="51"/>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附图</w:t>
      </w:r>
      <w:r>
        <w:rPr>
          <w:rFonts w:hint="eastAsia" w:ascii="Times New Roman" w:hAnsi="Times New Roman" w:eastAsia="宋体" w:cs="Times New Roman"/>
          <w:b w:val="0"/>
          <w:bCs w:val="0"/>
          <w:sz w:val="24"/>
          <w:lang w:val="en-US" w:eastAsia="zh-CN"/>
        </w:rPr>
        <w:t>6</w:t>
      </w:r>
      <w:r>
        <w:rPr>
          <w:rFonts w:hint="default" w:ascii="Times New Roman" w:hAnsi="Times New Roman" w:eastAsia="宋体" w:cs="Times New Roman"/>
          <w:b w:val="0"/>
          <w:bCs w:val="0"/>
          <w:sz w:val="24"/>
        </w:rPr>
        <w:t xml:space="preserve">  </w:t>
      </w:r>
      <w:r>
        <w:rPr>
          <w:rFonts w:hint="eastAsia" w:ascii="Times New Roman" w:hAnsi="Times New Roman" w:eastAsia="宋体" w:cs="Times New Roman"/>
          <w:b w:val="0"/>
          <w:bCs w:val="0"/>
          <w:sz w:val="24"/>
          <w:lang w:val="en-US" w:eastAsia="zh-CN"/>
        </w:rPr>
        <w:t>花垣县土地利用规划图</w:t>
      </w:r>
    </w:p>
    <w:p>
      <w:pPr>
        <w:pStyle w:val="51"/>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sz w:val="24"/>
        </w:rPr>
        <w:t>附图</w:t>
      </w:r>
      <w:r>
        <w:rPr>
          <w:rFonts w:hint="eastAsia" w:ascii="Times New Roman" w:hAnsi="Times New Roman" w:eastAsia="宋体" w:cs="Times New Roman"/>
          <w:b w:val="0"/>
          <w:bCs w:val="0"/>
          <w:sz w:val="24"/>
          <w:lang w:val="en-US" w:eastAsia="zh-CN"/>
        </w:rPr>
        <w:t>7</w:t>
      </w:r>
      <w:r>
        <w:rPr>
          <w:rFonts w:hint="default" w:ascii="Times New Roman" w:hAnsi="Times New Roman" w:eastAsia="宋体" w:cs="Times New Roman"/>
          <w:b w:val="0"/>
          <w:bCs w:val="0"/>
          <w:sz w:val="24"/>
        </w:rPr>
        <w:t xml:space="preserve">  </w:t>
      </w:r>
      <w:r>
        <w:rPr>
          <w:rFonts w:hint="eastAsia" w:ascii="Times New Roman" w:hAnsi="Times New Roman" w:eastAsia="宋体" w:cs="Times New Roman"/>
          <w:b w:val="0"/>
          <w:bCs w:val="0"/>
          <w:sz w:val="24"/>
          <w:lang w:val="en-US" w:eastAsia="zh-CN"/>
        </w:rPr>
        <w:t>项目周边水系图</w:t>
      </w:r>
    </w:p>
    <w:p>
      <w:pPr>
        <w:pStyle w:val="51"/>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附图</w:t>
      </w:r>
      <w:r>
        <w:rPr>
          <w:rFonts w:hint="eastAsia" w:ascii="Times New Roman" w:hAnsi="Times New Roman" w:eastAsia="宋体" w:cs="Times New Roman"/>
          <w:b w:val="0"/>
          <w:bCs w:val="0"/>
          <w:sz w:val="24"/>
          <w:lang w:val="en-US" w:eastAsia="zh-CN"/>
        </w:rPr>
        <w:t>8</w:t>
      </w:r>
      <w:r>
        <w:rPr>
          <w:rFonts w:hint="default" w:ascii="Times New Roman" w:hAnsi="Times New Roman" w:eastAsia="宋体" w:cs="Times New Roman"/>
          <w:b w:val="0"/>
          <w:bCs w:val="0"/>
          <w:sz w:val="24"/>
        </w:rPr>
        <w:t xml:space="preserve">  </w:t>
      </w:r>
      <w:r>
        <w:rPr>
          <w:rFonts w:hint="eastAsia" w:ascii="Times New Roman" w:hAnsi="Times New Roman" w:eastAsia="宋体" w:cs="Times New Roman"/>
          <w:b w:val="0"/>
          <w:bCs w:val="0"/>
          <w:sz w:val="24"/>
          <w:lang w:val="en-US" w:eastAsia="zh-CN"/>
        </w:rPr>
        <w:t>项目与引用水源保护区位置关系图</w:t>
      </w:r>
    </w:p>
    <w:p>
      <w:pPr>
        <w:pStyle w:val="51"/>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附图</w:t>
      </w:r>
      <w:r>
        <w:rPr>
          <w:rFonts w:hint="eastAsia" w:ascii="Times New Roman" w:hAnsi="Times New Roman" w:eastAsia="宋体" w:cs="Times New Roman"/>
          <w:b w:val="0"/>
          <w:bCs w:val="0"/>
          <w:sz w:val="24"/>
          <w:lang w:val="en-US" w:eastAsia="zh-CN"/>
        </w:rPr>
        <w:t>8</w:t>
      </w:r>
      <w:r>
        <w:rPr>
          <w:rFonts w:hint="default" w:ascii="Times New Roman" w:hAnsi="Times New Roman" w:eastAsia="宋体" w:cs="Times New Roman"/>
          <w:b w:val="0"/>
          <w:bCs w:val="0"/>
          <w:sz w:val="24"/>
        </w:rPr>
        <w:t xml:space="preserve">  </w:t>
      </w:r>
      <w:r>
        <w:rPr>
          <w:rFonts w:hint="default" w:ascii="Times New Roman" w:hAnsi="Times New Roman" w:eastAsia="宋体" w:cs="Times New Roman"/>
          <w:b w:val="0"/>
          <w:bCs w:val="0"/>
          <w:sz w:val="24"/>
          <w:lang w:val="en-US" w:eastAsia="zh-CN"/>
        </w:rPr>
        <w:t>项目与花垣县污水处理厂污水管网位置</w:t>
      </w:r>
      <w:r>
        <w:rPr>
          <w:rFonts w:hint="eastAsia" w:ascii="Times New Roman" w:hAnsi="Times New Roman" w:eastAsia="宋体" w:cs="Times New Roman"/>
          <w:b w:val="0"/>
          <w:bCs w:val="0"/>
          <w:sz w:val="24"/>
          <w:lang w:val="en-US" w:eastAsia="zh-CN"/>
        </w:rPr>
        <w:t>图</w:t>
      </w:r>
    </w:p>
    <w:p>
      <w:pPr>
        <w:pStyle w:val="51"/>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附图</w:t>
      </w:r>
      <w:r>
        <w:rPr>
          <w:rFonts w:hint="eastAsia" w:ascii="Times New Roman" w:hAnsi="Times New Roman" w:eastAsia="宋体" w:cs="Times New Roman"/>
          <w:b w:val="0"/>
          <w:bCs w:val="0"/>
          <w:sz w:val="24"/>
          <w:lang w:val="en-US" w:eastAsia="zh-CN"/>
        </w:rPr>
        <w:t>9</w:t>
      </w:r>
      <w:r>
        <w:rPr>
          <w:rFonts w:hint="default" w:ascii="Times New Roman" w:hAnsi="Times New Roman" w:eastAsia="宋体" w:cs="Times New Roman"/>
          <w:b w:val="0"/>
          <w:bCs w:val="0"/>
          <w:sz w:val="24"/>
        </w:rPr>
        <w:t xml:space="preserve">  </w:t>
      </w:r>
      <w:r>
        <w:rPr>
          <w:rFonts w:hint="default" w:ascii="Times New Roman" w:hAnsi="Times New Roman" w:eastAsia="宋体" w:cs="Times New Roman"/>
          <w:b w:val="0"/>
          <w:bCs w:val="0"/>
          <w:sz w:val="24"/>
          <w:lang w:val="en-US" w:eastAsia="zh-CN"/>
        </w:rPr>
        <w:t>项目</w:t>
      </w:r>
      <w:r>
        <w:rPr>
          <w:rFonts w:hint="eastAsia" w:ascii="Times New Roman" w:hAnsi="Times New Roman" w:eastAsia="宋体" w:cs="Times New Roman"/>
          <w:b w:val="0"/>
          <w:bCs w:val="0"/>
          <w:sz w:val="24"/>
          <w:lang w:val="en-US" w:eastAsia="zh-CN"/>
        </w:rPr>
        <w:t>现场图</w:t>
      </w:r>
    </w:p>
    <w:p>
      <w:pPr>
        <w:pStyle w:val="2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sz w:val="24"/>
          <w:szCs w:val="24"/>
          <w:u w:val="none" w:color="auto"/>
        </w:rPr>
      </w:pPr>
      <w:r>
        <w:rPr>
          <w:rFonts w:hint="eastAsia" w:ascii="宋体" w:hAnsi="宋体" w:eastAsia="宋体" w:cs="宋体"/>
          <w:sz w:val="24"/>
          <w:szCs w:val="24"/>
          <w:u w:val="none" w:color="auto"/>
        </w:rPr>
        <w:fldChar w:fldCharType="end"/>
      </w:r>
      <w:bookmarkStart w:id="2" w:name="_Toc142759959"/>
      <w:bookmarkStart w:id="3" w:name="_Toc2510"/>
    </w:p>
    <w:p>
      <w:pPr>
        <w:pStyle w:val="25"/>
        <w:keepNext w:val="0"/>
        <w:keepLines w:val="0"/>
        <w:pageBreakBefore w:val="0"/>
        <w:widowControl/>
        <w:kinsoku/>
        <w:wordWrap/>
        <w:overflowPunct/>
        <w:topLinePunct w:val="0"/>
        <w:autoSpaceDE/>
        <w:autoSpaceDN/>
        <w:bidi w:val="0"/>
        <w:adjustRightInd/>
        <w:snapToGrid/>
        <w:textAlignment w:val="auto"/>
        <w:outlineLvl w:val="9"/>
        <w:rPr>
          <w:snapToGrid w:val="0"/>
        </w:rPr>
        <w:sectPr>
          <w:footerReference r:id="rId5" w:type="default"/>
          <w:pgSz w:w="11906" w:h="16838"/>
          <w:pgMar w:top="1134" w:right="1531" w:bottom="1134" w:left="1531" w:header="851" w:footer="1077" w:gutter="0"/>
          <w:pgNumType w:start="1"/>
          <w:cols w:space="720" w:num="1"/>
          <w:docGrid w:linePitch="312" w:charSpace="0"/>
        </w:sectPr>
      </w:pPr>
    </w:p>
    <w:p>
      <w:pPr>
        <w:pStyle w:val="25"/>
        <w:rPr>
          <w:snapToGrid w:val="0"/>
        </w:rPr>
      </w:pPr>
      <w:r>
        <w:rPr>
          <w:snapToGrid w:val="0"/>
        </w:rPr>
        <w:t>一、建设项目基本情况</w:t>
      </w:r>
      <w:bookmarkEnd w:id="2"/>
      <w:bookmarkEnd w:id="3"/>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96"/>
        <w:gridCol w:w="971"/>
        <w:gridCol w:w="1908"/>
        <w:gridCol w:w="2222"/>
        <w:gridCol w:w="28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867" w:type="dxa"/>
            <w:gridSpan w:val="2"/>
            <w:noWrap w:val="0"/>
            <w:tcMar>
              <w:top w:w="16" w:type="dxa"/>
              <w:left w:w="16" w:type="dxa"/>
              <w:right w:w="16" w:type="dxa"/>
            </w:tcMar>
            <w:vAlign w:val="center"/>
          </w:tcPr>
          <w:p>
            <w:pPr>
              <w:adjustRightInd w:val="0"/>
              <w:snapToGrid w:val="0"/>
              <w:rPr>
                <w:b/>
                <w:bCs/>
              </w:rPr>
            </w:pPr>
            <w:r>
              <w:rPr>
                <w:b/>
                <w:bCs/>
              </w:rPr>
              <w:t>建设项目名称</w:t>
            </w:r>
          </w:p>
        </w:tc>
        <w:tc>
          <w:tcPr>
            <w:tcW w:w="7003" w:type="dxa"/>
            <w:gridSpan w:val="3"/>
            <w:noWrap w:val="0"/>
            <w:vAlign w:val="center"/>
          </w:tcPr>
          <w:p>
            <w:pPr>
              <w:rPr>
                <w:rFonts w:hint="eastAsia" w:eastAsia="宋体"/>
                <w:lang w:eastAsia="zh-CN"/>
              </w:rPr>
            </w:pPr>
            <w:r>
              <w:rPr>
                <w:rFonts w:hint="eastAsia"/>
                <w:color w:val="auto"/>
                <w:lang w:eastAsia="zh-CN"/>
              </w:rPr>
              <w:t>花垣县人民医院精神科项目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5" w:hRule="atLeast"/>
          <w:jc w:val="center"/>
        </w:trPr>
        <w:tc>
          <w:tcPr>
            <w:tcW w:w="1867" w:type="dxa"/>
            <w:gridSpan w:val="2"/>
            <w:noWrap w:val="0"/>
            <w:tcMar>
              <w:top w:w="16" w:type="dxa"/>
              <w:left w:w="16" w:type="dxa"/>
              <w:right w:w="16" w:type="dxa"/>
            </w:tcMar>
            <w:vAlign w:val="center"/>
          </w:tcPr>
          <w:p>
            <w:pPr>
              <w:adjustRightInd w:val="0"/>
              <w:snapToGrid w:val="0"/>
              <w:rPr>
                <w:b/>
                <w:bCs/>
              </w:rPr>
            </w:pPr>
            <w:r>
              <w:rPr>
                <w:b/>
                <w:bCs/>
              </w:rPr>
              <w:t>项目代码</w:t>
            </w:r>
          </w:p>
        </w:tc>
        <w:tc>
          <w:tcPr>
            <w:tcW w:w="7003" w:type="dxa"/>
            <w:gridSpan w:val="3"/>
            <w:noWrap w:val="0"/>
            <w:vAlign w:val="center"/>
          </w:tcPr>
          <w:p>
            <w:pPr>
              <w:adjustRightInd w:val="0"/>
              <w:snapToGrid w:val="0"/>
              <w:rPr>
                <w:rFonts w:hint="default"/>
                <w:lang w:val="en-US"/>
              </w:rPr>
            </w:pPr>
            <w:r>
              <w:rPr>
                <w:rFonts w:hint="default"/>
                <w:color w:val="auto"/>
                <w:lang w:val="en-US" w:eastAsia="zh-CN"/>
              </w:rPr>
              <w:t>2</w:t>
            </w:r>
            <w:r>
              <w:rPr>
                <w:rFonts w:hint="eastAsia"/>
                <w:color w:val="auto"/>
                <w:lang w:val="en-US" w:eastAsia="zh-CN"/>
              </w:rPr>
              <w:t>403</w:t>
            </w:r>
            <w:r>
              <w:rPr>
                <w:rFonts w:hint="default"/>
                <w:color w:val="auto"/>
                <w:lang w:val="en-US" w:eastAsia="zh-CN"/>
              </w:rPr>
              <w:t>-43312</w:t>
            </w:r>
            <w:r>
              <w:rPr>
                <w:rFonts w:hint="eastAsia"/>
                <w:color w:val="auto"/>
                <w:lang w:val="en-US" w:eastAsia="zh-CN"/>
              </w:rPr>
              <w:t>4</w:t>
            </w:r>
            <w:r>
              <w:rPr>
                <w:rFonts w:hint="default"/>
                <w:color w:val="auto"/>
                <w:lang w:val="en-US" w:eastAsia="zh-CN"/>
              </w:rPr>
              <w:t>-04-0</w:t>
            </w:r>
            <w:r>
              <w:rPr>
                <w:rFonts w:hint="eastAsia"/>
                <w:color w:val="auto"/>
                <w:lang w:val="en-US" w:eastAsia="zh-CN"/>
              </w:rPr>
              <w:t>5</w:t>
            </w:r>
            <w:r>
              <w:rPr>
                <w:rFonts w:hint="default"/>
                <w:color w:val="auto"/>
                <w:lang w:val="en-US" w:eastAsia="zh-CN"/>
              </w:rPr>
              <w:t>-</w:t>
            </w:r>
            <w:r>
              <w:rPr>
                <w:rFonts w:hint="eastAsia"/>
                <w:color w:val="auto"/>
                <w:lang w:val="en-US" w:eastAsia="zh-CN"/>
              </w:rPr>
              <w:t>576565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867" w:type="dxa"/>
            <w:gridSpan w:val="2"/>
            <w:noWrap w:val="0"/>
            <w:tcMar>
              <w:top w:w="16" w:type="dxa"/>
              <w:left w:w="16" w:type="dxa"/>
              <w:right w:w="16" w:type="dxa"/>
            </w:tcMar>
            <w:vAlign w:val="center"/>
          </w:tcPr>
          <w:p>
            <w:pPr>
              <w:adjustRightInd w:val="0"/>
              <w:snapToGrid w:val="0"/>
              <w:rPr>
                <w:b/>
                <w:bCs/>
              </w:rPr>
            </w:pPr>
            <w:r>
              <w:rPr>
                <w:b/>
                <w:bCs/>
              </w:rPr>
              <w:t>建设单位联系人</w:t>
            </w:r>
          </w:p>
        </w:tc>
        <w:tc>
          <w:tcPr>
            <w:tcW w:w="1908" w:type="dxa"/>
            <w:noWrap w:val="0"/>
            <w:vAlign w:val="center"/>
          </w:tcPr>
          <w:p>
            <w:pPr>
              <w:adjustRightInd w:val="0"/>
              <w:snapToGrid w:val="0"/>
              <w:rPr>
                <w:rFonts w:hint="default" w:eastAsia="宋体"/>
                <w:lang w:val="en-US" w:eastAsia="zh-CN"/>
              </w:rPr>
            </w:pPr>
            <w:r>
              <w:rPr>
                <w:rFonts w:hint="eastAsia"/>
                <w:lang w:val="en-US" w:eastAsia="zh-CN"/>
              </w:rPr>
              <w:t>石献美</w:t>
            </w:r>
          </w:p>
        </w:tc>
        <w:tc>
          <w:tcPr>
            <w:tcW w:w="2222" w:type="dxa"/>
            <w:noWrap w:val="0"/>
            <w:vAlign w:val="center"/>
          </w:tcPr>
          <w:p>
            <w:pPr>
              <w:adjustRightInd w:val="0"/>
              <w:snapToGrid w:val="0"/>
            </w:pPr>
            <w:r>
              <w:rPr>
                <w:b/>
                <w:bCs/>
              </w:rPr>
              <w:t>联系方式</w:t>
            </w:r>
          </w:p>
        </w:tc>
        <w:tc>
          <w:tcPr>
            <w:tcW w:w="2873" w:type="dxa"/>
            <w:noWrap w:val="0"/>
            <w:vAlign w:val="center"/>
          </w:tcPr>
          <w:p>
            <w:pPr>
              <w:adjustRightInd w:val="0"/>
              <w:snapToGrid w:val="0"/>
              <w:rPr>
                <w:rFonts w:hint="default" w:eastAsia="宋体"/>
                <w:lang w:val="en-US" w:eastAsia="zh-CN"/>
              </w:rPr>
            </w:pPr>
            <w:r>
              <w:rPr>
                <w:rFonts w:hint="default" w:eastAsia="宋体"/>
                <w:lang w:val="en-US" w:eastAsia="zh-CN"/>
              </w:rPr>
              <w:t>15874340058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867" w:type="dxa"/>
            <w:gridSpan w:val="2"/>
            <w:noWrap w:val="0"/>
            <w:tcMar>
              <w:top w:w="16" w:type="dxa"/>
              <w:left w:w="16" w:type="dxa"/>
              <w:right w:w="16" w:type="dxa"/>
            </w:tcMar>
            <w:vAlign w:val="center"/>
          </w:tcPr>
          <w:p>
            <w:pPr>
              <w:adjustRightInd w:val="0"/>
              <w:snapToGrid w:val="0"/>
              <w:rPr>
                <w:b/>
                <w:bCs/>
              </w:rPr>
            </w:pPr>
            <w:r>
              <w:rPr>
                <w:b/>
                <w:bCs/>
              </w:rPr>
              <w:t>建设地点</w:t>
            </w:r>
          </w:p>
        </w:tc>
        <w:tc>
          <w:tcPr>
            <w:tcW w:w="7003" w:type="dxa"/>
            <w:gridSpan w:val="3"/>
            <w:noWrap w:val="0"/>
            <w:vAlign w:val="center"/>
          </w:tcPr>
          <w:p>
            <w:pPr>
              <w:adjustRightInd w:val="0"/>
              <w:snapToGrid w:val="0"/>
              <w:rPr>
                <w:rFonts w:hint="default" w:eastAsia="宋体"/>
                <w:lang w:val="en-US" w:eastAsia="zh-CN"/>
              </w:rPr>
            </w:pPr>
            <w:r>
              <w:rPr>
                <w:rFonts w:hint="eastAsia" w:ascii="Times New Roman" w:hAnsi="Times New Roman" w:cs="Times New Roman"/>
                <w:color w:val="000000"/>
                <w:kern w:val="0"/>
                <w:sz w:val="24"/>
                <w:szCs w:val="24"/>
                <w:u w:val="none" w:color="auto"/>
                <w:lang w:val="en-US" w:eastAsia="zh-CN"/>
              </w:rPr>
              <w:t>湘西自治州</w:t>
            </w:r>
            <w:r>
              <w:rPr>
                <w:rFonts w:hint="default" w:ascii="Times New Roman" w:hAnsi="Times New Roman" w:cs="Times New Roman"/>
                <w:color w:val="000000"/>
                <w:kern w:val="0"/>
                <w:sz w:val="24"/>
                <w:szCs w:val="24"/>
                <w:u w:val="none" w:color="auto"/>
                <w:lang w:eastAsia="zh-CN"/>
              </w:rPr>
              <w:t>花垣县花垣镇城北政务</w:t>
            </w:r>
            <w:r>
              <w:rPr>
                <w:rFonts w:hint="eastAsia" w:ascii="Times New Roman" w:hAnsi="Times New Roman" w:cs="Times New Roman"/>
                <w:color w:val="000000"/>
                <w:kern w:val="0"/>
                <w:sz w:val="24"/>
                <w:szCs w:val="24"/>
                <w:u w:val="none" w:color="auto"/>
                <w:lang w:eastAsia="zh-CN"/>
              </w:rPr>
              <w:t>中心北侧旁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867" w:type="dxa"/>
            <w:gridSpan w:val="2"/>
            <w:noWrap w:val="0"/>
            <w:tcMar>
              <w:top w:w="16" w:type="dxa"/>
              <w:left w:w="16" w:type="dxa"/>
              <w:right w:w="16" w:type="dxa"/>
            </w:tcMar>
            <w:vAlign w:val="center"/>
          </w:tcPr>
          <w:p>
            <w:pPr>
              <w:adjustRightInd w:val="0"/>
              <w:snapToGrid w:val="0"/>
              <w:rPr>
                <w:b/>
                <w:bCs/>
              </w:rPr>
            </w:pPr>
            <w:r>
              <w:rPr>
                <w:b/>
                <w:bCs/>
              </w:rPr>
              <w:t>地理坐标</w:t>
            </w:r>
          </w:p>
        </w:tc>
        <w:tc>
          <w:tcPr>
            <w:tcW w:w="7003" w:type="dxa"/>
            <w:gridSpan w:val="3"/>
            <w:noWrap w:val="0"/>
            <w:vAlign w:val="center"/>
          </w:tcPr>
          <w:p>
            <w:r>
              <w:t>（东经</w:t>
            </w:r>
            <w:r>
              <w:rPr>
                <w:u w:val="single"/>
              </w:rPr>
              <w:t>1</w:t>
            </w:r>
            <w:r>
              <w:rPr>
                <w:rFonts w:hint="eastAsia"/>
                <w:u w:val="single"/>
                <w:lang w:val="en-US" w:eastAsia="zh-CN"/>
              </w:rPr>
              <w:t>09</w:t>
            </w:r>
            <w:r>
              <w:t>度</w:t>
            </w:r>
            <w:r>
              <w:rPr>
                <w:rFonts w:hint="eastAsia"/>
                <w:u w:val="single"/>
                <w:lang w:val="en-US" w:eastAsia="zh-CN"/>
              </w:rPr>
              <w:t>27</w:t>
            </w:r>
            <w:r>
              <w:t>分</w:t>
            </w:r>
            <w:r>
              <w:rPr>
                <w:rFonts w:hint="eastAsia"/>
                <w:u w:val="single"/>
                <w:lang w:val="en-US" w:eastAsia="zh-CN"/>
              </w:rPr>
              <w:t>38.921</w:t>
            </w:r>
            <w:r>
              <w:t>秒</w:t>
            </w:r>
            <w:r>
              <w:rPr>
                <w:rFonts w:hint="eastAsia"/>
                <w:lang w:eastAsia="zh-CN"/>
              </w:rPr>
              <w:t>，</w:t>
            </w:r>
            <w:r>
              <w:t>北纬</w:t>
            </w:r>
            <w:r>
              <w:rPr>
                <w:u w:val="single"/>
              </w:rPr>
              <w:t>28</w:t>
            </w:r>
            <w:r>
              <w:t>度</w:t>
            </w:r>
            <w:r>
              <w:rPr>
                <w:rFonts w:hint="eastAsia"/>
                <w:u w:val="single"/>
                <w:lang w:val="en-US" w:eastAsia="zh-CN"/>
              </w:rPr>
              <w:t>35</w:t>
            </w:r>
            <w:r>
              <w:t>分</w:t>
            </w:r>
            <w:r>
              <w:rPr>
                <w:rFonts w:hint="eastAsia"/>
                <w:u w:val="single"/>
                <w:lang w:val="en-US" w:eastAsia="zh-CN"/>
              </w:rPr>
              <w:t>19</w:t>
            </w:r>
            <w:r>
              <w:rPr>
                <w:u w:val="single"/>
              </w:rPr>
              <w:t>.</w:t>
            </w:r>
            <w:r>
              <w:rPr>
                <w:rFonts w:hint="eastAsia"/>
                <w:u w:val="single"/>
                <w:lang w:val="en-US" w:eastAsia="zh-CN"/>
              </w:rPr>
              <w:t>643</w:t>
            </w:r>
            <w:r>
              <w:t>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1" w:hRule="atLeast"/>
          <w:jc w:val="center"/>
        </w:trPr>
        <w:tc>
          <w:tcPr>
            <w:tcW w:w="1867" w:type="dxa"/>
            <w:gridSpan w:val="2"/>
            <w:noWrap w:val="0"/>
            <w:tcMar>
              <w:top w:w="16" w:type="dxa"/>
              <w:left w:w="16" w:type="dxa"/>
              <w:right w:w="16" w:type="dxa"/>
            </w:tcMar>
            <w:vAlign w:val="center"/>
          </w:tcPr>
          <w:p>
            <w:pPr>
              <w:adjustRightInd w:val="0"/>
              <w:snapToGrid w:val="0"/>
              <w:rPr>
                <w:b/>
                <w:bCs/>
                <w:u w:val="none"/>
              </w:rPr>
            </w:pPr>
            <w:r>
              <w:rPr>
                <w:b/>
                <w:bCs/>
                <w:u w:val="none"/>
              </w:rPr>
              <w:t>国民经济</w:t>
            </w:r>
          </w:p>
          <w:p>
            <w:pPr>
              <w:adjustRightInd w:val="0"/>
              <w:snapToGrid w:val="0"/>
              <w:rPr>
                <w:b/>
                <w:bCs/>
                <w:u w:val="none"/>
              </w:rPr>
            </w:pPr>
            <w:r>
              <w:rPr>
                <w:b/>
                <w:bCs/>
                <w:u w:val="none"/>
              </w:rPr>
              <w:t>行业类别</w:t>
            </w:r>
          </w:p>
        </w:tc>
        <w:tc>
          <w:tcPr>
            <w:tcW w:w="1908" w:type="dxa"/>
            <w:noWrap w:val="0"/>
            <w:vAlign w:val="center"/>
          </w:tcPr>
          <w:p>
            <w:pPr>
              <w:adjustRightInd w:val="0"/>
              <w:snapToGrid w:val="0"/>
              <w:rPr>
                <w:rFonts w:hint="eastAsia"/>
                <w:u w:val="none"/>
              </w:rPr>
            </w:pPr>
            <w:r>
              <w:rPr>
                <w:rFonts w:hint="eastAsia"/>
                <w:sz w:val="24"/>
                <w:lang w:val="en-US" w:eastAsia="zh-CN"/>
              </w:rPr>
              <w:t>Q</w:t>
            </w:r>
            <w:r>
              <w:rPr>
                <w:rFonts w:hint="eastAsia"/>
                <w:sz w:val="24"/>
              </w:rPr>
              <w:t>841</w:t>
            </w:r>
            <w:r>
              <w:rPr>
                <w:rFonts w:hint="eastAsia"/>
                <w:sz w:val="24"/>
                <w:lang w:val="en-US" w:eastAsia="zh-CN"/>
              </w:rPr>
              <w:t>1综合</w:t>
            </w:r>
            <w:r>
              <w:rPr>
                <w:rFonts w:hint="eastAsia"/>
                <w:sz w:val="24"/>
              </w:rPr>
              <w:t>医院</w:t>
            </w:r>
          </w:p>
        </w:tc>
        <w:tc>
          <w:tcPr>
            <w:tcW w:w="2222" w:type="dxa"/>
            <w:noWrap w:val="0"/>
            <w:vAlign w:val="center"/>
          </w:tcPr>
          <w:p>
            <w:pPr>
              <w:adjustRightInd w:val="0"/>
              <w:snapToGrid w:val="0"/>
              <w:rPr>
                <w:b/>
                <w:bCs/>
                <w:u w:val="none"/>
              </w:rPr>
            </w:pPr>
            <w:bookmarkStart w:id="4" w:name="_Hlk49843745"/>
            <w:r>
              <w:rPr>
                <w:b/>
                <w:bCs/>
                <w:u w:val="none"/>
              </w:rPr>
              <w:t>建设项目</w:t>
            </w:r>
          </w:p>
          <w:p>
            <w:pPr>
              <w:adjustRightInd w:val="0"/>
              <w:snapToGrid w:val="0"/>
              <w:rPr>
                <w:b/>
                <w:bCs/>
                <w:u w:val="none"/>
              </w:rPr>
            </w:pPr>
            <w:r>
              <w:rPr>
                <w:b/>
                <w:bCs/>
                <w:u w:val="none"/>
              </w:rPr>
              <w:t>行业类别</w:t>
            </w:r>
            <w:bookmarkEnd w:id="4"/>
          </w:p>
        </w:tc>
        <w:tc>
          <w:tcPr>
            <w:tcW w:w="2873" w:type="dxa"/>
            <w:noWrap w:val="0"/>
            <w:vAlign w:val="center"/>
          </w:tcPr>
          <w:p>
            <w:pPr>
              <w:adjustRightInd w:val="0"/>
              <w:snapToGrid w:val="0"/>
              <w:rPr>
                <w:u w:val="single"/>
              </w:rPr>
            </w:pPr>
            <w:r>
              <w:rPr>
                <w:rFonts w:hint="default" w:ascii="Times New Roman" w:hAnsi="Times New Roman" w:cs="Times New Roman"/>
                <w:sz w:val="24"/>
              </w:rPr>
              <w:t>四十九、108卫生841</w:t>
            </w:r>
            <w:r>
              <w:rPr>
                <w:rFonts w:hint="eastAsia" w:ascii="Times New Roman" w:hAnsi="Times New Roman" w:cs="Times New Roman"/>
                <w:sz w:val="24"/>
                <w:lang w:eastAsia="zh-CN"/>
              </w:rPr>
              <w:t>－</w:t>
            </w:r>
            <w:r>
              <w:rPr>
                <w:rFonts w:hint="default" w:ascii="Times New Roman" w:hAnsi="Times New Roman" w:cs="Times New Roman"/>
                <w:sz w:val="24"/>
              </w:rPr>
              <w:t>其他（住院床位20张以下的除外</w:t>
            </w:r>
            <w:r>
              <w:rPr>
                <w:rFonts w:hint="eastAsia" w:ascii="Times New Roman" w:hAnsi="Times New Roman" w:cs="Times New Roman"/>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19" w:hRule="atLeast"/>
          <w:jc w:val="center"/>
        </w:trPr>
        <w:tc>
          <w:tcPr>
            <w:tcW w:w="1867" w:type="dxa"/>
            <w:gridSpan w:val="2"/>
            <w:noWrap w:val="0"/>
            <w:tcMar>
              <w:top w:w="16" w:type="dxa"/>
              <w:left w:w="16" w:type="dxa"/>
              <w:right w:w="16" w:type="dxa"/>
            </w:tcMar>
            <w:vAlign w:val="center"/>
          </w:tcPr>
          <w:p>
            <w:pPr>
              <w:adjustRightInd w:val="0"/>
              <w:snapToGrid w:val="0"/>
              <w:rPr>
                <w:b/>
                <w:bCs/>
              </w:rPr>
            </w:pPr>
            <w:r>
              <w:rPr>
                <w:b/>
                <w:bCs/>
              </w:rPr>
              <w:t>建设性质</w:t>
            </w:r>
          </w:p>
        </w:tc>
        <w:tc>
          <w:tcPr>
            <w:tcW w:w="1908" w:type="dxa"/>
            <w:noWrap w:val="0"/>
            <w:vAlign w:val="center"/>
          </w:tcPr>
          <w:p>
            <w:pPr>
              <w:jc w:val="left"/>
            </w:pPr>
            <w:r>
              <w:rPr>
                <w:rFonts w:hint="eastAsia"/>
                <w:lang w:eastAsia="zh-CN"/>
              </w:rPr>
              <w:t>☑</w:t>
            </w:r>
            <w:r>
              <w:t>新建（迁建）</w:t>
            </w:r>
          </w:p>
          <w:p>
            <w:pPr>
              <w:jc w:val="left"/>
            </w:pPr>
            <w:r>
              <w:t>□改建</w:t>
            </w:r>
          </w:p>
          <w:p>
            <w:pPr>
              <w:jc w:val="left"/>
            </w:pPr>
            <w:r>
              <w:t>□扩建</w:t>
            </w:r>
          </w:p>
          <w:p>
            <w:pPr>
              <w:jc w:val="left"/>
            </w:pPr>
            <w:r>
              <w:t>□技术改造</w:t>
            </w:r>
          </w:p>
        </w:tc>
        <w:tc>
          <w:tcPr>
            <w:tcW w:w="2222" w:type="dxa"/>
            <w:noWrap w:val="0"/>
            <w:vAlign w:val="center"/>
          </w:tcPr>
          <w:p>
            <w:pPr>
              <w:adjustRightInd w:val="0"/>
              <w:snapToGrid w:val="0"/>
              <w:rPr>
                <w:b/>
                <w:bCs/>
              </w:rPr>
            </w:pPr>
            <w:r>
              <w:rPr>
                <w:b/>
                <w:bCs/>
              </w:rPr>
              <w:t>建设项目</w:t>
            </w:r>
          </w:p>
          <w:p>
            <w:pPr>
              <w:adjustRightInd w:val="0"/>
              <w:snapToGrid w:val="0"/>
              <w:rPr>
                <w:b/>
                <w:bCs/>
              </w:rPr>
            </w:pPr>
            <w:r>
              <w:rPr>
                <w:b/>
                <w:bCs/>
              </w:rPr>
              <w:t>申报情形</w:t>
            </w:r>
          </w:p>
        </w:tc>
        <w:tc>
          <w:tcPr>
            <w:tcW w:w="2873" w:type="dxa"/>
            <w:noWrap w:val="0"/>
            <w:vAlign w:val="center"/>
          </w:tcPr>
          <w:p>
            <w:pPr>
              <w:jc w:val="left"/>
            </w:pPr>
            <w:r>
              <w:rPr>
                <w:rFonts w:hint="eastAsia"/>
                <w:lang w:eastAsia="zh-CN"/>
              </w:rPr>
              <w:t>☑</w:t>
            </w:r>
            <w:r>
              <w:t>首次申报项目</w:t>
            </w:r>
          </w:p>
          <w:p>
            <w:pPr>
              <w:jc w:val="left"/>
            </w:pPr>
            <w:r>
              <w:t>□不予批准后再次申报项目</w:t>
            </w:r>
          </w:p>
          <w:p>
            <w:pPr>
              <w:jc w:val="left"/>
            </w:pPr>
            <w:r>
              <w:t>□超五年重新审核项目</w:t>
            </w:r>
          </w:p>
          <w:p>
            <w:pPr>
              <w:jc w:val="left"/>
            </w:pPr>
            <w: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02" w:hRule="atLeast"/>
          <w:jc w:val="center"/>
        </w:trPr>
        <w:tc>
          <w:tcPr>
            <w:tcW w:w="1867" w:type="dxa"/>
            <w:gridSpan w:val="2"/>
            <w:noWrap w:val="0"/>
            <w:tcMar>
              <w:top w:w="16" w:type="dxa"/>
              <w:left w:w="16" w:type="dxa"/>
              <w:right w:w="16" w:type="dxa"/>
            </w:tcMar>
            <w:vAlign w:val="center"/>
          </w:tcPr>
          <w:p>
            <w:pPr>
              <w:adjustRightInd w:val="0"/>
              <w:snapToGrid w:val="0"/>
              <w:rPr>
                <w:b/>
                <w:bCs/>
              </w:rPr>
            </w:pPr>
            <w:r>
              <w:rPr>
                <w:b/>
                <w:bCs/>
              </w:rPr>
              <w:t>项目审批（核准/</w:t>
            </w:r>
          </w:p>
          <w:p>
            <w:pPr>
              <w:adjustRightInd w:val="0"/>
              <w:snapToGrid w:val="0"/>
              <w:rPr>
                <w:b/>
                <w:bCs/>
              </w:rPr>
            </w:pPr>
            <w:r>
              <w:rPr>
                <w:b/>
                <w:bCs/>
              </w:rPr>
              <w:t>备案）部门（选填）</w:t>
            </w:r>
          </w:p>
        </w:tc>
        <w:tc>
          <w:tcPr>
            <w:tcW w:w="1908" w:type="dxa"/>
            <w:noWrap w:val="0"/>
            <w:vAlign w:val="center"/>
          </w:tcPr>
          <w:p>
            <w:pPr>
              <w:adjustRightInd w:val="0"/>
              <w:snapToGrid w:val="0"/>
              <w:rPr>
                <w:rFonts w:hint="default" w:eastAsia="宋体"/>
                <w:lang w:val="en-US" w:eastAsia="zh-CN"/>
              </w:rPr>
            </w:pPr>
            <w:r>
              <w:rPr>
                <w:rFonts w:hint="eastAsia"/>
                <w:color w:val="auto"/>
                <w:lang w:val="en-US" w:eastAsia="zh-CN"/>
              </w:rPr>
              <w:t>花垣县发展和改革局</w:t>
            </w:r>
          </w:p>
        </w:tc>
        <w:tc>
          <w:tcPr>
            <w:tcW w:w="2222" w:type="dxa"/>
            <w:noWrap w:val="0"/>
            <w:vAlign w:val="center"/>
          </w:tcPr>
          <w:p>
            <w:pPr>
              <w:adjustRightInd w:val="0"/>
              <w:snapToGrid w:val="0"/>
              <w:rPr>
                <w:b/>
                <w:bCs/>
              </w:rPr>
            </w:pPr>
            <w:r>
              <w:rPr>
                <w:b/>
                <w:bCs/>
              </w:rPr>
              <w:t>项目审批（核准/</w:t>
            </w:r>
          </w:p>
          <w:p>
            <w:pPr>
              <w:adjustRightInd w:val="0"/>
              <w:snapToGrid w:val="0"/>
              <w:rPr>
                <w:b/>
                <w:bCs/>
              </w:rPr>
            </w:pPr>
            <w:r>
              <w:rPr>
                <w:b/>
                <w:bCs/>
              </w:rPr>
              <w:t>备案）文号（选填）</w:t>
            </w:r>
          </w:p>
        </w:tc>
        <w:tc>
          <w:tcPr>
            <w:tcW w:w="2873" w:type="dxa"/>
            <w:noWrap w:val="0"/>
            <w:vAlign w:val="center"/>
          </w:tcPr>
          <w:p>
            <w:pPr>
              <w:rPr>
                <w:rFonts w:hint="default" w:eastAsia="宋体"/>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867" w:type="dxa"/>
            <w:gridSpan w:val="2"/>
            <w:noWrap w:val="0"/>
            <w:tcMar>
              <w:top w:w="16" w:type="dxa"/>
              <w:left w:w="16" w:type="dxa"/>
              <w:right w:w="16" w:type="dxa"/>
            </w:tcMar>
            <w:vAlign w:val="center"/>
          </w:tcPr>
          <w:p>
            <w:pPr>
              <w:adjustRightInd w:val="0"/>
              <w:snapToGrid w:val="0"/>
              <w:rPr>
                <w:b/>
                <w:bCs/>
              </w:rPr>
            </w:pPr>
            <w:r>
              <w:rPr>
                <w:b/>
                <w:bCs/>
              </w:rPr>
              <w:t>总投资（万元）</w:t>
            </w:r>
          </w:p>
        </w:tc>
        <w:tc>
          <w:tcPr>
            <w:tcW w:w="1908" w:type="dxa"/>
            <w:noWrap w:val="0"/>
            <w:vAlign w:val="center"/>
          </w:tcPr>
          <w:p>
            <w:pPr>
              <w:adjustRightInd w:val="0"/>
              <w:snapToGrid w:val="0"/>
              <w:rPr>
                <w:rFonts w:hint="default" w:eastAsia="宋体"/>
                <w:lang w:val="en-US" w:eastAsia="zh-CN"/>
              </w:rPr>
            </w:pPr>
            <w:r>
              <w:rPr>
                <w:rFonts w:hint="eastAsia"/>
                <w:color w:val="auto"/>
                <w:lang w:val="en-US" w:eastAsia="zh-CN"/>
              </w:rPr>
              <w:t>100</w:t>
            </w:r>
          </w:p>
        </w:tc>
        <w:tc>
          <w:tcPr>
            <w:tcW w:w="2222" w:type="dxa"/>
            <w:noWrap w:val="0"/>
            <w:tcMar>
              <w:top w:w="16" w:type="dxa"/>
              <w:left w:w="16" w:type="dxa"/>
              <w:right w:w="16" w:type="dxa"/>
            </w:tcMar>
            <w:vAlign w:val="center"/>
          </w:tcPr>
          <w:p>
            <w:pPr>
              <w:adjustRightInd w:val="0"/>
              <w:snapToGrid w:val="0"/>
              <w:rPr>
                <w:b/>
                <w:bCs/>
              </w:rPr>
            </w:pPr>
            <w:r>
              <w:rPr>
                <w:b/>
                <w:bCs/>
              </w:rPr>
              <w:t>环保投资（万元）</w:t>
            </w:r>
          </w:p>
        </w:tc>
        <w:tc>
          <w:tcPr>
            <w:tcW w:w="2873" w:type="dxa"/>
            <w:noWrap w:val="0"/>
            <w:vAlign w:val="center"/>
          </w:tcPr>
          <w:p>
            <w:pPr>
              <w:adjustRightInd w:val="0"/>
              <w:snapToGrid w:val="0"/>
              <w:rPr>
                <w:rFonts w:hint="default" w:eastAsia="宋体"/>
                <w:u w:val="single"/>
                <w:lang w:val="en-US" w:eastAsia="zh-CN"/>
              </w:rPr>
            </w:pPr>
            <w:r>
              <w:rPr>
                <w:rFonts w:hint="eastAsia"/>
                <w:u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867" w:type="dxa"/>
            <w:gridSpan w:val="2"/>
            <w:noWrap w:val="0"/>
            <w:tcMar>
              <w:top w:w="16" w:type="dxa"/>
              <w:left w:w="16" w:type="dxa"/>
              <w:right w:w="16" w:type="dxa"/>
            </w:tcMar>
            <w:vAlign w:val="center"/>
          </w:tcPr>
          <w:p>
            <w:pPr>
              <w:adjustRightInd w:val="0"/>
              <w:snapToGrid w:val="0"/>
              <w:rPr>
                <w:b/>
                <w:bCs/>
              </w:rPr>
            </w:pPr>
            <w:r>
              <w:rPr>
                <w:b/>
                <w:bCs/>
              </w:rPr>
              <w:t>环保投资占比（%）</w:t>
            </w:r>
          </w:p>
        </w:tc>
        <w:tc>
          <w:tcPr>
            <w:tcW w:w="1908" w:type="dxa"/>
            <w:noWrap w:val="0"/>
            <w:vAlign w:val="center"/>
          </w:tcPr>
          <w:p>
            <w:pPr>
              <w:adjustRightInd w:val="0"/>
              <w:snapToGrid w:val="0"/>
              <w:rPr>
                <w:rFonts w:hint="default" w:eastAsia="宋体"/>
                <w:u w:val="single"/>
                <w:lang w:val="en-US" w:eastAsia="zh-CN"/>
              </w:rPr>
            </w:pPr>
            <w:r>
              <w:rPr>
                <w:rFonts w:hint="eastAsia"/>
                <w:u w:val="none"/>
                <w:lang w:val="en-US" w:eastAsia="zh-CN"/>
              </w:rPr>
              <w:t>5</w:t>
            </w:r>
          </w:p>
        </w:tc>
        <w:tc>
          <w:tcPr>
            <w:tcW w:w="2222" w:type="dxa"/>
            <w:noWrap w:val="0"/>
            <w:tcMar>
              <w:top w:w="16" w:type="dxa"/>
              <w:left w:w="16" w:type="dxa"/>
              <w:right w:w="16" w:type="dxa"/>
            </w:tcMar>
            <w:vAlign w:val="center"/>
          </w:tcPr>
          <w:p>
            <w:pPr>
              <w:rPr>
                <w:b/>
                <w:bCs/>
              </w:rPr>
            </w:pPr>
            <w:r>
              <w:rPr>
                <w:b/>
                <w:bCs/>
              </w:rPr>
              <w:t>施工工期</w:t>
            </w:r>
          </w:p>
        </w:tc>
        <w:tc>
          <w:tcPr>
            <w:tcW w:w="2873" w:type="dxa"/>
            <w:noWrap w:val="0"/>
            <w:vAlign w:val="center"/>
          </w:tcPr>
          <w:p>
            <w:pPr>
              <w:adjustRightInd w:val="0"/>
              <w:snapToGrid w:val="0"/>
            </w:pPr>
            <w:r>
              <w:rPr>
                <w:rFonts w:hint="eastAsia"/>
                <w:lang w:val="en-US" w:eastAsia="zh-CN"/>
              </w:rPr>
              <w:t>1</w:t>
            </w:r>
            <w:r>
              <w:t>个月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867" w:type="dxa"/>
            <w:gridSpan w:val="2"/>
            <w:noWrap w:val="0"/>
            <w:tcMar>
              <w:top w:w="16" w:type="dxa"/>
              <w:left w:w="16" w:type="dxa"/>
              <w:right w:w="16" w:type="dxa"/>
            </w:tcMar>
            <w:vAlign w:val="center"/>
          </w:tcPr>
          <w:p>
            <w:pPr>
              <w:adjustRightInd w:val="0"/>
              <w:snapToGrid w:val="0"/>
              <w:rPr>
                <w:b/>
                <w:bCs/>
              </w:rPr>
            </w:pPr>
            <w:r>
              <w:rPr>
                <w:b/>
                <w:bCs/>
              </w:rPr>
              <w:t>是否开工建设</w:t>
            </w:r>
          </w:p>
        </w:tc>
        <w:tc>
          <w:tcPr>
            <w:tcW w:w="1908" w:type="dxa"/>
            <w:noWrap w:val="0"/>
            <w:vAlign w:val="center"/>
          </w:tcPr>
          <w:p>
            <w:pPr>
              <w:adjustRightInd w:val="0"/>
              <w:snapToGrid w:val="0"/>
              <w:jc w:val="left"/>
            </w:pPr>
            <w:r>
              <w:rPr>
                <w:rFonts w:hint="eastAsia"/>
              </w:rPr>
              <w:sym w:font="Wingdings 2" w:char="0052"/>
            </w:r>
            <w:r>
              <w:t>否</w:t>
            </w:r>
          </w:p>
          <w:p>
            <w:pPr>
              <w:adjustRightInd w:val="0"/>
              <w:snapToGrid w:val="0"/>
              <w:jc w:val="left"/>
            </w:pPr>
            <w:r>
              <w:rPr>
                <w:rFonts w:hint="eastAsia"/>
              </w:rPr>
              <w:t>□</w:t>
            </w:r>
            <w:r>
              <w:t>是</w:t>
            </w:r>
            <w:r>
              <w:rPr>
                <w:rFonts w:hint="eastAsia"/>
                <w:lang w:eastAsia="zh-CN"/>
              </w:rPr>
              <w:t>：</w:t>
            </w:r>
            <w:r>
              <w:rPr>
                <w:sz w:val="24"/>
                <w:u w:val="single"/>
              </w:rPr>
              <w:t xml:space="preserve">         </w:t>
            </w:r>
          </w:p>
        </w:tc>
        <w:tc>
          <w:tcPr>
            <w:tcW w:w="2222" w:type="dxa"/>
            <w:noWrap w:val="0"/>
            <w:tcMar>
              <w:top w:w="16" w:type="dxa"/>
              <w:left w:w="16" w:type="dxa"/>
              <w:right w:w="16" w:type="dxa"/>
            </w:tcMar>
            <w:vAlign w:val="center"/>
          </w:tcPr>
          <w:p>
            <w:pPr>
              <w:adjustRightInd w:val="0"/>
              <w:snapToGrid w:val="0"/>
              <w:rPr>
                <w:b/>
                <w:bCs/>
              </w:rPr>
            </w:pPr>
            <w:r>
              <w:rPr>
                <w:b/>
                <w:bCs/>
              </w:rPr>
              <w:t>用地（用海）</w:t>
            </w:r>
          </w:p>
          <w:p>
            <w:pPr>
              <w:adjustRightInd w:val="0"/>
              <w:snapToGrid w:val="0"/>
              <w:rPr>
                <w:b/>
                <w:bCs/>
              </w:rPr>
            </w:pPr>
            <w:r>
              <w:rPr>
                <w:b/>
                <w:bCs/>
              </w:rPr>
              <w:t>面积（m</w:t>
            </w:r>
            <w:r>
              <w:rPr>
                <w:b/>
                <w:bCs/>
                <w:vertAlign w:val="superscript"/>
              </w:rPr>
              <w:t>2</w:t>
            </w:r>
            <w:r>
              <w:rPr>
                <w:b/>
                <w:bCs/>
              </w:rPr>
              <w:t>）</w:t>
            </w:r>
          </w:p>
        </w:tc>
        <w:tc>
          <w:tcPr>
            <w:tcW w:w="2873" w:type="dxa"/>
            <w:noWrap w:val="0"/>
            <w:vAlign w:val="center"/>
          </w:tcPr>
          <w:p>
            <w:pPr>
              <w:adjustRightInd w:val="0"/>
              <w:snapToGrid w:val="0"/>
              <w:rPr>
                <w:rFonts w:hint="default"/>
                <w:lang w:val="en-US" w:eastAsia="zh-CN"/>
              </w:rPr>
            </w:pPr>
            <w:r>
              <w:rPr>
                <w:rFonts w:hint="eastAsia"/>
                <w:lang w:val="en-US" w:eastAsia="zh-CN"/>
              </w:rPr>
              <w:t>1355.9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1867" w:type="dxa"/>
            <w:gridSpan w:val="2"/>
            <w:noWrap w:val="0"/>
            <w:vAlign w:val="center"/>
          </w:tcPr>
          <w:p>
            <w:pPr>
              <w:autoSpaceDE w:val="0"/>
              <w:autoSpaceDN w:val="0"/>
              <w:adjustRightInd w:val="0"/>
              <w:snapToGrid w:val="0"/>
              <w:rPr>
                <w:b/>
                <w:bCs/>
              </w:rPr>
            </w:pPr>
            <w:r>
              <w:rPr>
                <w:b/>
                <w:bCs/>
              </w:rPr>
              <w:t>专项评价设置情况</w:t>
            </w:r>
          </w:p>
        </w:tc>
        <w:tc>
          <w:tcPr>
            <w:tcW w:w="7003" w:type="dxa"/>
            <w:gridSpan w:val="3"/>
            <w:noWrap w:val="0"/>
            <w:vAlign w:val="center"/>
          </w:tcPr>
          <w:p>
            <w:pPr>
              <w:pStyle w:val="51"/>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表1-</w:t>
            </w:r>
            <w:r>
              <w:rPr>
                <w:rFonts w:hint="default" w:ascii="Times New Roman" w:hAnsi="Times New Roman" w:eastAsia="宋体" w:cs="Times New Roman"/>
                <w:b/>
                <w:bCs/>
                <w:color w:val="auto"/>
                <w:sz w:val="21"/>
                <w:szCs w:val="21"/>
                <w:u w:val="none"/>
                <w:lang w:val="en-US" w:eastAsia="zh-CN"/>
              </w:rPr>
              <w:t xml:space="preserve">1  </w:t>
            </w:r>
            <w:r>
              <w:rPr>
                <w:rFonts w:hint="default" w:ascii="Times New Roman" w:hAnsi="Times New Roman" w:eastAsia="宋体" w:cs="Times New Roman"/>
                <w:b/>
                <w:bCs/>
                <w:color w:val="auto"/>
                <w:sz w:val="21"/>
                <w:szCs w:val="21"/>
                <w:u w:val="none"/>
              </w:rPr>
              <w:t>专项评价设置原则表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3129"/>
              <w:gridCol w:w="1966"/>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noWrap w:val="0"/>
                  <w:vAlign w:val="center"/>
                </w:tcPr>
                <w:p>
                  <w:pPr>
                    <w:widowControl w:val="0"/>
                    <w:jc w:val="center"/>
                    <w:textAlignment w:val="center"/>
                    <w:rPr>
                      <w:b/>
                      <w:sz w:val="21"/>
                      <w:szCs w:val="21"/>
                    </w:rPr>
                  </w:pPr>
                  <w:r>
                    <w:rPr>
                      <w:b/>
                      <w:sz w:val="21"/>
                      <w:szCs w:val="21"/>
                    </w:rPr>
                    <w:t>专项评价的类别</w:t>
                  </w:r>
                </w:p>
              </w:tc>
              <w:tc>
                <w:tcPr>
                  <w:tcW w:w="3129" w:type="dxa"/>
                  <w:noWrap w:val="0"/>
                  <w:vAlign w:val="center"/>
                </w:tcPr>
                <w:p>
                  <w:pPr>
                    <w:widowControl w:val="0"/>
                    <w:jc w:val="center"/>
                    <w:textAlignment w:val="center"/>
                    <w:rPr>
                      <w:b/>
                      <w:sz w:val="21"/>
                      <w:szCs w:val="21"/>
                    </w:rPr>
                  </w:pPr>
                  <w:r>
                    <w:rPr>
                      <w:b/>
                      <w:sz w:val="21"/>
                      <w:szCs w:val="21"/>
                    </w:rPr>
                    <w:t>设置原则</w:t>
                  </w:r>
                </w:p>
              </w:tc>
              <w:tc>
                <w:tcPr>
                  <w:tcW w:w="1966" w:type="dxa"/>
                  <w:noWrap w:val="0"/>
                  <w:vAlign w:val="center"/>
                </w:tcPr>
                <w:p>
                  <w:pPr>
                    <w:widowControl w:val="0"/>
                    <w:jc w:val="center"/>
                    <w:textAlignment w:val="center"/>
                    <w:rPr>
                      <w:b/>
                      <w:sz w:val="21"/>
                      <w:szCs w:val="21"/>
                    </w:rPr>
                  </w:pPr>
                  <w:r>
                    <w:rPr>
                      <w:b/>
                      <w:sz w:val="21"/>
                      <w:szCs w:val="21"/>
                    </w:rPr>
                    <w:t>本项目情况</w:t>
                  </w:r>
                </w:p>
              </w:tc>
              <w:tc>
                <w:tcPr>
                  <w:tcW w:w="720" w:type="dxa"/>
                  <w:noWrap w:val="0"/>
                  <w:vAlign w:val="center"/>
                </w:tcPr>
                <w:p>
                  <w:pPr>
                    <w:widowControl w:val="0"/>
                    <w:jc w:val="center"/>
                    <w:textAlignment w:val="center"/>
                    <w:rPr>
                      <w:b/>
                      <w:sz w:val="21"/>
                      <w:szCs w:val="21"/>
                    </w:rPr>
                  </w:pPr>
                  <w:r>
                    <w:rPr>
                      <w:b/>
                      <w:sz w:val="21"/>
                      <w:szCs w:val="21"/>
                    </w:rPr>
                    <w:t>设置</w:t>
                  </w:r>
                </w:p>
                <w:p>
                  <w:pPr>
                    <w:widowControl w:val="0"/>
                    <w:jc w:val="center"/>
                    <w:textAlignment w:val="center"/>
                    <w:rPr>
                      <w:b/>
                      <w:sz w:val="21"/>
                      <w:szCs w:val="21"/>
                    </w:rPr>
                  </w:pPr>
                  <w:r>
                    <w:rPr>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noWrap w:val="0"/>
                  <w:vAlign w:val="center"/>
                </w:tcPr>
                <w:p>
                  <w:pPr>
                    <w:widowControl w:val="0"/>
                    <w:jc w:val="center"/>
                    <w:textAlignment w:val="center"/>
                    <w:rPr>
                      <w:sz w:val="21"/>
                      <w:szCs w:val="21"/>
                    </w:rPr>
                  </w:pPr>
                  <w:r>
                    <w:rPr>
                      <w:sz w:val="21"/>
                      <w:szCs w:val="21"/>
                    </w:rPr>
                    <w:t>大气</w:t>
                  </w:r>
                </w:p>
              </w:tc>
              <w:tc>
                <w:tcPr>
                  <w:tcW w:w="3129" w:type="dxa"/>
                  <w:noWrap w:val="0"/>
                  <w:vAlign w:val="center"/>
                </w:tcPr>
                <w:p>
                  <w:pPr>
                    <w:widowControl w:val="0"/>
                    <w:jc w:val="center"/>
                    <w:textAlignment w:val="center"/>
                    <w:rPr>
                      <w:sz w:val="21"/>
                      <w:szCs w:val="21"/>
                    </w:rPr>
                  </w:pPr>
                  <w:r>
                    <w:rPr>
                      <w:sz w:val="21"/>
                      <w:szCs w:val="21"/>
                    </w:rPr>
                    <w:t>排放废气含有毒有害污染物、二噁英、苯并[a]芘、氰化物、氯气且厂界外500米范围内有环境空气保护目标的建设项目</w:t>
                  </w:r>
                </w:p>
              </w:tc>
              <w:tc>
                <w:tcPr>
                  <w:tcW w:w="1966" w:type="dxa"/>
                  <w:noWrap w:val="0"/>
                  <w:vAlign w:val="center"/>
                </w:tcPr>
                <w:p>
                  <w:pPr>
                    <w:widowControl w:val="0"/>
                    <w:jc w:val="center"/>
                    <w:textAlignment w:val="center"/>
                    <w:rPr>
                      <w:sz w:val="21"/>
                      <w:szCs w:val="21"/>
                    </w:rPr>
                  </w:pPr>
                  <w:r>
                    <w:rPr>
                      <w:sz w:val="21"/>
                      <w:szCs w:val="21"/>
                    </w:rPr>
                    <w:t>不排放有毒有害污染物、二噁英、苯并[a]芘、氰化物、氯气</w:t>
                  </w:r>
                </w:p>
              </w:tc>
              <w:tc>
                <w:tcPr>
                  <w:tcW w:w="720" w:type="dxa"/>
                  <w:noWrap w:val="0"/>
                  <w:vAlign w:val="center"/>
                </w:tcPr>
                <w:p>
                  <w:pPr>
                    <w:widowControl w:val="0"/>
                    <w:jc w:val="center"/>
                    <w:textAlignment w:val="center"/>
                    <w:rPr>
                      <w:sz w:val="21"/>
                      <w:szCs w:val="21"/>
                    </w:rPr>
                  </w:pPr>
                  <w:r>
                    <w:rPr>
                      <w:sz w:val="21"/>
                      <w:szCs w:val="21"/>
                    </w:rPr>
                    <w:t>不需</w:t>
                  </w:r>
                </w:p>
                <w:p>
                  <w:pPr>
                    <w:widowControl w:val="0"/>
                    <w:jc w:val="center"/>
                    <w:textAlignment w:val="center"/>
                    <w:rPr>
                      <w:sz w:val="21"/>
                      <w:szCs w:val="21"/>
                    </w:rPr>
                  </w:pPr>
                  <w:r>
                    <w:rPr>
                      <w:sz w:val="21"/>
                      <w:szCs w:val="21"/>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noWrap w:val="0"/>
                  <w:vAlign w:val="center"/>
                </w:tcPr>
                <w:p>
                  <w:pPr>
                    <w:widowControl w:val="0"/>
                    <w:jc w:val="center"/>
                    <w:textAlignment w:val="center"/>
                    <w:rPr>
                      <w:sz w:val="21"/>
                      <w:szCs w:val="21"/>
                    </w:rPr>
                  </w:pPr>
                  <w:r>
                    <w:rPr>
                      <w:sz w:val="21"/>
                      <w:szCs w:val="21"/>
                    </w:rPr>
                    <w:t>地表水</w:t>
                  </w:r>
                </w:p>
              </w:tc>
              <w:tc>
                <w:tcPr>
                  <w:tcW w:w="3129" w:type="dxa"/>
                  <w:noWrap w:val="0"/>
                  <w:vAlign w:val="center"/>
                </w:tcPr>
                <w:p>
                  <w:pPr>
                    <w:widowControl w:val="0"/>
                    <w:jc w:val="center"/>
                    <w:textAlignment w:val="center"/>
                    <w:rPr>
                      <w:sz w:val="21"/>
                      <w:szCs w:val="21"/>
                    </w:rPr>
                  </w:pPr>
                  <w:r>
                    <w:rPr>
                      <w:sz w:val="21"/>
                      <w:szCs w:val="21"/>
                    </w:rPr>
                    <w:t>新增工业废水直排建设项目（槽罐车外送污水处理厂的除外）；新增废水直排的污水集中处理厂</w:t>
                  </w:r>
                </w:p>
              </w:tc>
              <w:tc>
                <w:tcPr>
                  <w:tcW w:w="1966" w:type="dxa"/>
                  <w:noWrap w:val="0"/>
                  <w:vAlign w:val="center"/>
                </w:tcPr>
                <w:p>
                  <w:pPr>
                    <w:widowControl w:val="0"/>
                    <w:jc w:val="center"/>
                    <w:textAlignment w:val="center"/>
                    <w:rPr>
                      <w:rFonts w:hint="default" w:eastAsia="宋体"/>
                      <w:sz w:val="21"/>
                      <w:szCs w:val="21"/>
                      <w:lang w:val="en-US" w:eastAsia="zh-CN"/>
                    </w:rPr>
                  </w:pPr>
                  <w:r>
                    <w:rPr>
                      <w:rFonts w:hint="default" w:eastAsia="宋体"/>
                      <w:sz w:val="21"/>
                      <w:szCs w:val="21"/>
                      <w:lang w:val="en-US" w:eastAsia="zh-CN"/>
                    </w:rPr>
                    <w:t>本项目</w:t>
                  </w:r>
                  <w:r>
                    <w:rPr>
                      <w:rFonts w:hint="eastAsia" w:eastAsia="宋体"/>
                      <w:sz w:val="21"/>
                      <w:szCs w:val="21"/>
                      <w:lang w:val="en-US" w:eastAsia="zh-CN"/>
                    </w:rPr>
                    <w:t>废水经</w:t>
                  </w:r>
                  <w:r>
                    <w:rPr>
                      <w:rFonts w:hint="default" w:eastAsia="宋体"/>
                      <w:sz w:val="21"/>
                      <w:szCs w:val="21"/>
                      <w:lang w:val="en-US" w:eastAsia="zh-CN"/>
                    </w:rPr>
                    <w:t>市政污水管网，进入花垣县污水处理厂</w:t>
                  </w:r>
                </w:p>
              </w:tc>
              <w:tc>
                <w:tcPr>
                  <w:tcW w:w="720" w:type="dxa"/>
                  <w:noWrap w:val="0"/>
                  <w:vAlign w:val="center"/>
                </w:tcPr>
                <w:p>
                  <w:pPr>
                    <w:widowControl w:val="0"/>
                    <w:jc w:val="center"/>
                    <w:textAlignment w:val="center"/>
                    <w:rPr>
                      <w:sz w:val="21"/>
                      <w:szCs w:val="21"/>
                    </w:rPr>
                  </w:pPr>
                  <w:r>
                    <w:rPr>
                      <w:rFonts w:hint="eastAsia"/>
                      <w:sz w:val="21"/>
                      <w:szCs w:val="21"/>
                    </w:rPr>
                    <w:t>不</w:t>
                  </w:r>
                  <w:r>
                    <w:rPr>
                      <w:sz w:val="21"/>
                      <w:szCs w:val="21"/>
                    </w:rPr>
                    <w:t>需</w:t>
                  </w:r>
                </w:p>
                <w:p>
                  <w:pPr>
                    <w:widowControl w:val="0"/>
                    <w:jc w:val="center"/>
                    <w:textAlignment w:val="center"/>
                    <w:rPr>
                      <w:sz w:val="21"/>
                      <w:szCs w:val="21"/>
                    </w:rPr>
                  </w:pPr>
                  <w:r>
                    <w:rPr>
                      <w:sz w:val="21"/>
                      <w:szCs w:val="21"/>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noWrap w:val="0"/>
                  <w:vAlign w:val="center"/>
                </w:tcPr>
                <w:p>
                  <w:pPr>
                    <w:widowControl w:val="0"/>
                    <w:jc w:val="center"/>
                    <w:textAlignment w:val="center"/>
                    <w:rPr>
                      <w:sz w:val="21"/>
                      <w:szCs w:val="21"/>
                    </w:rPr>
                  </w:pPr>
                  <w:r>
                    <w:rPr>
                      <w:sz w:val="21"/>
                      <w:szCs w:val="21"/>
                    </w:rPr>
                    <w:t>环境</w:t>
                  </w:r>
                </w:p>
                <w:p>
                  <w:pPr>
                    <w:widowControl w:val="0"/>
                    <w:jc w:val="center"/>
                    <w:textAlignment w:val="center"/>
                    <w:rPr>
                      <w:sz w:val="21"/>
                      <w:szCs w:val="21"/>
                    </w:rPr>
                  </w:pPr>
                  <w:r>
                    <w:rPr>
                      <w:sz w:val="21"/>
                      <w:szCs w:val="21"/>
                    </w:rPr>
                    <w:t>风险</w:t>
                  </w:r>
                </w:p>
              </w:tc>
              <w:tc>
                <w:tcPr>
                  <w:tcW w:w="3129" w:type="dxa"/>
                  <w:noWrap w:val="0"/>
                  <w:vAlign w:val="center"/>
                </w:tcPr>
                <w:p>
                  <w:pPr>
                    <w:widowControl w:val="0"/>
                    <w:jc w:val="center"/>
                    <w:textAlignment w:val="center"/>
                    <w:rPr>
                      <w:sz w:val="21"/>
                      <w:szCs w:val="21"/>
                    </w:rPr>
                  </w:pPr>
                  <w:r>
                    <w:rPr>
                      <w:sz w:val="21"/>
                      <w:szCs w:val="21"/>
                    </w:rPr>
                    <w:t>有毒有害和易燃易爆危险物质存储量超过临界量的建设项目</w:t>
                  </w:r>
                </w:p>
              </w:tc>
              <w:tc>
                <w:tcPr>
                  <w:tcW w:w="1966" w:type="dxa"/>
                  <w:noWrap w:val="0"/>
                  <w:vAlign w:val="center"/>
                </w:tcPr>
                <w:p>
                  <w:pPr>
                    <w:widowControl w:val="0"/>
                    <w:jc w:val="center"/>
                    <w:textAlignment w:val="center"/>
                    <w:rPr>
                      <w:sz w:val="21"/>
                      <w:szCs w:val="21"/>
                    </w:rPr>
                  </w:pPr>
                  <w:r>
                    <w:rPr>
                      <w:sz w:val="21"/>
                      <w:szCs w:val="21"/>
                    </w:rPr>
                    <w:t>本项目Q＜1</w:t>
                  </w:r>
                </w:p>
              </w:tc>
              <w:tc>
                <w:tcPr>
                  <w:tcW w:w="720" w:type="dxa"/>
                  <w:noWrap w:val="0"/>
                  <w:vAlign w:val="center"/>
                </w:tcPr>
                <w:p>
                  <w:pPr>
                    <w:widowControl w:val="0"/>
                    <w:jc w:val="center"/>
                    <w:textAlignment w:val="center"/>
                    <w:rPr>
                      <w:sz w:val="21"/>
                      <w:szCs w:val="21"/>
                    </w:rPr>
                  </w:pPr>
                  <w:r>
                    <w:rPr>
                      <w:sz w:val="21"/>
                      <w:szCs w:val="21"/>
                    </w:rPr>
                    <w:t>不需</w:t>
                  </w:r>
                </w:p>
                <w:p>
                  <w:pPr>
                    <w:widowControl w:val="0"/>
                    <w:jc w:val="center"/>
                    <w:textAlignment w:val="center"/>
                    <w:rPr>
                      <w:sz w:val="21"/>
                      <w:szCs w:val="21"/>
                    </w:rPr>
                  </w:pPr>
                  <w:r>
                    <w:rPr>
                      <w:sz w:val="21"/>
                      <w:szCs w:val="21"/>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noWrap w:val="0"/>
                  <w:vAlign w:val="center"/>
                </w:tcPr>
                <w:p>
                  <w:pPr>
                    <w:widowControl w:val="0"/>
                    <w:jc w:val="center"/>
                    <w:textAlignment w:val="center"/>
                    <w:rPr>
                      <w:sz w:val="21"/>
                      <w:szCs w:val="21"/>
                    </w:rPr>
                  </w:pPr>
                  <w:r>
                    <w:rPr>
                      <w:sz w:val="21"/>
                      <w:szCs w:val="21"/>
                    </w:rPr>
                    <w:t>生态</w:t>
                  </w:r>
                </w:p>
              </w:tc>
              <w:tc>
                <w:tcPr>
                  <w:tcW w:w="3129" w:type="dxa"/>
                  <w:noWrap w:val="0"/>
                  <w:vAlign w:val="center"/>
                </w:tcPr>
                <w:p>
                  <w:pPr>
                    <w:widowControl w:val="0"/>
                    <w:jc w:val="center"/>
                    <w:textAlignment w:val="center"/>
                    <w:rPr>
                      <w:sz w:val="21"/>
                      <w:szCs w:val="21"/>
                    </w:rPr>
                  </w:pPr>
                  <w:r>
                    <w:rPr>
                      <w:sz w:val="21"/>
                      <w:szCs w:val="21"/>
                    </w:rPr>
                    <w:t>取水口下游500米范围内有重要水生生物的自然产卵场、索饵场、越冬场和洄游通道的新增河道取水的污染类建设项目</w:t>
                  </w:r>
                </w:p>
              </w:tc>
              <w:tc>
                <w:tcPr>
                  <w:tcW w:w="1966" w:type="dxa"/>
                  <w:noWrap w:val="0"/>
                  <w:vAlign w:val="center"/>
                </w:tcPr>
                <w:p>
                  <w:pPr>
                    <w:widowControl w:val="0"/>
                    <w:jc w:val="center"/>
                    <w:textAlignment w:val="center"/>
                    <w:rPr>
                      <w:sz w:val="21"/>
                      <w:szCs w:val="21"/>
                    </w:rPr>
                  </w:pPr>
                  <w:r>
                    <w:rPr>
                      <w:sz w:val="21"/>
                      <w:szCs w:val="21"/>
                    </w:rPr>
                    <w:t>本项目不属于新增河道取水等项目</w:t>
                  </w:r>
                </w:p>
              </w:tc>
              <w:tc>
                <w:tcPr>
                  <w:tcW w:w="720" w:type="dxa"/>
                  <w:noWrap w:val="0"/>
                  <w:vAlign w:val="center"/>
                </w:tcPr>
                <w:p>
                  <w:pPr>
                    <w:widowControl w:val="0"/>
                    <w:jc w:val="center"/>
                    <w:textAlignment w:val="center"/>
                    <w:rPr>
                      <w:sz w:val="21"/>
                      <w:szCs w:val="21"/>
                    </w:rPr>
                  </w:pPr>
                  <w:r>
                    <w:rPr>
                      <w:sz w:val="21"/>
                      <w:szCs w:val="21"/>
                    </w:rPr>
                    <w:t>不需</w:t>
                  </w:r>
                </w:p>
                <w:p>
                  <w:pPr>
                    <w:widowControl w:val="0"/>
                    <w:jc w:val="center"/>
                    <w:textAlignment w:val="center"/>
                    <w:rPr>
                      <w:sz w:val="21"/>
                      <w:szCs w:val="21"/>
                    </w:rPr>
                  </w:pPr>
                  <w:r>
                    <w:rPr>
                      <w:sz w:val="21"/>
                      <w:szCs w:val="21"/>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noWrap w:val="0"/>
                  <w:vAlign w:val="center"/>
                </w:tcPr>
                <w:p>
                  <w:pPr>
                    <w:widowControl w:val="0"/>
                    <w:jc w:val="center"/>
                    <w:textAlignment w:val="center"/>
                    <w:rPr>
                      <w:sz w:val="21"/>
                      <w:szCs w:val="21"/>
                    </w:rPr>
                  </w:pPr>
                  <w:r>
                    <w:rPr>
                      <w:sz w:val="21"/>
                      <w:szCs w:val="21"/>
                    </w:rPr>
                    <w:t>海洋</w:t>
                  </w:r>
                </w:p>
              </w:tc>
              <w:tc>
                <w:tcPr>
                  <w:tcW w:w="3129" w:type="dxa"/>
                  <w:noWrap w:val="0"/>
                  <w:vAlign w:val="center"/>
                </w:tcPr>
                <w:p>
                  <w:pPr>
                    <w:widowControl w:val="0"/>
                    <w:jc w:val="center"/>
                    <w:textAlignment w:val="center"/>
                    <w:rPr>
                      <w:sz w:val="21"/>
                      <w:szCs w:val="21"/>
                    </w:rPr>
                  </w:pPr>
                  <w:r>
                    <w:rPr>
                      <w:sz w:val="21"/>
                      <w:szCs w:val="21"/>
                    </w:rPr>
                    <w:t>直接向海排放污染物的海洋工程建设项目</w:t>
                  </w:r>
                </w:p>
              </w:tc>
              <w:tc>
                <w:tcPr>
                  <w:tcW w:w="1966" w:type="dxa"/>
                  <w:noWrap w:val="0"/>
                  <w:vAlign w:val="center"/>
                </w:tcPr>
                <w:p>
                  <w:pPr>
                    <w:widowControl w:val="0"/>
                    <w:jc w:val="center"/>
                    <w:textAlignment w:val="center"/>
                    <w:rPr>
                      <w:sz w:val="21"/>
                      <w:szCs w:val="21"/>
                    </w:rPr>
                  </w:pPr>
                  <w:r>
                    <w:rPr>
                      <w:sz w:val="21"/>
                      <w:szCs w:val="21"/>
                    </w:rPr>
                    <w:t>本项目不属于直接向海排放污染物的海洋工程建设项目</w:t>
                  </w:r>
                </w:p>
              </w:tc>
              <w:tc>
                <w:tcPr>
                  <w:tcW w:w="720" w:type="dxa"/>
                  <w:noWrap w:val="0"/>
                  <w:vAlign w:val="center"/>
                </w:tcPr>
                <w:p>
                  <w:pPr>
                    <w:widowControl w:val="0"/>
                    <w:jc w:val="center"/>
                    <w:textAlignment w:val="center"/>
                    <w:rPr>
                      <w:sz w:val="21"/>
                      <w:szCs w:val="21"/>
                    </w:rPr>
                  </w:pPr>
                  <w:r>
                    <w:rPr>
                      <w:sz w:val="21"/>
                      <w:szCs w:val="21"/>
                    </w:rPr>
                    <w:t>不需</w:t>
                  </w:r>
                </w:p>
                <w:p>
                  <w:pPr>
                    <w:widowControl w:val="0"/>
                    <w:jc w:val="center"/>
                    <w:textAlignment w:val="center"/>
                    <w:rPr>
                      <w:sz w:val="21"/>
                      <w:szCs w:val="21"/>
                    </w:rPr>
                  </w:pPr>
                  <w:r>
                    <w:rPr>
                      <w:sz w:val="21"/>
                      <w:szCs w:val="21"/>
                    </w:rPr>
                    <w:t>设置</w:t>
                  </w:r>
                </w:p>
              </w:tc>
            </w:tr>
          </w:tbl>
          <w:p>
            <w:pPr>
              <w:pStyle w:val="98"/>
              <w:ind w:firstLine="480"/>
              <w:rPr>
                <w:sz w:val="24"/>
                <w:szCs w:val="24"/>
              </w:rPr>
            </w:pPr>
            <w:r>
              <w:rPr>
                <w:rFonts w:hint="eastAsia"/>
                <w:color w:val="auto"/>
                <w:sz w:val="24"/>
                <w:szCs w:val="24"/>
                <w:u w:val="none"/>
                <w:lang w:val="en-US" w:eastAsia="zh-CN"/>
              </w:rPr>
              <w:t>根据上表可知，</w:t>
            </w:r>
            <w:r>
              <w:rPr>
                <w:rFonts w:hint="eastAsia"/>
                <w:color w:val="auto"/>
                <w:sz w:val="24"/>
                <w:szCs w:val="24"/>
                <w:u w:val="none"/>
              </w:rPr>
              <w:t>本项目不涉及专项评价设置原则表中规定的地表水、地下水、生态、大气、噪声、环境风险需开展专项评价的类别，因此无需开展专项评价</w:t>
            </w:r>
            <w:r>
              <w:rPr>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1867" w:type="dxa"/>
            <w:gridSpan w:val="2"/>
            <w:noWrap w:val="0"/>
            <w:vAlign w:val="center"/>
          </w:tcPr>
          <w:p>
            <w:pPr>
              <w:autoSpaceDE w:val="0"/>
              <w:autoSpaceDN w:val="0"/>
              <w:adjustRightInd w:val="0"/>
              <w:snapToGrid w:val="0"/>
              <w:rPr>
                <w:b/>
                <w:bCs/>
              </w:rPr>
            </w:pPr>
            <w:r>
              <w:rPr>
                <w:b/>
                <w:bCs/>
              </w:rPr>
              <w:t>规划情况</w:t>
            </w:r>
          </w:p>
        </w:tc>
        <w:tc>
          <w:tcPr>
            <w:tcW w:w="7003" w:type="dxa"/>
            <w:gridSpan w:val="3"/>
            <w:noWrap w:val="0"/>
            <w:vAlign w:val="center"/>
          </w:tcPr>
          <w:p>
            <w:pPr>
              <w:autoSpaceDE w:val="0"/>
              <w:autoSpaceDN w:val="0"/>
              <w:adjustRightInd w:val="0"/>
              <w:snapToGrid w:val="0"/>
              <w:rPr>
                <w:color w:val="FF0000"/>
              </w:rPr>
            </w:pPr>
            <w:r>
              <w:rPr>
                <w:color w:val="000000"/>
                <w:shd w:val="clear" w:color="auto" w:fill="FFFFFF"/>
                <w:lang w:bidi="ar"/>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67" w:type="dxa"/>
            <w:gridSpan w:val="2"/>
            <w:noWrap w:val="0"/>
            <w:vAlign w:val="center"/>
          </w:tcPr>
          <w:p>
            <w:pPr>
              <w:adjustRightInd w:val="0"/>
              <w:snapToGrid w:val="0"/>
              <w:rPr>
                <w:b/>
                <w:bCs/>
              </w:rPr>
            </w:pPr>
            <w:r>
              <w:rPr>
                <w:b/>
                <w:bCs/>
              </w:rPr>
              <w:t>规划环境影响</w:t>
            </w:r>
          </w:p>
          <w:p>
            <w:pPr>
              <w:adjustRightInd w:val="0"/>
              <w:snapToGrid w:val="0"/>
              <w:rPr>
                <w:b/>
                <w:bCs/>
              </w:rPr>
            </w:pPr>
            <w:r>
              <w:rPr>
                <w:b/>
                <w:bCs/>
              </w:rPr>
              <w:t>评价情况</w:t>
            </w:r>
          </w:p>
        </w:tc>
        <w:tc>
          <w:tcPr>
            <w:tcW w:w="7003" w:type="dxa"/>
            <w:gridSpan w:val="3"/>
            <w:noWrap w:val="0"/>
            <w:vAlign w:val="center"/>
          </w:tcPr>
          <w:p>
            <w:pPr>
              <w:autoSpaceDE w:val="0"/>
              <w:autoSpaceDN w:val="0"/>
              <w:adjustRightInd w:val="0"/>
              <w:snapToGrid w:val="0"/>
              <w:rPr>
                <w:color w:val="000000"/>
              </w:rPr>
            </w:pPr>
            <w:r>
              <w:rPr>
                <w:color w:val="000000"/>
                <w:shd w:val="clear" w:color="auto" w:fill="FFFFFF"/>
                <w:lang w:bidi="ar"/>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8" w:hRule="atLeast"/>
          <w:jc w:val="center"/>
        </w:trPr>
        <w:tc>
          <w:tcPr>
            <w:tcW w:w="1867" w:type="dxa"/>
            <w:gridSpan w:val="2"/>
            <w:noWrap w:val="0"/>
            <w:vAlign w:val="center"/>
          </w:tcPr>
          <w:p>
            <w:pPr>
              <w:autoSpaceDE w:val="0"/>
              <w:autoSpaceDN w:val="0"/>
              <w:adjustRightInd w:val="0"/>
              <w:snapToGrid w:val="0"/>
            </w:pPr>
            <w:r>
              <w:rPr>
                <w:b/>
                <w:bCs/>
              </w:rPr>
              <w:t>规划及规划环境影响评价符合性分析</w:t>
            </w:r>
          </w:p>
        </w:tc>
        <w:tc>
          <w:tcPr>
            <w:tcW w:w="7003" w:type="dxa"/>
            <w:gridSpan w:val="3"/>
            <w:noWrap w:val="0"/>
            <w:vAlign w:val="center"/>
          </w:tcPr>
          <w:p>
            <w:pPr>
              <w:pStyle w:val="33"/>
              <w:keepNext w:val="0"/>
              <w:keepLines w:val="0"/>
              <w:pageBreakBefore w:val="0"/>
              <w:widowControl/>
              <w:tabs>
                <w:tab w:val="left" w:pos="1021"/>
              </w:tabs>
              <w:kinsoku/>
              <w:wordWrap/>
              <w:overflowPunct/>
              <w:topLinePunct w:val="0"/>
              <w:autoSpaceDE/>
              <w:autoSpaceDN/>
              <w:bidi w:val="0"/>
              <w:adjustRightInd/>
              <w:snapToGrid/>
              <w:spacing w:after="0" w:line="360" w:lineRule="auto"/>
              <w:ind w:left="0" w:leftChars="0" w:firstLine="0" w:firstLineChars="0"/>
              <w:jc w:val="center"/>
              <w:textAlignment w:val="auto"/>
              <w:rPr>
                <w:color w:val="FF0000"/>
              </w:rPr>
            </w:pPr>
            <w:r>
              <w:rPr>
                <w:color w:val="000000"/>
                <w:shd w:val="clear" w:color="auto" w:fill="FFFFFF"/>
                <w:lang w:bidi="ar"/>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1" w:hRule="atLeast"/>
          <w:jc w:val="center"/>
        </w:trPr>
        <w:tc>
          <w:tcPr>
            <w:tcW w:w="896" w:type="dxa"/>
            <w:noWrap w:val="0"/>
            <w:vAlign w:val="center"/>
          </w:tcPr>
          <w:p>
            <w:pPr>
              <w:autoSpaceDE w:val="0"/>
              <w:autoSpaceDN w:val="0"/>
              <w:adjustRightInd w:val="0"/>
              <w:snapToGrid w:val="0"/>
            </w:pPr>
            <w:r>
              <w:rPr>
                <w:b/>
                <w:bCs/>
              </w:rPr>
              <w:t>其他符合性分析</w:t>
            </w:r>
          </w:p>
        </w:tc>
        <w:tc>
          <w:tcPr>
            <w:tcW w:w="7974" w:type="dxa"/>
            <w:gridSpan w:val="4"/>
            <w:noWrap w:val="0"/>
            <w:vAlign w:val="center"/>
          </w:tcPr>
          <w:p>
            <w:pPr>
              <w:pStyle w:val="161"/>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产业政策符合性分析</w:t>
            </w:r>
          </w:p>
          <w:p>
            <w:pPr>
              <w:pStyle w:val="98"/>
              <w:ind w:firstLine="480"/>
              <w:rPr>
                <w:sz w:val="24"/>
              </w:rPr>
            </w:pPr>
            <w:r>
              <w:rPr>
                <w:sz w:val="24"/>
                <w:szCs w:val="24"/>
              </w:rPr>
              <w:t>根据《产业结构调整指导目录（</w:t>
            </w:r>
            <w:r>
              <w:rPr>
                <w:rFonts w:hint="eastAsia"/>
                <w:sz w:val="24"/>
                <w:szCs w:val="24"/>
                <w:lang w:val="en-US" w:eastAsia="zh-CN"/>
              </w:rPr>
              <w:t>2024</w:t>
            </w:r>
            <w:r>
              <w:rPr>
                <w:sz w:val="24"/>
                <w:szCs w:val="24"/>
              </w:rPr>
              <w:t>年本）》</w:t>
            </w:r>
            <w:r>
              <w:rPr>
                <w:rFonts w:hint="default"/>
                <w:sz w:val="24"/>
                <w:szCs w:val="24"/>
                <w:lang w:val="en-US" w:eastAsia="zh-CN"/>
              </w:rPr>
              <w:t>（国家发展和改革委员会令第</w:t>
            </w:r>
            <w:r>
              <w:rPr>
                <w:rFonts w:hint="eastAsia"/>
                <w:sz w:val="24"/>
                <w:szCs w:val="24"/>
                <w:lang w:val="en-US" w:eastAsia="zh-CN"/>
              </w:rPr>
              <w:t>7</w:t>
            </w:r>
            <w:r>
              <w:rPr>
                <w:rFonts w:hint="default"/>
                <w:sz w:val="24"/>
                <w:szCs w:val="24"/>
                <w:lang w:val="en-US" w:eastAsia="zh-CN"/>
              </w:rPr>
              <w:t>号）</w:t>
            </w:r>
            <w:r>
              <w:rPr>
                <w:sz w:val="24"/>
                <w:szCs w:val="24"/>
              </w:rPr>
              <w:t>有关政策规定，</w:t>
            </w:r>
            <w:r>
              <w:rPr>
                <w:rFonts w:hint="eastAsia" w:ascii="Times New Roman" w:hAnsi="Times New Roman" w:cs="宋体"/>
                <w:color w:val="auto"/>
                <w:spacing w:val="0"/>
                <w:sz w:val="24"/>
              </w:rPr>
              <w:t>本项目属于《产业结构调整指导目录</w:t>
            </w:r>
            <w:r>
              <w:rPr>
                <w:sz w:val="24"/>
                <w:szCs w:val="24"/>
              </w:rPr>
              <w:t>（</w:t>
            </w:r>
            <w:r>
              <w:rPr>
                <w:rFonts w:hint="eastAsia"/>
                <w:sz w:val="24"/>
                <w:szCs w:val="24"/>
                <w:lang w:val="en-US" w:eastAsia="zh-CN"/>
              </w:rPr>
              <w:t>2024</w:t>
            </w:r>
            <w:r>
              <w:rPr>
                <w:sz w:val="24"/>
                <w:szCs w:val="24"/>
              </w:rPr>
              <w:t>年本）</w:t>
            </w:r>
            <w:r>
              <w:rPr>
                <w:rFonts w:hint="eastAsia" w:ascii="Times New Roman" w:hAnsi="Times New Roman" w:cs="宋体"/>
                <w:color w:val="auto"/>
                <w:spacing w:val="0"/>
                <w:sz w:val="24"/>
              </w:rPr>
              <w:t>》中</w:t>
            </w:r>
            <w:r>
              <w:rPr>
                <w:sz w:val="24"/>
              </w:rPr>
              <w:t>本项目属于鼓励类</w:t>
            </w:r>
            <w:r>
              <w:rPr>
                <w:rFonts w:hint="eastAsia"/>
                <w:sz w:val="24"/>
              </w:rPr>
              <w:t>“</w:t>
            </w:r>
            <w:r>
              <w:rPr>
                <w:sz w:val="24"/>
              </w:rPr>
              <w:t>三十七、卫生健康中</w:t>
            </w:r>
            <w:r>
              <w:rPr>
                <w:rFonts w:hint="eastAsia"/>
                <w:sz w:val="24"/>
                <w:lang w:val="en-US" w:eastAsia="zh-CN"/>
              </w:rPr>
              <w:t>1.医疗服务设施建设：预防保健、卫生应急、卫生监督服务设施建设，医疗卫生服务设施建设，传染病、儿童、精神卫生专科医院和康复医院（中心）、护理院（中心）、安宁疗护中心、全科医疗设施与服务、医养结合设施与服务</w:t>
            </w:r>
            <w:r>
              <w:rPr>
                <w:rFonts w:hint="eastAsia"/>
                <w:sz w:val="24"/>
              </w:rPr>
              <w:t>”</w:t>
            </w:r>
            <w:r>
              <w:rPr>
                <w:sz w:val="24"/>
              </w:rPr>
              <w:t>。</w:t>
            </w:r>
          </w:p>
          <w:p>
            <w:pPr>
              <w:pStyle w:val="98"/>
              <w:ind w:firstLine="480"/>
              <w:rPr>
                <w:sz w:val="24"/>
                <w:szCs w:val="24"/>
              </w:rPr>
            </w:pPr>
            <w:r>
              <w:rPr>
                <w:sz w:val="24"/>
              </w:rPr>
              <w:t>根据《市场准入负面清单》（2022年版），项目属于许可准入类中</w:t>
            </w:r>
            <w:r>
              <w:rPr>
                <w:rFonts w:hint="eastAsia"/>
                <w:sz w:val="24"/>
                <w:lang w:eastAsia="zh-CN"/>
              </w:rPr>
              <w:t>“</w:t>
            </w:r>
            <w:r>
              <w:rPr>
                <w:sz w:val="24"/>
              </w:rPr>
              <w:t>十七、卫生和社会工作</w:t>
            </w:r>
            <w:r>
              <w:rPr>
                <w:rFonts w:hint="eastAsia"/>
                <w:sz w:val="24"/>
                <w:lang w:eastAsia="zh-CN"/>
              </w:rPr>
              <w:t>”</w:t>
            </w:r>
            <w:r>
              <w:rPr>
                <w:sz w:val="24"/>
              </w:rPr>
              <w:t>。同时本项目生产设备及采用的生产工艺不属于《产业结构调整指导目录（202</w:t>
            </w:r>
            <w:r>
              <w:rPr>
                <w:rFonts w:hint="eastAsia"/>
                <w:sz w:val="24"/>
                <w:lang w:val="en-US" w:eastAsia="zh-CN"/>
              </w:rPr>
              <w:t>4</w:t>
            </w:r>
            <w:r>
              <w:rPr>
                <w:sz w:val="24"/>
              </w:rPr>
              <w:t>年</w:t>
            </w:r>
            <w:r>
              <w:rPr>
                <w:rFonts w:hint="eastAsia"/>
                <w:sz w:val="24"/>
                <w:lang w:val="en-US" w:eastAsia="zh-CN"/>
              </w:rPr>
              <w:t>本</w:t>
            </w:r>
            <w:r>
              <w:rPr>
                <w:sz w:val="24"/>
              </w:rPr>
              <w:t>）》中规定的限制类和淘汰类设备和工艺，视为允许类</w:t>
            </w:r>
            <w:r>
              <w:rPr>
                <w:rFonts w:hint="eastAsia"/>
                <w:sz w:val="24"/>
                <w:lang w:eastAsia="zh-CN"/>
              </w:rPr>
              <w:t>。</w:t>
            </w:r>
            <w:r>
              <w:rPr>
                <w:rFonts w:hint="eastAsia"/>
                <w:sz w:val="24"/>
                <w:lang w:val="en-US" w:eastAsia="zh-CN"/>
              </w:rPr>
              <w:t>综上</w:t>
            </w:r>
            <w:r>
              <w:rPr>
                <w:sz w:val="24"/>
              </w:rPr>
              <w:t>，本项目符合国家相关产业政策</w:t>
            </w:r>
            <w:r>
              <w:rPr>
                <w:sz w:val="24"/>
                <w:szCs w:val="24"/>
              </w:rPr>
              <w:t>。</w:t>
            </w:r>
          </w:p>
          <w:p>
            <w:pPr>
              <w:pStyle w:val="161"/>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2、相关医疗政策、规划</w:t>
            </w:r>
            <w:r>
              <w:rPr>
                <w:rFonts w:hint="default" w:ascii="Times New Roman" w:hAnsi="Times New Roman" w:cs="Times New Roman"/>
                <w:lang w:val="en-US" w:eastAsia="zh-CN"/>
              </w:rPr>
              <w:t>符合性分析</w:t>
            </w:r>
          </w:p>
          <w:p>
            <w:pPr>
              <w:pStyle w:val="98"/>
              <w:ind w:firstLine="480"/>
              <w:rPr>
                <w:b/>
                <w:bCs/>
                <w:sz w:val="24"/>
              </w:rPr>
            </w:pPr>
            <w:r>
              <w:rPr>
                <w:b/>
                <w:bCs/>
                <w:sz w:val="24"/>
              </w:rPr>
              <w:t>（1）与《关于深化医药卫生体制改革的意见》符合性分析</w:t>
            </w:r>
          </w:p>
          <w:p>
            <w:pPr>
              <w:pStyle w:val="98"/>
              <w:ind w:firstLine="480"/>
              <w:rPr>
                <w:sz w:val="24"/>
              </w:rPr>
            </w:pPr>
            <w:r>
              <w:rPr>
                <w:sz w:val="24"/>
              </w:rPr>
              <w:t>根据中央国务院2009年3月发布的《关于深化医疗卫生体制改革的意见》，</w:t>
            </w:r>
            <w:r>
              <w:rPr>
                <w:rFonts w:hint="eastAsia" w:ascii="宋体" w:hAnsi="宋体" w:eastAsia="宋体" w:cs="宋体"/>
                <w:sz w:val="24"/>
              </w:rPr>
              <w:t>其中强调“鼓励和引导社会资本发展医疗卫生事业，积极促进非公立医疗卫生机构的发展，形成投资多元化，投资方式多样化的办医体制，鼓励社会资本依法兴办非营利性医疗机构”</w:t>
            </w:r>
            <w:r>
              <w:rPr>
                <w:sz w:val="24"/>
              </w:rPr>
              <w:t>，本项目属于</w:t>
            </w:r>
            <w:r>
              <w:rPr>
                <w:rFonts w:hint="eastAsia"/>
                <w:sz w:val="24"/>
                <w:lang w:val="en-US" w:eastAsia="zh-CN"/>
              </w:rPr>
              <w:t>花垣县人民医院精神科项目</w:t>
            </w:r>
            <w:r>
              <w:rPr>
                <w:sz w:val="24"/>
              </w:rPr>
              <w:t>，可有效的改善区域医疗卫生服务条件，提高人民群众的水平，具有良好的社会效益，能够较好的符合区域卫生规划要求。</w:t>
            </w:r>
          </w:p>
          <w:p>
            <w:pPr>
              <w:pStyle w:val="98"/>
              <w:ind w:firstLine="480"/>
              <w:rPr>
                <w:rFonts w:hint="eastAsia"/>
                <w:sz w:val="24"/>
                <w:lang w:eastAsia="zh-CN"/>
              </w:rPr>
            </w:pPr>
            <w:r>
              <w:rPr>
                <w:rFonts w:hint="eastAsia"/>
                <w:b/>
                <w:bCs/>
                <w:sz w:val="24"/>
                <w:lang w:eastAsia="zh-CN"/>
              </w:rPr>
              <w:t>（2）与《湖南省人民政府办公厅关于支持社会力量提供多层次多样化医疗服务的实施意见》（湘政办发〔2018〕31号）符合性分析</w:t>
            </w:r>
          </w:p>
          <w:p>
            <w:pPr>
              <w:pStyle w:val="98"/>
              <w:ind w:firstLine="480"/>
              <w:rPr>
                <w:rFonts w:hint="eastAsia"/>
                <w:sz w:val="24"/>
                <w:lang w:val="en-US" w:eastAsia="zh-CN"/>
              </w:rPr>
            </w:pPr>
            <w:r>
              <w:rPr>
                <w:rFonts w:hint="eastAsia"/>
                <w:sz w:val="24"/>
                <w:lang w:eastAsia="zh-CN"/>
              </w:rPr>
              <w:t>《湖南省人民政府办公厅关于支持社会力量提供多层次多样化医疗服务的实施意见》（湘政办发〔2018〕31号）中明确放宽市场准入。各地要统筹考虑多层次医疗需求，完善规划调控方式，优化配置医疗资源，促进社会办医加</w:t>
            </w:r>
            <w:r>
              <w:rPr>
                <w:rFonts w:hint="eastAsia"/>
                <w:sz w:val="24"/>
                <w:lang w:val="en-US" w:eastAsia="zh-CN"/>
              </w:rPr>
              <w:t>快发展，凡符合规划条件和准入资质的，不得以任何理由限制。社会办医疗机构在医疗技术、人员准入等方面，与公立医疗机构同等对待，不得额外增加限制条件。对社会办医疗机构配置大型医用设备可合理放宽规划预留空间。个体诊所设置不受规划布局限制。在设置审批专科医院等医疗机构时，将审核重点放在人员资质与技术服务能力上。</w:t>
            </w:r>
          </w:p>
          <w:p>
            <w:pPr>
              <w:pStyle w:val="98"/>
              <w:ind w:firstLine="480"/>
              <w:rPr>
                <w:rFonts w:hint="eastAsia"/>
                <w:sz w:val="24"/>
                <w:lang w:eastAsia="zh-CN"/>
              </w:rPr>
            </w:pPr>
            <w:r>
              <w:rPr>
                <w:rFonts w:hint="eastAsia"/>
                <w:sz w:val="24"/>
                <w:lang w:val="en-US" w:eastAsia="zh-CN"/>
              </w:rPr>
              <w:t>本项目属于花垣县人民医院精神科项目，有利于改善花垣县医疗卫生服务条件，保障人民群众健康安全，满足人民群众日益增长的就医需求，符合《湖南省人民政府办公厅关于支持社会力量提供多层次多样化医疗服务的实施意见》（湘政办发〔2018〕31号）的意见</w:t>
            </w:r>
            <w:r>
              <w:rPr>
                <w:rFonts w:hint="eastAsia"/>
                <w:sz w:val="24"/>
                <w:lang w:eastAsia="zh-CN"/>
              </w:rPr>
              <w:t>。</w:t>
            </w:r>
          </w:p>
          <w:p>
            <w:pPr>
              <w:pStyle w:val="98"/>
              <w:ind w:firstLine="480"/>
              <w:rPr>
                <w:rFonts w:hint="default" w:ascii="Times New Roman" w:hAnsi="Times New Roman" w:cs="Times New Roman"/>
                <w:b/>
                <w:bCs/>
                <w:sz w:val="24"/>
                <w:lang w:eastAsia="zh-CN"/>
              </w:rPr>
            </w:pPr>
            <w:r>
              <w:rPr>
                <w:rFonts w:hint="default" w:ascii="Times New Roman" w:hAnsi="Times New Roman" w:cs="Times New Roman"/>
                <w:b/>
                <w:bCs/>
                <w:sz w:val="24"/>
                <w:lang w:eastAsia="zh-CN"/>
              </w:rPr>
              <w:t>（3）与《湖南省国民经济和社会发展第十四个五年规划和2035年远景目标纲要》（2021年1月29日湖南省第十三届人大第四次会议批准）符合性分析</w:t>
            </w:r>
          </w:p>
          <w:p>
            <w:pPr>
              <w:pStyle w:val="98"/>
              <w:ind w:firstLine="480"/>
              <w:rPr>
                <w:rFonts w:hint="eastAsia"/>
                <w:sz w:val="24"/>
                <w:lang w:eastAsia="zh-CN"/>
              </w:rPr>
            </w:pPr>
            <w:r>
              <w:rPr>
                <w:rFonts w:hint="eastAsia"/>
                <w:sz w:val="24"/>
                <w:lang w:eastAsia="zh-CN"/>
              </w:rPr>
              <w:t>纲要指出要把保障人民健康放在优先发展的战略位置，坚持预防为主、病有所医的方针，深入实施健康湖南行动，织牢公共卫生防护网，为人民提供全方位全周期健康服务。推进优质医疗资源提质扩容。推进市州高水平综合医院建设，加强精神、妇幼儿童、老年康复护理、传染等专科医院和高水平肿瘤医院建设，分层分级打造一批省级临床重点专科，提升薄弱专科领域诊疗能力。推进组建专科联盟，深入实施城乡医院对口支援制度。加快实施县级医院提标扩能工程和救治能力提升工程，着力建设一批专病中心，支持县域三级医院创建。加快院前急救体系建设，构建快速响应机制和协同救治网络。提升基层医疗服务能力。加强基层医疗卫生机构房屋建设、设施设备配备、人才培养培训、特色专病专科建设。加强公共卫生服务。适应城乡居民健康需求，加快构建基本卫生健康服务全面覆盖、医疗卫生服务优质高效、疾病预防控制精准完善、突发公共卫生事件应对有力的公共卫生服务体系。</w:t>
            </w:r>
          </w:p>
          <w:p>
            <w:pPr>
              <w:pStyle w:val="98"/>
              <w:ind w:firstLine="480"/>
              <w:rPr>
                <w:rFonts w:hint="eastAsia"/>
                <w:sz w:val="24"/>
                <w:lang w:eastAsia="zh-CN"/>
              </w:rPr>
            </w:pPr>
            <w:r>
              <w:rPr>
                <w:rFonts w:hint="eastAsia"/>
                <w:sz w:val="24"/>
                <w:lang w:eastAsia="zh-CN"/>
              </w:rPr>
              <w:t>本项目属于</w:t>
            </w:r>
            <w:r>
              <w:rPr>
                <w:rFonts w:hint="eastAsia"/>
                <w:sz w:val="24"/>
                <w:lang w:val="en-US" w:eastAsia="zh-CN"/>
              </w:rPr>
              <w:t>花垣县人民医院精神科项目</w:t>
            </w:r>
            <w:r>
              <w:rPr>
                <w:rFonts w:hint="eastAsia"/>
                <w:sz w:val="24"/>
                <w:lang w:eastAsia="zh-CN"/>
              </w:rPr>
              <w:t>，项目的实施建设有利于提升基层医疗卫生服务能力，保障人民群众健康安全，对地区医疗事业的发展具有积极的作用，符合湖南省国民经济和社会发展第十四个五年规划和二〇三五年远景目标纲要要求。</w:t>
            </w:r>
          </w:p>
          <w:p>
            <w:pPr>
              <w:pStyle w:val="98"/>
              <w:ind w:firstLine="480"/>
              <w:rPr>
                <w:rFonts w:hint="eastAsia"/>
                <w:b/>
                <w:bCs/>
                <w:sz w:val="24"/>
                <w:lang w:eastAsia="zh-CN"/>
              </w:rPr>
            </w:pPr>
            <w:r>
              <w:rPr>
                <w:rFonts w:hint="eastAsia"/>
                <w:b/>
                <w:bCs/>
                <w:sz w:val="24"/>
                <w:lang w:eastAsia="zh-CN"/>
              </w:rPr>
              <w:t>（4）与湘西州人民政府办公室印发《湘西自治州卫生健康服务能力提升五年行动计划（2020-2025年）》的通知（州政办发〔2020〕18号）符合性分析</w:t>
            </w:r>
          </w:p>
          <w:p>
            <w:pPr>
              <w:pStyle w:val="98"/>
              <w:ind w:firstLine="480"/>
              <w:rPr>
                <w:rFonts w:hint="eastAsia"/>
                <w:sz w:val="24"/>
                <w:lang w:val="en-US" w:eastAsia="zh-CN"/>
              </w:rPr>
            </w:pPr>
            <w:r>
              <w:rPr>
                <w:rFonts w:hint="eastAsia"/>
                <w:sz w:val="24"/>
                <w:lang w:eastAsia="zh-CN"/>
              </w:rPr>
              <w:t>为贯彻落实习近平总书记在中央全面深化改革委员会第十二次会议上关于完善重大疫情防控体制机制、健全公共卫生应急管理体系，抓紧补短板、堵</w:t>
            </w:r>
            <w:r>
              <w:rPr>
                <w:rFonts w:hint="eastAsia"/>
                <w:sz w:val="24"/>
                <w:lang w:val="en-US" w:eastAsia="zh-CN"/>
              </w:rPr>
              <w:t>漏洞、强弱项的指示精神，湘西自治州人民政府办公室印发了《湘西自治州卫生健康服务能力提升五年行动计划（2020-2025年）》的通知。通知中指出：从2020年起，力争用5年的时间，以州、县、乡、村四级卫生健康服务机构基础设施建设、医疗设备配置、人才队伍建设为重点，着力完善疾病预防控制体系、重大疫情防控救治体系、公共卫生服务体系和卫生应急管理体系等四大体系；建设州卫生应急指挥调度中心、公共卫生临床中心、妇幼健康服务中心、中医药民族医药临床诊疗中心、武陵山片区区域诊疗中心等五大中心。</w:t>
            </w:r>
          </w:p>
          <w:p>
            <w:pPr>
              <w:pStyle w:val="98"/>
              <w:ind w:firstLine="480"/>
              <w:rPr>
                <w:rFonts w:hint="default"/>
                <w:sz w:val="24"/>
                <w:lang w:val="en-US" w:eastAsia="zh-CN"/>
              </w:rPr>
            </w:pPr>
            <w:r>
              <w:rPr>
                <w:rFonts w:hint="default"/>
                <w:sz w:val="24"/>
                <w:lang w:val="en-US" w:eastAsia="zh-CN"/>
              </w:rPr>
              <w:t>本项目属于</w:t>
            </w:r>
            <w:r>
              <w:rPr>
                <w:rFonts w:hint="eastAsia"/>
                <w:sz w:val="24"/>
                <w:lang w:val="en-US" w:eastAsia="zh-CN"/>
              </w:rPr>
              <w:t>花垣县人民医院精神科项目</w:t>
            </w:r>
            <w:r>
              <w:rPr>
                <w:rFonts w:hint="default"/>
                <w:sz w:val="24"/>
                <w:lang w:val="en-US" w:eastAsia="zh-CN"/>
              </w:rPr>
              <w:t>，项目的实施建设有利于提升基层医疗卫生服务能力，完善湘西州公共卫生服务体系，提高人民群众的水平，具有良好的社会效益，项目建设符合《湘西自治州卫生健康服务能力提升五年行动计划（2020-2025年）》总体目标要求。</w:t>
            </w:r>
          </w:p>
          <w:p>
            <w:pPr>
              <w:pStyle w:val="98"/>
              <w:ind w:firstLine="480"/>
              <w:rPr>
                <w:rFonts w:hint="eastAsia"/>
                <w:b/>
                <w:bCs/>
                <w:sz w:val="24"/>
                <w:lang w:eastAsia="zh-CN"/>
              </w:rPr>
            </w:pPr>
            <w:r>
              <w:rPr>
                <w:rFonts w:hint="eastAsia"/>
                <w:b/>
                <w:bCs/>
                <w:sz w:val="24"/>
                <w:lang w:eastAsia="zh-CN"/>
              </w:rPr>
              <w:t>（</w:t>
            </w:r>
            <w:r>
              <w:rPr>
                <w:rFonts w:hint="eastAsia"/>
                <w:b/>
                <w:bCs/>
                <w:sz w:val="24"/>
                <w:lang w:val="en-US" w:eastAsia="zh-CN"/>
              </w:rPr>
              <w:t>5</w:t>
            </w:r>
            <w:r>
              <w:rPr>
                <w:rFonts w:hint="eastAsia"/>
                <w:b/>
                <w:bCs/>
                <w:sz w:val="24"/>
                <w:lang w:eastAsia="zh-CN"/>
              </w:rPr>
              <w:t>）与《花垣县国土空间总体规划（2021-2035 年）（征求意见稿）》符合性分析</w:t>
            </w:r>
          </w:p>
          <w:p>
            <w:pPr>
              <w:pStyle w:val="33"/>
              <w:keepNext w:val="0"/>
              <w:keepLines w:val="0"/>
              <w:pageBreakBefore w:val="0"/>
              <w:widowControl/>
              <w:tabs>
                <w:tab w:val="left" w:pos="1021"/>
              </w:tabs>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z w:val="24"/>
                <w:szCs w:val="24"/>
                <w:u w:val="none"/>
                <w:lang w:val="en-US" w:eastAsia="zh-CN"/>
              </w:rPr>
            </w:pPr>
            <w:r>
              <w:rPr>
                <w:rFonts w:hint="default" w:ascii="Times New Roman" w:hAnsi="Times New Roman" w:cs="Times New Roman"/>
                <w:sz w:val="24"/>
                <w:szCs w:val="24"/>
                <w:u w:val="none"/>
                <w:lang w:eastAsia="zh-CN"/>
              </w:rPr>
              <w:t>根据《花垣县国土空间总体规划（2021-2035年）（征求意见稿）》中第七节</w:t>
            </w:r>
            <w:r>
              <w:rPr>
                <w:rFonts w:hint="default" w:ascii="Times New Roman" w:hAnsi="Times New Roman" w:cs="Times New Roman"/>
                <w:sz w:val="24"/>
                <w:szCs w:val="24"/>
                <w:u w:val="none"/>
                <w:lang w:val="en-US" w:eastAsia="zh-CN"/>
              </w:rPr>
              <w:t xml:space="preserve">  公共服务设施与社会生活圈  第158条：卫生医疗设施规划：</w:t>
            </w:r>
            <w:r>
              <w:rPr>
                <w:rFonts w:hint="default" w:ascii="Times New Roman" w:hAnsi="Times New Roman" w:eastAsia="宋体" w:cs="Times New Roman"/>
                <w:sz w:val="24"/>
                <w:szCs w:val="24"/>
                <w:u w:val="none"/>
                <w:lang w:val="en-US" w:eastAsia="zh-CN"/>
              </w:rPr>
              <w:t>完善城市医疗卫生设施体系，重点发展县级医院为区域性医疗中心，加强专业公共卫生机构建设，提升基层医疗卫生服务能力，至2035年，实现居民人均公共医疗卫生设施用地达到0.7平方米/人，社区卫生医疗设施步行15分钟覆盖率达到100%，满足社区居民医疗设施需求。建立以三级综合医院为核心、一级医院和专业医院为辅助、防疫保健站为基础的医疗卫生系统。完善中心城区等级医院建设，逐步提升县级医疗机构设施、医疗服务水平，提升医疗机构评级。保留现状县级医疗卫生设施5处，包括花垣县人民医院、县中医院新院区、花垣县妇幼保健院老院区和新院区、疾病预防控制中心等，进一步发展特色专科医院，规划新增大型医疗卫生设施1处，苗医专科医院，选址在空港新区。</w:t>
            </w:r>
          </w:p>
          <w:p>
            <w:pPr>
              <w:pStyle w:val="98"/>
              <w:ind w:firstLine="480"/>
              <w:rPr>
                <w:rFonts w:hint="default"/>
                <w:sz w:val="24"/>
                <w:lang w:val="en-US" w:eastAsia="zh-CN"/>
              </w:rPr>
            </w:pPr>
            <w:r>
              <w:rPr>
                <w:rFonts w:hint="default" w:ascii="Times New Roman" w:hAnsi="Times New Roman" w:cs="Times New Roman"/>
                <w:sz w:val="24"/>
                <w:szCs w:val="24"/>
                <w:u w:val="none"/>
                <w:lang w:eastAsia="zh-CN"/>
              </w:rPr>
              <w:t>本项目为花垣县人民医院精神科项目，与《花垣县国土空间总体规划（2021-2035 年）（征求意见稿）》相符合。</w:t>
            </w:r>
          </w:p>
          <w:p>
            <w:pPr>
              <w:pStyle w:val="161"/>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选址合理性分析</w:t>
            </w:r>
          </w:p>
          <w:p>
            <w:pPr>
              <w:pStyle w:val="98"/>
              <w:ind w:firstLine="480"/>
              <w:rPr>
                <w:rFonts w:hint="default"/>
                <w:sz w:val="24"/>
                <w:szCs w:val="24"/>
                <w:u w:val="none"/>
                <w:lang w:val="en-US" w:eastAsia="zh-CN"/>
              </w:rPr>
            </w:pPr>
            <w:r>
              <w:rPr>
                <w:rFonts w:hint="default"/>
                <w:sz w:val="24"/>
                <w:szCs w:val="24"/>
                <w:u w:val="none"/>
                <w:lang w:val="en-US" w:eastAsia="zh-CN"/>
              </w:rPr>
              <w:t>①用地合理性</w:t>
            </w:r>
          </w:p>
          <w:p>
            <w:pPr>
              <w:pStyle w:val="98"/>
              <w:ind w:firstLine="480"/>
              <w:rPr>
                <w:rFonts w:hint="default"/>
                <w:color w:val="0000FF"/>
                <w:sz w:val="24"/>
                <w:szCs w:val="24"/>
                <w:u w:val="none"/>
                <w:lang w:val="en-US" w:eastAsia="zh-CN"/>
              </w:rPr>
            </w:pPr>
            <w:r>
              <w:rPr>
                <w:rFonts w:hint="default"/>
                <w:sz w:val="24"/>
                <w:szCs w:val="24"/>
                <w:u w:val="none"/>
                <w:lang w:val="en-US" w:eastAsia="zh-CN"/>
              </w:rPr>
              <w:t>本项目位于</w:t>
            </w:r>
            <w:r>
              <w:rPr>
                <w:rFonts w:hint="eastAsia" w:ascii="Times New Roman" w:hAnsi="Times New Roman" w:cs="Times New Roman"/>
                <w:color w:val="000000"/>
                <w:kern w:val="0"/>
                <w:sz w:val="24"/>
                <w:szCs w:val="24"/>
                <w:u w:val="none" w:color="auto"/>
                <w:lang w:val="en-US" w:eastAsia="zh-CN"/>
              </w:rPr>
              <w:t>湘西自治州</w:t>
            </w:r>
            <w:r>
              <w:rPr>
                <w:rFonts w:hint="default" w:ascii="Times New Roman" w:hAnsi="Times New Roman" w:cs="Times New Roman"/>
                <w:color w:val="000000"/>
                <w:kern w:val="0"/>
                <w:sz w:val="24"/>
                <w:szCs w:val="24"/>
                <w:u w:val="none" w:color="auto"/>
                <w:lang w:eastAsia="zh-CN"/>
              </w:rPr>
              <w:t>花垣县花垣镇城北政务</w:t>
            </w:r>
            <w:r>
              <w:rPr>
                <w:rFonts w:hint="eastAsia" w:ascii="Times New Roman" w:hAnsi="Times New Roman" w:cs="Times New Roman"/>
                <w:color w:val="000000"/>
                <w:kern w:val="0"/>
                <w:sz w:val="24"/>
                <w:szCs w:val="24"/>
                <w:u w:val="none" w:color="auto"/>
                <w:lang w:eastAsia="zh-CN"/>
              </w:rPr>
              <w:t>中心北侧旁</w:t>
            </w:r>
            <w:r>
              <w:rPr>
                <w:rFonts w:hint="eastAsia" w:ascii="Times New Roman" w:hAnsi="Times New Roman" w:cs="Times New Roman"/>
                <w:color w:val="000000"/>
                <w:kern w:val="0"/>
                <w:sz w:val="24"/>
                <w:szCs w:val="24"/>
                <w:u w:val="none" w:color="auto"/>
                <w:lang w:val="en-US" w:eastAsia="zh-CN"/>
              </w:rPr>
              <w:t>。</w:t>
            </w:r>
            <w:r>
              <w:rPr>
                <w:rFonts w:hint="eastAsia" w:cs="Times New Roman"/>
                <w:color w:val="000000"/>
                <w:kern w:val="0"/>
                <w:sz w:val="24"/>
                <w:szCs w:val="24"/>
                <w:u w:val="none" w:color="auto"/>
                <w:lang w:val="en-US" w:eastAsia="zh-CN"/>
              </w:rPr>
              <w:t>利用</w:t>
            </w:r>
            <w:r>
              <w:rPr>
                <w:rFonts w:hint="eastAsia" w:ascii="Times New Roman" w:hAnsi="Times New Roman" w:cs="Times New Roman"/>
                <w:color w:val="000000"/>
                <w:kern w:val="0"/>
                <w:sz w:val="24"/>
                <w:szCs w:val="24"/>
                <w:u w:val="none" w:color="auto"/>
                <w:lang w:val="en-US" w:eastAsia="zh-CN"/>
              </w:rPr>
              <w:t>花垣县妇幼保健计划生育服务中心</w:t>
            </w:r>
            <w:r>
              <w:rPr>
                <w:rFonts w:hint="eastAsia" w:cs="Times New Roman"/>
                <w:color w:val="000000"/>
                <w:kern w:val="0"/>
                <w:sz w:val="24"/>
                <w:szCs w:val="24"/>
                <w:u w:val="none" w:color="auto"/>
                <w:lang w:val="en-US" w:eastAsia="zh-CN"/>
              </w:rPr>
              <w:t>现有综合楼（已搬迁，现综合楼已闲置）</w:t>
            </w:r>
            <w:r>
              <w:rPr>
                <w:rFonts w:hint="eastAsia" w:ascii="Times New Roman" w:hAnsi="Times New Roman" w:cs="Times New Roman"/>
                <w:color w:val="000000"/>
                <w:kern w:val="0"/>
                <w:sz w:val="24"/>
                <w:szCs w:val="24"/>
                <w:u w:val="none" w:color="auto"/>
                <w:lang w:val="en-US" w:eastAsia="zh-CN"/>
              </w:rPr>
              <w:t>进行建设（位于花垣县花垣镇城北政务中心北侧）</w:t>
            </w:r>
            <w:r>
              <w:rPr>
                <w:rFonts w:hint="eastAsia"/>
                <w:sz w:val="24"/>
                <w:szCs w:val="24"/>
                <w:u w:val="none"/>
                <w:lang w:val="en-US" w:eastAsia="zh-CN"/>
              </w:rPr>
              <w:t>。</w:t>
            </w:r>
            <w:r>
              <w:rPr>
                <w:rFonts w:hint="eastAsia"/>
                <w:color w:val="auto"/>
                <w:sz w:val="24"/>
                <w:szCs w:val="24"/>
                <w:u w:val="none"/>
                <w:lang w:val="en-US" w:eastAsia="zh-CN"/>
              </w:rPr>
              <w:t>根据企业提供的不动产权证：湘（2017）花垣县不动产权第0001285号（</w:t>
            </w:r>
            <w:r>
              <w:rPr>
                <w:rFonts w:hint="default"/>
                <w:color w:val="auto"/>
                <w:sz w:val="24"/>
                <w:szCs w:val="24"/>
                <w:u w:val="none"/>
                <w:lang w:val="en-US" w:eastAsia="zh-CN"/>
              </w:rPr>
              <w:t>详见附件3</w:t>
            </w:r>
            <w:r>
              <w:rPr>
                <w:rFonts w:hint="eastAsia"/>
                <w:color w:val="auto"/>
                <w:sz w:val="24"/>
                <w:szCs w:val="24"/>
                <w:u w:val="none"/>
                <w:lang w:val="en-US" w:eastAsia="zh-CN"/>
              </w:rPr>
              <w:t>）</w:t>
            </w:r>
            <w:r>
              <w:rPr>
                <w:rFonts w:hint="default"/>
                <w:color w:val="auto"/>
                <w:sz w:val="24"/>
                <w:szCs w:val="24"/>
                <w:u w:val="none"/>
                <w:lang w:val="en-US" w:eastAsia="zh-CN"/>
              </w:rPr>
              <w:t>，</w:t>
            </w:r>
            <w:r>
              <w:rPr>
                <w:rFonts w:hint="eastAsia"/>
                <w:color w:val="auto"/>
                <w:sz w:val="24"/>
                <w:szCs w:val="24"/>
                <w:u w:val="none"/>
                <w:lang w:val="en-US" w:eastAsia="zh-CN"/>
              </w:rPr>
              <w:t>本项目用地权利类型为国有建设用地使用权，用途为医卫慈善用地，</w:t>
            </w:r>
            <w:r>
              <w:rPr>
                <w:rFonts w:hint="default"/>
                <w:color w:val="auto"/>
                <w:sz w:val="24"/>
                <w:szCs w:val="24"/>
                <w:u w:val="none"/>
                <w:lang w:val="en-US" w:eastAsia="zh-CN"/>
              </w:rPr>
              <w:t>符合</w:t>
            </w:r>
            <w:r>
              <w:rPr>
                <w:rFonts w:hint="eastAsia"/>
                <w:color w:val="auto"/>
                <w:sz w:val="24"/>
                <w:szCs w:val="24"/>
                <w:u w:val="none"/>
                <w:lang w:val="en-US" w:eastAsia="zh-CN"/>
              </w:rPr>
              <w:t>相关</w:t>
            </w:r>
            <w:r>
              <w:rPr>
                <w:rFonts w:hint="default"/>
                <w:color w:val="auto"/>
                <w:sz w:val="24"/>
                <w:szCs w:val="24"/>
                <w:u w:val="none"/>
                <w:lang w:val="en-US" w:eastAsia="zh-CN"/>
              </w:rPr>
              <w:t>土地利用规划要求</w:t>
            </w:r>
            <w:r>
              <w:rPr>
                <w:rFonts w:hint="default"/>
                <w:color w:val="0000FF"/>
                <w:sz w:val="24"/>
                <w:szCs w:val="24"/>
                <w:u w:val="none"/>
                <w:lang w:val="en-US" w:eastAsia="zh-CN"/>
              </w:rPr>
              <w:t>。</w:t>
            </w:r>
          </w:p>
          <w:p>
            <w:pPr>
              <w:pStyle w:val="98"/>
              <w:ind w:firstLine="480"/>
              <w:rPr>
                <w:rFonts w:hint="default"/>
                <w:sz w:val="24"/>
                <w:szCs w:val="24"/>
                <w:u w:val="none"/>
                <w:lang w:val="en-US" w:eastAsia="zh-CN"/>
              </w:rPr>
            </w:pPr>
            <w:r>
              <w:rPr>
                <w:rFonts w:hint="default"/>
                <w:sz w:val="24"/>
                <w:szCs w:val="24"/>
                <w:u w:val="none"/>
                <w:lang w:val="en-US" w:eastAsia="zh-CN"/>
              </w:rPr>
              <w:t>②</w:t>
            </w:r>
            <w:r>
              <w:rPr>
                <w:rFonts w:hint="eastAsia"/>
                <w:sz w:val="24"/>
                <w:szCs w:val="24"/>
                <w:u w:val="none"/>
                <w:lang w:val="en-US" w:eastAsia="zh-CN"/>
              </w:rPr>
              <w:t>规划符合性</w:t>
            </w:r>
            <w:r>
              <w:rPr>
                <w:rFonts w:hint="default"/>
                <w:sz w:val="24"/>
                <w:szCs w:val="24"/>
                <w:u w:val="none"/>
                <w:lang w:val="en-US" w:eastAsia="zh-CN"/>
              </w:rPr>
              <w:t>角度</w:t>
            </w:r>
          </w:p>
          <w:p>
            <w:pPr>
              <w:pStyle w:val="98"/>
              <w:ind w:firstLine="480"/>
              <w:rPr>
                <w:rFonts w:hint="eastAsia"/>
                <w:sz w:val="24"/>
                <w:szCs w:val="24"/>
                <w:u w:val="none"/>
                <w:lang w:val="en-US" w:eastAsia="zh-CN"/>
              </w:rPr>
            </w:pPr>
            <w:r>
              <w:rPr>
                <w:rFonts w:hint="eastAsia"/>
                <w:sz w:val="24"/>
                <w:szCs w:val="24"/>
                <w:u w:val="none"/>
                <w:lang w:val="en-US" w:eastAsia="zh-CN"/>
              </w:rPr>
              <w:t>根据</w:t>
            </w:r>
            <w:r>
              <w:rPr>
                <w:rFonts w:hint="default"/>
                <w:sz w:val="24"/>
                <w:szCs w:val="24"/>
                <w:u w:val="none"/>
                <w:lang w:val="en-US" w:eastAsia="zh-CN"/>
              </w:rPr>
              <w:t>《湖南省人民政府办公厅关于支持社会力量提供多层次多样化医疗服务的实施意见》</w:t>
            </w:r>
            <w:r>
              <w:rPr>
                <w:rFonts w:hint="eastAsia"/>
                <w:sz w:val="24"/>
                <w:szCs w:val="24"/>
                <w:u w:val="none"/>
                <w:lang w:val="en-US" w:eastAsia="zh-CN"/>
              </w:rPr>
              <w:t>（湘政办发〔2018〕31号）</w:t>
            </w:r>
            <w:r>
              <w:rPr>
                <w:rFonts w:hint="default"/>
                <w:sz w:val="24"/>
                <w:szCs w:val="24"/>
                <w:u w:val="none"/>
                <w:lang w:val="en-US" w:eastAsia="zh-CN"/>
              </w:rPr>
              <w:t>、《湘西自治州卫生健康服务能力提升五年行动计划（2020-2025年）》</w:t>
            </w:r>
            <w:r>
              <w:rPr>
                <w:rFonts w:hint="eastAsia"/>
                <w:sz w:val="24"/>
                <w:szCs w:val="24"/>
                <w:u w:val="none"/>
                <w:lang w:val="en-US" w:eastAsia="zh-CN"/>
              </w:rPr>
              <w:t>（州政办发〔2020〕18号）相关要求，本项目属于花垣县人民医院精神卫生科，符合湖南省及湘西州关于卫生发展的规划及要求。从规划符合性上，本项目符合规划要求。</w:t>
            </w:r>
          </w:p>
          <w:p>
            <w:pPr>
              <w:pStyle w:val="98"/>
              <w:ind w:firstLine="480"/>
              <w:rPr>
                <w:rFonts w:hint="default"/>
                <w:sz w:val="24"/>
                <w:szCs w:val="24"/>
                <w:u w:val="none"/>
                <w:lang w:val="en-US" w:eastAsia="zh-CN"/>
              </w:rPr>
            </w:pPr>
            <w:r>
              <w:rPr>
                <w:rFonts w:hint="default"/>
                <w:sz w:val="24"/>
                <w:szCs w:val="24"/>
                <w:u w:val="none"/>
                <w:lang w:val="en-US" w:eastAsia="zh-CN"/>
              </w:rPr>
              <w:fldChar w:fldCharType="begin"/>
            </w:r>
            <w:r>
              <w:rPr>
                <w:rFonts w:hint="default"/>
                <w:sz w:val="24"/>
                <w:szCs w:val="24"/>
                <w:u w:val="none"/>
                <w:lang w:val="en-US" w:eastAsia="zh-CN"/>
              </w:rPr>
              <w:instrText xml:space="preserve"> = 3 \* GB3 \* MERGEFORMAT </w:instrText>
            </w:r>
            <w:r>
              <w:rPr>
                <w:rFonts w:hint="default"/>
                <w:sz w:val="24"/>
                <w:szCs w:val="24"/>
                <w:u w:val="none"/>
                <w:lang w:val="en-US" w:eastAsia="zh-CN"/>
              </w:rPr>
              <w:fldChar w:fldCharType="separate"/>
            </w:r>
            <w:r>
              <w:rPr>
                <w:sz w:val="24"/>
                <w:szCs w:val="24"/>
                <w:u w:val="none"/>
              </w:rPr>
              <w:t>③</w:t>
            </w:r>
            <w:r>
              <w:rPr>
                <w:rFonts w:hint="default"/>
                <w:sz w:val="24"/>
                <w:szCs w:val="24"/>
                <w:u w:val="none"/>
                <w:lang w:val="en-US" w:eastAsia="zh-CN"/>
              </w:rPr>
              <w:fldChar w:fldCharType="end"/>
            </w:r>
            <w:r>
              <w:rPr>
                <w:rFonts w:hint="default"/>
                <w:sz w:val="24"/>
                <w:szCs w:val="24"/>
                <w:u w:val="none"/>
                <w:lang w:val="en-US" w:eastAsia="zh-CN"/>
              </w:rPr>
              <w:t>环境影响角度</w:t>
            </w:r>
          </w:p>
          <w:p>
            <w:pPr>
              <w:pStyle w:val="98"/>
              <w:ind w:firstLine="480"/>
              <w:rPr>
                <w:rFonts w:hint="eastAsia"/>
                <w:sz w:val="24"/>
                <w:szCs w:val="24"/>
                <w:u w:val="none"/>
                <w:lang w:eastAsia="zh-CN"/>
              </w:rPr>
            </w:pPr>
            <w:r>
              <w:rPr>
                <w:rFonts w:hint="default"/>
                <w:sz w:val="24"/>
                <w:szCs w:val="24"/>
                <w:u w:val="none"/>
              </w:rPr>
              <w:t>根据环境质量现状</w:t>
            </w:r>
            <w:r>
              <w:rPr>
                <w:rFonts w:hint="default"/>
                <w:sz w:val="24"/>
                <w:szCs w:val="24"/>
                <w:u w:val="none"/>
                <w:lang w:eastAsia="zh-CN"/>
              </w:rPr>
              <w:t>调查</w:t>
            </w:r>
            <w:r>
              <w:rPr>
                <w:rFonts w:hint="default"/>
                <w:sz w:val="24"/>
                <w:szCs w:val="24"/>
                <w:u w:val="none"/>
              </w:rPr>
              <w:t>可知：空气环境监测指标达到《环境空气质量标准》（GB3095-2012）中的二级标准；项目地</w:t>
            </w:r>
            <w:r>
              <w:rPr>
                <w:rFonts w:hint="default"/>
                <w:sz w:val="24"/>
                <w:szCs w:val="24"/>
                <w:u w:val="none"/>
                <w:lang w:val="en-US" w:eastAsia="zh-CN"/>
              </w:rPr>
              <w:t>各</w:t>
            </w:r>
            <w:r>
              <w:rPr>
                <w:rFonts w:hint="default"/>
                <w:sz w:val="24"/>
                <w:szCs w:val="24"/>
                <w:u w:val="none"/>
              </w:rPr>
              <w:t>厂界声环境监测点在昼夜间声环境能达到《声环境质量标准》GB3096-2008）中的</w:t>
            </w:r>
            <w:r>
              <w:rPr>
                <w:rFonts w:hint="default"/>
                <w:sz w:val="24"/>
                <w:szCs w:val="24"/>
                <w:u w:val="none"/>
                <w:lang w:val="en-US" w:eastAsia="zh-CN"/>
              </w:rPr>
              <w:t>2</w:t>
            </w:r>
            <w:r>
              <w:rPr>
                <w:rFonts w:hint="default"/>
                <w:sz w:val="24"/>
                <w:szCs w:val="24"/>
                <w:u w:val="none"/>
              </w:rPr>
              <w:t>类标准</w:t>
            </w:r>
            <w:r>
              <w:rPr>
                <w:rFonts w:hint="default"/>
                <w:sz w:val="24"/>
                <w:szCs w:val="24"/>
                <w:u w:val="none"/>
                <w:lang w:eastAsia="zh-CN"/>
              </w:rPr>
              <w:t>；</w:t>
            </w:r>
            <w:r>
              <w:rPr>
                <w:rFonts w:hint="default"/>
                <w:sz w:val="24"/>
                <w:szCs w:val="24"/>
                <w:u w:val="none"/>
              </w:rPr>
              <w:t>地表水满足《地表水环境质量标准》GB3838-2002中Ⅲ类标准要求。同时根据影响分析可知</w:t>
            </w:r>
            <w:r>
              <w:rPr>
                <w:sz w:val="24"/>
                <w:szCs w:val="24"/>
                <w:u w:val="none"/>
              </w:rPr>
              <w:t>本项目所产生的各项污染物</w:t>
            </w:r>
            <w:r>
              <w:rPr>
                <w:rFonts w:hint="default"/>
                <w:sz w:val="24"/>
                <w:szCs w:val="24"/>
                <w:u w:val="none"/>
              </w:rPr>
              <w:t>采取</w:t>
            </w:r>
            <w:r>
              <w:rPr>
                <w:sz w:val="24"/>
                <w:szCs w:val="24"/>
                <w:u w:val="none"/>
              </w:rPr>
              <w:t>有效的治理，不会改变其环境功能区划，符合其环境功能区划要求。项目</w:t>
            </w:r>
            <w:r>
              <w:rPr>
                <w:rFonts w:hint="eastAsia"/>
                <w:sz w:val="24"/>
                <w:szCs w:val="24"/>
                <w:u w:val="none"/>
              </w:rPr>
              <w:t>占地范围内无</w:t>
            </w:r>
            <w:r>
              <w:rPr>
                <w:sz w:val="24"/>
                <w:szCs w:val="24"/>
                <w:u w:val="none"/>
              </w:rPr>
              <w:t>自然保护区、风景区、名胜古迹和其他需要特别保护的敏感目标</w:t>
            </w:r>
            <w:r>
              <w:rPr>
                <w:rFonts w:hint="eastAsia"/>
                <w:sz w:val="24"/>
                <w:szCs w:val="24"/>
                <w:u w:val="none"/>
                <w:lang w:eastAsia="zh-CN"/>
              </w:rPr>
              <w:t>。</w:t>
            </w:r>
          </w:p>
          <w:p>
            <w:pPr>
              <w:pStyle w:val="98"/>
              <w:ind w:firstLine="480"/>
              <w:rPr>
                <w:sz w:val="24"/>
                <w:szCs w:val="24"/>
                <w:u w:val="none"/>
              </w:rPr>
            </w:pPr>
            <w:r>
              <w:rPr>
                <w:rFonts w:hint="eastAsia"/>
                <w:sz w:val="24"/>
                <w:szCs w:val="24"/>
                <w:u w:val="none"/>
                <w:lang w:val="en-US" w:eastAsia="zh-CN"/>
              </w:rPr>
              <w:t>综上所述，</w:t>
            </w:r>
            <w:r>
              <w:rPr>
                <w:sz w:val="24"/>
                <w:szCs w:val="24"/>
                <w:u w:val="none"/>
              </w:rPr>
              <w:t>本项目选址合理。</w:t>
            </w:r>
          </w:p>
          <w:p>
            <w:pPr>
              <w:pStyle w:val="161"/>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4、平面布置</w:t>
            </w:r>
            <w:r>
              <w:rPr>
                <w:rFonts w:hint="default" w:ascii="Times New Roman" w:hAnsi="Times New Roman" w:cs="Times New Roman"/>
                <w:lang w:val="en-US" w:eastAsia="zh-CN"/>
              </w:rPr>
              <w:t>合理性分析</w:t>
            </w:r>
          </w:p>
          <w:p>
            <w:pPr>
              <w:pStyle w:val="98"/>
              <w:ind w:firstLine="480"/>
              <w:rPr>
                <w:rFonts w:hint="eastAsia"/>
                <w:color w:val="auto"/>
                <w:sz w:val="24"/>
                <w:szCs w:val="24"/>
                <w:u w:val="none"/>
                <w:lang w:val="en-US" w:eastAsia="zh-CN"/>
              </w:rPr>
            </w:pPr>
            <w:r>
              <w:rPr>
                <w:rFonts w:hint="eastAsia"/>
                <w:color w:val="auto"/>
                <w:sz w:val="24"/>
                <w:szCs w:val="24"/>
                <w:u w:val="none"/>
                <w:lang w:val="en-US" w:eastAsia="zh-CN"/>
              </w:rPr>
              <w:t>本项目位于花垣县城北政务中心北侧旁，主入口位于西侧。</w:t>
            </w:r>
          </w:p>
          <w:p>
            <w:pPr>
              <w:pStyle w:val="98"/>
              <w:ind w:firstLine="480"/>
              <w:rPr>
                <w:rFonts w:hint="default"/>
                <w:sz w:val="24"/>
                <w:szCs w:val="24"/>
                <w:u w:val="none"/>
                <w:lang w:eastAsia="zh-CN"/>
              </w:rPr>
            </w:pPr>
            <w:r>
              <w:rPr>
                <w:rFonts w:hint="eastAsia"/>
                <w:color w:val="auto"/>
                <w:sz w:val="24"/>
                <w:szCs w:val="24"/>
                <w:u w:val="none"/>
                <w:lang w:val="en-US" w:eastAsia="zh-CN"/>
              </w:rPr>
              <w:t>院区平面呈矩形布置，主入口在厂区西侧，西侧为精神卫生楼，东侧为室外活动场；院区一体化污水处理站位于院区东北侧，医疗废物暂存间依托于花垣县疾控中心现有医疗废物暂存间。精神卫生楼共5F，其中1F设置诊疗室、药房、库房、值班室等；2F—4F楼设置有病房、重症室、抢救室、处置室、接待室、餐厅、库房及卫生间等；5F为会议室、专家会诊住宿间、雨棚房等</w:t>
            </w:r>
            <w:r>
              <w:rPr>
                <w:rFonts w:hint="default"/>
                <w:sz w:val="24"/>
                <w:szCs w:val="24"/>
                <w:u w:val="none"/>
                <w:lang w:eastAsia="zh-CN"/>
              </w:rPr>
              <w:t>。</w:t>
            </w:r>
          </w:p>
          <w:p>
            <w:pPr>
              <w:pStyle w:val="98"/>
              <w:ind w:firstLine="480"/>
              <w:rPr>
                <w:rFonts w:hint="default"/>
                <w:sz w:val="24"/>
                <w:szCs w:val="24"/>
                <w:u w:val="none"/>
              </w:rPr>
            </w:pPr>
            <w:r>
              <w:rPr>
                <w:rFonts w:hint="default"/>
                <w:sz w:val="24"/>
                <w:szCs w:val="24"/>
                <w:u w:val="none"/>
              </w:rPr>
              <w:t>总体来说，项目内各层功能分布明确，总体布设疏密</w:t>
            </w:r>
            <w:r>
              <w:rPr>
                <w:rFonts w:hint="default"/>
                <w:sz w:val="24"/>
                <w:szCs w:val="24"/>
                <w:u w:val="none"/>
                <w:lang w:val="en-US" w:eastAsia="zh-CN"/>
              </w:rPr>
              <w:t>有序</w:t>
            </w:r>
            <w:r>
              <w:rPr>
                <w:rFonts w:hint="default"/>
                <w:sz w:val="24"/>
                <w:szCs w:val="24"/>
                <w:u w:val="none"/>
              </w:rPr>
              <w:t>，便于患者就医。项目主要出入口设于</w:t>
            </w:r>
            <w:r>
              <w:rPr>
                <w:rFonts w:hint="eastAsia"/>
                <w:sz w:val="24"/>
                <w:szCs w:val="24"/>
                <w:u w:val="none"/>
                <w:lang w:val="en-US" w:eastAsia="zh-CN"/>
              </w:rPr>
              <w:t>西侧</w:t>
            </w:r>
            <w:r>
              <w:rPr>
                <w:rFonts w:hint="default"/>
                <w:sz w:val="24"/>
                <w:szCs w:val="24"/>
                <w:u w:val="none"/>
              </w:rPr>
              <w:t>，方便人流出入，项目内部布局基本合理的。</w:t>
            </w:r>
          </w:p>
          <w:p>
            <w:pPr>
              <w:pStyle w:val="161"/>
              <w:ind w:left="0" w:leftChars="0" w:firstLine="0" w:firstLineChars="0"/>
              <w:rPr>
                <w:rFonts w:cs="宋体"/>
                <w:lang w:val="en-US" w:eastAsia="zh-CN"/>
              </w:rPr>
            </w:pPr>
            <w:r>
              <w:rPr>
                <w:rFonts w:hint="eastAsia" w:ascii="Times New Roman" w:hAnsi="Times New Roman" w:cs="Times New Roman"/>
                <w:lang w:val="en-US" w:eastAsia="zh-CN"/>
              </w:rPr>
              <w:t>5、</w:t>
            </w:r>
            <w:r>
              <w:rPr>
                <w:rFonts w:hint="default" w:ascii="Times New Roman" w:hAnsi="Times New Roman" w:cs="Times New Roman"/>
                <w:lang w:val="en-US" w:eastAsia="zh-CN"/>
              </w:rPr>
              <w:t>与“三线一单”相符性分析</w:t>
            </w:r>
          </w:p>
          <w:p>
            <w:pPr>
              <w:pStyle w:val="98"/>
              <w:numPr>
                <w:ilvl w:val="0"/>
                <w:numId w:val="0"/>
              </w:numPr>
              <w:ind w:firstLine="482" w:firstLineChars="200"/>
              <w:rPr>
                <w:rFonts w:hint="default" w:ascii="Times New Roman" w:hAnsi="Times New Roman" w:cs="Times New Roman"/>
                <w:b/>
                <w:bCs/>
                <w:sz w:val="24"/>
                <w:highlight w:val="none"/>
                <w:u w:val="none"/>
                <w:lang w:val="zh-CN"/>
              </w:rPr>
            </w:pPr>
            <w:r>
              <w:rPr>
                <w:rFonts w:hint="default" w:ascii="Times New Roman" w:hAnsi="Times New Roman" w:cs="Times New Roman"/>
                <w:b/>
                <w:bCs/>
                <w:kern w:val="2"/>
                <w:sz w:val="24"/>
                <w:lang w:val="zh-CN" w:eastAsia="zh-CN" w:bidi="ar-SA"/>
              </w:rPr>
              <w:t>①</w:t>
            </w:r>
            <w:r>
              <w:rPr>
                <w:rFonts w:hint="default" w:ascii="Times New Roman" w:hAnsi="Times New Roman" w:cs="Times New Roman"/>
                <w:b/>
                <w:bCs/>
                <w:sz w:val="24"/>
                <w:highlight w:val="none"/>
                <w:u w:val="none"/>
                <w:lang w:val="zh-CN"/>
              </w:rPr>
              <w:t>与湖南省人民政府关于实施</w:t>
            </w:r>
            <w:r>
              <w:rPr>
                <w:rFonts w:hint="eastAsia" w:cs="Times New Roman"/>
                <w:b/>
                <w:bCs/>
                <w:sz w:val="24"/>
                <w:highlight w:val="none"/>
                <w:u w:val="none"/>
                <w:lang w:val="zh-CN"/>
              </w:rPr>
              <w:t>“</w:t>
            </w:r>
            <w:r>
              <w:rPr>
                <w:rFonts w:hint="default" w:ascii="Times New Roman" w:hAnsi="Times New Roman" w:cs="Times New Roman"/>
                <w:b/>
                <w:bCs/>
                <w:sz w:val="24"/>
                <w:highlight w:val="none"/>
                <w:u w:val="none"/>
                <w:lang w:val="zh-CN"/>
              </w:rPr>
              <w:t>三线一单</w:t>
            </w:r>
            <w:r>
              <w:rPr>
                <w:rFonts w:hint="eastAsia" w:cs="Times New Roman"/>
                <w:b/>
                <w:bCs/>
                <w:sz w:val="24"/>
                <w:highlight w:val="none"/>
                <w:u w:val="none"/>
                <w:lang w:val="zh-CN"/>
              </w:rPr>
              <w:t>”</w:t>
            </w:r>
            <w:r>
              <w:rPr>
                <w:rFonts w:hint="default" w:ascii="Times New Roman" w:hAnsi="Times New Roman" w:cs="Times New Roman"/>
                <w:b/>
                <w:bCs/>
                <w:sz w:val="24"/>
                <w:highlight w:val="none"/>
                <w:u w:val="none"/>
                <w:lang w:val="zh-CN"/>
              </w:rPr>
              <w:t>生态环境分区管控的意见（湘政发</w:t>
            </w:r>
            <w:r>
              <w:rPr>
                <w:rFonts w:hint="default" w:ascii="Times New Roman" w:hAnsi="Times New Roman" w:cs="Times New Roman"/>
                <w:b/>
                <w:bCs/>
                <w:sz w:val="24"/>
                <w:highlight w:val="none"/>
                <w:u w:val="none"/>
              </w:rPr>
              <w:t>[2020]12号</w:t>
            </w:r>
            <w:r>
              <w:rPr>
                <w:rFonts w:hint="default" w:ascii="Times New Roman" w:hAnsi="Times New Roman" w:cs="Times New Roman"/>
                <w:b/>
                <w:bCs/>
                <w:sz w:val="24"/>
                <w:highlight w:val="none"/>
                <w:u w:val="none"/>
                <w:lang w:val="zh-CN"/>
              </w:rPr>
              <w:t>）符合性分析</w:t>
            </w:r>
          </w:p>
          <w:p>
            <w:pPr>
              <w:pStyle w:val="98"/>
              <w:numPr>
                <w:ilvl w:val="0"/>
                <w:numId w:val="0"/>
              </w:numPr>
              <w:ind w:firstLine="480" w:firstLineChars="200"/>
              <w:rPr>
                <w:kern w:val="0"/>
                <w:sz w:val="24"/>
                <w:szCs w:val="24"/>
              </w:rPr>
            </w:pPr>
            <w:r>
              <w:rPr>
                <w:rFonts w:hint="default" w:ascii="Times New Roman" w:hAnsi="Times New Roman" w:cs="Times New Roman"/>
                <w:sz w:val="24"/>
                <w:highlight w:val="none"/>
                <w:u w:val="none"/>
                <w:lang w:val="zh-CN"/>
              </w:rPr>
              <w:t>本项目位于</w:t>
            </w:r>
            <w:r>
              <w:rPr>
                <w:rFonts w:hint="default" w:ascii="Times New Roman" w:hAnsi="Times New Roman" w:cs="Times New Roman"/>
                <w:sz w:val="24"/>
                <w:highlight w:val="none"/>
                <w:u w:val="none"/>
              </w:rPr>
              <w:t>湖南省湘西自治州花垣县</w:t>
            </w:r>
            <w:r>
              <w:rPr>
                <w:rFonts w:hint="default" w:ascii="Times New Roman" w:hAnsi="Times New Roman" w:cs="Times New Roman"/>
                <w:sz w:val="24"/>
                <w:highlight w:val="none"/>
                <w:u w:val="none"/>
                <w:lang w:val="en-US" w:eastAsia="zh-CN"/>
              </w:rPr>
              <w:t>城北政务</w:t>
            </w:r>
            <w:r>
              <w:rPr>
                <w:rFonts w:hint="eastAsia" w:ascii="Times New Roman" w:hAnsi="Times New Roman" w:cs="Times New Roman"/>
                <w:sz w:val="24"/>
                <w:highlight w:val="none"/>
                <w:u w:val="none"/>
                <w:lang w:val="en-US" w:eastAsia="zh-CN"/>
              </w:rPr>
              <w:t>中心北侧旁</w:t>
            </w:r>
            <w:r>
              <w:rPr>
                <w:rFonts w:hint="default" w:ascii="Times New Roman" w:hAnsi="Times New Roman" w:cs="Times New Roman"/>
                <w:sz w:val="24"/>
                <w:highlight w:val="none"/>
                <w:u w:val="none"/>
                <w:lang w:val="zh-CN"/>
              </w:rPr>
              <w:t>，根据《湖南省人民政府关于实施</w:t>
            </w:r>
            <w:r>
              <w:rPr>
                <w:rFonts w:hint="eastAsia" w:cs="Times New Roman"/>
                <w:sz w:val="24"/>
                <w:highlight w:val="none"/>
                <w:u w:val="none"/>
                <w:lang w:val="zh-CN"/>
              </w:rPr>
              <w:t>“</w:t>
            </w:r>
            <w:r>
              <w:rPr>
                <w:rFonts w:hint="default" w:ascii="Times New Roman" w:hAnsi="Times New Roman" w:cs="Times New Roman"/>
                <w:sz w:val="24"/>
                <w:highlight w:val="none"/>
                <w:u w:val="none"/>
                <w:lang w:val="zh-CN"/>
              </w:rPr>
              <w:t>三线一单</w:t>
            </w:r>
            <w:r>
              <w:rPr>
                <w:rFonts w:hint="eastAsia" w:cs="Times New Roman"/>
                <w:sz w:val="24"/>
                <w:highlight w:val="none"/>
                <w:u w:val="none"/>
                <w:lang w:val="zh-CN"/>
              </w:rPr>
              <w:t>”</w:t>
            </w:r>
            <w:r>
              <w:rPr>
                <w:rFonts w:hint="default" w:ascii="Times New Roman" w:hAnsi="Times New Roman" w:cs="Times New Roman"/>
                <w:sz w:val="24"/>
                <w:highlight w:val="none"/>
                <w:u w:val="none"/>
                <w:lang w:val="zh-CN"/>
              </w:rPr>
              <w:t>生态环境分区管控的意见》（湘政发〔2020〕12号）可知，本项目</w:t>
            </w:r>
            <w:r>
              <w:rPr>
                <w:rFonts w:hint="default" w:ascii="Times New Roman" w:hAnsi="Times New Roman" w:cs="Times New Roman"/>
                <w:sz w:val="24"/>
                <w:highlight w:val="none"/>
                <w:u w:val="none"/>
              </w:rPr>
              <w:t>所在地</w:t>
            </w:r>
            <w:r>
              <w:rPr>
                <w:rFonts w:hint="default" w:ascii="Times New Roman" w:hAnsi="Times New Roman" w:cs="Times New Roman"/>
                <w:sz w:val="24"/>
                <w:highlight w:val="none"/>
                <w:u w:val="none"/>
                <w:lang w:val="zh-CN"/>
              </w:rPr>
              <w:t>属于重点管控单元，项目与湖南省人民政府关于实施“三线一单”生态环境分区管控的意见符合性分析对照表见下表</w:t>
            </w:r>
            <w:r>
              <w:rPr>
                <w:kern w:val="0"/>
                <w:sz w:val="24"/>
                <w:szCs w:val="24"/>
              </w:rPr>
              <w:t>。</w:t>
            </w:r>
          </w:p>
          <w:p>
            <w:pPr>
              <w:pStyle w:val="51"/>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表1-</w:t>
            </w:r>
            <w:r>
              <w:rPr>
                <w:rFonts w:hint="eastAsia" w:ascii="Times New Roman" w:hAnsi="Times New Roman" w:eastAsia="宋体" w:cs="Times New Roman"/>
                <w:b/>
                <w:bCs/>
                <w:color w:val="auto"/>
                <w:sz w:val="21"/>
                <w:szCs w:val="21"/>
                <w:u w:val="none"/>
                <w:lang w:val="en-US" w:eastAsia="zh-CN"/>
              </w:rPr>
              <w:t>2</w:t>
            </w:r>
            <w:r>
              <w:rPr>
                <w:rFonts w:hint="default" w:ascii="Times New Roman" w:hAnsi="Times New Roman" w:eastAsia="宋体" w:cs="Times New Roman"/>
                <w:b/>
                <w:bCs/>
                <w:color w:val="auto"/>
                <w:sz w:val="21"/>
                <w:szCs w:val="21"/>
                <w:u w:val="none"/>
                <w:lang w:val="en-US" w:eastAsia="zh-CN"/>
              </w:rPr>
              <w:t xml:space="preserve">  本项目与湖南省人民政府关于实施“三线一单”生态环境分区管控的意见对照</w:t>
            </w:r>
            <w:r>
              <w:rPr>
                <w:rFonts w:hint="default" w:ascii="Times New Roman" w:hAnsi="Times New Roman" w:eastAsia="宋体" w:cs="Times New Roman"/>
                <w:b/>
                <w:bCs/>
                <w:color w:val="auto"/>
                <w:sz w:val="21"/>
                <w:szCs w:val="21"/>
                <w:u w:val="none"/>
              </w:rPr>
              <w:t>表</w:t>
            </w:r>
          </w:p>
          <w:tbl>
            <w:tblPr>
              <w:tblStyle w:val="35"/>
              <w:tblW w:w="4994"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8" w:space="0"/>
              </w:tblBorders>
              <w:tblLayout w:type="fixed"/>
              <w:tblCellMar>
                <w:top w:w="0" w:type="dxa"/>
                <w:left w:w="108" w:type="dxa"/>
                <w:bottom w:w="0" w:type="dxa"/>
                <w:right w:w="108" w:type="dxa"/>
              </w:tblCellMar>
            </w:tblPr>
            <w:tblGrid>
              <w:gridCol w:w="418"/>
              <w:gridCol w:w="662"/>
              <w:gridCol w:w="1265"/>
              <w:gridCol w:w="653"/>
              <w:gridCol w:w="2683"/>
              <w:gridCol w:w="2049"/>
            </w:tblGrid>
            <w:tr>
              <w:tblPrEx>
                <w:tblBorders>
                  <w:top w:val="single" w:color="000000" w:sz="8" w:space="0"/>
                  <w:left w:val="single" w:color="000000" w:sz="8" w:space="0"/>
                  <w:bottom w:val="single" w:color="000000" w:sz="8" w:space="0"/>
                  <w:right w:val="single" w:color="000000" w:sz="8" w:space="0"/>
                  <w:insideH w:val="single" w:color="auto" w:sz="4" w:space="0"/>
                  <w:insideV w:val="single" w:color="auto" w:sz="8" w:space="0"/>
                </w:tblBorders>
                <w:tblCellMar>
                  <w:top w:w="0" w:type="dxa"/>
                  <w:left w:w="108" w:type="dxa"/>
                  <w:bottom w:w="0" w:type="dxa"/>
                  <w:right w:w="108" w:type="dxa"/>
                </w:tblCellMar>
              </w:tblPrEx>
              <w:trPr>
                <w:trHeight w:val="526" w:hRule="atLeast"/>
                <w:jc w:val="center"/>
              </w:trPr>
              <w:tc>
                <w:tcPr>
                  <w:tcW w:w="418"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序号</w:t>
                  </w:r>
                </w:p>
              </w:tc>
              <w:tc>
                <w:tcPr>
                  <w:tcW w:w="1927" w:type="dxa"/>
                  <w:gridSpan w:val="2"/>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管控对象</w:t>
                  </w:r>
                </w:p>
              </w:tc>
              <w:tc>
                <w:tcPr>
                  <w:tcW w:w="653"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是否属于</w:t>
                  </w:r>
                </w:p>
              </w:tc>
              <w:tc>
                <w:tcPr>
                  <w:tcW w:w="2683"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管控要求</w:t>
                  </w:r>
                </w:p>
              </w:tc>
              <w:tc>
                <w:tcPr>
                  <w:tcW w:w="2049"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符合性分析</w:t>
                  </w:r>
                </w:p>
              </w:tc>
            </w:tr>
            <w:tr>
              <w:tblPrEx>
                <w:tblBorders>
                  <w:top w:val="single" w:color="000000" w:sz="8" w:space="0"/>
                  <w:left w:val="single" w:color="000000" w:sz="8" w:space="0"/>
                  <w:bottom w:val="single" w:color="000000" w:sz="8" w:space="0"/>
                  <w:right w:val="single" w:color="000000" w:sz="8" w:space="0"/>
                  <w:insideH w:val="single" w:color="auto" w:sz="4" w:space="0"/>
                  <w:insideV w:val="single" w:color="auto" w:sz="8" w:space="0"/>
                </w:tblBorders>
                <w:tblCellMar>
                  <w:top w:w="0" w:type="dxa"/>
                  <w:left w:w="108" w:type="dxa"/>
                  <w:bottom w:w="0" w:type="dxa"/>
                  <w:right w:w="108" w:type="dxa"/>
                </w:tblCellMar>
              </w:tblPrEx>
              <w:trPr>
                <w:trHeight w:val="227" w:hRule="atLeast"/>
                <w:jc w:val="center"/>
              </w:trPr>
              <w:tc>
                <w:tcPr>
                  <w:tcW w:w="418"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1</w:t>
                  </w:r>
                </w:p>
              </w:tc>
              <w:tc>
                <w:tcPr>
                  <w:tcW w:w="662"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大气环境重点管控区</w:t>
                  </w:r>
                </w:p>
              </w:tc>
              <w:tc>
                <w:tcPr>
                  <w:tcW w:w="1265"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受体敏感区、布局敏感区、弱扩散区、高排放区</w:t>
                  </w:r>
                </w:p>
              </w:tc>
              <w:tc>
                <w:tcPr>
                  <w:tcW w:w="653"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eastAsia="zh-CN"/>
                    </w:rPr>
                    <w:t>属于受体敏感区</w:t>
                  </w:r>
                </w:p>
              </w:tc>
              <w:tc>
                <w:tcPr>
                  <w:tcW w:w="2683" w:type="dxa"/>
                  <w:tcBorders>
                    <w:tl2br w:val="nil"/>
                    <w:tr2bl w:val="nil"/>
                  </w:tcBorders>
                  <w:noWrap w:val="0"/>
                  <w:vAlign w:val="center"/>
                </w:tcPr>
                <w:p>
                  <w:pPr>
                    <w:pStyle w:val="90"/>
                    <w:bidi w:val="0"/>
                    <w:jc w:val="left"/>
                    <w:rPr>
                      <w:rFonts w:hint="default" w:ascii="Times New Roman" w:hAnsi="Times New Roman" w:eastAsia="宋体" w:cs="Times New Roman"/>
                      <w:b w:val="0"/>
                      <w:bCs w:val="0"/>
                      <w:sz w:val="21"/>
                      <w:szCs w:val="21"/>
                      <w:highlight w:val="none"/>
                      <w:u w:val="none"/>
                      <w:lang w:eastAsia="zh-CN"/>
                    </w:rPr>
                  </w:pPr>
                  <w:r>
                    <w:rPr>
                      <w:rFonts w:hint="default" w:ascii="Times New Roman" w:hAnsi="Times New Roman" w:eastAsia="宋体" w:cs="Times New Roman"/>
                      <w:b w:val="0"/>
                      <w:bCs w:val="0"/>
                      <w:sz w:val="21"/>
                      <w:szCs w:val="21"/>
                      <w:highlight w:val="none"/>
                      <w:u w:val="none"/>
                      <w:lang w:eastAsia="zh-CN"/>
                    </w:rPr>
                    <w:t>1.禁止在人口集中地区和其他依法需要特殊保护的区域内焚烧沥青、油毡、橡胶、塑料、皮革、垃圾以及其他产生有毒有害烟尘和恶臭气体的物质。</w:t>
                  </w:r>
                </w:p>
                <w:p>
                  <w:pPr>
                    <w:pStyle w:val="90"/>
                    <w:bidi w:val="0"/>
                    <w:jc w:val="left"/>
                    <w:rPr>
                      <w:rFonts w:hint="default" w:ascii="Times New Roman" w:hAnsi="Times New Roman" w:eastAsia="宋体" w:cs="Times New Roman"/>
                      <w:b w:val="0"/>
                      <w:bCs w:val="0"/>
                      <w:sz w:val="21"/>
                      <w:szCs w:val="21"/>
                      <w:highlight w:val="none"/>
                      <w:u w:val="none"/>
                      <w:lang w:eastAsia="zh-CN"/>
                    </w:rPr>
                  </w:pPr>
                  <w:r>
                    <w:rPr>
                      <w:rFonts w:hint="default" w:ascii="Times New Roman" w:hAnsi="Times New Roman" w:eastAsia="宋体" w:cs="Times New Roman"/>
                      <w:b w:val="0"/>
                      <w:bCs w:val="0"/>
                      <w:sz w:val="21"/>
                      <w:szCs w:val="21"/>
                      <w:highlight w:val="none"/>
                      <w:u w:val="none"/>
                      <w:lang w:eastAsia="zh-CN"/>
                    </w:rPr>
                    <w:t>2.鼓励城市建成区实行集中供热。在集中供热管网覆盖区域内，禁止新建、改建、扩建分散燃煤锅炉，集中供热管网覆盖前已建成使用的分散燃煤锅炉应当限期停止使用。</w:t>
                  </w:r>
                </w:p>
                <w:p>
                  <w:pPr>
                    <w:pStyle w:val="90"/>
                    <w:bidi w:val="0"/>
                    <w:jc w:val="left"/>
                    <w:rPr>
                      <w:rFonts w:hint="default" w:ascii="Times New Roman" w:hAnsi="Times New Roman" w:eastAsia="宋体" w:cs="Times New Roman"/>
                      <w:b w:val="0"/>
                      <w:bCs w:val="0"/>
                      <w:sz w:val="21"/>
                      <w:szCs w:val="21"/>
                      <w:highlight w:val="cyan"/>
                      <w:u w:val="none"/>
                      <w:lang w:eastAsia="zh-CN"/>
                    </w:rPr>
                  </w:pPr>
                  <w:r>
                    <w:rPr>
                      <w:rFonts w:hint="default" w:ascii="Times New Roman" w:hAnsi="Times New Roman" w:eastAsia="宋体" w:cs="Times New Roman"/>
                      <w:b w:val="0"/>
                      <w:bCs w:val="0"/>
                      <w:sz w:val="21"/>
                      <w:szCs w:val="21"/>
                      <w:highlight w:val="none"/>
                      <w:u w:val="none"/>
                      <w:lang w:eastAsia="zh-CN"/>
                    </w:rPr>
                    <w:t>3.在大气污染重点区域城市建成区内禁止新建、扩建钢铁、水泥、有色金属、石油、化工等重污染企业以及新增产能项目。</w:t>
                  </w:r>
                </w:p>
              </w:tc>
              <w:tc>
                <w:tcPr>
                  <w:tcW w:w="2049" w:type="dxa"/>
                  <w:tcBorders>
                    <w:tl2br w:val="nil"/>
                    <w:tr2bl w:val="nil"/>
                  </w:tcBorders>
                  <w:noWrap w:val="0"/>
                  <w:vAlign w:val="center"/>
                </w:tcPr>
                <w:p>
                  <w:pPr>
                    <w:pStyle w:val="90"/>
                    <w:bidi w:val="0"/>
                    <w:jc w:val="left"/>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1、项目产生生活垃圾交由环卫部门统一处理，污水处理站</w:t>
                  </w:r>
                  <w:r>
                    <w:rPr>
                      <w:rFonts w:hint="eastAsia" w:ascii="Times New Roman" w:eastAsia="宋体" w:cs="Times New Roman"/>
                      <w:b w:val="0"/>
                      <w:bCs w:val="0"/>
                      <w:sz w:val="21"/>
                      <w:szCs w:val="21"/>
                      <w:u w:val="none"/>
                      <w:lang w:val="en-US" w:eastAsia="zh-CN"/>
                    </w:rPr>
                    <w:t>依托花垣县疾控中心现有一体化污水处理站</w:t>
                  </w:r>
                  <w:r>
                    <w:rPr>
                      <w:rFonts w:hint="default" w:ascii="Times New Roman" w:hAnsi="Times New Roman" w:eastAsia="宋体" w:cs="Times New Roman"/>
                      <w:b w:val="0"/>
                      <w:bCs w:val="0"/>
                      <w:sz w:val="21"/>
                      <w:szCs w:val="21"/>
                      <w:u w:val="none"/>
                      <w:lang w:val="en-US" w:eastAsia="zh-CN"/>
                    </w:rPr>
                    <w:t>。</w:t>
                  </w:r>
                </w:p>
                <w:p>
                  <w:pPr>
                    <w:spacing w:line="240" w:lineRule="auto"/>
                    <w:ind w:left="0" w:leftChars="0" w:firstLine="0" w:firstLineChars="0"/>
                    <w:jc w:val="left"/>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2、项目使用电能属于清洁能源。</w:t>
                  </w:r>
                </w:p>
                <w:p>
                  <w:pPr>
                    <w:spacing w:line="240" w:lineRule="auto"/>
                    <w:ind w:left="0" w:leftChars="0" w:firstLine="0" w:firstLineChars="0"/>
                    <w:jc w:val="left"/>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val="en-US" w:eastAsia="zh-CN"/>
                    </w:rPr>
                    <w:t>3、项目属于</w:t>
                  </w:r>
                  <w:r>
                    <w:rPr>
                      <w:rFonts w:hint="eastAsia" w:ascii="Times New Roman" w:hAnsi="Times New Roman" w:eastAsia="宋体" w:cs="Times New Roman"/>
                      <w:b w:val="0"/>
                      <w:bCs w:val="0"/>
                      <w:sz w:val="21"/>
                      <w:szCs w:val="21"/>
                      <w:u w:val="none"/>
                      <w:lang w:val="en-US" w:eastAsia="zh-CN"/>
                    </w:rPr>
                    <w:t>精神科</w:t>
                  </w:r>
                  <w:r>
                    <w:rPr>
                      <w:rFonts w:hint="default" w:ascii="Times New Roman" w:hAnsi="Times New Roman" w:cs="Times New Roman"/>
                      <w:b w:val="0"/>
                      <w:bCs w:val="0"/>
                      <w:sz w:val="21"/>
                      <w:szCs w:val="21"/>
                      <w:u w:val="none"/>
                      <w:lang w:val="en-US" w:eastAsia="zh-CN"/>
                    </w:rPr>
                    <w:t>项目</w:t>
                  </w:r>
                  <w:r>
                    <w:rPr>
                      <w:rFonts w:hint="default" w:ascii="Times New Roman" w:hAnsi="Times New Roman" w:eastAsia="宋体" w:cs="Times New Roman"/>
                      <w:b w:val="0"/>
                      <w:bCs w:val="0"/>
                      <w:sz w:val="21"/>
                      <w:szCs w:val="21"/>
                      <w:u w:val="none"/>
                      <w:lang w:val="en-US" w:eastAsia="zh-CN"/>
                    </w:rPr>
                    <w:t>，不属于</w:t>
                  </w:r>
                  <w:r>
                    <w:rPr>
                      <w:rFonts w:hint="default" w:ascii="Times New Roman" w:hAnsi="Times New Roman" w:eastAsia="宋体" w:cs="Times New Roman"/>
                      <w:b w:val="0"/>
                      <w:bCs w:val="0"/>
                      <w:sz w:val="21"/>
                      <w:szCs w:val="21"/>
                      <w:highlight w:val="none"/>
                      <w:u w:val="none"/>
                      <w:lang w:eastAsia="zh-CN"/>
                    </w:rPr>
                    <w:t>新建、扩建钢铁、水泥、有色金属、石油、化工等重污染企业以及新增产能项目。</w:t>
                  </w:r>
                </w:p>
              </w:tc>
            </w:tr>
            <w:tr>
              <w:tblPrEx>
                <w:tblBorders>
                  <w:top w:val="single" w:color="000000" w:sz="8" w:space="0"/>
                  <w:left w:val="single" w:color="000000" w:sz="8" w:space="0"/>
                  <w:bottom w:val="single" w:color="000000" w:sz="8" w:space="0"/>
                  <w:right w:val="single" w:color="000000" w:sz="8" w:space="0"/>
                  <w:insideH w:val="single" w:color="auto" w:sz="4" w:space="0"/>
                  <w:insideV w:val="single" w:color="auto" w:sz="8" w:space="0"/>
                </w:tblBorders>
                <w:tblCellMar>
                  <w:top w:w="0" w:type="dxa"/>
                  <w:left w:w="108" w:type="dxa"/>
                  <w:bottom w:w="0" w:type="dxa"/>
                  <w:right w:w="108" w:type="dxa"/>
                </w:tblCellMar>
              </w:tblPrEx>
              <w:trPr>
                <w:trHeight w:val="1052" w:hRule="atLeast"/>
                <w:jc w:val="center"/>
              </w:trPr>
              <w:tc>
                <w:tcPr>
                  <w:tcW w:w="418"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2</w:t>
                  </w:r>
                </w:p>
              </w:tc>
              <w:tc>
                <w:tcPr>
                  <w:tcW w:w="662"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水环境重点管控区</w:t>
                  </w:r>
                </w:p>
              </w:tc>
              <w:tc>
                <w:tcPr>
                  <w:tcW w:w="1265" w:type="dxa"/>
                  <w:tcBorders>
                    <w:tl2br w:val="nil"/>
                    <w:tr2bl w:val="nil"/>
                  </w:tcBorders>
                  <w:noWrap w:val="0"/>
                  <w:vAlign w:val="center"/>
                </w:tcPr>
                <w:p>
                  <w:pPr>
                    <w:keepNext w:val="0"/>
                    <w:keepLines w:val="0"/>
                    <w:widowControl/>
                    <w:suppressLineNumbers w:val="0"/>
                    <w:spacing w:line="240" w:lineRule="auto"/>
                    <w:ind w:left="0" w:leftChars="0" w:firstLine="0" w:firstLineChars="0"/>
                    <w:jc w:val="left"/>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kern w:val="2"/>
                      <w:sz w:val="21"/>
                      <w:szCs w:val="21"/>
                      <w:u w:val="none"/>
                      <w:lang w:val="en-US" w:eastAsia="zh-CN" w:bidi="ar-SA"/>
                    </w:rPr>
                    <w:t>城镇生活污染源所属水环境控制区域</w:t>
                  </w:r>
                </w:p>
              </w:tc>
              <w:tc>
                <w:tcPr>
                  <w:tcW w:w="653"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属于</w:t>
                  </w:r>
                </w:p>
              </w:tc>
              <w:tc>
                <w:tcPr>
                  <w:tcW w:w="2683" w:type="dxa"/>
                  <w:tcBorders>
                    <w:tl2br w:val="nil"/>
                    <w:tr2bl w:val="nil"/>
                  </w:tcBorders>
                  <w:noWrap w:val="0"/>
                  <w:vAlign w:val="center"/>
                </w:tcPr>
                <w:p>
                  <w:pPr>
                    <w:pStyle w:val="90"/>
                    <w:bidi w:val="0"/>
                    <w:jc w:val="left"/>
                    <w:rPr>
                      <w:rFonts w:hint="default" w:ascii="Times New Roman" w:hAnsi="Times New Roman" w:eastAsia="宋体" w:cs="Times New Roman"/>
                      <w:b w:val="0"/>
                      <w:bCs w:val="0"/>
                      <w:sz w:val="21"/>
                      <w:szCs w:val="21"/>
                      <w:u w:val="none"/>
                      <w:lang w:val="en-US" w:eastAsia="zh-CN" w:bidi="zh-CN"/>
                    </w:rPr>
                  </w:pPr>
                  <w:r>
                    <w:rPr>
                      <w:rFonts w:hint="default" w:ascii="Times New Roman" w:hAnsi="Times New Roman" w:eastAsia="宋体" w:cs="Times New Roman"/>
                      <w:b w:val="0"/>
                      <w:bCs w:val="0"/>
                      <w:sz w:val="21"/>
                      <w:szCs w:val="21"/>
                      <w:u w:val="none"/>
                      <w:lang w:val="en-US" w:eastAsia="zh-CN" w:bidi="zh-CN"/>
                    </w:rPr>
                    <w:t>1.加快城镇污水处理设施建设与改造。认真落实《湖南省城市双修三年行动计划（2018—2020 年）》，持续加大县级及以上城镇污水处理力度，到2020年，设市城市、县城生活污水处理率分别达到95%和90%。洞庭湖、东江湖等重点区域县级及以上城镇生活污水处理设施应全面达到一级A排放标准。</w:t>
                  </w:r>
                </w:p>
                <w:p>
                  <w:pPr>
                    <w:keepNext w:val="0"/>
                    <w:keepLines w:val="0"/>
                    <w:widowControl/>
                    <w:suppressLineNumbers w:val="0"/>
                    <w:spacing w:line="240" w:lineRule="auto"/>
                    <w:ind w:left="0" w:leftChars="0" w:firstLine="0" w:firstLineChars="0"/>
                    <w:jc w:val="left"/>
                    <w:rPr>
                      <w:rFonts w:hint="default" w:ascii="Times New Roman" w:hAnsi="Times New Roman" w:eastAsia="宋体" w:cs="Times New Roman"/>
                      <w:b w:val="0"/>
                      <w:bCs w:val="0"/>
                      <w:sz w:val="21"/>
                      <w:szCs w:val="21"/>
                      <w:u w:val="none"/>
                      <w:lang w:val="en-US" w:eastAsia="zh-CN" w:bidi="zh-CN"/>
                    </w:rPr>
                  </w:pPr>
                  <w:r>
                    <w:rPr>
                      <w:rFonts w:hint="default" w:ascii="Times New Roman" w:hAnsi="Times New Roman" w:eastAsia="宋体" w:cs="Times New Roman"/>
                      <w:b w:val="0"/>
                      <w:bCs w:val="0"/>
                      <w:sz w:val="21"/>
                      <w:szCs w:val="21"/>
                      <w:u w:val="none"/>
                      <w:lang w:val="en-US" w:eastAsia="zh-CN" w:bidi="zh-CN"/>
                    </w:rPr>
                    <w:t>2.全面加强配套管网建设。强化城中村、老旧城区和城乡结合部污水截流、收集。现有合流制排水系统加快实施雨污分流改造，难以改造的应采取截流、调蓄和治理等措施处理。到2020年，全省地级城市及洞庭湖区域县级城市建成区基本实现污水全收集、全处理。</w:t>
                  </w:r>
                </w:p>
                <w:p>
                  <w:pPr>
                    <w:keepNext w:val="0"/>
                    <w:keepLines w:val="0"/>
                    <w:widowControl/>
                    <w:suppressLineNumbers w:val="0"/>
                    <w:spacing w:line="240" w:lineRule="auto"/>
                    <w:ind w:left="0" w:leftChars="0" w:firstLine="0" w:firstLineChars="0"/>
                    <w:jc w:val="left"/>
                    <w:rPr>
                      <w:rFonts w:hint="default" w:ascii="Times New Roman" w:hAnsi="Times New Roman" w:eastAsia="宋体" w:cs="Times New Roman"/>
                      <w:b w:val="0"/>
                      <w:bCs w:val="0"/>
                      <w:sz w:val="21"/>
                      <w:szCs w:val="21"/>
                      <w:u w:val="none"/>
                      <w:lang w:val="en-US" w:eastAsia="zh-CN" w:bidi="zh-CN"/>
                    </w:rPr>
                  </w:pPr>
                  <w:r>
                    <w:rPr>
                      <w:rFonts w:hint="default" w:ascii="Times New Roman" w:hAnsi="Times New Roman" w:eastAsia="宋体" w:cs="Times New Roman"/>
                      <w:b w:val="0"/>
                      <w:bCs w:val="0"/>
                      <w:sz w:val="21"/>
                      <w:szCs w:val="21"/>
                      <w:u w:val="none"/>
                      <w:lang w:val="en-US" w:eastAsia="zh-CN" w:bidi="zh-CN"/>
                    </w:rPr>
                    <w:t xml:space="preserve">3.推进污泥处理处置。对污水处理设施产生的污泥进行稳定化、无害化和资源化处理处置，禁止处理处置未达标的污泥进入耕地。对非法污泥堆放点一律予以取缔。2020年，地级城市污泥无害化处理处置率达到 90%以上。 </w:t>
                  </w:r>
                </w:p>
                <w:p>
                  <w:pPr>
                    <w:keepNext w:val="0"/>
                    <w:keepLines w:val="0"/>
                    <w:widowControl/>
                    <w:suppressLineNumbers w:val="0"/>
                    <w:spacing w:line="240" w:lineRule="auto"/>
                    <w:ind w:left="0" w:leftChars="0" w:firstLine="0" w:firstLineChars="0"/>
                    <w:jc w:val="left"/>
                    <w:rPr>
                      <w:rFonts w:hint="default" w:ascii="Times New Roman" w:hAnsi="Times New Roman" w:eastAsia="宋体" w:cs="Times New Roman"/>
                      <w:b w:val="0"/>
                      <w:bCs w:val="0"/>
                      <w:sz w:val="21"/>
                      <w:szCs w:val="21"/>
                      <w:u w:val="none"/>
                      <w:lang w:val="en-US" w:eastAsia="zh-CN" w:bidi="zh-CN"/>
                    </w:rPr>
                  </w:pPr>
                  <w:r>
                    <w:rPr>
                      <w:rFonts w:hint="default" w:ascii="Times New Roman" w:hAnsi="Times New Roman" w:eastAsia="宋体" w:cs="Times New Roman"/>
                      <w:b w:val="0"/>
                      <w:bCs w:val="0"/>
                      <w:sz w:val="21"/>
                      <w:szCs w:val="21"/>
                      <w:u w:val="none"/>
                      <w:lang w:val="en-US" w:eastAsia="zh-CN" w:bidi="zh-CN"/>
                    </w:rPr>
                    <w:t>4.严格限制含有毒有害污染物和重金属的工业废水进入城镇污水处理厂，对接纳含有毒有害污染物和重金属的工业废水的城镇污水处理厂，每一股工业废水都应满足其行业污染物排放标准后方可与生活污水进行混合处理。</w:t>
                  </w:r>
                </w:p>
              </w:tc>
              <w:tc>
                <w:tcPr>
                  <w:tcW w:w="2049" w:type="dxa"/>
                  <w:tcBorders>
                    <w:tl2br w:val="nil"/>
                    <w:tr2bl w:val="nil"/>
                  </w:tcBorders>
                  <w:noWrap w:val="0"/>
                  <w:vAlign w:val="center"/>
                </w:tcPr>
                <w:p>
                  <w:pPr>
                    <w:pStyle w:val="90"/>
                    <w:bidi w:val="0"/>
                    <w:jc w:val="left"/>
                    <w:rPr>
                      <w:rFonts w:hint="default" w:ascii="Times New Roman" w:hAnsi="Times New Roman" w:eastAsia="宋体" w:cs="Times New Roman"/>
                      <w:b w:val="0"/>
                      <w:bCs w:val="0"/>
                      <w:sz w:val="21"/>
                      <w:szCs w:val="21"/>
                      <w:u w:val="none"/>
                      <w:lang w:val="en-US" w:eastAsia="zh-CN" w:bidi="zh-CN"/>
                    </w:rPr>
                  </w:pPr>
                  <w:r>
                    <w:rPr>
                      <w:rFonts w:hint="default" w:ascii="Times New Roman" w:hAnsi="Times New Roman" w:eastAsia="宋体" w:cs="Times New Roman"/>
                      <w:b w:val="0"/>
                      <w:bCs w:val="0"/>
                      <w:sz w:val="21"/>
                      <w:szCs w:val="21"/>
                      <w:u w:val="none"/>
                      <w:lang w:val="en-US" w:eastAsia="zh-CN" w:bidi="zh-CN"/>
                    </w:rPr>
                    <w:t>1、项目经</w:t>
                  </w:r>
                  <w:r>
                    <w:rPr>
                      <w:rFonts w:hint="eastAsia" w:ascii="Times New Roman" w:hAnsi="Times New Roman" w:eastAsia="宋体" w:cs="Times New Roman"/>
                      <w:b w:val="0"/>
                      <w:bCs w:val="0"/>
                      <w:sz w:val="21"/>
                      <w:szCs w:val="21"/>
                      <w:u w:val="none"/>
                      <w:lang w:val="en-US" w:eastAsia="zh-CN" w:bidi="zh-CN"/>
                    </w:rPr>
                    <w:t>一体化</w:t>
                  </w:r>
                  <w:r>
                    <w:rPr>
                      <w:rFonts w:hint="default" w:ascii="Times New Roman" w:hAnsi="Times New Roman" w:eastAsia="宋体" w:cs="Times New Roman"/>
                      <w:b w:val="0"/>
                      <w:bCs w:val="0"/>
                      <w:sz w:val="21"/>
                      <w:szCs w:val="21"/>
                      <w:u w:val="none"/>
                      <w:lang w:val="en-US" w:eastAsia="zh-CN" w:bidi="zh-CN"/>
                    </w:rPr>
                    <w:t>污水处理站</w:t>
                  </w:r>
                  <w:r>
                    <w:rPr>
                      <w:rFonts w:hint="eastAsia" w:ascii="Times New Roman" w:eastAsia="宋体" w:cs="Times New Roman"/>
                      <w:b w:val="0"/>
                      <w:bCs w:val="0"/>
                      <w:sz w:val="21"/>
                      <w:szCs w:val="21"/>
                      <w:u w:val="none"/>
                      <w:lang w:val="en-US" w:eastAsia="zh-CN" w:bidi="zh-CN"/>
                    </w:rPr>
                    <w:t>（依托</w:t>
                  </w:r>
                  <w:r>
                    <w:rPr>
                      <w:rFonts w:hint="eastAsia" w:ascii="Times New Roman" w:eastAsia="宋体" w:cs="Times New Roman"/>
                      <w:b w:val="0"/>
                      <w:bCs w:val="0"/>
                      <w:sz w:val="21"/>
                      <w:szCs w:val="21"/>
                      <w:u w:val="none"/>
                      <w:lang w:val="en-US" w:eastAsia="zh-CN"/>
                    </w:rPr>
                    <w:t>花垣县疾控中心现有一体化污水处理站</w:t>
                  </w:r>
                  <w:r>
                    <w:rPr>
                      <w:rFonts w:hint="eastAsia" w:ascii="Times New Roman" w:eastAsia="宋体" w:cs="Times New Roman"/>
                      <w:b w:val="0"/>
                      <w:bCs w:val="0"/>
                      <w:sz w:val="21"/>
                      <w:szCs w:val="21"/>
                      <w:u w:val="none"/>
                      <w:lang w:val="en-US" w:eastAsia="zh-CN" w:bidi="zh-CN"/>
                    </w:rPr>
                    <w:t>）</w:t>
                  </w:r>
                  <w:r>
                    <w:rPr>
                      <w:rFonts w:hint="default" w:ascii="Times New Roman" w:hAnsi="Times New Roman" w:eastAsia="宋体" w:cs="Times New Roman"/>
                      <w:b w:val="0"/>
                      <w:bCs w:val="0"/>
                      <w:sz w:val="21"/>
                      <w:szCs w:val="21"/>
                      <w:u w:val="none"/>
                      <w:lang w:val="en-US" w:eastAsia="zh-CN" w:bidi="zh-CN"/>
                    </w:rPr>
                    <w:t>处理达到《医疗机构水污染物排放标准》（GB18466-2005）中综合医疗机构和其他医疗机构水污染标准后，接入市政污水管网，由花垣县城市污水处理厂集中处理达到《城镇污水处理厂污水污染物排放标准》（GB18918-2002）一级A标准达标排放。</w:t>
                  </w:r>
                </w:p>
                <w:p>
                  <w:pPr>
                    <w:pStyle w:val="90"/>
                    <w:bidi w:val="0"/>
                    <w:jc w:val="both"/>
                    <w:rPr>
                      <w:rFonts w:hint="default" w:ascii="Times New Roman" w:hAnsi="Times New Roman" w:eastAsia="宋体" w:cs="Times New Roman"/>
                      <w:b w:val="0"/>
                      <w:bCs w:val="0"/>
                      <w:sz w:val="21"/>
                      <w:szCs w:val="21"/>
                      <w:u w:val="none"/>
                      <w:lang w:val="en-US" w:eastAsia="zh-CN" w:bidi="zh-CN"/>
                    </w:rPr>
                  </w:pPr>
                  <w:r>
                    <w:rPr>
                      <w:rFonts w:hint="default" w:ascii="Times New Roman" w:hAnsi="Times New Roman" w:eastAsia="宋体" w:cs="Times New Roman"/>
                      <w:b w:val="0"/>
                      <w:bCs w:val="0"/>
                      <w:sz w:val="21"/>
                      <w:szCs w:val="21"/>
                      <w:u w:val="none"/>
                      <w:lang w:val="en-US" w:eastAsia="zh-CN" w:bidi="zh-CN"/>
                    </w:rPr>
                    <w:t>2、项目实行雨污分流，雨水经厂区内雨水管网接入市政雨水管网，污水经</w:t>
                  </w:r>
                  <w:r>
                    <w:rPr>
                      <w:rFonts w:hint="eastAsia" w:ascii="Times New Roman" w:eastAsia="宋体" w:cs="Times New Roman"/>
                      <w:b w:val="0"/>
                      <w:bCs w:val="0"/>
                      <w:sz w:val="21"/>
                      <w:szCs w:val="21"/>
                      <w:u w:val="none"/>
                      <w:lang w:val="en-US" w:eastAsia="zh-CN" w:bidi="zh-CN"/>
                    </w:rPr>
                    <w:t>一体化</w:t>
                  </w:r>
                  <w:r>
                    <w:rPr>
                      <w:rFonts w:hint="default" w:ascii="Times New Roman" w:hAnsi="Times New Roman" w:eastAsia="宋体" w:cs="Times New Roman"/>
                      <w:b w:val="0"/>
                      <w:bCs w:val="0"/>
                      <w:sz w:val="21"/>
                      <w:szCs w:val="21"/>
                      <w:u w:val="none"/>
                      <w:lang w:val="en-US" w:eastAsia="zh-CN" w:bidi="zh-CN"/>
                    </w:rPr>
                    <w:t>污水处理站处理后接入市政污水管网。</w:t>
                  </w:r>
                </w:p>
                <w:p>
                  <w:pPr>
                    <w:spacing w:line="240" w:lineRule="auto"/>
                    <w:ind w:left="0" w:leftChars="0" w:firstLine="0" w:firstLineChars="0"/>
                    <w:rPr>
                      <w:rFonts w:hint="default" w:ascii="Times New Roman" w:hAnsi="Times New Roman" w:eastAsia="宋体" w:cs="Times New Roman"/>
                      <w:b w:val="0"/>
                      <w:bCs w:val="0"/>
                      <w:sz w:val="21"/>
                      <w:szCs w:val="21"/>
                      <w:u w:val="none"/>
                      <w:lang w:val="en-US" w:eastAsia="zh-CN" w:bidi="zh-CN"/>
                    </w:rPr>
                  </w:pPr>
                  <w:r>
                    <w:rPr>
                      <w:rFonts w:hint="default" w:ascii="Times New Roman" w:hAnsi="Times New Roman" w:eastAsia="宋体" w:cs="Times New Roman"/>
                      <w:b w:val="0"/>
                      <w:bCs w:val="0"/>
                      <w:sz w:val="21"/>
                      <w:szCs w:val="21"/>
                      <w:u w:val="none"/>
                      <w:lang w:val="en-US" w:eastAsia="zh-CN" w:bidi="zh-CN"/>
                    </w:rPr>
                    <w:t>3、项目产生的</w:t>
                  </w:r>
                  <w:r>
                    <w:rPr>
                      <w:rFonts w:hint="eastAsia" w:cs="Times New Roman"/>
                      <w:b w:val="0"/>
                      <w:bCs w:val="0"/>
                      <w:sz w:val="21"/>
                      <w:szCs w:val="21"/>
                      <w:u w:val="none"/>
                      <w:lang w:val="en-US" w:eastAsia="zh-CN" w:bidi="zh-CN"/>
                    </w:rPr>
                    <w:t>化粪池</w:t>
                  </w:r>
                  <w:r>
                    <w:rPr>
                      <w:rFonts w:hint="default" w:ascii="Times New Roman" w:hAnsi="Times New Roman" w:eastAsia="宋体" w:cs="Times New Roman"/>
                      <w:b w:val="0"/>
                      <w:bCs w:val="0"/>
                      <w:sz w:val="21"/>
                      <w:szCs w:val="21"/>
                      <w:u w:val="none"/>
                      <w:lang w:val="en-US" w:eastAsia="zh-CN" w:bidi="zh-CN"/>
                    </w:rPr>
                    <w:t>污泥交由有</w:t>
                  </w:r>
                  <w:r>
                    <w:rPr>
                      <w:rFonts w:hint="eastAsia" w:ascii="Times New Roman" w:hAnsi="Times New Roman" w:eastAsia="宋体" w:cs="Times New Roman"/>
                      <w:b w:val="0"/>
                      <w:bCs w:val="0"/>
                      <w:sz w:val="21"/>
                      <w:szCs w:val="21"/>
                      <w:u w:val="none"/>
                      <w:lang w:val="en-US" w:eastAsia="zh-CN" w:bidi="zh-CN"/>
                    </w:rPr>
                    <w:t>资质</w:t>
                  </w:r>
                  <w:r>
                    <w:rPr>
                      <w:rFonts w:hint="default" w:ascii="Times New Roman" w:hAnsi="Times New Roman" w:eastAsia="宋体" w:cs="Times New Roman"/>
                      <w:b w:val="0"/>
                      <w:bCs w:val="0"/>
                      <w:sz w:val="21"/>
                      <w:szCs w:val="21"/>
                      <w:u w:val="none"/>
                      <w:lang w:val="en-US" w:eastAsia="zh-CN" w:bidi="zh-CN"/>
                    </w:rPr>
                    <w:t>单位处理。</w:t>
                  </w:r>
                </w:p>
                <w:p>
                  <w:pPr>
                    <w:spacing w:line="240" w:lineRule="auto"/>
                    <w:ind w:left="0" w:leftChars="0" w:firstLine="0" w:firstLineChars="0"/>
                    <w:rPr>
                      <w:rFonts w:hint="default" w:ascii="Times New Roman" w:hAnsi="Times New Roman" w:eastAsia="宋体" w:cs="Times New Roman"/>
                      <w:b w:val="0"/>
                      <w:bCs w:val="0"/>
                      <w:sz w:val="21"/>
                      <w:szCs w:val="21"/>
                      <w:u w:val="none"/>
                      <w:lang w:val="en-US" w:eastAsia="zh-CN" w:bidi="zh-CN"/>
                    </w:rPr>
                  </w:pPr>
                  <w:r>
                    <w:rPr>
                      <w:rFonts w:hint="default" w:ascii="Times New Roman" w:hAnsi="Times New Roman" w:eastAsia="宋体" w:cs="Times New Roman"/>
                      <w:b w:val="0"/>
                      <w:bCs w:val="0"/>
                      <w:sz w:val="21"/>
                      <w:szCs w:val="21"/>
                      <w:u w:val="none"/>
                      <w:lang w:val="en-US" w:eastAsia="zh-CN" w:bidi="zh-CN"/>
                    </w:rPr>
                    <w:t>4、项目主要废水为</w:t>
                  </w:r>
                  <w:r>
                    <w:rPr>
                      <w:rFonts w:hint="eastAsia" w:ascii="Times New Roman" w:hAnsi="Times New Roman" w:cs="Times New Roman"/>
                      <w:b w:val="0"/>
                      <w:bCs w:val="0"/>
                      <w:sz w:val="21"/>
                      <w:szCs w:val="21"/>
                      <w:u w:val="none"/>
                      <w:lang w:val="en-US" w:eastAsia="zh-CN" w:bidi="zh-CN"/>
                    </w:rPr>
                    <w:t>医疗废水</w:t>
                  </w:r>
                  <w:r>
                    <w:rPr>
                      <w:rFonts w:hint="eastAsia" w:cs="Times New Roman"/>
                      <w:b w:val="0"/>
                      <w:bCs w:val="0"/>
                      <w:sz w:val="21"/>
                      <w:szCs w:val="21"/>
                      <w:u w:val="none"/>
                      <w:lang w:val="en-US" w:eastAsia="zh-CN" w:bidi="zh-CN"/>
                    </w:rPr>
                    <w:t>、生活污水</w:t>
                  </w:r>
                  <w:r>
                    <w:rPr>
                      <w:rFonts w:hint="default" w:ascii="Times New Roman" w:hAnsi="Times New Roman" w:eastAsia="宋体" w:cs="Times New Roman"/>
                      <w:b w:val="0"/>
                      <w:bCs w:val="0"/>
                      <w:sz w:val="21"/>
                      <w:szCs w:val="21"/>
                      <w:u w:val="none"/>
                      <w:lang w:val="en-US" w:eastAsia="zh-CN" w:bidi="zh-CN"/>
                    </w:rPr>
                    <w:t>，经</w:t>
                  </w:r>
                  <w:r>
                    <w:rPr>
                      <w:rFonts w:hint="eastAsia" w:ascii="Times New Roman" w:hAnsi="Times New Roman" w:eastAsia="宋体" w:cs="Times New Roman"/>
                      <w:b w:val="0"/>
                      <w:bCs w:val="0"/>
                      <w:sz w:val="21"/>
                      <w:szCs w:val="21"/>
                      <w:u w:val="none"/>
                      <w:lang w:val="en-US" w:eastAsia="zh-CN" w:bidi="zh-CN"/>
                    </w:rPr>
                    <w:t>一体化</w:t>
                  </w:r>
                  <w:r>
                    <w:rPr>
                      <w:rFonts w:hint="default" w:ascii="Times New Roman" w:hAnsi="Times New Roman" w:eastAsia="宋体" w:cs="Times New Roman"/>
                      <w:b w:val="0"/>
                      <w:bCs w:val="0"/>
                      <w:sz w:val="21"/>
                      <w:szCs w:val="21"/>
                      <w:u w:val="none"/>
                      <w:lang w:val="en-US" w:eastAsia="zh-CN" w:bidi="zh-CN"/>
                    </w:rPr>
                    <w:t>污水处理站处理后达到《医疗机构水污染物排放标准》（GB18466-2005）中综合医疗机构和其他医疗机构水污染标准。满足行业污染物排放标准。</w:t>
                  </w:r>
                </w:p>
              </w:tc>
            </w:tr>
            <w:tr>
              <w:tblPrEx>
                <w:tblBorders>
                  <w:top w:val="single" w:color="000000" w:sz="8" w:space="0"/>
                  <w:left w:val="single" w:color="000000" w:sz="8" w:space="0"/>
                  <w:bottom w:val="single" w:color="000000" w:sz="8" w:space="0"/>
                  <w:right w:val="single" w:color="000000" w:sz="8" w:space="0"/>
                  <w:insideH w:val="single" w:color="auto" w:sz="4" w:space="0"/>
                  <w:insideV w:val="single" w:color="auto" w:sz="8" w:space="0"/>
                </w:tblBorders>
                <w:tblCellMar>
                  <w:top w:w="0" w:type="dxa"/>
                  <w:left w:w="108" w:type="dxa"/>
                  <w:bottom w:w="0" w:type="dxa"/>
                  <w:right w:w="108" w:type="dxa"/>
                </w:tblCellMar>
              </w:tblPrEx>
              <w:trPr>
                <w:trHeight w:val="90" w:hRule="atLeast"/>
                <w:jc w:val="center"/>
              </w:trPr>
              <w:tc>
                <w:tcPr>
                  <w:tcW w:w="418"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3</w:t>
                  </w:r>
                </w:p>
              </w:tc>
              <w:tc>
                <w:tcPr>
                  <w:tcW w:w="662"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土壤环境风险重点管控区</w:t>
                  </w:r>
                </w:p>
              </w:tc>
              <w:tc>
                <w:tcPr>
                  <w:tcW w:w="1265"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rPr>
                    <w:t>农用地污染风险重点管控区</w:t>
                  </w:r>
                  <w:r>
                    <w:rPr>
                      <w:rFonts w:hint="default" w:ascii="Times New Roman" w:hAnsi="Times New Roman" w:eastAsia="宋体" w:cs="Times New Roman"/>
                      <w:b w:val="0"/>
                      <w:bCs w:val="0"/>
                      <w:sz w:val="21"/>
                      <w:szCs w:val="21"/>
                      <w:u w:val="none"/>
                      <w:lang w:eastAsia="zh-CN"/>
                    </w:rPr>
                    <w:t>、建设用地污染风险重点管控区，含重金属污染防治重点区域及疑似污染地块、其他土壤环境风险重点管控区，含湖南省矿产资源总体规划中的部、省、市、县级矿区</w:t>
                  </w:r>
                </w:p>
              </w:tc>
              <w:tc>
                <w:tcPr>
                  <w:tcW w:w="653"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不</w:t>
                  </w:r>
                </w:p>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属</w:t>
                  </w:r>
                </w:p>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于</w:t>
                  </w:r>
                </w:p>
              </w:tc>
              <w:tc>
                <w:tcPr>
                  <w:tcW w:w="2683" w:type="dxa"/>
                  <w:tcBorders>
                    <w:tl2br w:val="nil"/>
                    <w:tr2bl w:val="nil"/>
                  </w:tcBorders>
                  <w:noWrap w:val="0"/>
                  <w:vAlign w:val="center"/>
                </w:tcPr>
                <w:p>
                  <w:pPr>
                    <w:pStyle w:val="90"/>
                    <w:bidi w:val="0"/>
                    <w:ind w:firstLine="0" w:firstLineChars="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val="en-US" w:eastAsia="zh-CN"/>
                    </w:rPr>
                    <w:t>/</w:t>
                  </w:r>
                </w:p>
              </w:tc>
              <w:tc>
                <w:tcPr>
                  <w:tcW w:w="2049" w:type="dxa"/>
                  <w:tcBorders>
                    <w:tl2br w:val="nil"/>
                    <w:tr2bl w:val="nil"/>
                  </w:tcBorders>
                  <w:noWrap w:val="0"/>
                  <w:vAlign w:val="center"/>
                </w:tcPr>
                <w:p>
                  <w:pPr>
                    <w:pStyle w:val="90"/>
                    <w:bidi w:val="0"/>
                    <w:ind w:firstLine="0" w:firstLineChars="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auto" w:sz="4" w:space="0"/>
                  <w:insideV w:val="single" w:color="auto" w:sz="8" w:space="0"/>
                </w:tblBorders>
                <w:tblCellMar>
                  <w:top w:w="0" w:type="dxa"/>
                  <w:left w:w="108" w:type="dxa"/>
                  <w:bottom w:w="0" w:type="dxa"/>
                  <w:right w:w="108" w:type="dxa"/>
                </w:tblCellMar>
              </w:tblPrEx>
              <w:trPr>
                <w:trHeight w:val="771" w:hRule="atLeast"/>
                <w:jc w:val="center"/>
              </w:trPr>
              <w:tc>
                <w:tcPr>
                  <w:tcW w:w="418"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4</w:t>
                  </w:r>
                </w:p>
              </w:tc>
              <w:tc>
                <w:tcPr>
                  <w:tcW w:w="662"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能源利用重点管控区</w:t>
                  </w:r>
                </w:p>
              </w:tc>
              <w:tc>
                <w:tcPr>
                  <w:tcW w:w="1265"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rPr>
                    <w:t>各城市建成区划定的高污染燃料禁燃区</w:t>
                  </w:r>
                </w:p>
              </w:tc>
              <w:tc>
                <w:tcPr>
                  <w:tcW w:w="653"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属于</w:t>
                  </w:r>
                </w:p>
              </w:tc>
              <w:tc>
                <w:tcPr>
                  <w:tcW w:w="2683" w:type="dxa"/>
                  <w:tcBorders>
                    <w:tl2br w:val="nil"/>
                    <w:tr2bl w:val="nil"/>
                  </w:tcBorders>
                  <w:noWrap w:val="0"/>
                  <w:vAlign w:val="center"/>
                </w:tcPr>
                <w:p>
                  <w:pPr>
                    <w:pStyle w:val="90"/>
                    <w:bidi w:val="0"/>
                    <w:ind w:firstLine="0" w:firstLineChars="0"/>
                    <w:jc w:val="left"/>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1.在禁燃区内，禁止销售、燃用高污染燃料；禁止新建、扩建燃用高污染燃料的设施，已建成的，应当在城市人民政府规定的期限内改用天然气、页岩气、液化石油气、电或者其他清洁能源。</w:t>
                  </w:r>
                </w:p>
                <w:p>
                  <w:pPr>
                    <w:pStyle w:val="90"/>
                    <w:bidi w:val="0"/>
                    <w:ind w:firstLine="0" w:firstLineChars="0"/>
                    <w:jc w:val="left"/>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2.2020年地级城市建成区完成35蒸吨及以下燃煤锅炉淘汰，地级城市非建成区和县级城市完成10蒸吨及以下燃煤锅炉淘汰。县级以上城市建成区、城中村和城郊结合部燃煤锅炉完成清洁能源替代；地级城市、县级城市完成高污染燃料禁燃区优化调整，县级城市进一步细化高污染燃料管控措施，扩大高污染燃料禁燃区范围。</w:t>
                  </w:r>
                </w:p>
              </w:tc>
              <w:tc>
                <w:tcPr>
                  <w:tcW w:w="2049" w:type="dxa"/>
                  <w:tcBorders>
                    <w:tl2br w:val="nil"/>
                    <w:tr2bl w:val="nil"/>
                  </w:tcBorders>
                  <w:noWrap w:val="0"/>
                  <w:vAlign w:val="center"/>
                </w:tcPr>
                <w:p>
                  <w:pPr>
                    <w:pStyle w:val="90"/>
                    <w:bidi w:val="0"/>
                    <w:ind w:firstLine="0" w:firstLineChars="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val="en-US" w:eastAsia="zh-CN"/>
                    </w:rPr>
                    <w:t>项目使用电能，属于清洁能源。</w:t>
                  </w:r>
                </w:p>
              </w:tc>
            </w:tr>
            <w:tr>
              <w:tblPrEx>
                <w:tblBorders>
                  <w:top w:val="single" w:color="000000" w:sz="8" w:space="0"/>
                  <w:left w:val="single" w:color="000000" w:sz="8" w:space="0"/>
                  <w:bottom w:val="single" w:color="000000" w:sz="8" w:space="0"/>
                  <w:right w:val="single" w:color="000000" w:sz="8" w:space="0"/>
                  <w:insideH w:val="single" w:color="auto" w:sz="4" w:space="0"/>
                  <w:insideV w:val="single" w:color="auto" w:sz="8" w:space="0"/>
                </w:tblBorders>
                <w:tblCellMar>
                  <w:top w:w="0" w:type="dxa"/>
                  <w:left w:w="108" w:type="dxa"/>
                  <w:bottom w:w="0" w:type="dxa"/>
                  <w:right w:w="108" w:type="dxa"/>
                </w:tblCellMar>
              </w:tblPrEx>
              <w:trPr>
                <w:trHeight w:val="1532" w:hRule="atLeast"/>
                <w:jc w:val="center"/>
              </w:trPr>
              <w:tc>
                <w:tcPr>
                  <w:tcW w:w="418"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5</w:t>
                  </w:r>
                </w:p>
              </w:tc>
              <w:tc>
                <w:tcPr>
                  <w:tcW w:w="662"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水资源重点管控区</w:t>
                  </w:r>
                </w:p>
              </w:tc>
              <w:tc>
                <w:tcPr>
                  <w:tcW w:w="1265"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rPr>
                    <w:t>水资源利用重点管控区，含水资源利用效率临界超载（含临界达标）的区域</w:t>
                  </w:r>
                  <w:r>
                    <w:rPr>
                      <w:rFonts w:hint="default" w:ascii="Times New Roman" w:hAnsi="Times New Roman" w:eastAsia="宋体" w:cs="Times New Roman"/>
                      <w:b w:val="0"/>
                      <w:bCs w:val="0"/>
                      <w:sz w:val="21"/>
                      <w:szCs w:val="21"/>
                      <w:u w:val="none"/>
                      <w:lang w:eastAsia="zh-CN"/>
                    </w:rPr>
                    <w:t>、生态用水补给区，含生态用水保障不足及临界的区域、</w:t>
                  </w:r>
                </w:p>
              </w:tc>
              <w:tc>
                <w:tcPr>
                  <w:tcW w:w="653"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不</w:t>
                  </w:r>
                </w:p>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属</w:t>
                  </w:r>
                </w:p>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于</w:t>
                  </w:r>
                </w:p>
              </w:tc>
              <w:tc>
                <w:tcPr>
                  <w:tcW w:w="2683" w:type="dxa"/>
                  <w:tcBorders>
                    <w:tl2br w:val="nil"/>
                    <w:tr2bl w:val="nil"/>
                  </w:tcBorders>
                  <w:noWrap w:val="0"/>
                  <w:vAlign w:val="center"/>
                </w:tcPr>
                <w:p>
                  <w:pPr>
                    <w:pStyle w:val="90"/>
                    <w:bidi w:val="0"/>
                    <w:ind w:firstLine="0" w:firstLineChars="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val="en-US" w:eastAsia="zh-CN"/>
                    </w:rPr>
                    <w:t>/</w:t>
                  </w:r>
                </w:p>
              </w:tc>
              <w:tc>
                <w:tcPr>
                  <w:tcW w:w="2049" w:type="dxa"/>
                  <w:tcBorders>
                    <w:tl2br w:val="nil"/>
                    <w:tr2bl w:val="nil"/>
                  </w:tcBorders>
                  <w:noWrap w:val="0"/>
                  <w:vAlign w:val="center"/>
                </w:tcPr>
                <w:p>
                  <w:pPr>
                    <w:pStyle w:val="90"/>
                    <w:bidi w:val="0"/>
                    <w:ind w:firstLine="0" w:firstLineChars="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auto" w:sz="4" w:space="0"/>
                  <w:insideV w:val="single" w:color="auto" w:sz="8" w:space="0"/>
                </w:tblBorders>
                <w:tblCellMar>
                  <w:top w:w="0" w:type="dxa"/>
                  <w:left w:w="108" w:type="dxa"/>
                  <w:bottom w:w="0" w:type="dxa"/>
                  <w:right w:w="108" w:type="dxa"/>
                </w:tblCellMar>
              </w:tblPrEx>
              <w:trPr>
                <w:trHeight w:val="535" w:hRule="atLeast"/>
                <w:jc w:val="center"/>
              </w:trPr>
              <w:tc>
                <w:tcPr>
                  <w:tcW w:w="418"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6</w:t>
                  </w:r>
                </w:p>
              </w:tc>
              <w:tc>
                <w:tcPr>
                  <w:tcW w:w="662"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土地资源重点管控区</w:t>
                  </w:r>
                </w:p>
              </w:tc>
              <w:tc>
                <w:tcPr>
                  <w:tcW w:w="1265"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含生态保护红线集中、重度污染农用地或污染地块集中的区域</w:t>
                  </w:r>
                </w:p>
              </w:tc>
              <w:tc>
                <w:tcPr>
                  <w:tcW w:w="653" w:type="dxa"/>
                  <w:tcBorders>
                    <w:tl2br w:val="nil"/>
                    <w:tr2bl w:val="nil"/>
                  </w:tcBorders>
                  <w:noWrap w:val="0"/>
                  <w:vAlign w:val="center"/>
                </w:tcPr>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不</w:t>
                  </w:r>
                </w:p>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属</w:t>
                  </w:r>
                </w:p>
                <w:p>
                  <w:pPr>
                    <w:pStyle w:val="90"/>
                    <w:bidi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于</w:t>
                  </w:r>
                </w:p>
              </w:tc>
              <w:tc>
                <w:tcPr>
                  <w:tcW w:w="2683" w:type="dxa"/>
                  <w:tcBorders>
                    <w:tl2br w:val="nil"/>
                    <w:tr2bl w:val="nil"/>
                  </w:tcBorders>
                  <w:noWrap w:val="0"/>
                  <w:vAlign w:val="center"/>
                </w:tcPr>
                <w:p>
                  <w:pPr>
                    <w:pStyle w:val="90"/>
                    <w:bidi w:val="0"/>
                    <w:ind w:firstLine="0" w:firstLineChars="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val="en-US" w:eastAsia="zh-CN"/>
                    </w:rPr>
                    <w:t>/</w:t>
                  </w:r>
                </w:p>
              </w:tc>
              <w:tc>
                <w:tcPr>
                  <w:tcW w:w="2049" w:type="dxa"/>
                  <w:tcBorders>
                    <w:tl2br w:val="nil"/>
                    <w:tr2bl w:val="nil"/>
                  </w:tcBorders>
                  <w:noWrap w:val="0"/>
                  <w:vAlign w:val="center"/>
                </w:tcPr>
                <w:p>
                  <w:pPr>
                    <w:pStyle w:val="90"/>
                    <w:bidi w:val="0"/>
                    <w:ind w:firstLine="0" w:firstLineChars="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val="en-US" w:eastAsia="zh-CN"/>
                    </w:rPr>
                    <w:t>/</w:t>
                  </w:r>
                </w:p>
              </w:tc>
            </w:tr>
          </w:tbl>
          <w:p>
            <w:pPr>
              <w:pStyle w:val="98"/>
              <w:ind w:firstLine="480"/>
              <w:rPr>
                <w:kern w:val="0"/>
                <w:sz w:val="24"/>
                <w:szCs w:val="24"/>
              </w:rPr>
            </w:pPr>
            <w:r>
              <w:rPr>
                <w:rFonts w:hint="eastAsia" w:ascii="宋体" w:hAnsi="宋体" w:cs="宋体"/>
                <w:b/>
                <w:bCs/>
                <w:kern w:val="0"/>
                <w:sz w:val="24"/>
                <w:szCs w:val="24"/>
              </w:rPr>
              <w:t>②</w:t>
            </w:r>
            <w:r>
              <w:rPr>
                <w:rFonts w:hint="default"/>
                <w:b/>
                <w:bCs/>
                <w:kern w:val="0"/>
                <w:sz w:val="24"/>
                <w:szCs w:val="24"/>
                <w:lang w:val="en-US"/>
              </w:rPr>
              <w:t>与《湘西自治州人民政府关于实施“三线一单”生态环境分区管控的意见》州政发〔2020〕23号符合性分析</w:t>
            </w:r>
          </w:p>
          <w:p>
            <w:pPr>
              <w:pStyle w:val="7"/>
              <w:spacing w:line="360" w:lineRule="auto"/>
              <w:ind w:firstLine="480"/>
              <w:jc w:val="both"/>
              <w:rPr>
                <w:rFonts w:hint="default" w:ascii="Times New Roman" w:hAnsi="Times New Roman" w:eastAsia="宋体" w:cs="Times New Roman"/>
                <w:sz w:val="24"/>
                <w:szCs w:val="24"/>
                <w:u w:val="none"/>
                <w:lang w:val="en-US"/>
              </w:rPr>
            </w:pPr>
            <w:r>
              <w:rPr>
                <w:rFonts w:hint="default" w:ascii="Times New Roman" w:hAnsi="Times New Roman" w:eastAsia="宋体" w:cs="Times New Roman"/>
                <w:sz w:val="24"/>
                <w:szCs w:val="24"/>
                <w:u w:val="none"/>
              </w:rPr>
              <w:t>结合</w:t>
            </w:r>
            <w:r>
              <w:rPr>
                <w:rFonts w:hint="default" w:ascii="Times New Roman" w:hAnsi="Times New Roman" w:eastAsia="宋体" w:cs="Times New Roman"/>
                <w:sz w:val="24"/>
                <w:szCs w:val="24"/>
                <w:u w:val="none"/>
                <w:lang w:val="en-US"/>
              </w:rPr>
              <w:t>《湘西自治州人民政府关于实施</w:t>
            </w:r>
            <w:r>
              <w:rPr>
                <w:rFonts w:hint="eastAsia" w:cs="Times New Roman"/>
                <w:sz w:val="24"/>
                <w:szCs w:val="24"/>
                <w:u w:val="none"/>
                <w:lang w:val="en-US" w:eastAsia="zh-CN"/>
              </w:rPr>
              <w:t>“</w:t>
            </w:r>
            <w:r>
              <w:rPr>
                <w:rFonts w:hint="default" w:ascii="Times New Roman" w:hAnsi="Times New Roman" w:eastAsia="宋体" w:cs="Times New Roman"/>
                <w:sz w:val="24"/>
                <w:szCs w:val="24"/>
                <w:u w:val="none"/>
                <w:lang w:val="en-US"/>
              </w:rPr>
              <w:t>三线一单</w:t>
            </w:r>
            <w:r>
              <w:rPr>
                <w:rFonts w:hint="eastAsia" w:cs="Times New Roman"/>
                <w:sz w:val="24"/>
                <w:szCs w:val="24"/>
                <w:u w:val="none"/>
                <w:lang w:val="en-US" w:eastAsia="zh-CN"/>
              </w:rPr>
              <w:t>”</w:t>
            </w:r>
            <w:r>
              <w:rPr>
                <w:rFonts w:hint="default" w:ascii="Times New Roman" w:hAnsi="Times New Roman" w:eastAsia="宋体" w:cs="Times New Roman"/>
                <w:sz w:val="24"/>
                <w:szCs w:val="24"/>
                <w:u w:val="none"/>
                <w:lang w:val="en-US"/>
              </w:rPr>
              <w:t>生态环境分区管控的意见》州政发〔2020〕23号本项目所在地属于</w:t>
            </w:r>
            <w:r>
              <w:rPr>
                <w:rFonts w:hint="default" w:ascii="Times New Roman" w:hAnsi="Times New Roman" w:eastAsia="宋体" w:cs="Times New Roman"/>
                <w:sz w:val="24"/>
                <w:szCs w:val="24"/>
                <w:u w:val="none"/>
                <w:lang w:val="en-US" w:eastAsia="zh-CN"/>
              </w:rPr>
              <w:t>花垣重点管控单元1</w:t>
            </w:r>
            <w:r>
              <w:rPr>
                <w:rFonts w:hint="default" w:ascii="Times New Roman" w:hAnsi="Times New Roman" w:eastAsia="宋体" w:cs="Times New Roman"/>
                <w:sz w:val="24"/>
                <w:szCs w:val="24"/>
                <w:u w:val="none"/>
                <w:lang w:val="en-US"/>
              </w:rPr>
              <w:t>（ZH43312</w:t>
            </w:r>
            <w:r>
              <w:rPr>
                <w:rFonts w:hint="default" w:ascii="Times New Roman" w:hAnsi="Times New Roman" w:eastAsia="宋体" w:cs="Times New Roman"/>
                <w:sz w:val="24"/>
                <w:szCs w:val="24"/>
                <w:u w:val="none"/>
                <w:lang w:val="en-US" w:eastAsia="zh-CN"/>
              </w:rPr>
              <w:t>420001</w:t>
            </w:r>
            <w:r>
              <w:rPr>
                <w:rFonts w:hint="default" w:ascii="Times New Roman" w:hAnsi="Times New Roman" w:eastAsia="宋体" w:cs="Times New Roman"/>
                <w:sz w:val="24"/>
                <w:szCs w:val="24"/>
                <w:u w:val="none"/>
                <w:lang w:val="en-US"/>
              </w:rPr>
              <w:t>）。</w:t>
            </w:r>
          </w:p>
          <w:p>
            <w:pPr>
              <w:pStyle w:val="98"/>
              <w:ind w:firstLine="480"/>
              <w:jc w:val="both"/>
              <w:rPr>
                <w:sz w:val="24"/>
                <w:szCs w:val="24"/>
                <w:u w:val="none"/>
              </w:rPr>
            </w:pPr>
            <w:r>
              <w:rPr>
                <w:rFonts w:hint="default" w:ascii="Times New Roman" w:hAnsi="Times New Roman" w:eastAsia="宋体" w:cs="Times New Roman"/>
                <w:sz w:val="24"/>
                <w:szCs w:val="24"/>
                <w:u w:val="none"/>
              </w:rPr>
              <w:t>根据《湖南省环境保护条例》《关于加快实施长江经济带11省（市）及青海省“三线一单”生态环境分区管控的指导意见》、《湖南省人民政府关于实施</w:t>
            </w:r>
            <w:r>
              <w:rPr>
                <w:rFonts w:hint="eastAsia" w:cs="Times New Roman"/>
                <w:sz w:val="24"/>
                <w:szCs w:val="24"/>
                <w:u w:val="none"/>
                <w:lang w:eastAsia="zh-CN"/>
              </w:rPr>
              <w:t>“</w:t>
            </w:r>
            <w:r>
              <w:rPr>
                <w:rFonts w:hint="default" w:ascii="Times New Roman" w:hAnsi="Times New Roman" w:eastAsia="宋体" w:cs="Times New Roman"/>
                <w:sz w:val="24"/>
                <w:szCs w:val="24"/>
                <w:u w:val="none"/>
              </w:rPr>
              <w:t>三线一单</w:t>
            </w:r>
            <w:r>
              <w:rPr>
                <w:rFonts w:hint="eastAsia" w:cs="Times New Roman"/>
                <w:sz w:val="24"/>
                <w:szCs w:val="24"/>
                <w:u w:val="none"/>
                <w:lang w:eastAsia="zh-CN"/>
              </w:rPr>
              <w:t>”</w:t>
            </w:r>
            <w:r>
              <w:rPr>
                <w:rFonts w:hint="default" w:ascii="Times New Roman" w:hAnsi="Times New Roman" w:eastAsia="宋体" w:cs="Times New Roman"/>
                <w:sz w:val="24"/>
                <w:szCs w:val="24"/>
                <w:u w:val="none"/>
              </w:rPr>
              <w:t>生态环境分区管控的意见》（湘政发〔2020〕12号）等有关规定，州人民政府组织编制了湘西州</w:t>
            </w:r>
            <w:r>
              <w:rPr>
                <w:rFonts w:hint="eastAsia" w:cs="Times New Roman"/>
                <w:sz w:val="24"/>
                <w:szCs w:val="24"/>
                <w:u w:val="none"/>
                <w:lang w:eastAsia="zh-CN"/>
              </w:rPr>
              <w:t>“</w:t>
            </w:r>
            <w:r>
              <w:rPr>
                <w:rFonts w:hint="default" w:ascii="Times New Roman" w:hAnsi="Times New Roman" w:eastAsia="宋体" w:cs="Times New Roman"/>
                <w:sz w:val="24"/>
                <w:szCs w:val="24"/>
                <w:u w:val="none"/>
              </w:rPr>
              <w:t>三线一单</w:t>
            </w:r>
            <w:r>
              <w:rPr>
                <w:rFonts w:hint="eastAsia" w:cs="Times New Roman"/>
                <w:sz w:val="24"/>
                <w:szCs w:val="24"/>
                <w:u w:val="none"/>
                <w:lang w:eastAsia="zh-CN"/>
              </w:rPr>
              <w:t>”</w:t>
            </w:r>
            <w:r>
              <w:rPr>
                <w:rFonts w:hint="default" w:ascii="Times New Roman" w:hAnsi="Times New Roman" w:eastAsia="宋体" w:cs="Times New Roman"/>
                <w:sz w:val="24"/>
                <w:szCs w:val="24"/>
                <w:u w:val="none"/>
              </w:rPr>
              <w:t>（生态保护红线、环境质量底线、资源利用上线和生态环境准入清单），本项目与湘西州生态环境管控基本要求符合性分析以及湘西自治州环境管控单元（</w:t>
            </w:r>
            <w:r>
              <w:rPr>
                <w:rFonts w:hint="default" w:ascii="Times New Roman" w:hAnsi="Times New Roman" w:eastAsia="宋体" w:cs="Times New Roman"/>
                <w:sz w:val="24"/>
                <w:szCs w:val="24"/>
                <w:u w:val="none"/>
                <w:lang w:eastAsia="zh-CN"/>
              </w:rPr>
              <w:t>花垣镇</w:t>
            </w:r>
            <w:r>
              <w:rPr>
                <w:rFonts w:hint="default" w:ascii="Times New Roman" w:hAnsi="Times New Roman" w:eastAsia="宋体" w:cs="Times New Roman"/>
                <w:sz w:val="24"/>
                <w:szCs w:val="24"/>
                <w:u w:val="none"/>
              </w:rPr>
              <w:t>）生态环境准入清单符合性分析见下表</w:t>
            </w:r>
            <w:r>
              <w:rPr>
                <w:rFonts w:hint="eastAsia"/>
                <w:sz w:val="24"/>
                <w:szCs w:val="24"/>
                <w:u w:val="none"/>
              </w:rPr>
              <w:t>：</w:t>
            </w:r>
          </w:p>
          <w:p>
            <w:pPr>
              <w:pStyle w:val="8"/>
              <w:keepNext/>
              <w:rPr>
                <w:u w:val="none"/>
              </w:rPr>
            </w:pPr>
            <w:r>
              <w:rPr>
                <w:rFonts w:hint="eastAsia"/>
                <w:u w:val="none"/>
              </w:rPr>
              <w:t xml:space="preserve">表1- </w:t>
            </w:r>
            <w:r>
              <w:rPr>
                <w:rFonts w:hint="eastAsia"/>
                <w:u w:val="none"/>
                <w:lang w:val="en-US" w:eastAsia="zh-CN"/>
              </w:rPr>
              <w:t>3</w:t>
            </w:r>
            <w:r>
              <w:rPr>
                <w:rFonts w:hint="eastAsia"/>
                <w:u w:val="none"/>
              </w:rPr>
              <w:t>与《湘西州“三线一单”生态环境准入清单》要求符合性分析</w:t>
            </w:r>
          </w:p>
          <w:tbl>
            <w:tblPr>
              <w:tblStyle w:val="35"/>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815"/>
              <w:gridCol w:w="779"/>
              <w:gridCol w:w="1073"/>
              <w:gridCol w:w="1056"/>
              <w:gridCol w:w="717"/>
              <w:gridCol w:w="1474"/>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环境管控单元编码</w:t>
                  </w:r>
                </w:p>
              </w:tc>
              <w:tc>
                <w:tcPr>
                  <w:tcW w:w="713"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行政区划</w:t>
                  </w:r>
                </w:p>
              </w:tc>
              <w:tc>
                <w:tcPr>
                  <w:tcW w:w="681"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单元</w:t>
                  </w:r>
                </w:p>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分类</w:t>
                  </w:r>
                </w:p>
              </w:tc>
              <w:tc>
                <w:tcPr>
                  <w:tcW w:w="938"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单元面积（km</w:t>
                  </w:r>
                  <w:r>
                    <w:rPr>
                      <w:rFonts w:hint="default" w:ascii="Times New Roman" w:hAnsi="Times New Roman" w:cs="Times New Roman"/>
                      <w:sz w:val="21"/>
                      <w:szCs w:val="21"/>
                      <w:u w:val="none"/>
                      <w:vertAlign w:val="superscript"/>
                    </w:rPr>
                    <w:t>2</w:t>
                  </w:r>
                  <w:r>
                    <w:rPr>
                      <w:rFonts w:hint="default" w:ascii="Times New Roman" w:hAnsi="Times New Roman" w:cs="Times New Roman"/>
                      <w:sz w:val="21"/>
                      <w:szCs w:val="21"/>
                      <w:u w:val="none"/>
                    </w:rPr>
                    <w:t>）</w:t>
                  </w:r>
                </w:p>
              </w:tc>
              <w:tc>
                <w:tcPr>
                  <w:tcW w:w="924"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涉及乡镇</w:t>
                  </w:r>
                </w:p>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（街道）</w:t>
                  </w:r>
                </w:p>
              </w:tc>
              <w:tc>
                <w:tcPr>
                  <w:tcW w:w="627"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主体功能定位</w:t>
                  </w:r>
                </w:p>
              </w:tc>
              <w:tc>
                <w:tcPr>
                  <w:tcW w:w="1930" w:type="dxa"/>
                  <w:gridSpan w:val="2"/>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经济产业布局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rPr>
                    <w:t>ZH43312420001</w:t>
                  </w:r>
                </w:p>
              </w:tc>
              <w:tc>
                <w:tcPr>
                  <w:tcW w:w="713"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湖南省湘西州</w:t>
                  </w:r>
                  <w:r>
                    <w:rPr>
                      <w:rFonts w:hint="default" w:ascii="Times New Roman" w:hAnsi="Times New Roman" w:cs="Times New Roman"/>
                      <w:sz w:val="21"/>
                      <w:szCs w:val="21"/>
                      <w:u w:val="none"/>
                      <w:lang w:eastAsia="zh-CN"/>
                    </w:rPr>
                    <w:t>花垣</w:t>
                  </w:r>
                  <w:r>
                    <w:rPr>
                      <w:rFonts w:hint="default" w:ascii="Times New Roman" w:hAnsi="Times New Roman" w:cs="Times New Roman"/>
                      <w:sz w:val="21"/>
                      <w:szCs w:val="21"/>
                      <w:u w:val="none"/>
                    </w:rPr>
                    <w:t>县</w:t>
                  </w:r>
                </w:p>
              </w:tc>
              <w:tc>
                <w:tcPr>
                  <w:tcW w:w="681"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花垣重点管控单元1(城区)</w:t>
                  </w:r>
                </w:p>
              </w:tc>
              <w:tc>
                <w:tcPr>
                  <w:tcW w:w="938" w:type="dxa"/>
                  <w:tcBorders>
                    <w:tl2br w:val="nil"/>
                    <w:tr2bl w:val="nil"/>
                  </w:tcBorders>
                  <w:noWrap w:val="0"/>
                  <w:vAlign w:val="center"/>
                </w:tcPr>
                <w:p>
                  <w:pPr>
                    <w:pStyle w:val="165"/>
                    <w:widowControl w:val="0"/>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191.34</w:t>
                  </w:r>
                </w:p>
              </w:tc>
              <w:tc>
                <w:tcPr>
                  <w:tcW w:w="924"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花垣</w:t>
                  </w:r>
                  <w:r>
                    <w:rPr>
                      <w:rFonts w:hint="default" w:ascii="Times New Roman" w:hAnsi="Times New Roman" w:cs="Times New Roman"/>
                      <w:sz w:val="21"/>
                      <w:szCs w:val="21"/>
                      <w:u w:val="none"/>
                    </w:rPr>
                    <w:t>镇</w:t>
                  </w:r>
                </w:p>
              </w:tc>
              <w:tc>
                <w:tcPr>
                  <w:tcW w:w="627"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国家重点生态功能区</w:t>
                  </w:r>
                </w:p>
              </w:tc>
              <w:tc>
                <w:tcPr>
                  <w:tcW w:w="1930" w:type="dxa"/>
                  <w:gridSpan w:val="2"/>
                  <w:tcBorders>
                    <w:tl2br w:val="nil"/>
                    <w:tr2bl w:val="nil"/>
                  </w:tcBorders>
                  <w:noWrap w:val="0"/>
                  <w:vAlign w:val="center"/>
                </w:tcPr>
                <w:p>
                  <w:pPr>
                    <w:pStyle w:val="165"/>
                    <w:widowControl w:val="0"/>
                    <w:jc w:val="both"/>
                    <w:rPr>
                      <w:rFonts w:hint="default" w:ascii="Times New Roman" w:hAnsi="Times New Roman" w:cs="Times New Roman"/>
                      <w:sz w:val="21"/>
                      <w:szCs w:val="21"/>
                      <w:u w:val="none"/>
                    </w:rPr>
                  </w:pPr>
                  <w:r>
                    <w:rPr>
                      <w:rFonts w:hint="default" w:ascii="Times New Roman" w:hAnsi="Times New Roman" w:cs="Times New Roman"/>
                      <w:sz w:val="21"/>
                      <w:szCs w:val="21"/>
                      <w:u w:val="none"/>
                    </w:rPr>
                    <w:t>花垣镇：采矿业，矿产品加工、资源综合利用，商贸物流，农业，农产品初加工，农副食品加工，旅游业等。湘西国家农业科技园区：优质特色农（畜）产品加工，绿色有机农产品仓储及物流配送，农产品展示交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管控维度</w:t>
                  </w:r>
                </w:p>
              </w:tc>
              <w:tc>
                <w:tcPr>
                  <w:tcW w:w="3256" w:type="dxa"/>
                  <w:gridSpan w:val="4"/>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管控要求</w:t>
                  </w:r>
                </w:p>
              </w:tc>
              <w:tc>
                <w:tcPr>
                  <w:tcW w:w="1916" w:type="dxa"/>
                  <w:gridSpan w:val="2"/>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本项目</w:t>
                  </w:r>
                </w:p>
              </w:tc>
              <w:tc>
                <w:tcPr>
                  <w:tcW w:w="641"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dxa"/>
                  <w:tcBorders>
                    <w:tl2br w:val="nil"/>
                    <w:tr2bl w:val="nil"/>
                  </w:tcBorders>
                  <w:noWrap w:val="0"/>
                  <w:vAlign w:val="center"/>
                </w:tcPr>
                <w:p>
                  <w:pPr>
                    <w:pStyle w:val="165"/>
                    <w:widowControl w:val="0"/>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空间布局约束</w:t>
                  </w:r>
                </w:p>
              </w:tc>
              <w:tc>
                <w:tcPr>
                  <w:tcW w:w="3256" w:type="dxa"/>
                  <w:gridSpan w:val="4"/>
                  <w:tcBorders>
                    <w:tl2br w:val="nil"/>
                    <w:tr2bl w:val="nil"/>
                  </w:tcBorders>
                  <w:noWrap w:val="0"/>
                  <w:vAlign w:val="center"/>
                </w:tcPr>
                <w:p>
                  <w:pPr>
                    <w:pStyle w:val="165"/>
                    <w:widowControl w:val="0"/>
                    <w:numPr>
                      <w:ilvl w:val="0"/>
                      <w:numId w:val="0"/>
                    </w:numPr>
                    <w:ind w:leftChars="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eastAsia="zh-CN"/>
                    </w:rPr>
                    <w:t>（1.1）</w:t>
                  </w:r>
                  <w:r>
                    <w:rPr>
                      <w:rFonts w:hint="default" w:ascii="Times New Roman" w:hAnsi="Times New Roman" w:eastAsia="宋体" w:cs="Times New Roman"/>
                      <w:sz w:val="21"/>
                      <w:szCs w:val="21"/>
                      <w:u w:val="none"/>
                      <w:lang w:val="en-US"/>
                    </w:rPr>
                    <w:t>产业准入应符合《花垣县产业准入负面清单》，畜禽养殖产业布局应符合《花垣县畜禽养殖“三区”划分方案》，水产养殖产业布局应符合《花垣县养殖水域滩涂规划（2018-2030年）》。</w:t>
                  </w:r>
                </w:p>
                <w:p>
                  <w:pPr>
                    <w:pStyle w:val="165"/>
                    <w:widowControl w:val="0"/>
                    <w:numPr>
                      <w:ilvl w:val="0"/>
                      <w:numId w:val="0"/>
                    </w:numPr>
                    <w:ind w:leftChars="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（1.2）禁止规模小于10万吨/年建筑石料和小于3万立方米/年饰面用石料矿山开采。</w:t>
                  </w:r>
                </w:p>
                <w:p>
                  <w:pPr>
                    <w:pStyle w:val="165"/>
                    <w:widowControl w:val="0"/>
                    <w:numPr>
                      <w:ilvl w:val="0"/>
                      <w:numId w:val="0"/>
                    </w:numPr>
                    <w:ind w:leftChars="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（1.3）协调好矿区与古苗河国家湿地公园、下寨河饮用水水源保护区、边城—古苗河风景名胜区的关系，避免占用自然保护地。</w:t>
                  </w:r>
                </w:p>
                <w:p>
                  <w:pPr>
                    <w:pStyle w:val="165"/>
                    <w:widowControl w:val="0"/>
                    <w:numPr>
                      <w:ilvl w:val="0"/>
                      <w:numId w:val="0"/>
                    </w:numPr>
                    <w:ind w:leftChars="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（1.4）农业科技园：不得引进排放</w:t>
                  </w:r>
                  <w:r>
                    <w:rPr>
                      <w:rFonts w:hint="eastAsia" w:cs="Times New Roman"/>
                      <w:sz w:val="21"/>
                      <w:szCs w:val="21"/>
                      <w:u w:val="none"/>
                      <w:lang w:val="en-US" w:eastAsia="zh-CN"/>
                    </w:rPr>
                    <w:t>“</w:t>
                  </w:r>
                  <w:r>
                    <w:rPr>
                      <w:rFonts w:hint="default" w:ascii="Times New Roman" w:hAnsi="Times New Roman" w:eastAsia="宋体" w:cs="Times New Roman"/>
                      <w:sz w:val="21"/>
                      <w:szCs w:val="21"/>
                      <w:u w:val="none"/>
                      <w:lang w:val="en-US"/>
                    </w:rPr>
                    <w:t>三致物</w:t>
                  </w:r>
                  <w:r>
                    <w:rPr>
                      <w:rFonts w:hint="eastAsia" w:cs="Times New Roman"/>
                      <w:sz w:val="21"/>
                      <w:szCs w:val="21"/>
                      <w:u w:val="none"/>
                      <w:lang w:val="en-US" w:eastAsia="zh-CN"/>
                    </w:rPr>
                    <w:t>”</w:t>
                  </w:r>
                  <w:r>
                    <w:rPr>
                      <w:rFonts w:hint="default" w:ascii="Times New Roman" w:hAnsi="Times New Roman" w:eastAsia="宋体" w:cs="Times New Roman"/>
                      <w:sz w:val="21"/>
                      <w:szCs w:val="21"/>
                      <w:u w:val="none"/>
                      <w:lang w:val="en-US"/>
                    </w:rPr>
                    <w:t>、恶臭气体及有放射性污染的项目，禁止建设涉重金属污染物排放的项目。</w:t>
                  </w:r>
                </w:p>
              </w:tc>
              <w:tc>
                <w:tcPr>
                  <w:tcW w:w="1916" w:type="dxa"/>
                  <w:gridSpan w:val="2"/>
                  <w:tcBorders>
                    <w:tl2br w:val="nil"/>
                    <w:tr2bl w:val="nil"/>
                  </w:tcBorders>
                  <w:noWrap w:val="0"/>
                  <w:vAlign w:val="center"/>
                </w:tcPr>
                <w:p>
                  <w:pPr>
                    <w:pStyle w:val="166"/>
                    <w:jc w:val="left"/>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rPr>
                    <w:t>对照《产业结构调整指导目录（</w:t>
                  </w:r>
                  <w:r>
                    <w:rPr>
                      <w:rFonts w:hint="default" w:ascii="Times New Roman" w:hAnsi="Times New Roman" w:cs="Times New Roman"/>
                      <w:sz w:val="21"/>
                      <w:szCs w:val="21"/>
                      <w:u w:val="none"/>
                      <w:lang w:val="en-US" w:eastAsia="zh-CN"/>
                    </w:rPr>
                    <w:t>2024</w:t>
                  </w:r>
                  <w:r>
                    <w:rPr>
                      <w:rFonts w:hint="default" w:ascii="Times New Roman" w:hAnsi="Times New Roman" w:cs="Times New Roman"/>
                      <w:sz w:val="21"/>
                      <w:szCs w:val="21"/>
                      <w:u w:val="none"/>
                      <w:lang w:val="en-US"/>
                    </w:rPr>
                    <w:t>年本）》</w:t>
                  </w:r>
                  <w:r>
                    <w:rPr>
                      <w:rFonts w:hint="default" w:ascii="Times New Roman" w:hAnsi="Times New Roman" w:cs="Times New Roman"/>
                      <w:sz w:val="21"/>
                      <w:szCs w:val="21"/>
                      <w:u w:val="none"/>
                      <w:lang w:val="en-US" w:eastAsia="zh-CN"/>
                    </w:rPr>
                    <w:t>（国家发展和改革委员会令第7号）</w:t>
                  </w:r>
                  <w:r>
                    <w:rPr>
                      <w:rFonts w:hint="default" w:ascii="Times New Roman" w:hAnsi="Times New Roman" w:cs="Times New Roman"/>
                      <w:sz w:val="21"/>
                      <w:szCs w:val="21"/>
                      <w:u w:val="none"/>
                      <w:lang w:val="en-US"/>
                    </w:rPr>
                    <w:t>有关政策规定，本项目</w:t>
                  </w:r>
                  <w:r>
                    <w:rPr>
                      <w:rFonts w:hint="default" w:ascii="Times New Roman" w:hAnsi="Times New Roman" w:cs="Times New Roman"/>
                      <w:sz w:val="21"/>
                      <w:szCs w:val="21"/>
                      <w:u w:val="none"/>
                      <w:lang w:val="en-US" w:eastAsia="zh-CN"/>
                    </w:rPr>
                    <w:t>属于</w:t>
                  </w:r>
                  <w:r>
                    <w:rPr>
                      <w:rFonts w:hint="default" w:ascii="Times New Roman" w:hAnsi="Times New Roman" w:eastAsia="宋体" w:cs="Times New Roman"/>
                      <w:b w:val="0"/>
                      <w:bCs w:val="0"/>
                      <w:sz w:val="21"/>
                      <w:szCs w:val="21"/>
                      <w:u w:val="none"/>
                      <w:lang w:val="en-US" w:eastAsia="zh-CN"/>
                    </w:rPr>
                    <w:t>鼓励类</w:t>
                  </w:r>
                  <w:r>
                    <w:rPr>
                      <w:rFonts w:hint="default" w:ascii="Times New Roman" w:hAnsi="Times New Roman" w:cs="Times New Roman"/>
                      <w:sz w:val="21"/>
                      <w:szCs w:val="21"/>
                      <w:u w:val="none"/>
                      <w:lang w:val="en-US" w:eastAsia="zh-CN"/>
                    </w:rPr>
                    <w:t>，不在花垣</w:t>
                  </w:r>
                  <w:r>
                    <w:rPr>
                      <w:rFonts w:hint="default" w:ascii="Times New Roman" w:hAnsi="Times New Roman" w:cs="Times New Roman"/>
                      <w:sz w:val="21"/>
                      <w:szCs w:val="21"/>
                      <w:u w:val="none"/>
                      <w:lang w:val="en-US"/>
                    </w:rPr>
                    <w:t>县产业准入负面清单</w:t>
                  </w:r>
                  <w:r>
                    <w:rPr>
                      <w:rFonts w:hint="default" w:ascii="Times New Roman" w:hAnsi="Times New Roman" w:cs="Times New Roman"/>
                      <w:sz w:val="21"/>
                      <w:szCs w:val="21"/>
                      <w:u w:val="none"/>
                      <w:lang w:val="en-US" w:eastAsia="zh-CN"/>
                    </w:rPr>
                    <w:t>内。</w:t>
                  </w:r>
                </w:p>
              </w:tc>
              <w:tc>
                <w:tcPr>
                  <w:tcW w:w="641"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dxa"/>
                  <w:tcBorders>
                    <w:tl2br w:val="nil"/>
                    <w:tr2bl w:val="nil"/>
                  </w:tcBorders>
                  <w:noWrap w:val="0"/>
                  <w:vAlign w:val="center"/>
                </w:tcPr>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污染物排放管控</w:t>
                  </w:r>
                </w:p>
              </w:tc>
              <w:tc>
                <w:tcPr>
                  <w:tcW w:w="3256" w:type="dxa"/>
                  <w:gridSpan w:val="4"/>
                  <w:tcBorders>
                    <w:tl2br w:val="nil"/>
                    <w:tr2bl w:val="nil"/>
                  </w:tcBorders>
                  <w:noWrap w:val="0"/>
                  <w:vAlign w:val="center"/>
                </w:tcPr>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（2.1）现有矿产资源开采、加工及其他产生污染的企业限期开展提标升级改造，涉重金属排放企业污染物执行特别排放限值。新建涉重金属污染物排放项目应实施重金属污染物1.5倍量替代。</w:t>
                  </w:r>
                </w:p>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（2.2）加强相关水系污染治理，确保佳民取水口饮用水监测断面尽快达标。</w:t>
                  </w:r>
                </w:p>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（2.3）现有适养区内的养殖场（小区）应限期开展提标升级改造，限期关闭拆除未进行标准化改造或改造后不达标的养殖场。</w:t>
                  </w:r>
                </w:p>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（2.4）按规划推进农村生活污水收集处理设施建设，实现污水达标排放。完善生活垃圾收集转运设施，禁止露天焚烧垃圾。</w:t>
                  </w:r>
                </w:p>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2.5）花垣县铅锌矿区矿山地质环境及损毁土地重点治理区（包括花垣县李梅矿区、芭茅寨矿区）：规范采矿活动，完善“三废”排放设施，提高矿业废渣的处理率，加强重金属污染治理，治理地面变形，开展矿区复土复绿工作。</w:t>
                  </w:r>
                </w:p>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（2.6）农业科技园：</w:t>
                  </w:r>
                </w:p>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2.6.1）园区排水实行“雨污分流”。雨水经雨水管网统一引至兄弟河饮用水源保护区下游排放。建设污水收集站，污水经管道送至花垣县城市生活污水处理厂处理；待园区污水量达4000吨/天左右时，需自建污水处理厂。</w:t>
                  </w:r>
                </w:p>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2.6.2）做好园区配套污水管网与花垣县城市生活污水处理厂配套接管工程建设，在排水管网与城市污水处理厂接管完成前，园区不得引进水型污染项目，新上涉水主要污染物排放项目不得投入生产；已建项目须自建污水处理设施，确保外排废水满足相应标准要求。</w:t>
                  </w:r>
                </w:p>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（2.6.3）对锅炉等所有燃煤设备必须配套烟气脱硫除尘设施，对各企业有工业废气产出的生产节点，应配置废气收集与处理净化装置，做到达标排放。</w:t>
                  </w:r>
                </w:p>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2.6.4）做好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固体废物特别是危险固废位按国家有关规定综合利用或妥善处置，严防二次污染。</w:t>
                  </w:r>
                </w:p>
              </w:tc>
              <w:tc>
                <w:tcPr>
                  <w:tcW w:w="1916" w:type="dxa"/>
                  <w:gridSpan w:val="2"/>
                  <w:tcBorders>
                    <w:tl2br w:val="nil"/>
                    <w:tr2bl w:val="nil"/>
                  </w:tcBorders>
                  <w:noWrap w:val="0"/>
                  <w:vAlign w:val="center"/>
                </w:tcPr>
                <w:p>
                  <w:pPr>
                    <w:pStyle w:val="166"/>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不涉及</w:t>
                  </w:r>
                </w:p>
              </w:tc>
              <w:tc>
                <w:tcPr>
                  <w:tcW w:w="641"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dxa"/>
                  <w:tcBorders>
                    <w:tl2br w:val="nil"/>
                    <w:tr2bl w:val="nil"/>
                  </w:tcBorders>
                  <w:noWrap w:val="0"/>
                  <w:vAlign w:val="center"/>
                </w:tcPr>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环境风险防控</w:t>
                  </w:r>
                </w:p>
              </w:tc>
              <w:tc>
                <w:tcPr>
                  <w:tcW w:w="3256" w:type="dxa"/>
                  <w:gridSpan w:val="4"/>
                  <w:tcBorders>
                    <w:tl2br w:val="nil"/>
                    <w:tr2bl w:val="nil"/>
                  </w:tcBorders>
                  <w:noWrap w:val="0"/>
                  <w:vAlign w:val="center"/>
                </w:tcPr>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（3.1）加强涉矿村饮用水日常检测，掌握辖区内饮用水安全状况；对矿区周边村尽量采用集中式供水，解决当地群众饮用水安全风险问题。</w:t>
                  </w:r>
                </w:p>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（3.2）可能发生突发环境事件的工矿企业应按相关要求编制并实施突发环境事件应急预案，认真落实各项环境风险事故防范措施。</w:t>
                  </w:r>
                </w:p>
              </w:tc>
              <w:tc>
                <w:tcPr>
                  <w:tcW w:w="1916" w:type="dxa"/>
                  <w:gridSpan w:val="2"/>
                  <w:tcBorders>
                    <w:tl2br w:val="nil"/>
                    <w:tr2bl w:val="nil"/>
                  </w:tcBorders>
                  <w:noWrap w:val="0"/>
                  <w:vAlign w:val="center"/>
                </w:tcPr>
                <w:p>
                  <w:pPr>
                    <w:pStyle w:val="166"/>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不涉及</w:t>
                  </w:r>
                </w:p>
              </w:tc>
              <w:tc>
                <w:tcPr>
                  <w:tcW w:w="641"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dxa"/>
                  <w:tcBorders>
                    <w:tl2br w:val="nil"/>
                    <w:tr2bl w:val="nil"/>
                  </w:tcBorders>
                  <w:noWrap w:val="0"/>
                  <w:vAlign w:val="center"/>
                </w:tcPr>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资源开发效率要求</w:t>
                  </w:r>
                </w:p>
              </w:tc>
              <w:tc>
                <w:tcPr>
                  <w:tcW w:w="3256" w:type="dxa"/>
                  <w:gridSpan w:val="4"/>
                  <w:tcBorders>
                    <w:tl2br w:val="nil"/>
                    <w:tr2bl w:val="nil"/>
                  </w:tcBorders>
                  <w:noWrap w:val="0"/>
                  <w:vAlign w:val="center"/>
                </w:tcPr>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4.1）农业科技园：禁止新建10蒸吨以下的燃煤锅炉，10蒸吨以下锅炉应采用电能、燃气等清洁能源；管委会应做好园区内低硫煤的统一调配和供应，确保燃煤含硫量不得高于1.5%；加快清洁能源推广，大力发展燃气工程。</w:t>
                  </w:r>
                </w:p>
                <w:p>
                  <w:pPr>
                    <w:pStyle w:val="165"/>
                    <w:widowControl w:val="0"/>
                    <w:jc w:val="left"/>
                    <w:rPr>
                      <w:rFonts w:hint="default" w:ascii="Times New Roman" w:hAnsi="Times New Roman" w:eastAsia="宋体" w:cs="Times New Roman"/>
                      <w:sz w:val="21"/>
                      <w:szCs w:val="21"/>
                      <w:u w:val="none"/>
                      <w:lang w:val="en-US"/>
                    </w:rPr>
                  </w:pPr>
                  <w:r>
                    <w:rPr>
                      <w:rFonts w:hint="default" w:ascii="Times New Roman" w:hAnsi="Times New Roman" w:eastAsia="宋体" w:cs="Times New Roman"/>
                      <w:sz w:val="21"/>
                      <w:szCs w:val="21"/>
                      <w:u w:val="none"/>
                      <w:lang w:val="en-US"/>
                    </w:rPr>
                    <w:t>（4.2）高污染燃料禁燃区按《花垣县高污染燃料禁燃区划定方案》进行管控。</w:t>
                  </w:r>
                </w:p>
              </w:tc>
              <w:tc>
                <w:tcPr>
                  <w:tcW w:w="1916" w:type="dxa"/>
                  <w:gridSpan w:val="2"/>
                  <w:tcBorders>
                    <w:tl2br w:val="nil"/>
                    <w:tr2bl w:val="nil"/>
                  </w:tcBorders>
                  <w:noWrap w:val="0"/>
                  <w:vAlign w:val="center"/>
                </w:tcPr>
                <w:p>
                  <w:pPr>
                    <w:pStyle w:val="166"/>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本</w:t>
                  </w:r>
                  <w:r>
                    <w:rPr>
                      <w:rFonts w:hint="default" w:ascii="Times New Roman" w:hAnsi="Times New Roman" w:cs="Times New Roman"/>
                      <w:sz w:val="21"/>
                      <w:szCs w:val="21"/>
                      <w:u w:val="none"/>
                      <w:lang w:val="en-US" w:eastAsia="zh-CN"/>
                    </w:rPr>
                    <w:t>项目使用</w:t>
                  </w:r>
                  <w:r>
                    <w:rPr>
                      <w:rFonts w:hint="eastAsia" w:ascii="Times New Roman" w:hAnsi="Times New Roman" w:cs="Times New Roman"/>
                      <w:sz w:val="21"/>
                      <w:szCs w:val="21"/>
                      <w:u w:val="none"/>
                      <w:lang w:val="en-US" w:eastAsia="zh-CN"/>
                    </w:rPr>
                    <w:t>电能，属于清洁能源</w:t>
                  </w:r>
                  <w:r>
                    <w:rPr>
                      <w:rFonts w:hint="default" w:ascii="Times New Roman" w:hAnsi="Times New Roman" w:cs="Times New Roman"/>
                      <w:sz w:val="21"/>
                      <w:szCs w:val="21"/>
                      <w:u w:val="none"/>
                      <w:lang w:val="en-US" w:eastAsia="zh-CN"/>
                    </w:rPr>
                    <w:t>。</w:t>
                  </w:r>
                </w:p>
              </w:tc>
              <w:tc>
                <w:tcPr>
                  <w:tcW w:w="641" w:type="dxa"/>
                  <w:tcBorders>
                    <w:tl2br w:val="nil"/>
                    <w:tr2bl w:val="nil"/>
                  </w:tcBorders>
                  <w:noWrap w:val="0"/>
                  <w:vAlign w:val="center"/>
                </w:tcPr>
                <w:p>
                  <w:pPr>
                    <w:pStyle w:val="165"/>
                    <w:widowControl w:val="0"/>
                    <w:rPr>
                      <w:rFonts w:hint="default" w:ascii="Times New Roman" w:hAnsi="Times New Roman" w:cs="Times New Roman"/>
                      <w:sz w:val="21"/>
                      <w:szCs w:val="21"/>
                      <w:u w:val="none"/>
                    </w:rPr>
                  </w:pPr>
                  <w:r>
                    <w:rPr>
                      <w:rFonts w:hint="default" w:ascii="Times New Roman" w:hAnsi="Times New Roman" w:cs="Times New Roman"/>
                      <w:sz w:val="21"/>
                      <w:szCs w:val="21"/>
                      <w:u w:val="none"/>
                    </w:rPr>
                    <w:t>符合</w:t>
                  </w:r>
                </w:p>
              </w:tc>
            </w:tr>
          </w:tbl>
          <w:p>
            <w:pPr>
              <w:pStyle w:val="98"/>
              <w:ind w:firstLine="480"/>
              <w:rPr>
                <w:sz w:val="24"/>
                <w:szCs w:val="24"/>
                <w:u w:val="none"/>
              </w:rPr>
            </w:pPr>
            <w:r>
              <w:rPr>
                <w:rFonts w:hint="eastAsia"/>
                <w:sz w:val="24"/>
                <w:szCs w:val="24"/>
                <w:u w:val="none"/>
              </w:rPr>
              <w:t>因此，本项目符合《湘西州“三线一单”生态环境管控基本要求暨环境管控单元生态环境准入清单》相关要求</w:t>
            </w:r>
            <w:r>
              <w:rPr>
                <w:sz w:val="24"/>
                <w:szCs w:val="24"/>
                <w:u w:val="none"/>
              </w:rPr>
              <w:t>。</w:t>
            </w:r>
          </w:p>
          <w:p>
            <w:pPr>
              <w:pStyle w:val="98"/>
              <w:ind w:left="0" w:leftChars="0" w:firstLine="0" w:firstLineChars="0"/>
              <w:rPr>
                <w:rFonts w:hint="eastAsia"/>
                <w:b/>
                <w:bCs/>
                <w:sz w:val="24"/>
                <w:szCs w:val="24"/>
                <w:u w:val="none"/>
              </w:rPr>
            </w:pPr>
            <w:r>
              <w:rPr>
                <w:rFonts w:hint="eastAsia"/>
                <w:b/>
                <w:bCs/>
                <w:sz w:val="24"/>
                <w:szCs w:val="24"/>
                <w:u w:val="none"/>
                <w:lang w:val="en-US" w:eastAsia="zh-CN"/>
              </w:rPr>
              <w:t>6、</w:t>
            </w:r>
            <w:r>
              <w:rPr>
                <w:rFonts w:hint="eastAsia"/>
                <w:b/>
                <w:bCs/>
                <w:sz w:val="24"/>
                <w:szCs w:val="24"/>
                <w:u w:val="none"/>
              </w:rPr>
              <w:t>与《湖南省主体功能区规划》相关符合性分析</w:t>
            </w:r>
          </w:p>
          <w:p>
            <w:pPr>
              <w:pStyle w:val="98"/>
              <w:ind w:firstLine="482"/>
              <w:rPr>
                <w:rFonts w:hint="eastAsia"/>
                <w:sz w:val="24"/>
                <w:szCs w:val="24"/>
                <w:u w:val="none"/>
                <w:lang w:eastAsia="zh-CN"/>
              </w:rPr>
            </w:pPr>
            <w:r>
              <w:rPr>
                <w:rFonts w:hint="eastAsia"/>
                <w:sz w:val="24"/>
                <w:szCs w:val="24"/>
                <w:u w:val="none"/>
                <w:lang w:eastAsia="zh-CN"/>
              </w:rPr>
              <w:t>根据《湖南省主体功能区规划》，花垣县属于国家级重点生态功能区，限制进行大规模高强度工业化城镇化开发的生态区域。根据该规划，重点生态功能区是指生态系统十分重要，关系到国家或省内较大范围的生态安全，资源环境承载能力较弱、大规模集聚经济和人口条件不够好，需要在国土空间开发中限制进行大规模高强度工业化城镇化开发，以保持并提高生态产品供给能力的区域。本项目与《湖南省主体功能区规划》内容符合性分析见下表。</w:t>
            </w:r>
          </w:p>
          <w:p>
            <w:pPr>
              <w:bidi w:val="0"/>
              <w:ind w:left="0" w:leftChars="0" w:firstLine="0" w:firstLineChars="0"/>
              <w:jc w:val="center"/>
              <w:rPr>
                <w:rFonts w:hint="eastAsia"/>
                <w:sz w:val="24"/>
                <w:szCs w:val="24"/>
                <w:u w:val="none"/>
                <w:lang w:eastAsia="zh-CN"/>
              </w:rPr>
            </w:pPr>
            <w:r>
              <w:rPr>
                <w:rFonts w:hint="default" w:ascii="Times New Roman" w:hAnsi="Times New Roman" w:eastAsia="宋体" w:cs="Times New Roman"/>
                <w:b/>
                <w:bCs/>
                <w:kern w:val="0"/>
                <w:sz w:val="21"/>
                <w:szCs w:val="21"/>
                <w:u w:val="none" w:color="auto"/>
                <w:lang w:val="en-US" w:eastAsia="zh-CN" w:bidi="zh-CN"/>
              </w:rPr>
              <w:t>表1</w:t>
            </w:r>
            <w:r>
              <w:rPr>
                <w:rFonts w:hint="eastAsia" w:ascii="Times New Roman" w:hAnsi="Times New Roman" w:cs="Times New Roman"/>
                <w:b/>
                <w:bCs/>
                <w:kern w:val="0"/>
                <w:sz w:val="21"/>
                <w:szCs w:val="21"/>
                <w:u w:val="none" w:color="auto"/>
                <w:lang w:val="en-US" w:eastAsia="zh-CN" w:bidi="zh-CN"/>
              </w:rPr>
              <w:t>-4</w:t>
            </w:r>
            <w:r>
              <w:rPr>
                <w:rFonts w:hint="default" w:ascii="Times New Roman" w:hAnsi="Times New Roman" w:eastAsia="宋体" w:cs="Times New Roman"/>
                <w:b/>
                <w:bCs/>
                <w:kern w:val="0"/>
                <w:sz w:val="21"/>
                <w:szCs w:val="21"/>
                <w:u w:val="none" w:color="auto"/>
                <w:lang w:val="en-US" w:eastAsia="zh-CN" w:bidi="zh-CN"/>
              </w:rPr>
              <w:t xml:space="preserve">  项目与《湖南省主体功能区规划》符合性分析</w:t>
            </w:r>
          </w:p>
          <w:tbl>
            <w:tblPr>
              <w:tblStyle w:val="35"/>
              <w:tblW w:w="496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6"/>
              <w:gridCol w:w="3444"/>
              <w:gridCol w:w="2816"/>
              <w:gridCol w:w="7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14" w:type="pct"/>
                  <w:tcBorders>
                    <w:tl2br w:val="nil"/>
                    <w:tr2bl w:val="nil"/>
                  </w:tcBorders>
                  <w:noWrap w:val="0"/>
                  <w:vAlign w:val="center"/>
                </w:tcPr>
                <w:p>
                  <w:pPr>
                    <w:pStyle w:val="90"/>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序号</w:t>
                  </w:r>
                </w:p>
              </w:tc>
              <w:tc>
                <w:tcPr>
                  <w:tcW w:w="2241" w:type="pct"/>
                  <w:tcBorders>
                    <w:tl2br w:val="nil"/>
                    <w:tr2bl w:val="nil"/>
                  </w:tcBorders>
                  <w:noWrap w:val="0"/>
                  <w:vAlign w:val="center"/>
                </w:tcPr>
                <w:p>
                  <w:pPr>
                    <w:pStyle w:val="90"/>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《湖南省主体功能区规划》中与项目相关的发展规划</w:t>
                  </w:r>
                </w:p>
              </w:tc>
              <w:tc>
                <w:tcPr>
                  <w:tcW w:w="1833" w:type="pct"/>
                  <w:tcBorders>
                    <w:tl2br w:val="nil"/>
                    <w:tr2bl w:val="nil"/>
                  </w:tcBorders>
                  <w:noWrap w:val="0"/>
                  <w:vAlign w:val="center"/>
                </w:tcPr>
                <w:p>
                  <w:pPr>
                    <w:pStyle w:val="90"/>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本工程相关内容</w:t>
                  </w:r>
                </w:p>
              </w:tc>
              <w:tc>
                <w:tcPr>
                  <w:tcW w:w="509" w:type="pct"/>
                  <w:tcBorders>
                    <w:tl2br w:val="nil"/>
                    <w:tr2bl w:val="nil"/>
                  </w:tcBorders>
                  <w:noWrap w:val="0"/>
                  <w:vAlign w:val="center"/>
                </w:tcPr>
                <w:p>
                  <w:pPr>
                    <w:pStyle w:val="90"/>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是否符合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7" w:hRule="atLeast"/>
                <w:jc w:val="center"/>
              </w:trPr>
              <w:tc>
                <w:tcPr>
                  <w:tcW w:w="414"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1</w:t>
                  </w:r>
                </w:p>
              </w:tc>
              <w:tc>
                <w:tcPr>
                  <w:tcW w:w="2241"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保持水土，实施水土流失预防监控和生态修复工程，加强流域综合治理，营造水土保持林，禁止毁林开荒，推行节水灌溉，适度发展旱作农业，限制陡坡垦殖，合理开发自然资源，加大工矿区环境整治和生态修复力度，保护和恢复自然生态系统，增强区域水土保持能力。</w:t>
                  </w:r>
                </w:p>
              </w:tc>
              <w:tc>
                <w:tcPr>
                  <w:tcW w:w="1833"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eastAsia" w:ascii="Times New Roman" w:hAnsi="Times New Roman" w:eastAsia="宋体" w:cs="Times New Roman"/>
                      <w:b w:val="0"/>
                      <w:sz w:val="21"/>
                      <w:szCs w:val="21"/>
                      <w:u w:val="none" w:color="auto"/>
                      <w:lang w:val="en-US" w:eastAsia="zh-CN" w:bidi="ar-SA"/>
                    </w:rPr>
                    <w:t>本项目利用现有综合楼进行改造，不涉及土建工程</w:t>
                  </w:r>
                </w:p>
              </w:tc>
              <w:tc>
                <w:tcPr>
                  <w:tcW w:w="509"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14"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2</w:t>
                  </w:r>
                </w:p>
              </w:tc>
              <w:tc>
                <w:tcPr>
                  <w:tcW w:w="2241"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维护生物多样性。落实保护措施，禁止滥捕滥采野生动植物，保护自然生态走廊和野生动物栖息地，促进自然生态系统恢复，保持野生动植物物种和种群平衡，实现野生动植物资源良性循环和永续利用。对生态环境已遭破坏地区，积极恢复自然环境。加强外来入侵物种管理，防止外来有害物种对生态系统的侵害。</w:t>
                  </w:r>
                </w:p>
              </w:tc>
              <w:tc>
                <w:tcPr>
                  <w:tcW w:w="1833"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eastAsia" w:ascii="Times New Roman" w:hAnsi="Times New Roman" w:eastAsia="宋体" w:cs="Times New Roman"/>
                      <w:b w:val="0"/>
                      <w:sz w:val="21"/>
                      <w:szCs w:val="21"/>
                      <w:u w:val="none" w:color="auto"/>
                      <w:lang w:val="en-US" w:eastAsia="zh-CN" w:bidi="ar-SA"/>
                    </w:rPr>
                    <w:t>本项目利用花垣县妇幼保健计划生育服务中心现有综合楼进行改造，不涉及土建工程</w:t>
                  </w:r>
                </w:p>
              </w:tc>
              <w:tc>
                <w:tcPr>
                  <w:tcW w:w="509"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3</w:t>
                  </w:r>
                </w:p>
              </w:tc>
              <w:tc>
                <w:tcPr>
                  <w:tcW w:w="2241"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在不损害生态功能的前提下，因地制宜发展适度资源开采、农林产品生产加工等资源环境可承载的适宜产业，积极发展第三产业。严格限制高污染、高能耗、高物耗产业，淘汰污染环境、破坏生态、浪费资源的产业。</w:t>
                  </w:r>
                </w:p>
              </w:tc>
              <w:tc>
                <w:tcPr>
                  <w:tcW w:w="1833"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eastAsia" w:ascii="Times New Roman" w:hAnsi="Times New Roman" w:eastAsia="宋体" w:cs="Times New Roman"/>
                      <w:b w:val="0"/>
                      <w:sz w:val="21"/>
                      <w:szCs w:val="21"/>
                      <w:u w:val="none" w:color="auto"/>
                      <w:lang w:val="en-US" w:eastAsia="zh-CN" w:bidi="ar-SA"/>
                    </w:rPr>
                    <w:t>结合</w:t>
                  </w:r>
                  <w:r>
                    <w:rPr>
                      <w:rFonts w:hint="default" w:ascii="Times New Roman" w:hAnsi="Times New Roman" w:eastAsia="宋体" w:cs="Times New Roman"/>
                      <w:b w:val="0"/>
                      <w:sz w:val="21"/>
                      <w:szCs w:val="21"/>
                      <w:u w:val="none" w:color="auto"/>
                      <w:lang w:val="en-US" w:eastAsia="zh-CN" w:bidi="ar-SA"/>
                    </w:rPr>
                    <w:t>《产业结构调整指导目录（2024年本）》</w:t>
                  </w:r>
                  <w:r>
                    <w:rPr>
                      <w:rFonts w:hint="eastAsia" w:ascii="Times New Roman" w:hAnsi="Times New Roman" w:eastAsia="宋体" w:cs="Times New Roman"/>
                      <w:b w:val="0"/>
                      <w:sz w:val="21"/>
                      <w:szCs w:val="21"/>
                      <w:u w:val="none" w:color="auto"/>
                      <w:lang w:val="en-US" w:eastAsia="zh-CN" w:bidi="ar-SA"/>
                    </w:rPr>
                    <w:t>、《湖南省“两高”项目管理名录》，本项目不属于禁止、淘汰类，且不属于“两高”项目，本项目使用电能，不使用高能耗、高污染能源。</w:t>
                  </w:r>
                </w:p>
              </w:tc>
              <w:tc>
                <w:tcPr>
                  <w:tcW w:w="509"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bl>
          <w:p>
            <w:pPr>
              <w:pStyle w:val="98"/>
              <w:ind w:firstLine="480"/>
              <w:rPr>
                <w:rFonts w:hint="eastAsia"/>
                <w:sz w:val="24"/>
                <w:szCs w:val="24"/>
                <w:u w:val="none"/>
                <w:lang w:eastAsia="zh-CN"/>
              </w:rPr>
            </w:pPr>
            <w:r>
              <w:rPr>
                <w:rFonts w:hint="eastAsia"/>
                <w:sz w:val="24"/>
                <w:szCs w:val="24"/>
                <w:u w:val="none"/>
                <w:lang w:eastAsia="zh-CN"/>
              </w:rPr>
              <w:t>综上分析，本项目建设情况符合《湖南省主体功能区划》中重点生态功能区的发展方向要求。</w:t>
            </w:r>
          </w:p>
          <w:p>
            <w:pPr>
              <w:pStyle w:val="98"/>
              <w:ind w:left="0" w:leftChars="0" w:firstLine="0" w:firstLineChars="0"/>
              <w:rPr>
                <w:rFonts w:hint="eastAsia"/>
                <w:b/>
                <w:bCs/>
                <w:sz w:val="24"/>
                <w:szCs w:val="24"/>
                <w:u w:val="none"/>
              </w:rPr>
            </w:pPr>
            <w:r>
              <w:rPr>
                <w:rFonts w:hint="eastAsia"/>
                <w:b/>
                <w:bCs/>
                <w:sz w:val="24"/>
                <w:szCs w:val="24"/>
                <w:u w:val="none"/>
                <w:lang w:val="en-US" w:eastAsia="zh-CN"/>
              </w:rPr>
              <w:t>7、</w:t>
            </w:r>
            <w:r>
              <w:rPr>
                <w:rFonts w:hint="eastAsia"/>
                <w:b/>
                <w:bCs/>
                <w:sz w:val="24"/>
                <w:szCs w:val="24"/>
                <w:u w:val="none"/>
              </w:rPr>
              <w:t>与</w:t>
            </w:r>
            <w:r>
              <w:rPr>
                <w:rFonts w:hint="eastAsia"/>
                <w:b/>
                <w:bCs/>
                <w:sz w:val="24"/>
                <w:szCs w:val="24"/>
                <w:u w:val="none"/>
                <w:lang w:val="en-US" w:eastAsia="zh-CN"/>
              </w:rPr>
              <w:t>《湘西自治州“十四五”生态环境保护规划》的符合性分</w:t>
            </w:r>
            <w:r>
              <w:rPr>
                <w:rFonts w:hint="eastAsia"/>
                <w:b/>
                <w:bCs/>
                <w:sz w:val="24"/>
                <w:szCs w:val="24"/>
                <w:u w:val="none"/>
              </w:rPr>
              <w:t>析</w:t>
            </w:r>
          </w:p>
          <w:p>
            <w:pPr>
              <w:pStyle w:val="98"/>
              <w:ind w:firstLine="480"/>
              <w:rPr>
                <w:rFonts w:hint="eastAsia"/>
                <w:sz w:val="24"/>
                <w:szCs w:val="24"/>
                <w:u w:val="none"/>
                <w:lang w:eastAsia="zh-CN"/>
              </w:rPr>
            </w:pPr>
            <w:r>
              <w:rPr>
                <w:rFonts w:hint="eastAsia"/>
                <w:sz w:val="24"/>
                <w:szCs w:val="24"/>
                <w:u w:val="none"/>
                <w:lang w:eastAsia="zh-CN"/>
              </w:rPr>
              <w:t>结合《湘西自治州“十四五”生态环境保护规划》中第五章 深入打好污染防治攻坚战推动生态文明建设行稳致远中与本项目相关的发展规划，本项目与《湘西自治州“十四五”生态环境保护规划》的符合性分析见表</w:t>
            </w:r>
            <w:r>
              <w:rPr>
                <w:rFonts w:hint="eastAsia"/>
                <w:sz w:val="24"/>
                <w:szCs w:val="24"/>
                <w:u w:val="none"/>
                <w:lang w:val="en-US" w:eastAsia="zh-CN"/>
              </w:rPr>
              <w:t>1-5</w:t>
            </w:r>
            <w:r>
              <w:rPr>
                <w:rFonts w:hint="eastAsia"/>
                <w:sz w:val="24"/>
                <w:szCs w:val="24"/>
                <w:u w:val="none"/>
                <w:lang w:eastAsia="zh-CN"/>
              </w:rPr>
              <w:t>。</w:t>
            </w:r>
          </w:p>
          <w:p>
            <w:pPr>
              <w:bidi w:val="0"/>
              <w:ind w:left="0" w:leftChars="0" w:firstLine="0" w:firstLineChars="0"/>
              <w:jc w:val="center"/>
              <w:rPr>
                <w:rFonts w:hint="eastAsia"/>
                <w:sz w:val="24"/>
                <w:szCs w:val="24"/>
                <w:u w:val="none"/>
                <w:lang w:eastAsia="zh-CN"/>
              </w:rPr>
            </w:pPr>
            <w:r>
              <w:rPr>
                <w:rFonts w:hint="default" w:ascii="Times New Roman" w:hAnsi="Times New Roman" w:eastAsia="宋体" w:cs="Times New Roman"/>
                <w:b/>
                <w:bCs/>
                <w:kern w:val="0"/>
                <w:sz w:val="21"/>
                <w:szCs w:val="21"/>
                <w:u w:val="none" w:color="auto"/>
                <w:lang w:val="en-US" w:eastAsia="zh-CN" w:bidi="zh-CN"/>
              </w:rPr>
              <w:t>表1</w:t>
            </w:r>
            <w:r>
              <w:rPr>
                <w:rFonts w:hint="eastAsia" w:ascii="Times New Roman" w:hAnsi="Times New Roman" w:cs="Times New Roman"/>
                <w:b/>
                <w:bCs/>
                <w:kern w:val="0"/>
                <w:sz w:val="21"/>
                <w:szCs w:val="21"/>
                <w:u w:val="none" w:color="auto"/>
                <w:lang w:val="en-US" w:eastAsia="zh-CN" w:bidi="zh-CN"/>
              </w:rPr>
              <w:t>-5</w:t>
            </w:r>
            <w:r>
              <w:rPr>
                <w:rFonts w:hint="default" w:ascii="Times New Roman" w:hAnsi="Times New Roman" w:eastAsia="宋体" w:cs="Times New Roman"/>
                <w:b/>
                <w:bCs/>
                <w:kern w:val="0"/>
                <w:sz w:val="21"/>
                <w:szCs w:val="21"/>
                <w:u w:val="none" w:color="auto"/>
                <w:lang w:val="en-US" w:eastAsia="zh-CN" w:bidi="zh-CN"/>
              </w:rPr>
              <w:t xml:space="preserve">  项目与《湘西自治州“十四五”生态环境保护规划》符合性分析</w:t>
            </w:r>
          </w:p>
          <w:tbl>
            <w:tblPr>
              <w:tblStyle w:val="35"/>
              <w:tblW w:w="496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7"/>
              <w:gridCol w:w="3443"/>
              <w:gridCol w:w="2816"/>
              <w:gridCol w:w="7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15" w:type="pct"/>
                  <w:tcBorders>
                    <w:tl2br w:val="nil"/>
                    <w:tr2bl w:val="nil"/>
                  </w:tcBorders>
                  <w:noWrap w:val="0"/>
                  <w:vAlign w:val="center"/>
                </w:tcPr>
                <w:p>
                  <w:pPr>
                    <w:pStyle w:val="90"/>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序号</w:t>
                  </w:r>
                </w:p>
              </w:tc>
              <w:tc>
                <w:tcPr>
                  <w:tcW w:w="2242" w:type="pct"/>
                  <w:tcBorders>
                    <w:tl2br w:val="nil"/>
                    <w:tr2bl w:val="nil"/>
                  </w:tcBorders>
                  <w:noWrap w:val="0"/>
                  <w:vAlign w:val="center"/>
                </w:tcPr>
                <w:p>
                  <w:pPr>
                    <w:pStyle w:val="90"/>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《湘西自治州“十四五”生态环境保护规划》中与项目相关的发展规划</w:t>
                  </w:r>
                </w:p>
              </w:tc>
              <w:tc>
                <w:tcPr>
                  <w:tcW w:w="1834" w:type="pct"/>
                  <w:tcBorders>
                    <w:tl2br w:val="nil"/>
                    <w:tr2bl w:val="nil"/>
                  </w:tcBorders>
                  <w:noWrap w:val="0"/>
                  <w:vAlign w:val="center"/>
                </w:tcPr>
                <w:p>
                  <w:pPr>
                    <w:pStyle w:val="90"/>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本工程相关内容</w:t>
                  </w:r>
                </w:p>
              </w:tc>
              <w:tc>
                <w:tcPr>
                  <w:tcW w:w="507" w:type="pct"/>
                  <w:tcBorders>
                    <w:tl2br w:val="nil"/>
                    <w:tr2bl w:val="nil"/>
                  </w:tcBorders>
                  <w:noWrap w:val="0"/>
                  <w:vAlign w:val="center"/>
                </w:tcPr>
                <w:p>
                  <w:pPr>
                    <w:pStyle w:val="90"/>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是否符合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000" w:type="pct"/>
                  <w:gridSpan w:val="4"/>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第一节  系统治理，提升水生态环境质量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7" w:hRule="atLeast"/>
                <w:jc w:val="center"/>
              </w:trPr>
              <w:tc>
                <w:tcPr>
                  <w:tcW w:w="415"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1</w:t>
                  </w:r>
                </w:p>
              </w:tc>
              <w:tc>
                <w:tcPr>
                  <w:tcW w:w="2242"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持续深化污染减排。继续以企业和工业聚集区为重点，系统推进工业园区污水处理设施分类管理、分期升级改造，实施省级及以上工业园区专项整治行动，省级及以上工业园区污水管网全覆盖，实现园区污水全收集，污水集中处理设施稳定达标运行，在线监控联网正常。规范设置园区集中污水处理设施排污口，建立园区水环境管理“一园一档”。</w:t>
                  </w:r>
                </w:p>
              </w:tc>
              <w:tc>
                <w:tcPr>
                  <w:tcW w:w="1834"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项目位于湘西自治州花垣县花垣镇城北政务中心北侧旁</w:t>
                  </w:r>
                  <w:r>
                    <w:rPr>
                      <w:rFonts w:hint="eastAsia" w:ascii="Times New Roman" w:eastAsia="宋体" w:cs="Times New Roman"/>
                      <w:b w:val="0"/>
                      <w:sz w:val="21"/>
                      <w:szCs w:val="21"/>
                      <w:u w:val="none" w:color="auto"/>
                      <w:lang w:val="en-US" w:eastAsia="zh-CN" w:bidi="ar-SA"/>
                    </w:rPr>
                    <w:t>，不属于工业园区。项目废水经一体化污水处理设施处理后进市政污水管网，排入花垣县污水处理厂</w:t>
                  </w:r>
                </w:p>
              </w:tc>
              <w:tc>
                <w:tcPr>
                  <w:tcW w:w="507"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00" w:type="pct"/>
                  <w:gridSpan w:val="4"/>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第二节  分级管控，保障土壤环境质量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15"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2</w:t>
                  </w:r>
                </w:p>
              </w:tc>
              <w:tc>
                <w:tcPr>
                  <w:tcW w:w="2242"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明确土壤环境质量底线。按照土壤环境质量“只能更好、不能变坏”的基本要求，土壤环境质量底线为：土壤环境质量总体保持稳定，农用地和建设用地土壤环境安全得到基本保障，土壤环境风险得到基本管控，2025年受污染耕地安全利用率达及污染地块安全利用率达 95%。以耕地和饮用水水源地土壤为重点，划定土壤环境保护优先区域。将基础农田保护区域作为土壤优先保护区域。</w:t>
                  </w:r>
                </w:p>
              </w:tc>
              <w:tc>
                <w:tcPr>
                  <w:tcW w:w="1834"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项目</w:t>
                  </w:r>
                  <w:r>
                    <w:rPr>
                      <w:rFonts w:hint="eastAsia" w:ascii="Times New Roman" w:eastAsia="宋体" w:cs="Times New Roman"/>
                      <w:b w:val="0"/>
                      <w:sz w:val="21"/>
                      <w:szCs w:val="21"/>
                      <w:u w:val="none" w:color="auto"/>
                      <w:lang w:val="en-US" w:eastAsia="zh-CN" w:bidi="ar-SA"/>
                    </w:rPr>
                    <w:t>利用花垣县妇幼保健计划生育服务中心</w:t>
                  </w:r>
                  <w:r>
                    <w:rPr>
                      <w:rFonts w:hint="eastAsia" w:ascii="Times New Roman" w:hAnsi="Times New Roman" w:eastAsia="宋体" w:cs="Times New Roman"/>
                      <w:b w:val="0"/>
                      <w:sz w:val="21"/>
                      <w:szCs w:val="21"/>
                      <w:u w:val="none" w:color="auto"/>
                      <w:lang w:val="en-US" w:eastAsia="zh-CN" w:bidi="ar-SA"/>
                    </w:rPr>
                    <w:t>现有综合大楼进行建设</w:t>
                  </w:r>
                  <w:r>
                    <w:rPr>
                      <w:rFonts w:hint="default" w:ascii="Times New Roman" w:hAnsi="Times New Roman" w:eastAsia="宋体" w:cs="Times New Roman"/>
                      <w:b w:val="0"/>
                      <w:sz w:val="21"/>
                      <w:szCs w:val="21"/>
                      <w:u w:val="none" w:color="auto"/>
                      <w:lang w:val="zh-CN" w:eastAsia="zh-CN" w:bidi="ar-SA"/>
                    </w:rPr>
                    <w:t>，不占用农田等土壤敏感区，本项目营运期厂区地面均硬化，且进行分区防渗，故本项目对区域土壤环境影响较小。</w:t>
                  </w:r>
                </w:p>
              </w:tc>
              <w:tc>
                <w:tcPr>
                  <w:tcW w:w="507"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00" w:type="pct"/>
                  <w:gridSpan w:val="4"/>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第三节  精准施策，持续改善大气环境质量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3</w:t>
                  </w:r>
                </w:p>
              </w:tc>
              <w:tc>
                <w:tcPr>
                  <w:tcW w:w="2242"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推进PM</w:t>
                  </w:r>
                  <w:r>
                    <w:rPr>
                      <w:rFonts w:hint="default" w:ascii="Times New Roman" w:hAnsi="Times New Roman" w:eastAsia="宋体" w:cs="Times New Roman"/>
                      <w:b w:val="0"/>
                      <w:sz w:val="21"/>
                      <w:szCs w:val="21"/>
                      <w:u w:val="none" w:color="auto"/>
                      <w:vertAlign w:val="subscript"/>
                      <w:lang w:val="en-US" w:eastAsia="zh-CN" w:bidi="ar-SA"/>
                    </w:rPr>
                    <w:t>2.5</w:t>
                  </w:r>
                  <w:r>
                    <w:rPr>
                      <w:rFonts w:hint="default" w:ascii="Times New Roman" w:hAnsi="Times New Roman" w:eastAsia="宋体" w:cs="Times New Roman"/>
                      <w:b w:val="0"/>
                      <w:sz w:val="21"/>
                      <w:szCs w:val="21"/>
                      <w:u w:val="none" w:color="auto"/>
                      <w:lang w:val="en-US" w:eastAsia="zh-CN" w:bidi="ar-SA"/>
                    </w:rPr>
                    <w:t>与臭氧的系统治理。持续推进工业污染源全面达标排放，继续实施大气重点污染物总量控制，对湘西高新区等全州9个工业园区进行涉气企业集中整治，根据园区企业特点逐个制定整治措施，编制工业园区废气专项整治方案，做到“一区一案”，建立涉气排放企业清单，明确具体整治要求和重点整治项目，落实“网格化”管理，限期进行达标改造，减少工业集聚区污染。</w:t>
                  </w:r>
                </w:p>
              </w:tc>
              <w:tc>
                <w:tcPr>
                  <w:tcW w:w="1834"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color w:val="auto"/>
                      <w:sz w:val="21"/>
                      <w:szCs w:val="21"/>
                      <w:u w:val="none" w:color="auto"/>
                      <w:lang w:val="en-US" w:eastAsia="zh-CN" w:bidi="ar-SA"/>
                    </w:rPr>
                    <w:t>项目位于</w:t>
                  </w:r>
                  <w:r>
                    <w:rPr>
                      <w:rFonts w:hint="default" w:ascii="Times New Roman" w:hAnsi="Times New Roman" w:eastAsia="宋体" w:cs="Times New Roman"/>
                      <w:b w:val="0"/>
                      <w:sz w:val="21"/>
                      <w:szCs w:val="21"/>
                      <w:u w:val="none" w:color="auto"/>
                      <w:lang w:val="en-US" w:eastAsia="zh-CN" w:bidi="ar-SA"/>
                    </w:rPr>
                    <w:t>湘西自治州花垣县花垣镇城北政务中心北侧旁</w:t>
                  </w:r>
                  <w:r>
                    <w:rPr>
                      <w:rFonts w:hint="eastAsia" w:ascii="Times New Roman" w:eastAsia="宋体" w:cs="Times New Roman"/>
                      <w:b w:val="0"/>
                      <w:color w:val="auto"/>
                      <w:sz w:val="21"/>
                      <w:szCs w:val="21"/>
                      <w:highlight w:val="none"/>
                      <w:u w:val="none" w:color="auto"/>
                      <w:lang w:val="en-US" w:eastAsia="zh-CN" w:bidi="ar-SA"/>
                    </w:rPr>
                    <w:t>，</w:t>
                  </w:r>
                  <w:r>
                    <w:rPr>
                      <w:rFonts w:hint="default" w:ascii="Times New Roman" w:hAnsi="Times New Roman" w:eastAsia="宋体" w:cs="Times New Roman"/>
                      <w:b w:val="0"/>
                      <w:color w:val="auto"/>
                      <w:sz w:val="21"/>
                      <w:szCs w:val="21"/>
                      <w:u w:val="none" w:color="auto"/>
                      <w:lang w:val="zh-CN" w:eastAsia="zh-CN" w:bidi="ar-SA"/>
                    </w:rPr>
                    <w:t>厂区污染物均能达标排放</w:t>
                  </w:r>
                  <w:r>
                    <w:rPr>
                      <w:rFonts w:hint="eastAsia" w:ascii="Times New Roman" w:eastAsia="宋体" w:cs="Times New Roman"/>
                      <w:b w:val="0"/>
                      <w:color w:val="auto"/>
                      <w:sz w:val="21"/>
                      <w:szCs w:val="21"/>
                      <w:u w:val="none" w:color="auto"/>
                      <w:lang w:val="zh-CN" w:eastAsia="zh-CN" w:bidi="ar-SA"/>
                    </w:rPr>
                    <w:t>，</w:t>
                  </w:r>
                  <w:r>
                    <w:rPr>
                      <w:rFonts w:hint="default" w:ascii="Times New Roman" w:hAnsi="Times New Roman" w:eastAsia="宋体" w:cs="Times New Roman"/>
                      <w:b w:val="0"/>
                      <w:color w:val="auto"/>
                      <w:sz w:val="21"/>
                      <w:szCs w:val="21"/>
                      <w:u w:val="none" w:color="auto"/>
                      <w:lang w:val="zh-CN" w:eastAsia="zh-CN" w:bidi="ar-SA"/>
                    </w:rPr>
                    <w:t>对周边大气环境污染影响较小</w:t>
                  </w:r>
                </w:p>
              </w:tc>
              <w:tc>
                <w:tcPr>
                  <w:tcW w:w="507"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15"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4</w:t>
                  </w:r>
                </w:p>
              </w:tc>
              <w:tc>
                <w:tcPr>
                  <w:tcW w:w="2242"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加强重点行业脱氮治理设施升级改造。推进工业炉窑全面达标排放，2022年前完成重点行业工业炉窑主要大气污染物提标改造，到2025年底前，烧结砖瓦企业完成高效脱硫除尘改造。</w:t>
                  </w:r>
                </w:p>
              </w:tc>
              <w:tc>
                <w:tcPr>
                  <w:tcW w:w="1834" w:type="pct"/>
                  <w:tcBorders>
                    <w:tl2br w:val="nil"/>
                    <w:tr2bl w:val="nil"/>
                  </w:tcBorders>
                  <w:noWrap w:val="0"/>
                  <w:vAlign w:val="center"/>
                </w:tcPr>
                <w:p>
                  <w:pPr>
                    <w:pStyle w:val="90"/>
                    <w:bidi w:val="0"/>
                    <w:jc w:val="center"/>
                    <w:rPr>
                      <w:rFonts w:hint="default" w:ascii="Times New Roman" w:hAnsi="Times New Roman" w:eastAsia="宋体" w:cs="Times New Roman"/>
                      <w:b w:val="0"/>
                      <w:sz w:val="21"/>
                      <w:szCs w:val="21"/>
                      <w:u w:val="none" w:color="auto"/>
                      <w:lang w:val="en-US" w:eastAsia="zh-CN" w:bidi="ar-SA"/>
                    </w:rPr>
                  </w:pPr>
                  <w:r>
                    <w:rPr>
                      <w:rFonts w:hint="eastAsia" w:ascii="Times New Roman" w:hAnsi="Times New Roman" w:eastAsia="宋体" w:cs="Times New Roman"/>
                      <w:b w:val="0"/>
                      <w:sz w:val="21"/>
                      <w:szCs w:val="21"/>
                      <w:u w:val="none" w:color="auto"/>
                      <w:lang w:val="en-US" w:eastAsia="zh-CN" w:bidi="ar-SA"/>
                    </w:rPr>
                    <w:t>不涉及</w:t>
                  </w:r>
                </w:p>
              </w:tc>
              <w:tc>
                <w:tcPr>
                  <w:tcW w:w="507"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415"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5</w:t>
                  </w:r>
                </w:p>
              </w:tc>
              <w:tc>
                <w:tcPr>
                  <w:tcW w:w="2242"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强化扬尘源及社会源治理。强化扬尘污染治理精细化管控，制定湘西州扬尘污染管理办法，严格落实建筑工地施工“六个100%”。推进绿色施工，积极推广使用自动化、机械化的高效降尘设备设施。</w:t>
                  </w:r>
                </w:p>
              </w:tc>
              <w:tc>
                <w:tcPr>
                  <w:tcW w:w="1834" w:type="pct"/>
                  <w:tcBorders>
                    <w:tl2br w:val="nil"/>
                    <w:tr2bl w:val="nil"/>
                  </w:tcBorders>
                  <w:noWrap w:val="0"/>
                  <w:vAlign w:val="center"/>
                </w:tcPr>
                <w:p>
                  <w:pPr>
                    <w:pStyle w:val="90"/>
                    <w:bidi w:val="0"/>
                    <w:jc w:val="center"/>
                    <w:rPr>
                      <w:rFonts w:hint="default" w:ascii="Times New Roman" w:hAnsi="Times New Roman" w:eastAsia="宋体" w:cs="Times New Roman"/>
                      <w:b w:val="0"/>
                      <w:sz w:val="21"/>
                      <w:szCs w:val="21"/>
                      <w:u w:val="none" w:color="auto"/>
                      <w:lang w:val="en-US" w:eastAsia="zh-CN" w:bidi="ar-SA"/>
                    </w:rPr>
                  </w:pPr>
                  <w:r>
                    <w:rPr>
                      <w:rFonts w:hint="eastAsia" w:ascii="Times New Roman" w:hAnsi="Times New Roman" w:eastAsia="宋体" w:cs="Times New Roman"/>
                      <w:b w:val="0"/>
                      <w:color w:val="auto"/>
                      <w:sz w:val="21"/>
                      <w:szCs w:val="21"/>
                      <w:u w:val="none" w:color="auto"/>
                      <w:lang w:val="en-US" w:eastAsia="zh-CN" w:bidi="ar-SA"/>
                    </w:rPr>
                    <w:t>项目</w:t>
                  </w:r>
                  <w:r>
                    <w:rPr>
                      <w:rFonts w:hint="eastAsia" w:ascii="Times New Roman" w:eastAsia="宋体" w:cs="Times New Roman"/>
                      <w:b w:val="0"/>
                      <w:color w:val="auto"/>
                      <w:sz w:val="21"/>
                      <w:szCs w:val="21"/>
                      <w:u w:val="none" w:color="auto"/>
                      <w:lang w:val="en-US" w:eastAsia="zh-CN" w:bidi="ar-SA"/>
                    </w:rPr>
                    <w:t>利用花垣县妇幼保健计划生育服务中心现有综合大楼进行建设</w:t>
                  </w:r>
                  <w:r>
                    <w:rPr>
                      <w:rFonts w:hint="default" w:ascii="Times New Roman" w:hAnsi="Times New Roman" w:eastAsia="宋体" w:cs="Times New Roman"/>
                      <w:b w:val="0"/>
                      <w:color w:val="auto"/>
                      <w:sz w:val="21"/>
                      <w:szCs w:val="21"/>
                      <w:u w:val="none" w:color="auto"/>
                      <w:lang w:val="en-US" w:eastAsia="zh-CN" w:bidi="ar-SA"/>
                    </w:rPr>
                    <w:t>，</w:t>
                  </w:r>
                  <w:r>
                    <w:rPr>
                      <w:rFonts w:hint="eastAsia" w:ascii="Times New Roman" w:hAnsi="Times New Roman" w:eastAsia="宋体" w:cs="Times New Roman"/>
                      <w:b w:val="0"/>
                      <w:color w:val="auto"/>
                      <w:sz w:val="21"/>
                      <w:szCs w:val="21"/>
                      <w:u w:val="none" w:color="auto"/>
                      <w:lang w:val="en-US" w:eastAsia="zh-CN" w:bidi="ar-SA"/>
                    </w:rPr>
                    <w:t>不涉及基建工程及土地开挖，项目施工作业均在室内进行扬尘产生排放量均较小，</w:t>
                  </w:r>
                  <w:r>
                    <w:rPr>
                      <w:rFonts w:hint="default" w:ascii="Times New Roman" w:hAnsi="Times New Roman" w:eastAsia="宋体" w:cs="Times New Roman"/>
                      <w:b w:val="0"/>
                      <w:color w:val="auto"/>
                      <w:sz w:val="21"/>
                      <w:szCs w:val="21"/>
                      <w:u w:val="none" w:color="auto"/>
                      <w:lang w:val="en-US" w:eastAsia="zh-CN" w:bidi="ar-SA"/>
                    </w:rPr>
                    <w:t>对区域大气环境影响较小。</w:t>
                  </w:r>
                </w:p>
              </w:tc>
              <w:tc>
                <w:tcPr>
                  <w:tcW w:w="507"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15"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6</w:t>
                  </w:r>
                </w:p>
              </w:tc>
              <w:tc>
                <w:tcPr>
                  <w:tcW w:w="2242" w:type="pct"/>
                  <w:tcBorders>
                    <w:tl2br w:val="nil"/>
                    <w:tr2bl w:val="nil"/>
                  </w:tcBorders>
                  <w:noWrap w:val="0"/>
                  <w:vAlign w:val="center"/>
                </w:tcPr>
                <w:p>
                  <w:pPr>
                    <w:pStyle w:val="90"/>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强化餐饮油烟和露天烧烤治理，实施县级以上城市餐饮油烟治理全覆盖，对未安装油烟净化设施、不正常使用油烟净化设施或者未采取其他油烟净化措施，超过排放标准排放油烟的，依法责令改正，并处以罚款；拒不改正的，责令停业整治。推进秸秆资源化利用，禁止大量焚烧秸秆。</w:t>
                  </w:r>
                </w:p>
              </w:tc>
              <w:tc>
                <w:tcPr>
                  <w:tcW w:w="1834" w:type="pct"/>
                  <w:tcBorders>
                    <w:tl2br w:val="nil"/>
                    <w:tr2bl w:val="nil"/>
                  </w:tcBorders>
                  <w:noWrap w:val="0"/>
                  <w:vAlign w:val="center"/>
                </w:tcPr>
                <w:p>
                  <w:pPr>
                    <w:pStyle w:val="90"/>
                    <w:bidi w:val="0"/>
                    <w:jc w:val="center"/>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本项目运营期不设置食堂。</w:t>
                  </w:r>
                </w:p>
              </w:tc>
              <w:tc>
                <w:tcPr>
                  <w:tcW w:w="507" w:type="pct"/>
                  <w:tcBorders>
                    <w:tl2br w:val="nil"/>
                    <w:tr2bl w:val="nil"/>
                  </w:tcBorders>
                  <w:noWrap w:val="0"/>
                  <w:vAlign w:val="center"/>
                </w:tcPr>
                <w:p>
                  <w:pPr>
                    <w:pStyle w:val="90"/>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bl>
          <w:p>
            <w:pPr>
              <w:pStyle w:val="98"/>
              <w:ind w:firstLine="480"/>
              <w:rPr>
                <w:rFonts w:hint="eastAsia"/>
                <w:color w:val="FF0000"/>
                <w:sz w:val="24"/>
                <w:szCs w:val="24"/>
                <w:u w:val="single"/>
              </w:rPr>
            </w:pPr>
            <w:r>
              <w:rPr>
                <w:rFonts w:hint="eastAsia"/>
                <w:sz w:val="24"/>
                <w:szCs w:val="24"/>
                <w:u w:val="none"/>
                <w:lang w:eastAsia="zh-CN"/>
              </w:rPr>
              <w:t>综上，本项目建设内容与《湘西自治州“十四五”生态环境保护规划》中规划内容相符。</w:t>
            </w:r>
          </w:p>
        </w:tc>
      </w:tr>
    </w:tbl>
    <w:p>
      <w:pPr>
        <w:spacing w:line="360" w:lineRule="auto"/>
        <w:ind w:firstLine="600"/>
        <w:rPr>
          <w:sz w:val="30"/>
        </w:rPr>
        <w:sectPr>
          <w:footerReference r:id="rId6" w:type="default"/>
          <w:pgSz w:w="11906" w:h="16838"/>
          <w:pgMar w:top="1134" w:right="1531" w:bottom="1134" w:left="1531" w:header="851" w:footer="1077" w:gutter="0"/>
          <w:pgNumType w:start="1"/>
          <w:cols w:space="720" w:num="1"/>
          <w:docGrid w:linePitch="312" w:charSpace="0"/>
        </w:sectPr>
      </w:pPr>
    </w:p>
    <w:p>
      <w:pPr>
        <w:pStyle w:val="25"/>
        <w:rPr>
          <w:snapToGrid w:val="0"/>
        </w:rPr>
      </w:pPr>
      <w:bookmarkStart w:id="5" w:name="_Toc142759960"/>
      <w:bookmarkStart w:id="6" w:name="_Toc1950"/>
      <w:r>
        <w:rPr>
          <w:snapToGrid w:val="0"/>
        </w:rPr>
        <w:t>二、建设项目工程分析</w:t>
      </w:r>
      <w:bookmarkEnd w:id="5"/>
      <w:bookmarkEnd w:id="6"/>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6"/>
        <w:gridCol w:w="81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926" w:type="dxa"/>
            <w:noWrap w:val="0"/>
            <w:vAlign w:val="center"/>
          </w:tcPr>
          <w:p>
            <w:pPr>
              <w:rPr>
                <w:sz w:val="21"/>
                <w:szCs w:val="21"/>
              </w:rPr>
            </w:pPr>
            <w:r>
              <w:rPr>
                <w:b/>
                <w:bCs/>
              </w:rPr>
              <w:t>建设内容</w:t>
            </w:r>
          </w:p>
        </w:tc>
        <w:tc>
          <w:tcPr>
            <w:tcW w:w="8134" w:type="dxa"/>
            <w:noWrap w:val="0"/>
            <w:vAlign w:val="top"/>
          </w:tcPr>
          <w:p>
            <w:pPr>
              <w:pStyle w:val="161"/>
              <w:rPr>
                <w:rFonts w:cs="宋体"/>
                <w:lang w:val="en-US" w:eastAsia="zh-CN"/>
              </w:rPr>
            </w:pPr>
            <w:r>
              <w:rPr>
                <w:rFonts w:cs="宋体"/>
                <w:lang w:val="en-US" w:eastAsia="zh-CN"/>
              </w:rPr>
              <w:t>1、项目</w:t>
            </w:r>
            <w:r>
              <w:rPr>
                <w:rFonts w:hint="eastAsia" w:cs="宋体"/>
                <w:lang w:val="en-US" w:eastAsia="zh-CN"/>
              </w:rPr>
              <w:t>背景及</w:t>
            </w:r>
            <w:r>
              <w:rPr>
                <w:rFonts w:cs="宋体"/>
                <w:lang w:val="en-US" w:eastAsia="zh-CN"/>
              </w:rPr>
              <w:t>由来</w:t>
            </w:r>
          </w:p>
          <w:p>
            <w:pPr>
              <w:widowControl/>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u w:val="none"/>
                <w:lang w:val="en-US" w:eastAsia="zh-CN"/>
              </w:rPr>
            </w:pPr>
            <w:r>
              <w:rPr>
                <w:rFonts w:hint="eastAsia" w:ascii="Times New Roman" w:hAnsi="Times New Roman" w:eastAsia="宋体" w:cs="Times New Roman"/>
                <w:color w:val="auto"/>
                <w:kern w:val="2"/>
                <w:sz w:val="24"/>
                <w:highlight w:val="none"/>
                <w:u w:val="none"/>
                <w:lang w:val="en-US" w:eastAsia="zh-CN"/>
              </w:rPr>
              <w:t>根据</w:t>
            </w:r>
            <w:r>
              <w:rPr>
                <w:rFonts w:hint="default" w:ascii="Times New Roman" w:hAnsi="Times New Roman" w:eastAsia="宋体" w:cs="Times New Roman"/>
                <w:color w:val="auto"/>
                <w:kern w:val="2"/>
                <w:sz w:val="24"/>
                <w:szCs w:val="24"/>
                <w:highlight w:val="none"/>
                <w:u w:val="none"/>
                <w:lang w:val="en-US" w:eastAsia="zh-CN"/>
              </w:rPr>
              <w:t>《湘西自治州卫生健康服务能力提升五年行动计划（2020-2025年）》</w:t>
            </w:r>
            <w:r>
              <w:rPr>
                <w:rFonts w:hint="eastAsia" w:ascii="Times New Roman" w:hAnsi="Times New Roman" w:eastAsia="宋体" w:cs="Times New Roman"/>
                <w:color w:val="auto"/>
                <w:kern w:val="2"/>
                <w:sz w:val="24"/>
                <w:szCs w:val="24"/>
                <w:highlight w:val="none"/>
                <w:u w:val="none"/>
                <w:lang w:val="en-US" w:eastAsia="zh-CN"/>
              </w:rPr>
              <w:t>（州政办发〔2020〕18号）相关文件精神，湘西自治州着力建设以人民健康为中心，以健康湘西建设为主线，深化医药卫生体制改革，落实政府主体责任，完善卫生健康服务体系，将打造以州、县、乡、村四级卫生健康服务机构基础设施建设、医疗设备配置、人才队伍建设为重点，着力完善疾病预防控制体系、重大疫情防控救治体系、公共卫生服务体系和卫生应急管理体系等四大体系。</w:t>
            </w:r>
          </w:p>
          <w:p>
            <w:pPr>
              <w:pStyle w:val="33"/>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eastAsia="宋体"/>
                <w:color w:val="auto"/>
                <w:lang w:val="en-US" w:eastAsia="zh-CN"/>
              </w:rPr>
            </w:pPr>
            <w:r>
              <w:rPr>
                <w:rFonts w:hint="eastAsia" w:ascii="Times New Roman" w:hAnsi="Times New Roman" w:eastAsia="宋体" w:cs="Times New Roman"/>
                <w:color w:val="auto"/>
                <w:kern w:val="2"/>
                <w:sz w:val="24"/>
                <w:highlight w:val="none"/>
                <w:u w:val="none"/>
                <w:lang w:val="en-US" w:eastAsia="zh-CN"/>
              </w:rPr>
              <w:t>花垣县人民医院</w:t>
            </w:r>
            <w:r>
              <w:rPr>
                <w:rFonts w:hint="eastAsia" w:eastAsia="宋体" w:cs="Times New Roman"/>
                <w:color w:val="auto"/>
                <w:kern w:val="2"/>
                <w:sz w:val="24"/>
                <w:highlight w:val="none"/>
                <w:u w:val="none"/>
                <w:lang w:val="en-US" w:eastAsia="zh-CN"/>
              </w:rPr>
              <w:t>位于花垣县建设中路79号，始建于1950年代，占地面积40019.48平方米，建筑面积为247938.25平方米，医院现有床位数为482张，设有</w:t>
            </w:r>
            <w:r>
              <w:rPr>
                <w:sz w:val="24"/>
              </w:rPr>
              <w:t>开设内科、肾分泌内科、呼吸消化内科、重症抢救中心、血液净化中心、泌尿外科、普外科、骨科、妇科、产科、普儿科、急儿科、新生儿科、五官科、感染科等十六个病区，拥有健康管理中心、口腔治疗中心、眼科中心等26个临床科室</w:t>
            </w:r>
            <w:r>
              <w:rPr>
                <w:rFonts w:hint="eastAsia"/>
                <w:sz w:val="24"/>
                <w:lang w:eastAsia="zh-CN"/>
              </w:rPr>
              <w:t>，</w:t>
            </w:r>
            <w:r>
              <w:rPr>
                <w:rFonts w:hint="eastAsia" w:eastAsia="宋体" w:cs="Times New Roman"/>
                <w:color w:val="auto"/>
                <w:kern w:val="2"/>
                <w:sz w:val="24"/>
                <w:highlight w:val="none"/>
                <w:u w:val="none"/>
                <w:lang w:val="en-US" w:eastAsia="zh-CN"/>
              </w:rPr>
              <w:t>是一所集医疗、保健、教学、科研为一体的二级甲等综合医院。</w:t>
            </w:r>
            <w:r>
              <w:rPr>
                <w:rFonts w:hint="eastAsia" w:ascii="Times New Roman" w:hAnsi="Times New Roman" w:eastAsia="宋体" w:cs="Times New Roman"/>
                <w:color w:val="auto"/>
                <w:kern w:val="2"/>
                <w:sz w:val="24"/>
                <w:highlight w:val="none"/>
                <w:u w:val="none"/>
                <w:lang w:val="en-US" w:eastAsia="zh-CN"/>
              </w:rPr>
              <w:t>花垣县人民医院</w:t>
            </w:r>
            <w:r>
              <w:rPr>
                <w:rFonts w:hint="eastAsia" w:eastAsia="宋体" w:cs="Times New Roman"/>
                <w:color w:val="auto"/>
                <w:kern w:val="2"/>
                <w:sz w:val="24"/>
                <w:highlight w:val="none"/>
                <w:u w:val="none"/>
                <w:lang w:val="en-US" w:eastAsia="zh-CN"/>
              </w:rPr>
              <w:t>现有项目《花垣县人民医院建设项目环境影响报告书》已于2017年1月23日取得原花垣县环保局批复，花环评</w:t>
            </w:r>
            <w:r>
              <w:rPr>
                <w:rFonts w:hint="default" w:ascii="Times New Roman" w:hAnsi="Times New Roman" w:cs="Times New Roman"/>
                <w:sz w:val="24"/>
                <w:highlight w:val="none"/>
                <w:u w:val="none"/>
                <w:lang w:val="zh-CN"/>
              </w:rPr>
              <w:t>〔20</w:t>
            </w:r>
            <w:r>
              <w:rPr>
                <w:rFonts w:hint="eastAsia" w:cs="Times New Roman"/>
                <w:sz w:val="24"/>
                <w:highlight w:val="none"/>
                <w:u w:val="none"/>
                <w:lang w:val="en-US" w:eastAsia="zh-CN"/>
              </w:rPr>
              <w:t>17</w:t>
            </w:r>
            <w:r>
              <w:rPr>
                <w:rFonts w:hint="default" w:ascii="Times New Roman" w:hAnsi="Times New Roman" w:cs="Times New Roman"/>
                <w:sz w:val="24"/>
                <w:highlight w:val="none"/>
                <w:u w:val="none"/>
                <w:lang w:val="zh-CN"/>
              </w:rPr>
              <w:t>〕</w:t>
            </w:r>
            <w:r>
              <w:rPr>
                <w:rFonts w:hint="eastAsia" w:cs="Times New Roman"/>
                <w:sz w:val="24"/>
                <w:highlight w:val="none"/>
                <w:u w:val="none"/>
                <w:lang w:val="en-US" w:eastAsia="zh-CN"/>
              </w:rPr>
              <w:t>8</w:t>
            </w:r>
            <w:r>
              <w:rPr>
                <w:rFonts w:hint="default" w:ascii="Times New Roman" w:hAnsi="Times New Roman" w:cs="Times New Roman"/>
                <w:sz w:val="24"/>
                <w:highlight w:val="none"/>
                <w:u w:val="none"/>
                <w:lang w:val="zh-CN"/>
              </w:rPr>
              <w:t>号</w:t>
            </w:r>
            <w:r>
              <w:rPr>
                <w:rFonts w:hint="eastAsia" w:cs="Times New Roman"/>
                <w:sz w:val="24"/>
                <w:highlight w:val="none"/>
                <w:u w:val="none"/>
                <w:lang w:val="zh-CN"/>
              </w:rPr>
              <w:t>，</w:t>
            </w:r>
            <w:r>
              <w:rPr>
                <w:rFonts w:hint="eastAsia" w:cs="Times New Roman"/>
                <w:sz w:val="24"/>
                <w:highlight w:val="none"/>
                <w:u w:val="none"/>
                <w:lang w:val="en-US" w:eastAsia="zh-CN"/>
              </w:rPr>
              <w:t>于2018年5月通过验收；</w:t>
            </w:r>
            <w:r>
              <w:rPr>
                <w:rFonts w:hint="eastAsia" w:cs="Times New Roman"/>
                <w:color w:val="auto"/>
                <w:sz w:val="24"/>
                <w:highlight w:val="none"/>
                <w:u w:val="none"/>
                <w:lang w:val="en-US" w:eastAsia="zh-CN"/>
              </w:rPr>
              <w:t>《</w:t>
            </w:r>
            <w:r>
              <w:rPr>
                <w:rFonts w:hint="eastAsia" w:eastAsia="宋体" w:cs="Times New Roman"/>
                <w:color w:val="auto"/>
                <w:kern w:val="2"/>
                <w:sz w:val="24"/>
                <w:highlight w:val="none"/>
                <w:u w:val="none"/>
                <w:lang w:val="en-US" w:eastAsia="zh-CN"/>
              </w:rPr>
              <w:t>花垣县人民医院建医技综合楼建设项目环境影响报告表</w:t>
            </w:r>
            <w:r>
              <w:rPr>
                <w:rFonts w:hint="eastAsia" w:cs="Times New Roman"/>
                <w:color w:val="auto"/>
                <w:sz w:val="24"/>
                <w:highlight w:val="none"/>
                <w:u w:val="none"/>
                <w:lang w:val="en-US" w:eastAsia="zh-CN"/>
              </w:rPr>
              <w:t>》已于</w:t>
            </w:r>
            <w:r>
              <w:rPr>
                <w:rFonts w:hint="eastAsia" w:eastAsia="宋体" w:cs="Times New Roman"/>
                <w:color w:val="auto"/>
                <w:kern w:val="2"/>
                <w:sz w:val="24"/>
                <w:highlight w:val="none"/>
                <w:u w:val="none"/>
                <w:lang w:val="en-US" w:eastAsia="zh-CN"/>
              </w:rPr>
              <w:t>2020年12月8日取得原花垣县环保局批复</w:t>
            </w:r>
            <w:r>
              <w:rPr>
                <w:rFonts w:hint="eastAsia" w:cs="Times New Roman"/>
                <w:color w:val="auto"/>
                <w:sz w:val="24"/>
                <w:highlight w:val="none"/>
                <w:u w:val="none"/>
                <w:lang w:val="zh-CN"/>
              </w:rPr>
              <w:t>，</w:t>
            </w:r>
            <w:r>
              <w:rPr>
                <w:rFonts w:hint="eastAsia" w:cs="Times New Roman"/>
                <w:color w:val="auto"/>
                <w:sz w:val="24"/>
                <w:highlight w:val="none"/>
                <w:u w:val="none"/>
                <w:lang w:val="en-US" w:eastAsia="zh-CN"/>
              </w:rPr>
              <w:t>于2021年通过验收。</w:t>
            </w:r>
          </w:p>
          <w:p>
            <w:pPr>
              <w:widowControl/>
              <w:adjustRightInd w:val="0"/>
              <w:spacing w:line="360" w:lineRule="auto"/>
              <w:ind w:firstLine="480" w:firstLineChars="200"/>
              <w:jc w:val="both"/>
              <w:rPr>
                <w:rFonts w:ascii="Times New Roman" w:hAnsi="Times New Roman" w:eastAsia="宋体" w:cs="Times New Roman"/>
                <w:color w:val="auto"/>
                <w:kern w:val="2"/>
                <w:sz w:val="24"/>
                <w:highlight w:val="none"/>
                <w:u w:val="none"/>
              </w:rPr>
            </w:pPr>
            <w:r>
              <w:rPr>
                <w:rFonts w:hint="eastAsia" w:cs="Times New Roman"/>
                <w:color w:val="auto"/>
                <w:kern w:val="2"/>
                <w:sz w:val="24"/>
                <w:highlight w:val="none"/>
                <w:u w:val="none"/>
                <w:lang w:val="en-US" w:eastAsia="zh-CN"/>
              </w:rPr>
              <w:t>花垣县人民医院现有院区已基本饱和，为了补充完善花垣县人民医院医疗设施体系，花垣县人民医院党委出具了“关于精神卫生科等机构设置调整的通知”花医党发</w:t>
            </w:r>
            <w:r>
              <w:rPr>
                <w:rFonts w:hint="default" w:ascii="Times New Roman" w:hAnsi="Times New Roman" w:cs="Times New Roman"/>
                <w:color w:val="auto"/>
                <w:sz w:val="24"/>
                <w:highlight w:val="none"/>
                <w:u w:val="none"/>
                <w:lang w:val="zh-CN"/>
              </w:rPr>
              <w:t>〔20</w:t>
            </w:r>
            <w:r>
              <w:rPr>
                <w:rFonts w:hint="eastAsia" w:cs="Times New Roman"/>
                <w:color w:val="auto"/>
                <w:sz w:val="24"/>
                <w:highlight w:val="none"/>
                <w:u w:val="none"/>
                <w:lang w:val="en-US" w:eastAsia="zh-CN"/>
              </w:rPr>
              <w:t>24</w:t>
            </w:r>
            <w:r>
              <w:rPr>
                <w:rFonts w:hint="default" w:ascii="Times New Roman" w:hAnsi="Times New Roman" w:cs="Times New Roman"/>
                <w:color w:val="auto"/>
                <w:sz w:val="24"/>
                <w:highlight w:val="none"/>
                <w:u w:val="none"/>
                <w:lang w:val="zh-CN"/>
              </w:rPr>
              <w:t>〕</w:t>
            </w:r>
            <w:r>
              <w:rPr>
                <w:rFonts w:hint="eastAsia" w:cs="Times New Roman"/>
                <w:color w:val="auto"/>
                <w:sz w:val="24"/>
                <w:highlight w:val="none"/>
                <w:u w:val="none"/>
                <w:lang w:val="en-US" w:eastAsia="zh-CN"/>
              </w:rPr>
              <w:t>4</w:t>
            </w:r>
            <w:r>
              <w:rPr>
                <w:rFonts w:hint="default" w:ascii="Times New Roman" w:hAnsi="Times New Roman" w:cs="Times New Roman"/>
                <w:color w:val="auto"/>
                <w:sz w:val="24"/>
                <w:highlight w:val="none"/>
                <w:u w:val="none"/>
                <w:lang w:val="zh-CN"/>
              </w:rPr>
              <w:t>号</w:t>
            </w:r>
            <w:r>
              <w:rPr>
                <w:rFonts w:hint="eastAsia" w:cs="Times New Roman"/>
                <w:color w:val="auto"/>
                <w:sz w:val="24"/>
                <w:highlight w:val="none"/>
                <w:u w:val="none"/>
                <w:lang w:val="zh-CN"/>
              </w:rPr>
              <w:t>，</w:t>
            </w:r>
            <w:r>
              <w:rPr>
                <w:rFonts w:hint="eastAsia" w:cs="Times New Roman"/>
                <w:color w:val="auto"/>
                <w:sz w:val="24"/>
                <w:highlight w:val="none"/>
                <w:u w:val="none"/>
                <w:lang w:val="en-US" w:eastAsia="zh-CN"/>
              </w:rPr>
              <w:t>决定设立精神卫生科，为一级业务科室并撤销精神科（详见附件4）。</w:t>
            </w:r>
            <w:r>
              <w:rPr>
                <w:rFonts w:hint="eastAsia" w:ascii="Times New Roman" w:hAnsi="Times New Roman" w:eastAsia="宋体" w:cs="Times New Roman"/>
                <w:color w:val="auto"/>
                <w:kern w:val="2"/>
                <w:sz w:val="24"/>
                <w:highlight w:val="none"/>
                <w:u w:val="none"/>
              </w:rPr>
              <w:t>在此背景下，</w:t>
            </w:r>
            <w:r>
              <w:rPr>
                <w:rFonts w:hint="eastAsia" w:ascii="Times New Roman" w:hAnsi="Times New Roman" w:eastAsia="宋体" w:cs="Times New Roman"/>
                <w:color w:val="auto"/>
                <w:kern w:val="2"/>
                <w:sz w:val="24"/>
                <w:highlight w:val="none"/>
                <w:u w:val="none"/>
                <w:lang w:val="en-US" w:eastAsia="zh-CN"/>
              </w:rPr>
              <w:t>花垣县人民医院</w:t>
            </w:r>
            <w:r>
              <w:rPr>
                <w:rFonts w:ascii="Times New Roman" w:hAnsi="Times New Roman" w:eastAsia="宋体" w:cs="Times New Roman"/>
                <w:color w:val="auto"/>
                <w:kern w:val="2"/>
                <w:sz w:val="24"/>
                <w:highlight w:val="none"/>
                <w:u w:val="none"/>
              </w:rPr>
              <w:t>（下文简称</w:t>
            </w:r>
            <w:r>
              <w:rPr>
                <w:rFonts w:hint="eastAsia" w:ascii="宋体" w:hAnsi="宋体" w:eastAsia="宋体" w:cs="宋体"/>
                <w:color w:val="auto"/>
                <w:kern w:val="2"/>
                <w:sz w:val="24"/>
                <w:highlight w:val="none"/>
                <w:u w:val="none"/>
              </w:rPr>
              <w:t>“建设单位”</w:t>
            </w:r>
            <w:r>
              <w:rPr>
                <w:rFonts w:ascii="Times New Roman" w:hAnsi="Times New Roman" w:eastAsia="宋体" w:cs="Times New Roman"/>
                <w:color w:val="auto"/>
                <w:kern w:val="2"/>
                <w:sz w:val="24"/>
                <w:highlight w:val="none"/>
                <w:u w:val="none"/>
              </w:rPr>
              <w:t>）拟投资</w:t>
            </w:r>
            <w:r>
              <w:rPr>
                <w:rFonts w:hint="eastAsia" w:ascii="Times New Roman" w:hAnsi="Times New Roman" w:eastAsia="宋体" w:cs="Times New Roman"/>
                <w:color w:val="auto"/>
                <w:kern w:val="2"/>
                <w:sz w:val="24"/>
                <w:highlight w:val="none"/>
                <w:u w:val="none"/>
                <w:lang w:val="en-US" w:eastAsia="zh-CN"/>
              </w:rPr>
              <w:t>1</w:t>
            </w:r>
            <w:r>
              <w:rPr>
                <w:rFonts w:hint="eastAsia" w:cs="Times New Roman"/>
                <w:color w:val="auto"/>
                <w:kern w:val="2"/>
                <w:sz w:val="24"/>
                <w:highlight w:val="none"/>
                <w:u w:val="none"/>
                <w:lang w:val="en-US" w:eastAsia="zh-CN"/>
              </w:rPr>
              <w:t>0</w:t>
            </w:r>
            <w:r>
              <w:rPr>
                <w:rFonts w:hint="eastAsia" w:ascii="Times New Roman" w:hAnsi="Times New Roman" w:eastAsia="宋体" w:cs="Times New Roman"/>
                <w:color w:val="auto"/>
                <w:kern w:val="2"/>
                <w:sz w:val="24"/>
                <w:highlight w:val="none"/>
                <w:u w:val="none"/>
                <w:lang w:val="en-US" w:eastAsia="zh-CN"/>
              </w:rPr>
              <w:t>0</w:t>
            </w:r>
            <w:r>
              <w:rPr>
                <w:rFonts w:ascii="Times New Roman" w:hAnsi="Times New Roman" w:eastAsia="宋体" w:cs="Times New Roman"/>
                <w:color w:val="auto"/>
                <w:kern w:val="2"/>
                <w:sz w:val="24"/>
                <w:highlight w:val="none"/>
                <w:u w:val="none"/>
              </w:rPr>
              <w:t>万元</w:t>
            </w:r>
            <w:r>
              <w:rPr>
                <w:rFonts w:hint="eastAsia" w:ascii="Times New Roman" w:hAnsi="Times New Roman" w:eastAsia="宋体" w:cs="Times New Roman"/>
                <w:color w:val="auto"/>
                <w:kern w:val="2"/>
                <w:sz w:val="24"/>
                <w:highlight w:val="none"/>
                <w:u w:val="none"/>
              </w:rPr>
              <w:t>，</w:t>
            </w:r>
            <w:r>
              <w:rPr>
                <w:rFonts w:hint="eastAsia" w:cs="Times New Roman"/>
                <w:color w:val="auto"/>
                <w:kern w:val="2"/>
                <w:sz w:val="24"/>
                <w:highlight w:val="none"/>
                <w:u w:val="none"/>
                <w:lang w:val="en-US" w:eastAsia="zh-CN"/>
              </w:rPr>
              <w:t>利用</w:t>
            </w:r>
            <w:r>
              <w:rPr>
                <w:rFonts w:hint="eastAsia"/>
                <w:color w:val="auto"/>
                <w:sz w:val="24"/>
                <w:szCs w:val="22"/>
                <w:lang w:val="en-US" w:eastAsia="zh-CN"/>
              </w:rPr>
              <w:t>湘西自治州</w:t>
            </w:r>
            <w:r>
              <w:rPr>
                <w:rFonts w:hint="eastAsia"/>
                <w:color w:val="auto"/>
                <w:sz w:val="24"/>
                <w:szCs w:val="22"/>
                <w:lang w:eastAsia="zh-CN"/>
              </w:rPr>
              <w:t>花垣县花垣镇城北政务中心北侧旁</w:t>
            </w:r>
            <w:r>
              <w:rPr>
                <w:rFonts w:hint="eastAsia"/>
                <w:color w:val="auto"/>
                <w:sz w:val="24"/>
                <w:szCs w:val="22"/>
                <w:lang w:val="en-US" w:eastAsia="zh-CN"/>
              </w:rPr>
              <w:t>的原</w:t>
            </w:r>
            <w:r>
              <w:rPr>
                <w:rFonts w:hint="eastAsia" w:cs="Times New Roman"/>
                <w:color w:val="auto"/>
                <w:u w:val="none" w:color="auto"/>
                <w:lang w:val="en-US" w:eastAsia="zh-CN"/>
              </w:rPr>
              <w:t>花垣县妇幼保健计划生育服务中心综合楼（已搬迁，综合楼现处于闲置状态）</w:t>
            </w:r>
            <w:r>
              <w:rPr>
                <w:rFonts w:ascii="Times New Roman" w:hAnsi="Times New Roman" w:eastAsia="宋体" w:cs="Times New Roman"/>
                <w:color w:val="auto"/>
                <w:kern w:val="2"/>
                <w:sz w:val="24"/>
                <w:highlight w:val="none"/>
                <w:u w:val="none"/>
              </w:rPr>
              <w:t>建设</w:t>
            </w:r>
            <w:r>
              <w:rPr>
                <w:rFonts w:hint="eastAsia" w:ascii="Times New Roman" w:hAnsi="Times New Roman" w:eastAsia="宋体" w:cs="Times New Roman"/>
                <w:color w:val="auto"/>
                <w:kern w:val="2"/>
                <w:sz w:val="24"/>
                <w:highlight w:val="none"/>
                <w:u w:val="none"/>
              </w:rPr>
              <w:t>“</w:t>
            </w:r>
            <w:r>
              <w:rPr>
                <w:rFonts w:hint="eastAsia" w:ascii="Times New Roman" w:hAnsi="Times New Roman" w:eastAsia="宋体" w:cs="Times New Roman"/>
                <w:color w:val="auto"/>
                <w:kern w:val="2"/>
                <w:sz w:val="24"/>
                <w:highlight w:val="none"/>
                <w:u w:val="none"/>
                <w:lang w:eastAsia="zh-CN"/>
              </w:rPr>
              <w:t>花垣县人民医院精神科项目</w:t>
            </w:r>
            <w:r>
              <w:rPr>
                <w:rFonts w:hint="eastAsia" w:ascii="Times New Roman" w:hAnsi="Times New Roman" w:eastAsia="宋体" w:cs="Times New Roman"/>
                <w:color w:val="auto"/>
                <w:kern w:val="2"/>
                <w:sz w:val="24"/>
                <w:highlight w:val="none"/>
                <w:u w:val="none"/>
              </w:rPr>
              <w:t>”</w:t>
            </w:r>
            <w:r>
              <w:rPr>
                <w:rFonts w:ascii="Times New Roman" w:hAnsi="Times New Roman" w:eastAsia="宋体" w:cs="Times New Roman"/>
                <w:color w:val="auto"/>
                <w:kern w:val="2"/>
                <w:sz w:val="24"/>
                <w:highlight w:val="none"/>
                <w:u w:val="none"/>
              </w:rPr>
              <w:t>。</w:t>
            </w:r>
          </w:p>
          <w:p>
            <w:pPr>
              <w:widowControl/>
              <w:adjustRightInd w:val="0"/>
              <w:spacing w:line="360" w:lineRule="auto"/>
              <w:ind w:firstLine="480" w:firstLineChars="200"/>
              <w:jc w:val="both"/>
              <w:rPr>
                <w:rFonts w:hint="default" w:ascii="Times New Roman" w:hAnsi="Times New Roman" w:eastAsia="宋体" w:cs="Times New Roman"/>
                <w:color w:val="auto"/>
                <w:kern w:val="2"/>
                <w:sz w:val="24"/>
                <w:highlight w:val="none"/>
                <w:u w:val="none"/>
                <w:lang w:val="en-US" w:eastAsia="zh-CN"/>
              </w:rPr>
            </w:pPr>
            <w:r>
              <w:rPr>
                <w:rFonts w:hint="eastAsia" w:ascii="Times New Roman" w:hAnsi="Times New Roman" w:eastAsia="宋体" w:cs="Times New Roman"/>
                <w:color w:val="auto"/>
                <w:kern w:val="2"/>
                <w:sz w:val="24"/>
                <w:highlight w:val="none"/>
                <w:u w:val="none" w:color="auto"/>
                <w:lang w:val="en-US" w:eastAsia="zh-CN"/>
              </w:rPr>
              <w:t>本项目</w:t>
            </w:r>
            <w:r>
              <w:rPr>
                <w:rFonts w:hint="eastAsia" w:cs="Times New Roman"/>
                <w:color w:val="auto"/>
                <w:kern w:val="2"/>
                <w:sz w:val="24"/>
                <w:highlight w:val="none"/>
                <w:u w:val="none" w:color="auto"/>
                <w:lang w:val="en-US" w:eastAsia="zh-CN"/>
              </w:rPr>
              <w:t>利用</w:t>
            </w:r>
            <w:r>
              <w:rPr>
                <w:rFonts w:hint="eastAsia"/>
                <w:color w:val="auto"/>
                <w:sz w:val="24"/>
                <w:szCs w:val="22"/>
                <w:u w:val="none" w:color="auto"/>
                <w:lang w:val="en-US" w:eastAsia="zh-CN"/>
              </w:rPr>
              <w:t>原</w:t>
            </w:r>
            <w:r>
              <w:rPr>
                <w:rFonts w:hint="eastAsia" w:cs="Times New Roman"/>
                <w:color w:val="auto"/>
                <w:u w:val="none" w:color="auto"/>
                <w:lang w:val="en-US" w:eastAsia="zh-CN"/>
              </w:rPr>
              <w:t>花垣县妇幼保健计划生育服务中心</w:t>
            </w:r>
            <w:r>
              <w:rPr>
                <w:rFonts w:hint="eastAsia" w:cs="Times New Roman"/>
                <w:color w:val="auto"/>
                <w:kern w:val="2"/>
                <w:sz w:val="24"/>
                <w:highlight w:val="none"/>
                <w:u w:val="none" w:color="auto"/>
                <w:lang w:val="en-US" w:eastAsia="zh-CN"/>
              </w:rPr>
              <w:t>现有综合楼新建</w:t>
            </w:r>
            <w:r>
              <w:rPr>
                <w:rFonts w:hint="eastAsia" w:ascii="Times New Roman" w:hAnsi="Times New Roman" w:eastAsia="宋体" w:cs="Times New Roman"/>
                <w:color w:val="auto"/>
                <w:kern w:val="2"/>
                <w:sz w:val="24"/>
                <w:highlight w:val="none"/>
                <w:u w:val="none" w:color="auto"/>
              </w:rPr>
              <w:t>“</w:t>
            </w:r>
            <w:r>
              <w:rPr>
                <w:rFonts w:hint="eastAsia" w:ascii="Times New Roman" w:hAnsi="Times New Roman" w:eastAsia="宋体" w:cs="Times New Roman"/>
                <w:color w:val="auto"/>
                <w:kern w:val="2"/>
                <w:sz w:val="24"/>
                <w:highlight w:val="none"/>
                <w:u w:val="none" w:color="auto"/>
                <w:lang w:eastAsia="zh-CN"/>
              </w:rPr>
              <w:t>花垣县人民医院精神科项目</w:t>
            </w:r>
            <w:r>
              <w:rPr>
                <w:rFonts w:hint="eastAsia" w:ascii="Times New Roman" w:hAnsi="Times New Roman" w:eastAsia="宋体" w:cs="Times New Roman"/>
                <w:color w:val="auto"/>
                <w:kern w:val="2"/>
                <w:sz w:val="24"/>
                <w:highlight w:val="none"/>
                <w:u w:val="none" w:color="auto"/>
              </w:rPr>
              <w:t>”</w:t>
            </w:r>
            <w:r>
              <w:rPr>
                <w:rFonts w:hint="eastAsia" w:eastAsia="宋体" w:cs="Times New Roman"/>
                <w:color w:val="auto"/>
                <w:kern w:val="2"/>
                <w:sz w:val="24"/>
                <w:highlight w:val="none"/>
                <w:u w:val="none" w:color="auto"/>
                <w:lang w:eastAsia="zh-CN"/>
              </w:rPr>
              <w:t>，</w:t>
            </w:r>
            <w:r>
              <w:rPr>
                <w:rFonts w:hint="eastAsia" w:cs="Times New Roman"/>
                <w:color w:val="auto"/>
                <w:kern w:val="2"/>
                <w:sz w:val="24"/>
                <w:highlight w:val="none"/>
                <w:u w:val="none" w:color="auto"/>
                <w:lang w:val="en-US" w:eastAsia="zh-CN"/>
              </w:rPr>
              <w:t>主要医疗设备</w:t>
            </w:r>
            <w:r>
              <w:rPr>
                <w:rFonts w:hint="eastAsia" w:eastAsia="宋体" w:cs="Times New Roman"/>
                <w:color w:val="auto"/>
                <w:kern w:val="2"/>
                <w:sz w:val="24"/>
                <w:highlight w:val="none"/>
                <w:u w:val="none" w:color="auto"/>
                <w:lang w:val="en-US" w:eastAsia="zh-CN"/>
              </w:rPr>
              <w:t>及环保设施等均为新建，医护人员为新增，</w:t>
            </w:r>
            <w:r>
              <w:rPr>
                <w:rFonts w:hint="eastAsia" w:cs="Times New Roman"/>
                <w:color w:val="auto"/>
                <w:kern w:val="2"/>
                <w:sz w:val="24"/>
                <w:highlight w:val="none"/>
                <w:u w:val="none" w:color="auto"/>
                <w:lang w:val="en-US" w:eastAsia="zh-CN"/>
              </w:rPr>
              <w:t>与花垣县人民医院现有“</w:t>
            </w:r>
            <w:r>
              <w:rPr>
                <w:rFonts w:hint="eastAsia" w:eastAsia="宋体" w:cs="Times New Roman"/>
                <w:color w:val="auto"/>
                <w:kern w:val="2"/>
                <w:sz w:val="24"/>
                <w:highlight w:val="none"/>
                <w:u w:val="none" w:color="auto"/>
                <w:lang w:val="en-US" w:eastAsia="zh-CN"/>
              </w:rPr>
              <w:t>花垣县人民医院建设项目</w:t>
            </w:r>
            <w:r>
              <w:rPr>
                <w:rFonts w:hint="eastAsia" w:cs="Times New Roman"/>
                <w:color w:val="auto"/>
                <w:kern w:val="2"/>
                <w:sz w:val="24"/>
                <w:highlight w:val="none"/>
                <w:u w:val="none" w:color="auto"/>
                <w:lang w:val="en-US" w:eastAsia="zh-CN"/>
              </w:rPr>
              <w:t>”、“</w:t>
            </w:r>
            <w:r>
              <w:rPr>
                <w:rFonts w:hint="eastAsia" w:eastAsia="宋体" w:cs="Times New Roman"/>
                <w:color w:val="auto"/>
                <w:kern w:val="2"/>
                <w:sz w:val="24"/>
                <w:highlight w:val="none"/>
                <w:u w:val="none" w:color="auto"/>
                <w:lang w:val="en-US" w:eastAsia="zh-CN"/>
              </w:rPr>
              <w:t>花垣县人民医院医技综合楼建设项目</w:t>
            </w:r>
            <w:r>
              <w:rPr>
                <w:rFonts w:hint="eastAsia" w:cs="Times New Roman"/>
                <w:color w:val="auto"/>
                <w:kern w:val="2"/>
                <w:sz w:val="24"/>
                <w:highlight w:val="none"/>
                <w:u w:val="none" w:color="auto"/>
                <w:lang w:val="en-US" w:eastAsia="zh-CN"/>
              </w:rPr>
              <w:t>”不存在地理位置、环保设施等的依托关系。</w:t>
            </w:r>
            <w:r>
              <w:rPr>
                <w:rFonts w:hint="eastAsia" w:cs="Times New Roman"/>
                <w:color w:val="auto"/>
                <w:kern w:val="2"/>
                <w:sz w:val="24"/>
                <w:highlight w:val="none"/>
                <w:u w:val="none"/>
                <w:lang w:val="en-US" w:eastAsia="zh-CN"/>
              </w:rPr>
              <w:t>本项目</w:t>
            </w:r>
            <w:r>
              <w:rPr>
                <w:rFonts w:hint="eastAsia" w:ascii="Times New Roman" w:hAnsi="Times New Roman" w:eastAsia="宋体" w:cs="Times New Roman"/>
                <w:color w:val="auto"/>
                <w:kern w:val="2"/>
                <w:sz w:val="24"/>
                <w:highlight w:val="none"/>
                <w:u w:val="none"/>
                <w:vertAlign w:val="baseline"/>
                <w:lang w:val="en-US" w:eastAsia="zh-CN"/>
              </w:rPr>
              <w:t>设有病房、诊疗室、药房等，</w:t>
            </w:r>
            <w:r>
              <w:rPr>
                <w:rFonts w:hint="eastAsia" w:ascii="Times New Roman" w:hAnsi="Times New Roman" w:eastAsia="宋体" w:cs="Times New Roman"/>
                <w:color w:val="auto"/>
                <w:kern w:val="2"/>
                <w:sz w:val="24"/>
                <w:highlight w:val="none"/>
                <w:u w:val="none"/>
                <w:lang w:val="en-US" w:eastAsia="zh-CN"/>
              </w:rPr>
              <w:t>设置床位</w:t>
            </w:r>
            <w:r>
              <w:rPr>
                <w:rFonts w:hint="eastAsia" w:cs="Times New Roman"/>
                <w:color w:val="auto"/>
                <w:kern w:val="2"/>
                <w:sz w:val="24"/>
                <w:highlight w:val="none"/>
                <w:u w:val="none"/>
                <w:lang w:val="en-US" w:eastAsia="zh-CN"/>
              </w:rPr>
              <w:t>48</w:t>
            </w:r>
            <w:r>
              <w:rPr>
                <w:rFonts w:hint="eastAsia" w:ascii="Times New Roman" w:hAnsi="Times New Roman" w:eastAsia="宋体" w:cs="Times New Roman"/>
                <w:color w:val="auto"/>
                <w:kern w:val="2"/>
                <w:sz w:val="24"/>
                <w:highlight w:val="none"/>
                <w:u w:val="none"/>
                <w:lang w:val="en-US" w:eastAsia="zh-CN"/>
              </w:rPr>
              <w:t>张。本项目的建设能够进一步的补充湘西自治州的医疗力量，完善湘西自治州卫生健康服务水平及服务体系。</w:t>
            </w:r>
          </w:p>
          <w:p>
            <w:pPr>
              <w:pStyle w:val="98"/>
              <w:ind w:firstLine="480"/>
              <w:rPr>
                <w:color w:val="auto"/>
                <w:sz w:val="24"/>
                <w:szCs w:val="22"/>
              </w:rPr>
            </w:pPr>
            <w:r>
              <w:rPr>
                <w:rFonts w:ascii="Times New Roman" w:hAnsi="Times New Roman" w:eastAsia="宋体" w:cs="Times New Roman"/>
                <w:color w:val="auto"/>
                <w:kern w:val="2"/>
                <w:sz w:val="24"/>
                <w:highlight w:val="none"/>
                <w:u w:val="none"/>
              </w:rPr>
              <w:t>根据《中华人民共和国环境保护法》和《建设项目环境保护管理条例》（国务院令第682号）有关环保法律、法规的要求，本项目应进行环境影响评价</w:t>
            </w:r>
            <w:r>
              <w:rPr>
                <w:rFonts w:hint="eastAsia" w:ascii="Times New Roman" w:hAnsi="Times New Roman" w:eastAsia="宋体" w:cs="Times New Roman"/>
                <w:color w:val="auto"/>
                <w:kern w:val="2"/>
                <w:sz w:val="24"/>
                <w:highlight w:val="none"/>
                <w:u w:val="none"/>
                <w:lang w:eastAsia="zh-CN"/>
              </w:rPr>
              <w:t>。</w:t>
            </w:r>
            <w:r>
              <w:rPr>
                <w:rFonts w:hint="eastAsia" w:ascii="Times New Roman" w:hAnsi="Times New Roman" w:eastAsia="宋体" w:cs="Times New Roman"/>
                <w:color w:val="auto"/>
                <w:kern w:val="2"/>
                <w:sz w:val="24"/>
                <w:highlight w:val="none"/>
                <w:u w:val="none"/>
                <w:lang w:val="en-US" w:eastAsia="zh-CN"/>
              </w:rPr>
              <w:t>对照</w:t>
            </w:r>
            <w:r>
              <w:rPr>
                <w:rFonts w:ascii="Times New Roman" w:hAnsi="Times New Roman" w:eastAsia="宋体" w:cs="Times New Roman"/>
                <w:color w:val="auto"/>
                <w:kern w:val="2"/>
                <w:sz w:val="24"/>
                <w:highlight w:val="none"/>
                <w:u w:val="none"/>
              </w:rPr>
              <w:t>《建设项目环境影响评价分类管理名录（2021年版）》（2021年1月1日起实施），</w:t>
            </w:r>
            <w:r>
              <w:rPr>
                <w:rFonts w:hint="eastAsia" w:ascii="Times New Roman" w:hAnsi="Times New Roman" w:eastAsia="宋体" w:cs="Times New Roman"/>
                <w:color w:val="auto"/>
                <w:kern w:val="2"/>
                <w:sz w:val="24"/>
                <w:highlight w:val="none"/>
                <w:u w:val="none"/>
              </w:rPr>
              <w:t>本项目属于“四十九、卫生-108、医院 841”中其他（住院床位20张以下的除外）”（本项目床位</w:t>
            </w:r>
            <w:r>
              <w:rPr>
                <w:rFonts w:hint="eastAsia" w:cs="Times New Roman"/>
                <w:color w:val="auto"/>
                <w:kern w:val="2"/>
                <w:sz w:val="24"/>
                <w:highlight w:val="none"/>
                <w:u w:val="none"/>
                <w:lang w:val="en-US" w:eastAsia="zh-CN"/>
              </w:rPr>
              <w:t>48</w:t>
            </w:r>
            <w:r>
              <w:rPr>
                <w:rFonts w:hint="eastAsia" w:ascii="Times New Roman" w:hAnsi="Times New Roman" w:eastAsia="宋体" w:cs="Times New Roman"/>
                <w:color w:val="auto"/>
                <w:kern w:val="2"/>
                <w:sz w:val="24"/>
                <w:highlight w:val="none"/>
                <w:u w:val="none"/>
              </w:rPr>
              <w:t>张）</w:t>
            </w:r>
            <w:r>
              <w:rPr>
                <w:rFonts w:ascii="Times New Roman" w:hAnsi="Times New Roman" w:eastAsia="宋体" w:cs="Times New Roman"/>
                <w:color w:val="auto"/>
                <w:kern w:val="2"/>
                <w:sz w:val="24"/>
                <w:highlight w:val="none"/>
                <w:u w:val="none"/>
              </w:rPr>
              <w:t>，应编制环境影响报告表</w:t>
            </w:r>
            <w:r>
              <w:rPr>
                <w:color w:val="auto"/>
                <w:sz w:val="24"/>
                <w:szCs w:val="24"/>
              </w:rPr>
              <w:t>。</w:t>
            </w:r>
            <w:r>
              <w:rPr>
                <w:color w:val="auto"/>
                <w:sz w:val="24"/>
                <w:szCs w:val="22"/>
              </w:rPr>
              <w:t>为此</w:t>
            </w:r>
            <w:r>
              <w:rPr>
                <w:rFonts w:hint="eastAsia"/>
                <w:color w:val="auto"/>
                <w:sz w:val="24"/>
                <w:szCs w:val="22"/>
                <w:lang w:val="en-US" w:eastAsia="zh-CN"/>
              </w:rPr>
              <w:t>花垣县人民医院</w:t>
            </w:r>
            <w:r>
              <w:rPr>
                <w:color w:val="auto"/>
                <w:sz w:val="24"/>
                <w:szCs w:val="22"/>
              </w:rPr>
              <w:t>委托</w:t>
            </w:r>
            <w:r>
              <w:rPr>
                <w:rFonts w:hint="eastAsia" w:eastAsia="宋体" w:cs="宋体"/>
                <w:color w:val="auto"/>
                <w:kern w:val="2"/>
                <w:sz w:val="24"/>
                <w:szCs w:val="24"/>
                <w:lang w:val="en-US" w:eastAsia="zh-CN" w:bidi="zh-CN"/>
              </w:rPr>
              <w:t>湖南湘尚环境服务有限公司（以下称“本公司”）</w:t>
            </w:r>
            <w:r>
              <w:rPr>
                <w:color w:val="auto"/>
                <w:sz w:val="24"/>
                <w:szCs w:val="22"/>
              </w:rPr>
              <w:t>承担了《</w:t>
            </w:r>
            <w:r>
              <w:rPr>
                <w:rFonts w:hint="eastAsia"/>
                <w:color w:val="auto"/>
                <w:sz w:val="24"/>
                <w:szCs w:val="22"/>
                <w:lang w:eastAsia="zh-CN"/>
              </w:rPr>
              <w:t>花垣县人民医院精神科项目</w:t>
            </w:r>
            <w:r>
              <w:rPr>
                <w:color w:val="auto"/>
                <w:sz w:val="24"/>
                <w:szCs w:val="22"/>
              </w:rPr>
              <w:t>》的环境影响评价工作。</w:t>
            </w:r>
            <w:r>
              <w:rPr>
                <w:rFonts w:hint="eastAsia"/>
                <w:color w:val="auto"/>
                <w:sz w:val="24"/>
                <w:szCs w:val="22"/>
                <w:lang w:val="en-US" w:eastAsia="zh-CN"/>
              </w:rPr>
              <w:t>本公司</w:t>
            </w:r>
            <w:r>
              <w:rPr>
                <w:color w:val="auto"/>
                <w:sz w:val="24"/>
                <w:szCs w:val="22"/>
              </w:rPr>
              <w:t>在经过现场勘察、资料调研、类比调查、环境现状资料收集等基础上，根据环评导则及其他有关文件，编制完成了该项目的环境影响报告表，现提交主管部门审查、审批。</w:t>
            </w:r>
          </w:p>
          <w:p>
            <w:pPr>
              <w:pStyle w:val="98"/>
              <w:ind w:firstLine="480"/>
              <w:rPr>
                <w:b/>
                <w:bCs/>
                <w:color w:val="auto"/>
                <w:sz w:val="24"/>
                <w:szCs w:val="22"/>
              </w:rPr>
            </w:pPr>
            <w:r>
              <w:rPr>
                <w:rFonts w:hint="eastAsia"/>
                <w:b/>
                <w:bCs/>
                <w:color w:val="auto"/>
                <w:sz w:val="24"/>
                <w:szCs w:val="22"/>
              </w:rPr>
              <w:t>2、项目概况</w:t>
            </w:r>
          </w:p>
          <w:p>
            <w:pPr>
              <w:pStyle w:val="98"/>
              <w:ind w:firstLine="480"/>
              <w:rPr>
                <w:color w:val="auto"/>
                <w:sz w:val="24"/>
                <w:szCs w:val="22"/>
              </w:rPr>
            </w:pPr>
            <w:r>
              <w:rPr>
                <w:rFonts w:hint="eastAsia"/>
                <w:color w:val="auto"/>
                <w:sz w:val="24"/>
                <w:szCs w:val="22"/>
              </w:rPr>
              <w:t>（1）</w:t>
            </w:r>
            <w:r>
              <w:rPr>
                <w:color w:val="auto"/>
                <w:sz w:val="24"/>
                <w:szCs w:val="22"/>
              </w:rPr>
              <w:t>项目名称：</w:t>
            </w:r>
            <w:r>
              <w:rPr>
                <w:rFonts w:hint="eastAsia"/>
                <w:color w:val="auto"/>
                <w:sz w:val="24"/>
                <w:szCs w:val="22"/>
                <w:lang w:eastAsia="zh-CN"/>
              </w:rPr>
              <w:t>花垣县人民医院精神科项目</w:t>
            </w:r>
            <w:r>
              <w:rPr>
                <w:rFonts w:hint="eastAsia"/>
                <w:color w:val="auto"/>
                <w:sz w:val="24"/>
                <w:szCs w:val="22"/>
              </w:rPr>
              <w:t>；</w:t>
            </w:r>
          </w:p>
          <w:p>
            <w:pPr>
              <w:pStyle w:val="98"/>
              <w:ind w:firstLine="480"/>
              <w:rPr>
                <w:rFonts w:hint="eastAsia"/>
                <w:color w:val="auto"/>
                <w:sz w:val="24"/>
                <w:szCs w:val="22"/>
              </w:rPr>
            </w:pPr>
            <w:r>
              <w:rPr>
                <w:rFonts w:hint="eastAsia"/>
                <w:color w:val="auto"/>
                <w:sz w:val="24"/>
                <w:szCs w:val="22"/>
              </w:rPr>
              <w:t>（2）</w:t>
            </w:r>
            <w:r>
              <w:rPr>
                <w:color w:val="auto"/>
                <w:sz w:val="24"/>
                <w:szCs w:val="22"/>
              </w:rPr>
              <w:t>建设单位：</w:t>
            </w:r>
            <w:r>
              <w:rPr>
                <w:rFonts w:hint="eastAsia"/>
                <w:color w:val="auto"/>
                <w:sz w:val="24"/>
                <w:szCs w:val="22"/>
                <w:lang w:eastAsia="zh-CN"/>
              </w:rPr>
              <w:t>花垣县人民医院</w:t>
            </w:r>
            <w:r>
              <w:rPr>
                <w:rFonts w:hint="eastAsia"/>
                <w:color w:val="auto"/>
                <w:sz w:val="24"/>
                <w:szCs w:val="22"/>
              </w:rPr>
              <w:t>；</w:t>
            </w:r>
          </w:p>
          <w:p>
            <w:pPr>
              <w:pStyle w:val="98"/>
              <w:ind w:firstLine="480"/>
              <w:rPr>
                <w:rFonts w:hint="eastAsia"/>
                <w:color w:val="auto"/>
                <w:sz w:val="24"/>
                <w:szCs w:val="22"/>
              </w:rPr>
            </w:pPr>
            <w:r>
              <w:rPr>
                <w:rFonts w:hint="eastAsia"/>
                <w:color w:val="auto"/>
                <w:sz w:val="24"/>
                <w:szCs w:val="22"/>
              </w:rPr>
              <w:t>（3）</w:t>
            </w:r>
            <w:r>
              <w:rPr>
                <w:color w:val="auto"/>
                <w:sz w:val="24"/>
                <w:szCs w:val="22"/>
              </w:rPr>
              <w:t>建设性质：</w:t>
            </w:r>
            <w:r>
              <w:rPr>
                <w:rFonts w:hint="eastAsia"/>
                <w:color w:val="auto"/>
                <w:sz w:val="24"/>
                <w:szCs w:val="22"/>
              </w:rPr>
              <w:t>新建；</w:t>
            </w:r>
          </w:p>
          <w:p>
            <w:pPr>
              <w:pStyle w:val="98"/>
              <w:ind w:firstLine="480"/>
              <w:rPr>
                <w:rFonts w:hint="eastAsia"/>
                <w:color w:val="auto"/>
                <w:sz w:val="24"/>
                <w:szCs w:val="22"/>
              </w:rPr>
            </w:pPr>
            <w:r>
              <w:rPr>
                <w:rFonts w:hint="eastAsia"/>
                <w:color w:val="auto"/>
                <w:sz w:val="24"/>
                <w:szCs w:val="22"/>
              </w:rPr>
              <w:t>（4）</w:t>
            </w:r>
            <w:r>
              <w:rPr>
                <w:color w:val="auto"/>
                <w:sz w:val="24"/>
                <w:szCs w:val="22"/>
              </w:rPr>
              <w:t>建设地点</w:t>
            </w:r>
            <w:r>
              <w:rPr>
                <w:rFonts w:hint="eastAsia"/>
                <w:color w:val="auto"/>
                <w:sz w:val="24"/>
                <w:szCs w:val="22"/>
              </w:rPr>
              <w:t>：</w:t>
            </w:r>
            <w:r>
              <w:rPr>
                <w:rFonts w:hint="eastAsia"/>
                <w:color w:val="auto"/>
                <w:sz w:val="24"/>
                <w:szCs w:val="22"/>
                <w:lang w:val="en-US" w:eastAsia="zh-CN"/>
              </w:rPr>
              <w:t>湘西自治州</w:t>
            </w:r>
            <w:r>
              <w:rPr>
                <w:rFonts w:hint="eastAsia"/>
                <w:color w:val="auto"/>
                <w:sz w:val="24"/>
                <w:szCs w:val="22"/>
                <w:lang w:eastAsia="zh-CN"/>
              </w:rPr>
              <w:t>花垣县花垣镇城北政务中心北侧旁</w:t>
            </w:r>
            <w:r>
              <w:rPr>
                <w:rFonts w:hint="eastAsia"/>
                <w:color w:val="auto"/>
                <w:sz w:val="24"/>
                <w:szCs w:val="22"/>
              </w:rPr>
              <w:t>（E：109°</w:t>
            </w:r>
            <w:r>
              <w:rPr>
                <w:rFonts w:hint="eastAsia"/>
                <w:color w:val="auto"/>
                <w:sz w:val="24"/>
                <w:szCs w:val="22"/>
                <w:lang w:val="en-US" w:eastAsia="zh-CN"/>
              </w:rPr>
              <w:t>27</w:t>
            </w:r>
            <w:r>
              <w:rPr>
                <w:rFonts w:hint="eastAsia"/>
                <w:color w:val="auto"/>
                <w:sz w:val="24"/>
                <w:szCs w:val="22"/>
              </w:rPr>
              <w:t>'</w:t>
            </w:r>
            <w:r>
              <w:rPr>
                <w:rFonts w:hint="eastAsia"/>
                <w:color w:val="auto"/>
                <w:sz w:val="24"/>
                <w:szCs w:val="22"/>
                <w:lang w:val="en-US" w:eastAsia="zh-CN"/>
              </w:rPr>
              <w:t>38</w:t>
            </w:r>
            <w:r>
              <w:rPr>
                <w:rFonts w:hint="eastAsia"/>
                <w:color w:val="auto"/>
                <w:sz w:val="24"/>
                <w:szCs w:val="22"/>
              </w:rPr>
              <w:t>.</w:t>
            </w:r>
            <w:r>
              <w:rPr>
                <w:rFonts w:hint="eastAsia"/>
                <w:color w:val="auto"/>
                <w:sz w:val="24"/>
                <w:szCs w:val="22"/>
                <w:lang w:val="en-US" w:eastAsia="zh-CN"/>
              </w:rPr>
              <w:t>921</w:t>
            </w:r>
            <w:r>
              <w:rPr>
                <w:rFonts w:hint="eastAsia"/>
                <w:color w:val="auto"/>
                <w:sz w:val="24"/>
                <w:szCs w:val="22"/>
              </w:rPr>
              <w:t>"，N：28°</w:t>
            </w:r>
            <w:r>
              <w:rPr>
                <w:rFonts w:hint="eastAsia"/>
                <w:color w:val="auto"/>
                <w:sz w:val="24"/>
                <w:szCs w:val="22"/>
                <w:lang w:val="en-US" w:eastAsia="zh-CN"/>
              </w:rPr>
              <w:t>35</w:t>
            </w:r>
            <w:r>
              <w:rPr>
                <w:rFonts w:hint="eastAsia"/>
                <w:color w:val="auto"/>
                <w:sz w:val="24"/>
                <w:szCs w:val="22"/>
              </w:rPr>
              <w:t>'</w:t>
            </w:r>
            <w:r>
              <w:rPr>
                <w:rFonts w:hint="eastAsia"/>
                <w:color w:val="auto"/>
                <w:sz w:val="24"/>
                <w:szCs w:val="22"/>
                <w:lang w:val="en-US" w:eastAsia="zh-CN"/>
              </w:rPr>
              <w:t>19</w:t>
            </w:r>
            <w:r>
              <w:rPr>
                <w:rFonts w:hint="eastAsia"/>
                <w:color w:val="auto"/>
                <w:sz w:val="24"/>
                <w:szCs w:val="22"/>
              </w:rPr>
              <w:t>.</w:t>
            </w:r>
            <w:r>
              <w:rPr>
                <w:rFonts w:hint="eastAsia"/>
                <w:color w:val="auto"/>
                <w:sz w:val="24"/>
                <w:szCs w:val="22"/>
                <w:lang w:val="en-US" w:eastAsia="zh-CN"/>
              </w:rPr>
              <w:t>643</w:t>
            </w:r>
            <w:r>
              <w:rPr>
                <w:rFonts w:hint="eastAsia"/>
                <w:color w:val="auto"/>
                <w:sz w:val="24"/>
                <w:szCs w:val="22"/>
              </w:rPr>
              <w:t>"）</w:t>
            </w:r>
            <w:r>
              <w:rPr>
                <w:rFonts w:hint="eastAsia" w:ascii="Times New Roman" w:hAnsi="Times New Roman" w:eastAsia="宋体" w:cs="Times New Roman"/>
                <w:color w:val="000000"/>
                <w:sz w:val="24"/>
                <w:lang w:val="zh-CN"/>
              </w:rPr>
              <w:t>，</w:t>
            </w:r>
            <w:r>
              <w:rPr>
                <w:rFonts w:hint="default" w:ascii="Times New Roman" w:hAnsi="Times New Roman" w:eastAsia="宋体" w:cs="Times New Roman"/>
                <w:color w:val="000000"/>
                <w:sz w:val="24"/>
              </w:rPr>
              <w:t>项目所在地地理位置图</w:t>
            </w:r>
            <w:r>
              <w:rPr>
                <w:rFonts w:hint="eastAsia" w:cs="Times New Roman"/>
                <w:color w:val="000000"/>
                <w:sz w:val="24"/>
                <w:lang w:val="en-US" w:eastAsia="zh-CN"/>
              </w:rPr>
              <w:t>见</w:t>
            </w:r>
            <w:r>
              <w:rPr>
                <w:rFonts w:hint="default" w:ascii="Times New Roman" w:hAnsi="Times New Roman" w:eastAsia="宋体" w:cs="Times New Roman"/>
                <w:color w:val="000000"/>
                <w:sz w:val="24"/>
              </w:rPr>
              <w:t>附图1，具体周边环境示意图见附图</w:t>
            </w:r>
            <w:r>
              <w:rPr>
                <w:rFonts w:hint="eastAsia" w:ascii="Times New Roman" w:hAnsi="Times New Roman" w:eastAsia="宋体" w:cs="Times New Roman"/>
                <w:color w:val="000000"/>
                <w:sz w:val="24"/>
                <w:lang w:val="en-US" w:eastAsia="zh-CN"/>
              </w:rPr>
              <w:t>3</w:t>
            </w:r>
            <w:r>
              <w:rPr>
                <w:rFonts w:hint="eastAsia"/>
                <w:color w:val="auto"/>
                <w:sz w:val="24"/>
                <w:szCs w:val="22"/>
              </w:rPr>
              <w:t>；</w:t>
            </w:r>
          </w:p>
          <w:p>
            <w:pPr>
              <w:pStyle w:val="98"/>
              <w:ind w:firstLine="480"/>
              <w:rPr>
                <w:color w:val="auto"/>
                <w:sz w:val="24"/>
                <w:szCs w:val="22"/>
              </w:rPr>
            </w:pPr>
            <w:r>
              <w:rPr>
                <w:rFonts w:hint="eastAsia"/>
                <w:color w:val="auto"/>
                <w:sz w:val="24"/>
                <w:szCs w:val="22"/>
              </w:rPr>
              <w:t>（5）</w:t>
            </w:r>
            <w:r>
              <w:rPr>
                <w:rFonts w:hint="eastAsia"/>
                <w:color w:val="auto"/>
                <w:sz w:val="24"/>
                <w:szCs w:val="22"/>
                <w:lang w:val="en-US" w:eastAsia="zh-CN"/>
              </w:rPr>
              <w:t>占地面积</w:t>
            </w:r>
            <w:r>
              <w:rPr>
                <w:rFonts w:hint="eastAsia"/>
                <w:color w:val="auto"/>
                <w:sz w:val="24"/>
                <w:szCs w:val="22"/>
              </w:rPr>
              <w:t>：本项目原址为</w:t>
            </w:r>
            <w:r>
              <w:rPr>
                <w:rFonts w:hint="eastAsia"/>
                <w:color w:val="auto"/>
                <w:sz w:val="24"/>
                <w:szCs w:val="22"/>
                <w:lang w:val="en-US" w:eastAsia="zh-CN"/>
              </w:rPr>
              <w:t>花垣县妇幼保健计划生育服务中心综合楼，</w:t>
            </w:r>
            <w:r>
              <w:rPr>
                <w:rFonts w:hint="eastAsia"/>
                <w:color w:val="auto"/>
                <w:sz w:val="24"/>
                <w:szCs w:val="24"/>
                <w:u w:val="none"/>
                <w:lang w:val="en-US" w:eastAsia="zh-CN"/>
              </w:rPr>
              <w:t>根据企业提供的</w:t>
            </w:r>
            <w:r>
              <w:rPr>
                <w:rFonts w:hint="eastAsia"/>
                <w:color w:val="auto"/>
                <w:sz w:val="24"/>
                <w:szCs w:val="22"/>
                <w:lang w:val="en-US" w:eastAsia="zh-CN"/>
              </w:rPr>
              <w:t>花垣县妇幼保健计划生育服务中心</w:t>
            </w:r>
            <w:r>
              <w:rPr>
                <w:rFonts w:hint="eastAsia"/>
                <w:color w:val="auto"/>
                <w:sz w:val="24"/>
                <w:szCs w:val="24"/>
                <w:u w:val="none"/>
                <w:lang w:val="en-US" w:eastAsia="zh-CN"/>
              </w:rPr>
              <w:t>不动产权证：湘（2017）花垣县不动产权第0001285号（</w:t>
            </w:r>
            <w:r>
              <w:rPr>
                <w:rFonts w:hint="default"/>
                <w:color w:val="auto"/>
                <w:sz w:val="24"/>
                <w:szCs w:val="24"/>
                <w:u w:val="none"/>
                <w:lang w:val="en-US" w:eastAsia="zh-CN"/>
              </w:rPr>
              <w:t>详见附件3</w:t>
            </w:r>
            <w:r>
              <w:rPr>
                <w:rFonts w:hint="eastAsia"/>
                <w:color w:val="auto"/>
                <w:sz w:val="24"/>
                <w:szCs w:val="24"/>
                <w:u w:val="none"/>
                <w:lang w:val="en-US" w:eastAsia="zh-CN"/>
              </w:rPr>
              <w:t>），总占地面积为3605.9</w:t>
            </w:r>
            <w:r>
              <w:rPr>
                <w:rFonts w:ascii="Times New Roman" w:hAnsi="Times New Roman" w:eastAsia="宋体" w:cs="Times New Roman"/>
                <w:color w:val="auto"/>
                <w:kern w:val="2"/>
                <w:sz w:val="24"/>
                <w:highlight w:val="none"/>
                <w:u w:val="none"/>
              </w:rPr>
              <w:t>m</w:t>
            </w:r>
            <w:r>
              <w:rPr>
                <w:rFonts w:ascii="Times New Roman" w:hAnsi="Times New Roman" w:eastAsia="宋体" w:cs="Times New Roman"/>
                <w:color w:val="auto"/>
                <w:kern w:val="2"/>
                <w:sz w:val="24"/>
                <w:highlight w:val="none"/>
                <w:u w:val="none"/>
                <w:vertAlign w:val="superscript"/>
              </w:rPr>
              <w:t>2</w:t>
            </w:r>
            <w:r>
              <w:rPr>
                <w:rFonts w:hint="eastAsia"/>
                <w:color w:val="auto"/>
                <w:sz w:val="24"/>
                <w:szCs w:val="24"/>
                <w:u w:val="none"/>
                <w:lang w:val="en-US" w:eastAsia="zh-CN"/>
              </w:rPr>
              <w:t>，其中划拨给花垣县疾控中心占地面积为2250</w:t>
            </w:r>
            <w:r>
              <w:rPr>
                <w:rFonts w:ascii="Times New Roman" w:hAnsi="Times New Roman" w:eastAsia="宋体" w:cs="Times New Roman"/>
                <w:color w:val="auto"/>
                <w:kern w:val="2"/>
                <w:sz w:val="24"/>
                <w:highlight w:val="none"/>
                <w:u w:val="none"/>
              </w:rPr>
              <w:t>m</w:t>
            </w:r>
            <w:r>
              <w:rPr>
                <w:rFonts w:ascii="Times New Roman" w:hAnsi="Times New Roman" w:eastAsia="宋体" w:cs="Times New Roman"/>
                <w:color w:val="auto"/>
                <w:kern w:val="2"/>
                <w:sz w:val="24"/>
                <w:highlight w:val="none"/>
                <w:u w:val="none"/>
                <w:vertAlign w:val="superscript"/>
              </w:rPr>
              <w:t>2</w:t>
            </w:r>
            <w:r>
              <w:rPr>
                <w:rFonts w:hint="eastAsia"/>
                <w:color w:val="auto"/>
                <w:sz w:val="24"/>
                <w:szCs w:val="24"/>
                <w:u w:val="none"/>
                <w:lang w:val="en-US" w:eastAsia="zh-CN"/>
              </w:rPr>
              <w:t>，则本项目可利用</w:t>
            </w:r>
            <w:r>
              <w:rPr>
                <w:rFonts w:ascii="Times New Roman" w:hAnsi="Times New Roman" w:eastAsia="宋体" w:cs="Times New Roman"/>
                <w:color w:val="auto"/>
                <w:kern w:val="2"/>
                <w:sz w:val="24"/>
                <w:highlight w:val="none"/>
                <w:u w:val="none"/>
              </w:rPr>
              <w:t>占地面积</w:t>
            </w:r>
            <w:r>
              <w:rPr>
                <w:rFonts w:hint="eastAsia" w:ascii="Times New Roman" w:hAnsi="Times New Roman" w:eastAsia="宋体" w:cs="Times New Roman"/>
                <w:color w:val="auto"/>
                <w:kern w:val="2"/>
                <w:sz w:val="24"/>
                <w:highlight w:val="none"/>
                <w:u w:val="none"/>
                <w:lang w:val="en-US" w:eastAsia="zh-CN"/>
              </w:rPr>
              <w:t>1355.9</w:t>
            </w:r>
            <w:r>
              <w:rPr>
                <w:rFonts w:ascii="Times New Roman" w:hAnsi="Times New Roman" w:eastAsia="宋体" w:cs="Times New Roman"/>
                <w:color w:val="auto"/>
                <w:kern w:val="2"/>
                <w:sz w:val="24"/>
                <w:highlight w:val="none"/>
                <w:u w:val="none"/>
              </w:rPr>
              <w:t>m</w:t>
            </w:r>
            <w:r>
              <w:rPr>
                <w:rFonts w:ascii="Times New Roman" w:hAnsi="Times New Roman" w:eastAsia="宋体" w:cs="Times New Roman"/>
                <w:color w:val="auto"/>
                <w:kern w:val="2"/>
                <w:sz w:val="24"/>
                <w:highlight w:val="none"/>
                <w:u w:val="none"/>
                <w:vertAlign w:val="superscript"/>
              </w:rPr>
              <w:t>2</w:t>
            </w:r>
            <w:r>
              <w:rPr>
                <w:rFonts w:hint="eastAsia"/>
                <w:color w:val="auto"/>
                <w:sz w:val="24"/>
                <w:szCs w:val="22"/>
              </w:rPr>
              <w:t>；</w:t>
            </w:r>
          </w:p>
          <w:p>
            <w:pPr>
              <w:pStyle w:val="98"/>
              <w:ind w:firstLine="480"/>
              <w:rPr>
                <w:color w:val="auto"/>
                <w:sz w:val="24"/>
                <w:szCs w:val="22"/>
              </w:rPr>
            </w:pPr>
            <w:r>
              <w:rPr>
                <w:rFonts w:hint="eastAsia"/>
                <w:color w:val="auto"/>
                <w:sz w:val="24"/>
                <w:szCs w:val="22"/>
              </w:rPr>
              <w:t>（6）</w:t>
            </w:r>
            <w:r>
              <w:rPr>
                <w:color w:val="auto"/>
                <w:sz w:val="24"/>
                <w:szCs w:val="22"/>
              </w:rPr>
              <w:t>工程投资：总投资为</w:t>
            </w:r>
            <w:r>
              <w:rPr>
                <w:rFonts w:hint="eastAsia"/>
                <w:color w:val="auto"/>
                <w:sz w:val="24"/>
                <w:szCs w:val="22"/>
                <w:lang w:val="en-US" w:eastAsia="zh-CN"/>
              </w:rPr>
              <w:t>10</w:t>
            </w:r>
            <w:r>
              <w:rPr>
                <w:rFonts w:hint="eastAsia"/>
                <w:color w:val="auto"/>
                <w:sz w:val="24"/>
                <w:szCs w:val="22"/>
              </w:rPr>
              <w:t>0</w:t>
            </w:r>
            <w:r>
              <w:rPr>
                <w:color w:val="auto"/>
                <w:sz w:val="24"/>
                <w:szCs w:val="22"/>
              </w:rPr>
              <w:t>万元</w:t>
            </w:r>
            <w:r>
              <w:rPr>
                <w:rFonts w:hint="eastAsia"/>
                <w:color w:val="auto"/>
                <w:sz w:val="24"/>
                <w:szCs w:val="22"/>
                <w:lang w:eastAsia="zh-CN"/>
              </w:rPr>
              <w:t>，</w:t>
            </w:r>
            <w:r>
              <w:rPr>
                <w:rFonts w:hint="eastAsia"/>
                <w:color w:val="auto"/>
                <w:sz w:val="24"/>
                <w:szCs w:val="22"/>
                <w:lang w:val="en-US" w:eastAsia="zh-CN"/>
              </w:rPr>
              <w:t>其中环保投资5万，环保投资占总投资的5%</w:t>
            </w:r>
            <w:r>
              <w:rPr>
                <w:rFonts w:hint="eastAsia"/>
                <w:color w:val="auto"/>
                <w:sz w:val="24"/>
                <w:szCs w:val="22"/>
              </w:rPr>
              <w:t>。</w:t>
            </w:r>
          </w:p>
          <w:p>
            <w:pPr>
              <w:pStyle w:val="161"/>
              <w:rPr>
                <w:rFonts w:hint="default" w:ascii="Times New Roman" w:hAnsi="Times New Roman" w:cs="Times New Roman"/>
                <w:bCs/>
                <w:lang w:val="en-US" w:eastAsia="zh-CN"/>
              </w:rPr>
            </w:pPr>
            <w:r>
              <w:rPr>
                <w:rFonts w:hint="default" w:ascii="Times New Roman" w:hAnsi="Times New Roman" w:cs="Times New Roman"/>
                <w:bCs/>
                <w:lang w:val="en-US" w:eastAsia="zh-CN"/>
              </w:rPr>
              <w:t>3、项目</w:t>
            </w:r>
            <w:r>
              <w:rPr>
                <w:rFonts w:hint="default" w:ascii="Times New Roman" w:hAnsi="Times New Roman" w:cs="Times New Roman"/>
                <w:lang w:val="en-US" w:eastAsia="zh-CN"/>
              </w:rPr>
              <w:t>建设内容和规模</w:t>
            </w:r>
          </w:p>
          <w:p>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eastAsia" w:ascii="Times New Roman" w:hAnsi="Times New Roman" w:eastAsia="宋体" w:cs="Times New Roman"/>
                <w:color w:val="000000"/>
                <w:kern w:val="2"/>
                <w:sz w:val="24"/>
                <w:highlight w:val="none"/>
                <w:u w:val="none"/>
                <w:vertAlign w:val="baseline"/>
                <w:lang w:val="en-US" w:eastAsia="zh-CN"/>
              </w:rPr>
            </w:pPr>
            <w:r>
              <w:rPr>
                <w:rFonts w:hint="eastAsia" w:ascii="Times New Roman" w:hAnsi="Times New Roman" w:eastAsia="宋体" w:cs="Times New Roman"/>
                <w:color w:val="auto"/>
                <w:kern w:val="2"/>
                <w:sz w:val="24"/>
                <w:highlight w:val="none"/>
                <w:u w:val="none"/>
              </w:rPr>
              <w:t>本项目原址为</w:t>
            </w:r>
            <w:r>
              <w:rPr>
                <w:rFonts w:hint="eastAsia" w:cs="Times New Roman"/>
                <w:u w:val="none" w:color="auto"/>
                <w:lang w:val="en-US" w:eastAsia="zh-CN"/>
              </w:rPr>
              <w:t>花垣县妇幼保健计划生育服务中心综合楼</w:t>
            </w:r>
            <w:r>
              <w:rPr>
                <w:rFonts w:hint="eastAsia" w:ascii="Times New Roman" w:hAnsi="Times New Roman" w:eastAsia="宋体" w:cs="Times New Roman"/>
                <w:color w:val="auto"/>
                <w:kern w:val="2"/>
                <w:sz w:val="24"/>
                <w:highlight w:val="none"/>
                <w:u w:val="none"/>
              </w:rPr>
              <w:t>。项目占地面积</w:t>
            </w:r>
            <w:r>
              <w:rPr>
                <w:rFonts w:hint="eastAsia" w:ascii="Times New Roman" w:hAnsi="Times New Roman" w:eastAsia="宋体" w:cs="Times New Roman"/>
                <w:color w:val="auto"/>
                <w:kern w:val="2"/>
                <w:sz w:val="24"/>
                <w:highlight w:val="none"/>
                <w:u w:val="none"/>
                <w:lang w:val="en-US" w:eastAsia="zh-CN"/>
              </w:rPr>
              <w:t>1355.9</w:t>
            </w:r>
            <w:r>
              <w:rPr>
                <w:rFonts w:ascii="Times New Roman" w:hAnsi="Times New Roman" w:eastAsia="宋体" w:cs="Times New Roman"/>
                <w:color w:val="auto"/>
                <w:kern w:val="2"/>
                <w:sz w:val="24"/>
                <w:highlight w:val="none"/>
                <w:u w:val="none"/>
              </w:rPr>
              <w:t>m</w:t>
            </w:r>
            <w:r>
              <w:rPr>
                <w:rFonts w:ascii="Times New Roman" w:hAnsi="Times New Roman" w:eastAsia="宋体" w:cs="Times New Roman"/>
                <w:color w:val="auto"/>
                <w:kern w:val="2"/>
                <w:sz w:val="24"/>
                <w:highlight w:val="none"/>
                <w:u w:val="none"/>
                <w:vertAlign w:val="superscript"/>
              </w:rPr>
              <w:t>2</w:t>
            </w:r>
            <w:r>
              <w:rPr>
                <w:rFonts w:hint="eastAsia" w:ascii="Times New Roman" w:hAnsi="Times New Roman" w:eastAsia="宋体" w:cs="Times New Roman"/>
                <w:color w:val="auto"/>
                <w:kern w:val="2"/>
                <w:sz w:val="24"/>
                <w:highlight w:val="none"/>
                <w:u w:val="none"/>
              </w:rPr>
              <w:t>，</w:t>
            </w:r>
            <w:r>
              <w:rPr>
                <w:rFonts w:hint="eastAsia" w:ascii="Times New Roman" w:hAnsi="Times New Roman" w:eastAsia="宋体" w:cs="Times New Roman"/>
                <w:color w:val="auto"/>
                <w:kern w:val="2"/>
                <w:sz w:val="24"/>
                <w:highlight w:val="none"/>
                <w:u w:val="none"/>
                <w:lang w:val="en-US" w:eastAsia="zh-CN"/>
              </w:rPr>
              <w:t>总</w:t>
            </w:r>
            <w:r>
              <w:rPr>
                <w:rFonts w:hint="eastAsia" w:ascii="Times New Roman" w:hAnsi="Times New Roman" w:eastAsia="宋体" w:cs="Times New Roman"/>
                <w:color w:val="auto"/>
                <w:kern w:val="2"/>
                <w:sz w:val="24"/>
                <w:highlight w:val="none"/>
                <w:u w:val="none"/>
              </w:rPr>
              <w:t>建筑面积</w:t>
            </w:r>
            <w:r>
              <w:rPr>
                <w:rFonts w:hint="eastAsia" w:cs="Times New Roman"/>
                <w:color w:val="auto"/>
                <w:kern w:val="2"/>
                <w:sz w:val="24"/>
                <w:highlight w:val="none"/>
                <w:u w:val="none"/>
                <w:lang w:val="en-US" w:eastAsia="zh-CN"/>
              </w:rPr>
              <w:t>3500</w:t>
            </w:r>
            <w:r>
              <w:rPr>
                <w:rFonts w:ascii="Times New Roman" w:hAnsi="Times New Roman" w:eastAsia="宋体" w:cs="Times New Roman"/>
                <w:color w:val="auto"/>
                <w:kern w:val="2"/>
                <w:sz w:val="24"/>
                <w:highlight w:val="none"/>
                <w:u w:val="none"/>
              </w:rPr>
              <w:t>m</w:t>
            </w:r>
            <w:r>
              <w:rPr>
                <w:rFonts w:ascii="Times New Roman" w:hAnsi="Times New Roman" w:eastAsia="宋体" w:cs="Times New Roman"/>
                <w:color w:val="auto"/>
                <w:kern w:val="2"/>
                <w:sz w:val="24"/>
                <w:highlight w:val="none"/>
                <w:u w:val="none"/>
                <w:vertAlign w:val="superscript"/>
              </w:rPr>
              <w:t>2</w:t>
            </w:r>
            <w:r>
              <w:rPr>
                <w:rFonts w:hint="eastAsia" w:ascii="Times New Roman" w:hAnsi="Times New Roman" w:eastAsia="宋体" w:cs="Times New Roman"/>
                <w:color w:val="auto"/>
                <w:kern w:val="2"/>
                <w:sz w:val="24"/>
                <w:highlight w:val="none"/>
                <w:u w:val="none"/>
                <w:vertAlign w:val="baseline"/>
                <w:lang w:eastAsia="zh-CN"/>
              </w:rPr>
              <w:t>，</w:t>
            </w:r>
            <w:r>
              <w:rPr>
                <w:rFonts w:hint="eastAsia" w:ascii="Times New Roman" w:hAnsi="Times New Roman" w:eastAsia="宋体" w:cs="Times New Roman"/>
                <w:color w:val="auto"/>
                <w:kern w:val="2"/>
                <w:sz w:val="24"/>
                <w:highlight w:val="none"/>
                <w:u w:val="none"/>
                <w:vertAlign w:val="baseline"/>
                <w:lang w:val="en-US" w:eastAsia="zh-CN"/>
              </w:rPr>
              <w:t>建设内容包括</w:t>
            </w:r>
            <w:r>
              <w:rPr>
                <w:rFonts w:hint="eastAsia" w:cs="Times New Roman"/>
                <w:color w:val="auto"/>
                <w:kern w:val="2"/>
                <w:sz w:val="24"/>
                <w:highlight w:val="none"/>
                <w:u w:val="none"/>
                <w:vertAlign w:val="baseline"/>
                <w:lang w:val="en-US" w:eastAsia="zh-CN"/>
              </w:rPr>
              <w:t>精神卫生楼</w:t>
            </w:r>
            <w:r>
              <w:rPr>
                <w:rFonts w:hint="eastAsia" w:ascii="Times New Roman" w:hAnsi="Times New Roman" w:eastAsia="宋体" w:cs="Times New Roman"/>
                <w:color w:val="auto"/>
                <w:kern w:val="2"/>
                <w:sz w:val="24"/>
                <w:highlight w:val="none"/>
                <w:u w:val="none"/>
                <w:vertAlign w:val="baseline"/>
                <w:lang w:val="en-US" w:eastAsia="zh-CN"/>
              </w:rPr>
              <w:t>5F、室外活动场等，同时配套建设厂区绿化和环保工程。本项目</w:t>
            </w:r>
            <w:r>
              <w:rPr>
                <w:rFonts w:hint="eastAsia" w:cs="Times New Roman"/>
                <w:color w:val="auto"/>
                <w:kern w:val="2"/>
                <w:sz w:val="24"/>
                <w:highlight w:val="none"/>
                <w:u w:val="none"/>
                <w:vertAlign w:val="baseline"/>
                <w:lang w:val="en-US" w:eastAsia="zh-CN"/>
              </w:rPr>
              <w:t>不设食堂、</w:t>
            </w:r>
            <w:r>
              <w:rPr>
                <w:rFonts w:hint="eastAsia" w:ascii="Times New Roman" w:hAnsi="Times New Roman" w:eastAsia="宋体" w:cs="Times New Roman"/>
                <w:color w:val="auto"/>
                <w:kern w:val="2"/>
                <w:sz w:val="24"/>
                <w:highlight w:val="none"/>
                <w:u w:val="none"/>
                <w:vertAlign w:val="baseline"/>
                <w:lang w:val="en-US" w:eastAsia="zh-CN"/>
              </w:rPr>
              <w:t>锅炉</w:t>
            </w:r>
            <w:r>
              <w:rPr>
                <w:rFonts w:hint="eastAsia" w:cs="Times New Roman"/>
                <w:color w:val="auto"/>
                <w:kern w:val="2"/>
                <w:sz w:val="24"/>
                <w:highlight w:val="none"/>
                <w:u w:val="none"/>
                <w:vertAlign w:val="baseline"/>
                <w:lang w:val="en-US" w:eastAsia="zh-CN"/>
              </w:rPr>
              <w:t>及洗衣房</w:t>
            </w:r>
            <w:r>
              <w:rPr>
                <w:rFonts w:hint="eastAsia" w:ascii="Times New Roman" w:hAnsi="Times New Roman" w:eastAsia="宋体" w:cs="Times New Roman"/>
                <w:color w:val="000000"/>
                <w:kern w:val="2"/>
                <w:sz w:val="24"/>
                <w:highlight w:val="none"/>
                <w:u w:val="none"/>
                <w:vertAlign w:val="baseline"/>
                <w:lang w:val="en-US" w:eastAsia="zh-CN"/>
              </w:rPr>
              <w:t>。</w:t>
            </w:r>
          </w:p>
          <w:p>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b w:val="0"/>
                <w:bCs w:val="0"/>
                <w:sz w:val="24"/>
                <w:szCs w:val="24"/>
                <w:u w:val="none"/>
              </w:rPr>
            </w:pPr>
            <w:r>
              <w:rPr>
                <w:rFonts w:hint="eastAsia" w:ascii="Times New Roman" w:hAnsi="Times New Roman" w:eastAsia="宋体" w:cs="宋体"/>
                <w:b w:val="0"/>
                <w:bCs w:val="0"/>
                <w:color w:val="000000"/>
                <w:kern w:val="2"/>
                <w:sz w:val="24"/>
                <w:szCs w:val="24"/>
                <w:highlight w:val="none"/>
                <w:lang w:val="zh-CN" w:eastAsia="zh-CN" w:bidi="ar-SA"/>
              </w:rPr>
              <w:t>本环评不含</w:t>
            </w:r>
            <w:r>
              <w:rPr>
                <w:rFonts w:hint="eastAsia" w:ascii="Times New Roman" w:hAnsi="Times New Roman" w:eastAsia="宋体" w:cs="宋体"/>
                <w:b w:val="0"/>
                <w:bCs w:val="0"/>
                <w:color w:val="000000"/>
                <w:kern w:val="2"/>
                <w:sz w:val="24"/>
                <w:szCs w:val="24"/>
                <w:highlight w:val="none"/>
                <w:lang w:val="en-US" w:eastAsia="zh-CN" w:bidi="ar-SA"/>
              </w:rPr>
              <w:t>电磁</w:t>
            </w:r>
            <w:r>
              <w:rPr>
                <w:rFonts w:hint="eastAsia" w:ascii="Times New Roman" w:hAnsi="Times New Roman" w:eastAsia="宋体" w:cs="宋体"/>
                <w:b w:val="0"/>
                <w:bCs w:val="0"/>
                <w:color w:val="000000"/>
                <w:kern w:val="2"/>
                <w:sz w:val="24"/>
                <w:szCs w:val="24"/>
                <w:highlight w:val="none"/>
                <w:lang w:val="zh-CN" w:eastAsia="zh-CN" w:bidi="ar-SA"/>
              </w:rPr>
              <w:t>辐射环境影响评价内容，如投入使用涉及</w:t>
            </w:r>
            <w:r>
              <w:rPr>
                <w:rFonts w:hint="eastAsia" w:ascii="Times New Roman" w:hAnsi="Times New Roman" w:eastAsia="宋体" w:cs="宋体"/>
                <w:b w:val="0"/>
                <w:bCs w:val="0"/>
                <w:color w:val="000000"/>
                <w:kern w:val="2"/>
                <w:sz w:val="24"/>
                <w:szCs w:val="24"/>
                <w:highlight w:val="none"/>
                <w:lang w:val="en-US" w:eastAsia="zh-CN" w:bidi="ar-SA"/>
              </w:rPr>
              <w:t>DR</w:t>
            </w:r>
            <w:r>
              <w:rPr>
                <w:rFonts w:hint="eastAsia" w:ascii="Times New Roman" w:hAnsi="Times New Roman" w:eastAsia="宋体" w:cs="宋体"/>
                <w:b w:val="0"/>
                <w:bCs w:val="0"/>
                <w:color w:val="000000"/>
                <w:kern w:val="2"/>
                <w:sz w:val="24"/>
                <w:szCs w:val="24"/>
                <w:highlight w:val="none"/>
                <w:lang w:val="zh-CN" w:eastAsia="zh-CN" w:bidi="ar-SA"/>
              </w:rPr>
              <w:t>等产生辐射的设备时，须另行编制环境影响评价报告。</w:t>
            </w:r>
          </w:p>
          <w:p>
            <w:pPr>
              <w:pStyle w:val="98"/>
              <w:ind w:firstLine="480"/>
              <w:rPr>
                <w:sz w:val="24"/>
                <w:szCs w:val="24"/>
                <w:u w:val="single"/>
              </w:rPr>
            </w:pPr>
            <w:r>
              <w:rPr>
                <w:sz w:val="24"/>
                <w:szCs w:val="24"/>
                <w:u w:val="none"/>
              </w:rPr>
              <w:t>工程内容情况见下表</w:t>
            </w:r>
            <w:r>
              <w:rPr>
                <w:rFonts w:hint="eastAsia"/>
                <w:sz w:val="24"/>
                <w:szCs w:val="24"/>
                <w:u w:val="none"/>
                <w:lang w:val="en-US" w:eastAsia="zh-CN"/>
              </w:rPr>
              <w:t>2-1。</w:t>
            </w:r>
          </w:p>
          <w:p>
            <w:pPr>
              <w:pStyle w:val="8"/>
              <w:keepNext w:val="0"/>
              <w:keepLines w:val="0"/>
              <w:pageBreakBefore w:val="0"/>
              <w:widowControl/>
              <w:kinsoku/>
              <w:wordWrap/>
              <w:overflowPunct/>
              <w:topLinePunct w:val="0"/>
              <w:autoSpaceDE/>
              <w:autoSpaceDN/>
              <w:bidi w:val="0"/>
              <w:adjustRightInd/>
              <w:snapToGrid/>
              <w:spacing w:line="240" w:lineRule="auto"/>
              <w:textAlignment w:val="auto"/>
              <w:rPr>
                <w:rFonts w:hint="eastAsia"/>
              </w:rPr>
            </w:pPr>
            <w:r>
              <w:rPr>
                <w:rFonts w:hint="eastAsia"/>
              </w:rPr>
              <w:t>表2-</w:t>
            </w:r>
            <w:r>
              <w:fldChar w:fldCharType="begin"/>
            </w:r>
            <w:r>
              <w:instrText xml:space="preserve"> </w:instrText>
            </w:r>
            <w:r>
              <w:rPr>
                <w:rFonts w:hint="eastAsia"/>
              </w:rPr>
              <w:instrText xml:space="preserve">SEQ 表2- \* ARABIC</w:instrText>
            </w:r>
            <w:r>
              <w:instrText xml:space="preserve"> </w:instrText>
            </w:r>
            <w:r>
              <w:fldChar w:fldCharType="separate"/>
            </w:r>
            <w:r>
              <w:t>1</w:t>
            </w:r>
            <w:r>
              <w:fldChar w:fldCharType="end"/>
            </w:r>
            <w:r>
              <w:rPr>
                <w:rFonts w:hint="eastAsia"/>
                <w:lang w:val="en-US" w:eastAsia="zh-CN"/>
              </w:rPr>
              <w:t xml:space="preserve">  </w:t>
            </w:r>
            <w:r>
              <w:rPr>
                <w:rFonts w:hint="eastAsia"/>
              </w:rPr>
              <w:t>项目工程内容表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916"/>
              <w:gridCol w:w="1380"/>
              <w:gridCol w:w="4007"/>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工程类别</w:t>
                  </w:r>
                </w:p>
              </w:tc>
              <w:tc>
                <w:tcPr>
                  <w:tcW w:w="579" w:type="pc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工程</w:t>
                  </w:r>
                </w:p>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内容</w:t>
                  </w:r>
                </w:p>
              </w:tc>
              <w:tc>
                <w:tcPr>
                  <w:tcW w:w="3407" w:type="pct"/>
                  <w:gridSpan w:val="2"/>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主要建设内容及规模</w:t>
                  </w:r>
                </w:p>
              </w:tc>
              <w:tc>
                <w:tcPr>
                  <w:tcW w:w="579" w:type="pct"/>
                  <w:noWrap w:val="0"/>
                  <w:vAlign w:val="center"/>
                </w:tcPr>
                <w:p>
                  <w:pPr>
                    <w:widowControl w:val="0"/>
                    <w:jc w:val="center"/>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433" w:type="pct"/>
                  <w:vMerge w:val="restar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主体工程</w:t>
                  </w:r>
                </w:p>
              </w:tc>
              <w:tc>
                <w:tcPr>
                  <w:tcW w:w="579" w:type="pct"/>
                  <w:vMerge w:val="restart"/>
                  <w:noWrap w:val="0"/>
                  <w:vAlign w:val="center"/>
                </w:tcPr>
                <w:p>
                  <w:pPr>
                    <w:widowControl w:val="0"/>
                    <w:jc w:val="center"/>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精神</w:t>
                  </w:r>
                  <w:r>
                    <w:rPr>
                      <w:rFonts w:hint="eastAsia" w:cs="Times New Roman"/>
                      <w:kern w:val="2"/>
                      <w:sz w:val="21"/>
                      <w:szCs w:val="21"/>
                      <w:highlight w:val="none"/>
                      <w:lang w:val="en-US" w:eastAsia="zh-CN"/>
                    </w:rPr>
                    <w:t>卫生</w:t>
                  </w:r>
                  <w:r>
                    <w:rPr>
                      <w:rFonts w:hint="eastAsia" w:ascii="Times New Roman" w:hAnsi="Times New Roman" w:eastAsia="宋体" w:cs="Times New Roman"/>
                      <w:kern w:val="2"/>
                      <w:sz w:val="21"/>
                      <w:szCs w:val="21"/>
                      <w:highlight w:val="none"/>
                      <w:lang w:val="en-US" w:eastAsia="zh-CN"/>
                    </w:rPr>
                    <w:t>楼</w:t>
                  </w:r>
                </w:p>
              </w:tc>
              <w:tc>
                <w:tcPr>
                  <w:tcW w:w="872" w:type="pct"/>
                  <w:vMerge w:val="restart"/>
                  <w:noWrap w:val="0"/>
                  <w:vAlign w:val="center"/>
                </w:tcPr>
                <w:p>
                  <w:pPr>
                    <w:widowControl w:val="0"/>
                    <w:jc w:val="both"/>
                    <w:rPr>
                      <w:rFonts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共5</w:t>
                  </w:r>
                  <w:r>
                    <w:rPr>
                      <w:rFonts w:hint="eastAsia" w:ascii="Times New Roman" w:hAnsi="Times New Roman" w:eastAsia="宋体" w:cs="Times New Roman"/>
                      <w:kern w:val="2"/>
                      <w:sz w:val="21"/>
                      <w:szCs w:val="21"/>
                      <w:highlight w:val="none"/>
                    </w:rPr>
                    <w:t>F，</w:t>
                  </w:r>
                  <w:r>
                    <w:rPr>
                      <w:rFonts w:hint="eastAsia" w:ascii="Times New Roman" w:hAnsi="Times New Roman" w:eastAsia="宋体" w:cs="Times New Roman"/>
                      <w:kern w:val="2"/>
                      <w:sz w:val="21"/>
                      <w:szCs w:val="21"/>
                      <w:highlight w:val="none"/>
                      <w:lang w:val="en-US" w:eastAsia="zh-CN"/>
                    </w:rPr>
                    <w:t>建筑面积</w:t>
                  </w:r>
                  <w:r>
                    <w:rPr>
                      <w:rFonts w:hint="eastAsia" w:cs="Times New Roman"/>
                      <w:kern w:val="2"/>
                      <w:sz w:val="21"/>
                      <w:szCs w:val="21"/>
                      <w:highlight w:val="none"/>
                      <w:lang w:val="en-US" w:eastAsia="zh-CN"/>
                    </w:rPr>
                    <w:t>3500</w:t>
                  </w:r>
                  <w:r>
                    <w:rPr>
                      <w:rFonts w:hint="eastAsia" w:ascii="Times New Roman" w:hAnsi="Times New Roman" w:eastAsia="宋体" w:cs="Times New Roman"/>
                      <w:kern w:val="2"/>
                      <w:sz w:val="21"/>
                      <w:szCs w:val="21"/>
                      <w:highlight w:val="none"/>
                    </w:rPr>
                    <w:t>m</w:t>
                  </w:r>
                  <w:r>
                    <w:rPr>
                      <w:rFonts w:hint="eastAsia" w:ascii="Times New Roman" w:hAnsi="Times New Roman" w:eastAsia="宋体" w:cs="Times New Roman"/>
                      <w:kern w:val="2"/>
                      <w:sz w:val="21"/>
                      <w:szCs w:val="21"/>
                      <w:highlight w:val="none"/>
                      <w:vertAlign w:val="superscript"/>
                    </w:rPr>
                    <w:t>2</w:t>
                  </w:r>
                </w:p>
              </w:tc>
              <w:tc>
                <w:tcPr>
                  <w:tcW w:w="2534" w:type="pct"/>
                  <w:noWrap w:val="0"/>
                  <w:vAlign w:val="center"/>
                </w:tcPr>
                <w:p>
                  <w:pPr>
                    <w:widowControl w:val="0"/>
                    <w:jc w:val="both"/>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rPr>
                    <w:t>1F</w:t>
                  </w:r>
                  <w:r>
                    <w:rPr>
                      <w:rFonts w:hint="eastAsia" w:ascii="Times New Roman" w:hAnsi="Times New Roman" w:eastAsia="宋体" w:cs="Times New Roman"/>
                      <w:kern w:val="2"/>
                      <w:sz w:val="21"/>
                      <w:szCs w:val="21"/>
                      <w:highlight w:val="none"/>
                      <w:lang w:val="en-US" w:eastAsia="zh-CN"/>
                    </w:rPr>
                    <w:t>为诊疗室、药房、库房、值班室等</w:t>
                  </w:r>
                </w:p>
              </w:tc>
              <w:tc>
                <w:tcPr>
                  <w:tcW w:w="579" w:type="pct"/>
                  <w:vMerge w:val="restart"/>
                  <w:noWrap w:val="0"/>
                  <w:vAlign w:val="center"/>
                </w:tcPr>
                <w:p>
                  <w:pPr>
                    <w:widowControl w:val="0"/>
                    <w:jc w:val="center"/>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利用花垣县妇幼保健计划生育服务中心综合楼进行装饰装修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433" w:type="pct"/>
                  <w:vMerge w:val="continue"/>
                  <w:noWrap w:val="0"/>
                  <w:vAlign w:val="center"/>
                </w:tcPr>
                <w:p>
                  <w:pPr>
                    <w:widowControl w:val="0"/>
                    <w:jc w:val="both"/>
                    <w:rPr>
                      <w:rFonts w:ascii="Times New Roman" w:hAnsi="Times New Roman" w:eastAsia="宋体" w:cs="Times New Roman"/>
                      <w:kern w:val="2"/>
                      <w:sz w:val="21"/>
                      <w:highlight w:val="none"/>
                    </w:rPr>
                  </w:pPr>
                </w:p>
              </w:tc>
              <w:tc>
                <w:tcPr>
                  <w:tcW w:w="579" w:type="pct"/>
                  <w:vMerge w:val="continue"/>
                  <w:noWrap w:val="0"/>
                  <w:vAlign w:val="center"/>
                </w:tcPr>
                <w:p>
                  <w:pPr>
                    <w:widowControl w:val="0"/>
                    <w:jc w:val="both"/>
                    <w:rPr>
                      <w:rFonts w:ascii="Times New Roman" w:hAnsi="Times New Roman" w:eastAsia="宋体" w:cs="Times New Roman"/>
                      <w:kern w:val="2"/>
                      <w:sz w:val="21"/>
                      <w:highlight w:val="none"/>
                    </w:rPr>
                  </w:pPr>
                </w:p>
              </w:tc>
              <w:tc>
                <w:tcPr>
                  <w:tcW w:w="872" w:type="pct"/>
                  <w:vMerge w:val="continue"/>
                  <w:noWrap w:val="0"/>
                  <w:vAlign w:val="center"/>
                </w:tcPr>
                <w:p>
                  <w:pPr>
                    <w:widowControl w:val="0"/>
                    <w:jc w:val="both"/>
                    <w:rPr>
                      <w:rFonts w:ascii="Times New Roman" w:hAnsi="Times New Roman" w:eastAsia="宋体" w:cs="Times New Roman"/>
                      <w:kern w:val="2"/>
                      <w:sz w:val="21"/>
                      <w:highlight w:val="none"/>
                    </w:rPr>
                  </w:pPr>
                </w:p>
              </w:tc>
              <w:tc>
                <w:tcPr>
                  <w:tcW w:w="2534" w:type="pct"/>
                  <w:noWrap w:val="0"/>
                  <w:vAlign w:val="center"/>
                </w:tcPr>
                <w:p>
                  <w:pPr>
                    <w:widowControl w:val="0"/>
                    <w:jc w:val="both"/>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2F、3F、4F为病房、重症室、抢救室、处置室、接待室、餐厅、库房及卫生间等</w:t>
                  </w:r>
                </w:p>
              </w:tc>
              <w:tc>
                <w:tcPr>
                  <w:tcW w:w="579" w:type="pct"/>
                  <w:vMerge w:val="continue"/>
                  <w:noWrap w:val="0"/>
                  <w:vAlign w:val="center"/>
                </w:tcPr>
                <w:p>
                  <w:pPr>
                    <w:widowControl w:val="0"/>
                    <w:jc w:val="both"/>
                    <w:rPr>
                      <w:rFonts w:hint="eastAsia" w:ascii="Times New Roman" w:hAnsi="Times New Roman" w:eastAsia="宋体" w:cs="Times New Roman"/>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433" w:type="pct"/>
                  <w:vMerge w:val="continue"/>
                  <w:noWrap w:val="0"/>
                  <w:vAlign w:val="center"/>
                </w:tcPr>
                <w:p>
                  <w:pPr>
                    <w:widowControl w:val="0"/>
                    <w:jc w:val="both"/>
                    <w:rPr>
                      <w:rFonts w:hint="eastAsia" w:ascii="Times New Roman" w:hAnsi="Times New Roman" w:eastAsia="宋体" w:cs="Times New Roman"/>
                      <w:kern w:val="2"/>
                      <w:sz w:val="21"/>
                      <w:szCs w:val="21"/>
                      <w:highlight w:val="none"/>
                    </w:rPr>
                  </w:pPr>
                </w:p>
              </w:tc>
              <w:tc>
                <w:tcPr>
                  <w:tcW w:w="579" w:type="pct"/>
                  <w:vMerge w:val="continue"/>
                  <w:noWrap w:val="0"/>
                  <w:vAlign w:val="center"/>
                </w:tcPr>
                <w:p>
                  <w:pPr>
                    <w:widowControl w:val="0"/>
                    <w:jc w:val="both"/>
                    <w:rPr>
                      <w:rFonts w:hint="eastAsia" w:ascii="Times New Roman" w:hAnsi="Times New Roman" w:eastAsia="宋体" w:cs="Times New Roman"/>
                      <w:kern w:val="2"/>
                      <w:sz w:val="21"/>
                      <w:szCs w:val="21"/>
                      <w:highlight w:val="none"/>
                    </w:rPr>
                  </w:pPr>
                </w:p>
              </w:tc>
              <w:tc>
                <w:tcPr>
                  <w:tcW w:w="872" w:type="pct"/>
                  <w:vMerge w:val="continue"/>
                  <w:noWrap w:val="0"/>
                  <w:vAlign w:val="center"/>
                </w:tcPr>
                <w:p>
                  <w:pPr>
                    <w:widowControl w:val="0"/>
                    <w:jc w:val="both"/>
                    <w:rPr>
                      <w:rFonts w:hint="eastAsia" w:ascii="Times New Roman" w:hAnsi="Times New Roman" w:eastAsia="宋体" w:cs="Times New Roman"/>
                      <w:kern w:val="2"/>
                      <w:sz w:val="21"/>
                      <w:szCs w:val="21"/>
                      <w:highlight w:val="none"/>
                    </w:rPr>
                  </w:pPr>
                </w:p>
              </w:tc>
              <w:tc>
                <w:tcPr>
                  <w:tcW w:w="2534" w:type="pct"/>
                  <w:noWrap w:val="0"/>
                  <w:vAlign w:val="center"/>
                </w:tcPr>
                <w:p>
                  <w:pPr>
                    <w:widowControl w:val="0"/>
                    <w:jc w:val="both"/>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5F为会议室、专家会诊住宿间、雨棚房等</w:t>
                  </w:r>
                </w:p>
              </w:tc>
              <w:tc>
                <w:tcPr>
                  <w:tcW w:w="579" w:type="pct"/>
                  <w:vMerge w:val="continue"/>
                  <w:noWrap w:val="0"/>
                  <w:vAlign w:val="center"/>
                </w:tcPr>
                <w:p>
                  <w:pPr>
                    <w:widowControl w:val="0"/>
                    <w:jc w:val="both"/>
                    <w:rPr>
                      <w:rFonts w:hint="eastAsia" w:ascii="Times New Roman" w:hAnsi="Times New Roman" w:eastAsia="宋体" w:cs="Times New Roman"/>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433" w:type="pc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辅助工程</w:t>
                  </w:r>
                </w:p>
              </w:tc>
              <w:tc>
                <w:tcPr>
                  <w:tcW w:w="579" w:type="pct"/>
                  <w:noWrap w:val="0"/>
                  <w:vAlign w:val="center"/>
                </w:tcPr>
                <w:p>
                  <w:pPr>
                    <w:widowControl w:val="0"/>
                    <w:tabs>
                      <w:tab w:val="left" w:pos="1832"/>
                      <w:tab w:val="left" w:pos="3664"/>
                      <w:tab w:val="left" w:pos="5496"/>
                      <w:tab w:val="left" w:pos="7328"/>
                      <w:tab w:val="left" w:pos="9160"/>
                      <w:tab w:val="left" w:pos="10992"/>
                      <w:tab w:val="left" w:pos="12824"/>
                      <w:tab w:val="left" w:pos="14656"/>
                    </w:tabs>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室外活动场</w:t>
                  </w:r>
                </w:p>
              </w:tc>
              <w:tc>
                <w:tcPr>
                  <w:tcW w:w="3407" w:type="pct"/>
                  <w:gridSpan w:val="2"/>
                  <w:noWrap w:val="0"/>
                  <w:vAlign w:val="center"/>
                </w:tcPr>
                <w:p>
                  <w:pPr>
                    <w:widowControl w:val="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占地面积约200</w:t>
                  </w:r>
                  <w:r>
                    <w:rPr>
                      <w:rFonts w:hint="eastAsia" w:ascii="Times New Roman" w:hAnsi="Times New Roman" w:eastAsia="宋体" w:cs="Times New Roman"/>
                      <w:kern w:val="2"/>
                      <w:sz w:val="21"/>
                      <w:szCs w:val="21"/>
                      <w:highlight w:val="none"/>
                    </w:rPr>
                    <w:t>m</w:t>
                  </w:r>
                  <w:r>
                    <w:rPr>
                      <w:rFonts w:hint="eastAsia" w:ascii="Times New Roman" w:hAnsi="Times New Roman" w:eastAsia="宋体" w:cs="Times New Roman"/>
                      <w:kern w:val="2"/>
                      <w:sz w:val="21"/>
                      <w:szCs w:val="21"/>
                      <w:highlight w:val="none"/>
                      <w:vertAlign w:val="superscript"/>
                    </w:rPr>
                    <w:t>2</w:t>
                  </w:r>
                  <w:r>
                    <w:rPr>
                      <w:rFonts w:hint="eastAsia" w:cs="Times New Roman"/>
                      <w:kern w:val="2"/>
                      <w:sz w:val="21"/>
                      <w:szCs w:val="21"/>
                      <w:highlight w:val="none"/>
                      <w:vertAlign w:val="baseline"/>
                      <w:lang w:eastAsia="zh-CN"/>
                    </w:rPr>
                    <w:t>，</w:t>
                  </w:r>
                  <w:r>
                    <w:rPr>
                      <w:rFonts w:hint="eastAsia" w:ascii="Times New Roman" w:hAnsi="Times New Roman" w:eastAsia="宋体" w:cs="Times New Roman"/>
                      <w:color w:val="auto"/>
                      <w:kern w:val="2"/>
                      <w:sz w:val="21"/>
                      <w:szCs w:val="21"/>
                      <w:highlight w:val="none"/>
                      <w:lang w:val="en-US" w:eastAsia="zh-CN"/>
                    </w:rPr>
                    <w:t>位于厂区</w:t>
                  </w:r>
                  <w:r>
                    <w:rPr>
                      <w:rFonts w:hint="eastAsia" w:cs="Times New Roman"/>
                      <w:color w:val="auto"/>
                      <w:kern w:val="2"/>
                      <w:sz w:val="21"/>
                      <w:szCs w:val="21"/>
                      <w:highlight w:val="none"/>
                      <w:lang w:val="en-US" w:eastAsia="zh-CN"/>
                    </w:rPr>
                    <w:t>东</w:t>
                  </w:r>
                  <w:r>
                    <w:rPr>
                      <w:rFonts w:hint="eastAsia" w:ascii="Times New Roman" w:hAnsi="Times New Roman" w:eastAsia="宋体" w:cs="Times New Roman"/>
                      <w:color w:val="auto"/>
                      <w:kern w:val="2"/>
                      <w:sz w:val="21"/>
                      <w:szCs w:val="21"/>
                      <w:highlight w:val="none"/>
                      <w:lang w:val="en-US" w:eastAsia="zh-CN"/>
                    </w:rPr>
                    <w:t>部</w:t>
                  </w:r>
                </w:p>
              </w:tc>
              <w:tc>
                <w:tcPr>
                  <w:tcW w:w="579" w:type="pct"/>
                  <w:noWrap w:val="0"/>
                  <w:vAlign w:val="center"/>
                </w:tcPr>
                <w:p>
                  <w:pPr>
                    <w:widowControl w:val="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restar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公用工程</w:t>
                  </w:r>
                </w:p>
              </w:tc>
              <w:tc>
                <w:tcPr>
                  <w:tcW w:w="579" w:type="pc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供水</w:t>
                  </w:r>
                </w:p>
              </w:tc>
              <w:tc>
                <w:tcPr>
                  <w:tcW w:w="3407" w:type="pct"/>
                  <w:gridSpan w:val="2"/>
                  <w:noWrap w:val="0"/>
                  <w:vAlign w:val="center"/>
                </w:tcPr>
                <w:p>
                  <w:pPr>
                    <w:widowControl w:val="0"/>
                    <w:jc w:val="center"/>
                    <w:rPr>
                      <w:rFonts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市政供水</w:t>
                  </w:r>
                </w:p>
              </w:tc>
              <w:tc>
                <w:tcPr>
                  <w:tcW w:w="579" w:type="pct"/>
                  <w:noWrap w:val="0"/>
                  <w:vAlign w:val="center"/>
                </w:tcPr>
                <w:p>
                  <w:pPr>
                    <w:widowControl w:val="0"/>
                    <w:jc w:val="center"/>
                    <w:rPr>
                      <w:rFonts w:hint="eastAsia" w:cs="Times New Roman"/>
                      <w:kern w:val="2"/>
                      <w:sz w:val="21"/>
                      <w:szCs w:val="21"/>
                      <w:highlight w:val="none"/>
                      <w:lang w:val="en-US" w:eastAsia="zh-CN"/>
                    </w:rPr>
                  </w:pPr>
                  <w:r>
                    <w:rPr>
                      <w:rFonts w:hint="eastAsia" w:cs="Times New Roman"/>
                      <w:kern w:val="2"/>
                      <w:sz w:val="21"/>
                      <w:szCs w:val="21"/>
                      <w:highlight w:val="none"/>
                      <w:lang w:val="en-US" w:eastAsia="zh-CN"/>
                    </w:rPr>
                    <w:t>依托</w:t>
                  </w:r>
                </w:p>
                <w:p>
                  <w:pPr>
                    <w:widowControl w:val="0"/>
                    <w:jc w:val="center"/>
                    <w:rPr>
                      <w:rFonts w:hint="default" w:ascii="Times New Roman" w:hAnsi="Times New Roman" w:eastAsia="宋体" w:cs="Times New Roman"/>
                      <w:kern w:val="2"/>
                      <w:sz w:val="21"/>
                      <w:szCs w:val="21"/>
                      <w:highlight w:val="none"/>
                      <w:lang w:val="en-US" w:eastAsia="zh-CN"/>
                    </w:rPr>
                  </w:pPr>
                  <w:r>
                    <w:rPr>
                      <w:rFonts w:hint="eastAsia" w:cs="Times New Roman"/>
                      <w:kern w:val="2"/>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noWrap w:val="0"/>
                  <w:vAlign w:val="center"/>
                </w:tcPr>
                <w:p>
                  <w:pPr>
                    <w:widowControl w:val="0"/>
                    <w:jc w:val="center"/>
                    <w:rPr>
                      <w:rFonts w:ascii="Times New Roman" w:hAnsi="Times New Roman" w:eastAsia="宋体" w:cs="Times New Roman"/>
                      <w:kern w:val="2"/>
                      <w:sz w:val="21"/>
                      <w:szCs w:val="21"/>
                      <w:highlight w:val="none"/>
                    </w:rPr>
                  </w:pPr>
                </w:p>
              </w:tc>
              <w:tc>
                <w:tcPr>
                  <w:tcW w:w="579" w:type="pc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排水</w:t>
                  </w:r>
                </w:p>
              </w:tc>
              <w:tc>
                <w:tcPr>
                  <w:tcW w:w="3407" w:type="pct"/>
                  <w:gridSpan w:val="2"/>
                  <w:noWrap w:val="0"/>
                  <w:vAlign w:val="center"/>
                </w:tcPr>
                <w:p>
                  <w:pPr>
                    <w:widowControl w:val="0"/>
                    <w:jc w:val="left"/>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color w:val="auto"/>
                      <w:kern w:val="2"/>
                      <w:sz w:val="21"/>
                      <w:szCs w:val="21"/>
                      <w:highlight w:val="none"/>
                      <w:u w:val="none"/>
                      <w:lang w:val="en-US" w:eastAsia="zh-CN"/>
                    </w:rPr>
                    <w:t>雨污分流，雨水经雨水管网收集排至市政雨水管道；项目医疗废水、医务人员生活污水一起经过化粪池后进入一体化污水处理</w:t>
                  </w:r>
                  <w:r>
                    <w:rPr>
                      <w:rFonts w:hint="eastAsia" w:cs="Times New Roman"/>
                      <w:color w:val="auto"/>
                      <w:kern w:val="2"/>
                      <w:sz w:val="21"/>
                      <w:szCs w:val="21"/>
                      <w:highlight w:val="none"/>
                      <w:u w:val="none"/>
                      <w:lang w:val="en-US" w:eastAsia="zh-CN"/>
                    </w:rPr>
                    <w:t>设施</w:t>
                  </w:r>
                  <w:r>
                    <w:rPr>
                      <w:rFonts w:hint="eastAsia" w:ascii="Times New Roman" w:hAnsi="Times New Roman" w:eastAsia="宋体" w:cs="Times New Roman"/>
                      <w:color w:val="auto"/>
                      <w:kern w:val="2"/>
                      <w:sz w:val="21"/>
                      <w:szCs w:val="21"/>
                      <w:highlight w:val="none"/>
                      <w:u w:val="none"/>
                      <w:lang w:val="en-US" w:eastAsia="zh-CN"/>
                    </w:rPr>
                    <w:t>处理，处理后接入市政管网，进入花垣县污水处理厂处理后排入花垣河</w:t>
                  </w:r>
                </w:p>
              </w:tc>
              <w:tc>
                <w:tcPr>
                  <w:tcW w:w="579" w:type="pct"/>
                  <w:noWrap w:val="0"/>
                  <w:vAlign w:val="center"/>
                </w:tcPr>
                <w:p>
                  <w:pPr>
                    <w:widowControl w:val="0"/>
                    <w:jc w:val="center"/>
                    <w:rPr>
                      <w:rFonts w:hint="eastAsia" w:cs="Times New Roman"/>
                      <w:kern w:val="2"/>
                      <w:sz w:val="21"/>
                      <w:szCs w:val="21"/>
                      <w:highlight w:val="none"/>
                      <w:lang w:val="en-US" w:eastAsia="zh-CN"/>
                    </w:rPr>
                  </w:pPr>
                  <w:r>
                    <w:rPr>
                      <w:rFonts w:hint="eastAsia" w:cs="Times New Roman"/>
                      <w:kern w:val="2"/>
                      <w:sz w:val="21"/>
                      <w:szCs w:val="21"/>
                      <w:highlight w:val="none"/>
                      <w:lang w:val="en-US" w:eastAsia="zh-CN"/>
                    </w:rPr>
                    <w:t>依托</w:t>
                  </w:r>
                </w:p>
                <w:p>
                  <w:pPr>
                    <w:widowControl w:val="0"/>
                    <w:jc w:val="center"/>
                    <w:rPr>
                      <w:rFonts w:hint="default" w:ascii="Times New Roman" w:hAnsi="Times New Roman" w:eastAsia="宋体" w:cs="Times New Roman"/>
                      <w:kern w:val="2"/>
                      <w:sz w:val="21"/>
                      <w:szCs w:val="21"/>
                      <w:highlight w:val="none"/>
                      <w:lang w:val="en-US" w:eastAsia="zh-CN"/>
                    </w:rPr>
                  </w:pPr>
                  <w:r>
                    <w:rPr>
                      <w:rFonts w:hint="eastAsia" w:cs="Times New Roman"/>
                      <w:kern w:val="2"/>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noWrap w:val="0"/>
                  <w:vAlign w:val="center"/>
                </w:tcPr>
                <w:p>
                  <w:pPr>
                    <w:widowControl w:val="0"/>
                    <w:jc w:val="center"/>
                    <w:rPr>
                      <w:rFonts w:ascii="Times New Roman" w:hAnsi="Times New Roman" w:eastAsia="宋体" w:cs="Times New Roman"/>
                      <w:kern w:val="2"/>
                      <w:sz w:val="21"/>
                      <w:szCs w:val="21"/>
                      <w:highlight w:val="none"/>
                    </w:rPr>
                  </w:pPr>
                </w:p>
              </w:tc>
              <w:tc>
                <w:tcPr>
                  <w:tcW w:w="579" w:type="pct"/>
                  <w:noWrap w:val="0"/>
                  <w:vAlign w:val="center"/>
                </w:tcPr>
                <w:p>
                  <w:pPr>
                    <w:widowControl w:val="0"/>
                    <w:jc w:val="center"/>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供热及制冷</w:t>
                  </w:r>
                </w:p>
              </w:tc>
              <w:tc>
                <w:tcPr>
                  <w:tcW w:w="3407" w:type="pct"/>
                  <w:gridSpan w:val="2"/>
                  <w:noWrap w:val="0"/>
                  <w:vAlign w:val="center"/>
                </w:tcPr>
                <w:p>
                  <w:pPr>
                    <w:widowControl w:val="0"/>
                    <w:jc w:val="center"/>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不设置中央空调系统，诊室、病房、办公室等均采用分体式空调通风供暖</w:t>
                  </w:r>
                </w:p>
              </w:tc>
              <w:tc>
                <w:tcPr>
                  <w:tcW w:w="579" w:type="pct"/>
                  <w:noWrap w:val="0"/>
                  <w:vAlign w:val="center"/>
                </w:tcPr>
                <w:p>
                  <w:pPr>
                    <w:widowControl w:val="0"/>
                    <w:jc w:val="center"/>
                    <w:rPr>
                      <w:rFonts w:hint="eastAsia" w:cs="Times New Roman"/>
                      <w:kern w:val="2"/>
                      <w:sz w:val="21"/>
                      <w:szCs w:val="21"/>
                      <w:highlight w:val="none"/>
                      <w:lang w:val="en-US" w:eastAsia="zh-CN"/>
                    </w:rPr>
                  </w:pPr>
                  <w:r>
                    <w:rPr>
                      <w:rFonts w:hint="eastAsia" w:cs="Times New Roman"/>
                      <w:kern w:val="2"/>
                      <w:sz w:val="21"/>
                      <w:szCs w:val="21"/>
                      <w:highlight w:val="none"/>
                      <w:lang w:val="en-US" w:eastAsia="zh-CN"/>
                    </w:rPr>
                    <w:t>依托</w:t>
                  </w:r>
                </w:p>
                <w:p>
                  <w:pPr>
                    <w:widowControl w:val="0"/>
                    <w:jc w:val="center"/>
                    <w:rPr>
                      <w:rFonts w:hint="eastAsia" w:ascii="Times New Roman" w:hAnsi="Times New Roman" w:eastAsia="宋体" w:cs="Times New Roman"/>
                      <w:kern w:val="2"/>
                      <w:sz w:val="21"/>
                      <w:szCs w:val="21"/>
                      <w:highlight w:val="none"/>
                    </w:rPr>
                  </w:pPr>
                  <w:r>
                    <w:rPr>
                      <w:rFonts w:hint="eastAsia" w:cs="Times New Roman"/>
                      <w:kern w:val="2"/>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noWrap w:val="0"/>
                  <w:vAlign w:val="center"/>
                </w:tcPr>
                <w:p>
                  <w:pPr>
                    <w:widowControl w:val="0"/>
                    <w:jc w:val="center"/>
                    <w:rPr>
                      <w:rFonts w:ascii="Times New Roman" w:hAnsi="Times New Roman" w:eastAsia="宋体" w:cs="Times New Roman"/>
                      <w:kern w:val="2"/>
                      <w:sz w:val="21"/>
                      <w:szCs w:val="21"/>
                      <w:highlight w:val="none"/>
                    </w:rPr>
                  </w:pPr>
                </w:p>
              </w:tc>
              <w:tc>
                <w:tcPr>
                  <w:tcW w:w="579" w:type="pc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供电</w:t>
                  </w:r>
                </w:p>
              </w:tc>
              <w:tc>
                <w:tcPr>
                  <w:tcW w:w="3407" w:type="pct"/>
                  <w:gridSpan w:val="2"/>
                  <w:noWrap w:val="0"/>
                  <w:vAlign w:val="center"/>
                </w:tcPr>
                <w:p>
                  <w:pPr>
                    <w:widowControl w:val="0"/>
                    <w:jc w:val="center"/>
                    <w:rPr>
                      <w:rFonts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市政供电</w:t>
                  </w:r>
                </w:p>
              </w:tc>
              <w:tc>
                <w:tcPr>
                  <w:tcW w:w="579" w:type="pct"/>
                  <w:noWrap w:val="0"/>
                  <w:vAlign w:val="center"/>
                </w:tcPr>
                <w:p>
                  <w:pPr>
                    <w:widowControl w:val="0"/>
                    <w:jc w:val="center"/>
                    <w:rPr>
                      <w:rFonts w:hint="eastAsia" w:cs="Times New Roman"/>
                      <w:kern w:val="2"/>
                      <w:sz w:val="21"/>
                      <w:szCs w:val="21"/>
                      <w:highlight w:val="none"/>
                      <w:lang w:val="en-US" w:eastAsia="zh-CN"/>
                    </w:rPr>
                  </w:pPr>
                  <w:r>
                    <w:rPr>
                      <w:rFonts w:hint="eastAsia" w:cs="Times New Roman"/>
                      <w:kern w:val="2"/>
                      <w:sz w:val="21"/>
                      <w:szCs w:val="21"/>
                      <w:highlight w:val="none"/>
                      <w:lang w:val="en-US" w:eastAsia="zh-CN"/>
                    </w:rPr>
                    <w:t>依托</w:t>
                  </w:r>
                </w:p>
                <w:p>
                  <w:pPr>
                    <w:widowControl w:val="0"/>
                    <w:jc w:val="center"/>
                    <w:rPr>
                      <w:rFonts w:ascii="Times New Roman" w:hAnsi="Times New Roman" w:eastAsia="宋体" w:cs="Times New Roman"/>
                      <w:kern w:val="2"/>
                      <w:sz w:val="21"/>
                      <w:szCs w:val="21"/>
                      <w:highlight w:val="none"/>
                    </w:rPr>
                  </w:pPr>
                  <w:r>
                    <w:rPr>
                      <w:rFonts w:hint="eastAsia" w:cs="Times New Roman"/>
                      <w:kern w:val="2"/>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433" w:type="pct"/>
                  <w:vMerge w:val="restar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环保工程</w:t>
                  </w:r>
                </w:p>
              </w:tc>
              <w:tc>
                <w:tcPr>
                  <w:tcW w:w="579" w:type="pc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污水</w:t>
                  </w:r>
                </w:p>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处理</w:t>
                  </w:r>
                </w:p>
              </w:tc>
              <w:tc>
                <w:tcPr>
                  <w:tcW w:w="3407" w:type="pct"/>
                  <w:gridSpan w:val="2"/>
                  <w:noWrap w:val="0"/>
                  <w:vAlign w:val="center"/>
                </w:tcPr>
                <w:p>
                  <w:pPr>
                    <w:widowControl w:val="0"/>
                    <w:jc w:val="left"/>
                    <w:rPr>
                      <w:rFonts w:hint="eastAsia" w:ascii="Times New Roman" w:hAnsi="Times New Roman" w:eastAsia="宋体" w:cs="Times New Roman"/>
                      <w:color w:val="auto"/>
                      <w:kern w:val="2"/>
                      <w:sz w:val="21"/>
                      <w:highlight w:val="none"/>
                      <w:u w:val="none"/>
                      <w:lang w:val="en-US" w:eastAsia="zh-CN"/>
                    </w:rPr>
                  </w:pPr>
                  <w:r>
                    <w:rPr>
                      <w:rFonts w:hint="eastAsia" w:ascii="Times New Roman" w:hAnsi="Times New Roman" w:eastAsia="宋体" w:cs="Times New Roman"/>
                      <w:color w:val="auto"/>
                      <w:kern w:val="2"/>
                      <w:sz w:val="21"/>
                      <w:highlight w:val="none"/>
                      <w:u w:val="none"/>
                      <w:lang w:val="en-US" w:eastAsia="zh-CN"/>
                    </w:rPr>
                    <w:t>本项目病房废水、职工生活污水一同进化粪池预处理，再进院区一体化污水处理站进行处理，经处理达到(《医疗机构水污染物排放标准》(GB18466-2005)表2中预处理标准后通过市政污水管网进入花垣县污水处理</w:t>
                  </w:r>
                  <w:r>
                    <w:rPr>
                      <w:rFonts w:hint="eastAsia" w:ascii="Times New Roman" w:hAnsi="Times New Roman" w:eastAsia="宋体" w:cs="Times New Roman"/>
                      <w:color w:val="auto"/>
                      <w:kern w:val="2"/>
                      <w:sz w:val="21"/>
                      <w:highlight w:val="none"/>
                      <w:u w:val="none"/>
                      <w:lang w:eastAsia="zh-CN"/>
                    </w:rPr>
                    <w:t>厂</w:t>
                  </w:r>
                  <w:r>
                    <w:rPr>
                      <w:rFonts w:hint="eastAsia" w:ascii="Times New Roman" w:hAnsi="Times New Roman" w:eastAsia="宋体" w:cs="Times New Roman"/>
                      <w:color w:val="auto"/>
                      <w:kern w:val="2"/>
                      <w:sz w:val="21"/>
                      <w:highlight w:val="none"/>
                      <w:u w:val="none"/>
                      <w:lang w:val="en-US" w:eastAsia="zh-CN"/>
                    </w:rPr>
                    <w:t>处理后达标排放至花垣河</w:t>
                  </w:r>
                  <w:r>
                    <w:rPr>
                      <w:rFonts w:hint="eastAsia" w:ascii="Times New Roman" w:hAnsi="Times New Roman" w:eastAsia="宋体" w:cs="Times New Roman"/>
                      <w:color w:val="auto"/>
                      <w:kern w:val="2"/>
                      <w:sz w:val="21"/>
                      <w:highlight w:val="none"/>
                      <w:u w:val="none"/>
                    </w:rPr>
                    <w:t>。</w:t>
                  </w:r>
                  <w:r>
                    <w:rPr>
                      <w:rFonts w:hint="eastAsia" w:ascii="Times New Roman" w:hAnsi="Times New Roman" w:eastAsia="宋体" w:cs="Times New Roman"/>
                      <w:color w:val="auto"/>
                      <w:kern w:val="2"/>
                      <w:sz w:val="21"/>
                      <w:highlight w:val="none"/>
                      <w:u w:val="none"/>
                      <w:lang w:eastAsia="zh-CN"/>
                    </w:rPr>
                    <w:t>一体化</w:t>
                  </w:r>
                  <w:r>
                    <w:rPr>
                      <w:rFonts w:hint="eastAsia" w:ascii="Times New Roman" w:hAnsi="Times New Roman" w:eastAsia="宋体" w:cs="Times New Roman"/>
                      <w:color w:val="auto"/>
                      <w:kern w:val="2"/>
                      <w:sz w:val="21"/>
                      <w:highlight w:val="none"/>
                      <w:u w:val="none"/>
                      <w:lang w:val="en-US" w:eastAsia="zh-CN"/>
                    </w:rPr>
                    <w:t>污水处理站</w:t>
                  </w:r>
                  <w:r>
                    <w:rPr>
                      <w:rFonts w:hint="eastAsia" w:ascii="Times New Roman" w:hAnsi="Times New Roman" w:eastAsia="宋体" w:cs="Times New Roman"/>
                      <w:color w:val="auto"/>
                      <w:kern w:val="2"/>
                      <w:sz w:val="21"/>
                      <w:highlight w:val="none"/>
                      <w:u w:val="none"/>
                    </w:rPr>
                    <w:t>位于</w:t>
                  </w:r>
                  <w:r>
                    <w:rPr>
                      <w:rFonts w:hint="eastAsia" w:ascii="Times New Roman" w:hAnsi="Times New Roman" w:eastAsia="宋体" w:cs="Times New Roman"/>
                      <w:color w:val="auto"/>
                      <w:kern w:val="2"/>
                      <w:sz w:val="21"/>
                      <w:highlight w:val="none"/>
                      <w:u w:val="none"/>
                      <w:lang w:val="en-US" w:eastAsia="zh-CN"/>
                    </w:rPr>
                    <w:t>院</w:t>
                  </w:r>
                  <w:r>
                    <w:rPr>
                      <w:rFonts w:hint="eastAsia" w:ascii="Times New Roman" w:hAnsi="Times New Roman" w:eastAsia="宋体" w:cs="Times New Roman"/>
                      <w:color w:val="auto"/>
                      <w:kern w:val="2"/>
                      <w:sz w:val="21"/>
                      <w:highlight w:val="none"/>
                      <w:u w:val="none"/>
                    </w:rPr>
                    <w:t>区</w:t>
                  </w:r>
                  <w:r>
                    <w:rPr>
                      <w:rFonts w:hint="eastAsia" w:ascii="Times New Roman" w:hAnsi="Times New Roman" w:eastAsia="宋体" w:cs="Times New Roman"/>
                      <w:color w:val="auto"/>
                      <w:kern w:val="2"/>
                      <w:sz w:val="21"/>
                      <w:highlight w:val="none"/>
                      <w:u w:val="none"/>
                      <w:lang w:val="en-US" w:eastAsia="zh-CN"/>
                    </w:rPr>
                    <w:t>东</w:t>
                  </w:r>
                  <w:r>
                    <w:rPr>
                      <w:rFonts w:hint="eastAsia" w:ascii="Times New Roman" w:hAnsi="Times New Roman" w:eastAsia="宋体" w:cs="Times New Roman"/>
                      <w:color w:val="auto"/>
                      <w:kern w:val="2"/>
                      <w:sz w:val="21"/>
                      <w:highlight w:val="none"/>
                      <w:u w:val="none"/>
                    </w:rPr>
                    <w:t>侧，采用“二级处理(厌氧+接触氧化) +消毒工艺”</w:t>
                  </w:r>
                  <w:r>
                    <w:rPr>
                      <w:rFonts w:hint="eastAsia" w:ascii="Times New Roman" w:hAnsi="Times New Roman" w:eastAsia="宋体" w:cs="Times New Roman"/>
                      <w:color w:val="auto"/>
                      <w:kern w:val="2"/>
                      <w:sz w:val="21"/>
                      <w:highlight w:val="none"/>
                      <w:u w:val="none"/>
                      <w:lang w:eastAsia="zh-CN"/>
                    </w:rPr>
                    <w:t>，</w:t>
                  </w:r>
                  <w:r>
                    <w:rPr>
                      <w:rFonts w:hint="eastAsia" w:ascii="Times New Roman" w:hAnsi="Times New Roman" w:eastAsia="宋体" w:cs="Times New Roman"/>
                      <w:color w:val="auto"/>
                      <w:kern w:val="2"/>
                      <w:sz w:val="21"/>
                      <w:highlight w:val="none"/>
                      <w:u w:val="none"/>
                    </w:rPr>
                    <w:t>日处理能力</w:t>
                  </w:r>
                  <w:r>
                    <w:rPr>
                      <w:rFonts w:hint="eastAsia" w:cs="Times New Roman"/>
                      <w:color w:val="auto"/>
                      <w:kern w:val="2"/>
                      <w:sz w:val="21"/>
                      <w:highlight w:val="none"/>
                      <w:u w:val="none"/>
                      <w:lang w:val="en-US" w:eastAsia="zh-CN"/>
                    </w:rPr>
                    <w:t>15</w:t>
                  </w:r>
                  <w:r>
                    <w:rPr>
                      <w:rFonts w:hint="eastAsia" w:ascii="Times New Roman" w:hAnsi="Times New Roman" w:eastAsia="宋体" w:cs="Times New Roman"/>
                      <w:color w:val="auto"/>
                      <w:kern w:val="2"/>
                      <w:sz w:val="21"/>
                      <w:highlight w:val="none"/>
                      <w:u w:val="none"/>
                    </w:rPr>
                    <w:t>m</w:t>
                  </w:r>
                  <w:r>
                    <w:rPr>
                      <w:rFonts w:hint="eastAsia" w:ascii="Times New Roman" w:hAnsi="Times New Roman" w:eastAsia="宋体" w:cs="Times New Roman"/>
                      <w:color w:val="auto"/>
                      <w:kern w:val="2"/>
                      <w:sz w:val="21"/>
                      <w:highlight w:val="none"/>
                      <w:u w:val="none"/>
                      <w:vertAlign w:val="superscript"/>
                    </w:rPr>
                    <w:t>3</w:t>
                  </w:r>
                  <w:r>
                    <w:rPr>
                      <w:rFonts w:hint="eastAsia" w:ascii="Times New Roman" w:hAnsi="Times New Roman" w:eastAsia="宋体" w:cs="Times New Roman"/>
                      <w:color w:val="auto"/>
                      <w:kern w:val="2"/>
                      <w:sz w:val="21"/>
                      <w:highlight w:val="none"/>
                      <w:u w:val="none"/>
                    </w:rPr>
                    <w:t>/d</w:t>
                  </w:r>
                  <w:r>
                    <w:rPr>
                      <w:rFonts w:hint="eastAsia" w:ascii="Times New Roman" w:hAnsi="Times New Roman" w:eastAsia="宋体" w:cs="Times New Roman"/>
                      <w:color w:val="auto"/>
                      <w:kern w:val="2"/>
                      <w:sz w:val="21"/>
                      <w:highlight w:val="none"/>
                      <w:u w:val="none"/>
                      <w:lang w:eastAsia="zh-CN"/>
                    </w:rPr>
                    <w:t>。</w:t>
                  </w:r>
                </w:p>
              </w:tc>
              <w:tc>
                <w:tcPr>
                  <w:tcW w:w="579" w:type="pct"/>
                  <w:noWrap w:val="0"/>
                  <w:vAlign w:val="center"/>
                </w:tcPr>
                <w:p>
                  <w:pPr>
                    <w:widowControl w:val="0"/>
                    <w:jc w:val="center"/>
                    <w:rPr>
                      <w:rFonts w:hint="default" w:ascii="Times New Roman" w:hAnsi="Times New Roman" w:eastAsia="宋体" w:cs="Times New Roman"/>
                      <w:kern w:val="2"/>
                      <w:sz w:val="21"/>
                      <w:szCs w:val="21"/>
                      <w:highlight w:val="none"/>
                      <w:lang w:val="en-US"/>
                    </w:rPr>
                  </w:pPr>
                  <w:r>
                    <w:rPr>
                      <w:rFonts w:hint="eastAsia" w:cs="Times New Roman"/>
                      <w:kern w:val="2"/>
                      <w:sz w:val="21"/>
                      <w:szCs w:val="21"/>
                      <w:highlight w:val="none"/>
                      <w:lang w:val="en-US" w:eastAsia="zh-CN"/>
                    </w:rPr>
                    <w:t>依托</w:t>
                  </w:r>
                  <w:r>
                    <w:rPr>
                      <w:rFonts w:hint="eastAsia" w:ascii="Times New Roman" w:hAnsi="Times New Roman" w:eastAsia="宋体" w:cs="Times New Roman"/>
                      <w:kern w:val="2"/>
                      <w:sz w:val="21"/>
                      <w:szCs w:val="21"/>
                      <w:highlight w:val="none"/>
                      <w:lang w:val="en-US" w:eastAsia="zh-CN"/>
                    </w:rPr>
                    <w:t>花垣县疾控中心现有</w:t>
                  </w:r>
                  <w:r>
                    <w:rPr>
                      <w:rFonts w:hint="eastAsia" w:cs="Times New Roman"/>
                      <w:kern w:val="2"/>
                      <w:sz w:val="21"/>
                      <w:szCs w:val="21"/>
                      <w:highlight w:val="none"/>
                      <w:lang w:val="en-US" w:eastAsia="zh-CN"/>
                    </w:rPr>
                    <w:t>一体化污水处理设施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33" w:type="pct"/>
                  <w:vMerge w:val="continue"/>
                  <w:noWrap w:val="0"/>
                  <w:vAlign w:val="center"/>
                </w:tcPr>
                <w:p>
                  <w:pPr>
                    <w:widowControl w:val="0"/>
                    <w:jc w:val="center"/>
                    <w:rPr>
                      <w:rFonts w:ascii="Times New Roman" w:hAnsi="Times New Roman" w:eastAsia="宋体" w:cs="Times New Roman"/>
                      <w:kern w:val="2"/>
                      <w:sz w:val="21"/>
                      <w:szCs w:val="21"/>
                      <w:highlight w:val="none"/>
                    </w:rPr>
                  </w:pPr>
                </w:p>
              </w:tc>
              <w:tc>
                <w:tcPr>
                  <w:tcW w:w="579" w:type="pc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噪声</w:t>
                  </w:r>
                </w:p>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治理</w:t>
                  </w:r>
                </w:p>
              </w:tc>
              <w:tc>
                <w:tcPr>
                  <w:tcW w:w="3407" w:type="pct"/>
                  <w:gridSpan w:val="2"/>
                  <w:noWrap w:val="0"/>
                  <w:vAlign w:val="center"/>
                </w:tcPr>
                <w:p>
                  <w:pPr>
                    <w:widowControl w:val="0"/>
                    <w:jc w:val="left"/>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选用低噪声设备，合理布局，隔声、距离衰减等措施</w:t>
                  </w:r>
                </w:p>
              </w:tc>
              <w:tc>
                <w:tcPr>
                  <w:tcW w:w="579" w:type="pct"/>
                  <w:noWrap w:val="0"/>
                  <w:vAlign w:val="center"/>
                </w:tcPr>
                <w:p>
                  <w:pPr>
                    <w:widowControl w:val="0"/>
                    <w:jc w:val="center"/>
                    <w:rPr>
                      <w:rFonts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noWrap w:val="0"/>
                  <w:vAlign w:val="center"/>
                </w:tcPr>
                <w:p>
                  <w:pPr>
                    <w:widowControl w:val="0"/>
                    <w:jc w:val="center"/>
                    <w:rPr>
                      <w:rFonts w:ascii="Times New Roman" w:hAnsi="Times New Roman" w:eastAsia="宋体" w:cs="Times New Roman"/>
                      <w:kern w:val="2"/>
                      <w:sz w:val="21"/>
                      <w:szCs w:val="21"/>
                      <w:highlight w:val="none"/>
                    </w:rPr>
                  </w:pPr>
                </w:p>
              </w:tc>
              <w:tc>
                <w:tcPr>
                  <w:tcW w:w="579" w:type="pct"/>
                  <w:vMerge w:val="restar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固废</w:t>
                  </w:r>
                </w:p>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处理</w:t>
                  </w:r>
                </w:p>
              </w:tc>
              <w:tc>
                <w:tcPr>
                  <w:tcW w:w="872" w:type="pct"/>
                  <w:noWrap w:val="0"/>
                  <w:vAlign w:val="center"/>
                </w:tcPr>
                <w:p>
                  <w:pPr>
                    <w:widowControl w:val="0"/>
                    <w:jc w:val="center"/>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rPr>
                    <w:t>医疗废物</w:t>
                  </w:r>
                  <w:r>
                    <w:rPr>
                      <w:rFonts w:hint="eastAsia" w:cs="Times New Roman"/>
                      <w:kern w:val="2"/>
                      <w:sz w:val="21"/>
                      <w:szCs w:val="21"/>
                      <w:highlight w:val="none"/>
                      <w:lang w:eastAsia="zh-CN"/>
                    </w:rPr>
                    <w:t>、</w:t>
                  </w:r>
                  <w:r>
                    <w:rPr>
                      <w:rFonts w:hint="eastAsia" w:cs="Times New Roman"/>
                      <w:kern w:val="2"/>
                      <w:sz w:val="21"/>
                      <w:szCs w:val="21"/>
                      <w:highlight w:val="none"/>
                      <w:lang w:val="en-US" w:eastAsia="zh-CN"/>
                    </w:rPr>
                    <w:t>废药物药品</w:t>
                  </w:r>
                </w:p>
              </w:tc>
              <w:tc>
                <w:tcPr>
                  <w:tcW w:w="2534" w:type="pct"/>
                  <w:noWrap w:val="0"/>
                  <w:vAlign w:val="center"/>
                </w:tcPr>
                <w:p>
                  <w:pPr>
                    <w:widowControl w:val="0"/>
                    <w:jc w:val="center"/>
                    <w:rPr>
                      <w:rFonts w:hint="eastAsia"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收集后</w:t>
                  </w:r>
                  <w:r>
                    <w:rPr>
                      <w:rFonts w:hint="eastAsia" w:ascii="Times New Roman" w:hAnsi="Times New Roman" w:eastAsia="宋体" w:cs="Times New Roman"/>
                      <w:kern w:val="2"/>
                      <w:sz w:val="21"/>
                      <w:szCs w:val="21"/>
                      <w:highlight w:val="none"/>
                      <w:lang w:val="en-GB"/>
                    </w:rPr>
                    <w:t>分类</w:t>
                  </w:r>
                  <w:r>
                    <w:rPr>
                      <w:rFonts w:ascii="Times New Roman" w:hAnsi="Times New Roman" w:eastAsia="宋体" w:cs="Times New Roman"/>
                      <w:kern w:val="2"/>
                      <w:sz w:val="21"/>
                      <w:szCs w:val="21"/>
                      <w:highlight w:val="none"/>
                      <w:lang w:val="en-GB"/>
                    </w:rPr>
                    <w:t>暂存于</w:t>
                  </w:r>
                  <w:r>
                    <w:rPr>
                      <w:rFonts w:hint="eastAsia" w:ascii="Times New Roman" w:hAnsi="Times New Roman" w:eastAsia="宋体" w:cs="Times New Roman"/>
                      <w:kern w:val="2"/>
                      <w:sz w:val="21"/>
                      <w:szCs w:val="21"/>
                      <w:highlight w:val="none"/>
                      <w:lang w:val="en-US" w:eastAsia="zh-CN"/>
                    </w:rPr>
                    <w:t>医废</w:t>
                  </w:r>
                  <w:r>
                    <w:rPr>
                      <w:rFonts w:ascii="Times New Roman" w:hAnsi="Times New Roman" w:eastAsia="宋体" w:cs="Times New Roman"/>
                      <w:kern w:val="2"/>
                      <w:sz w:val="21"/>
                      <w:szCs w:val="21"/>
                      <w:highlight w:val="none"/>
                      <w:lang w:val="en-GB"/>
                    </w:rPr>
                    <w:t>暂存间，委托有资质的单位</w:t>
                  </w:r>
                  <w:r>
                    <w:rPr>
                      <w:rFonts w:hint="eastAsia" w:ascii="Times New Roman" w:hAnsi="Times New Roman" w:eastAsia="宋体" w:cs="Times New Roman"/>
                      <w:kern w:val="2"/>
                      <w:sz w:val="21"/>
                      <w:szCs w:val="21"/>
                      <w:highlight w:val="none"/>
                      <w:lang w:val="en-GB"/>
                    </w:rPr>
                    <w:t>处置</w:t>
                  </w:r>
                </w:p>
              </w:tc>
              <w:tc>
                <w:tcPr>
                  <w:tcW w:w="579" w:type="pct"/>
                  <w:vMerge w:val="restart"/>
                  <w:noWrap w:val="0"/>
                  <w:vAlign w:val="center"/>
                </w:tcPr>
                <w:p>
                  <w:pPr>
                    <w:widowControl w:val="0"/>
                    <w:jc w:val="center"/>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医废暂存间依托于花垣县疾控中心现有医废暂存间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433" w:type="pct"/>
                  <w:vMerge w:val="continue"/>
                  <w:noWrap w:val="0"/>
                  <w:vAlign w:val="center"/>
                </w:tcPr>
                <w:p>
                  <w:pPr>
                    <w:widowControl w:val="0"/>
                    <w:jc w:val="center"/>
                    <w:rPr>
                      <w:rFonts w:ascii="Times New Roman" w:hAnsi="Times New Roman" w:eastAsia="宋体" w:cs="Times New Roman"/>
                      <w:kern w:val="2"/>
                      <w:sz w:val="21"/>
                      <w:szCs w:val="21"/>
                      <w:highlight w:val="none"/>
                    </w:rPr>
                  </w:pPr>
                </w:p>
              </w:tc>
              <w:tc>
                <w:tcPr>
                  <w:tcW w:w="579" w:type="pct"/>
                  <w:vMerge w:val="continue"/>
                  <w:noWrap w:val="0"/>
                  <w:vAlign w:val="center"/>
                </w:tcPr>
                <w:p>
                  <w:pPr>
                    <w:widowControl w:val="0"/>
                    <w:jc w:val="center"/>
                    <w:rPr>
                      <w:rFonts w:ascii="Times New Roman" w:hAnsi="Times New Roman" w:eastAsia="宋体" w:cs="Times New Roman"/>
                      <w:kern w:val="2"/>
                      <w:sz w:val="21"/>
                      <w:szCs w:val="21"/>
                      <w:highlight w:val="none"/>
                    </w:rPr>
                  </w:pPr>
                </w:p>
              </w:tc>
              <w:tc>
                <w:tcPr>
                  <w:tcW w:w="872" w:type="pct"/>
                  <w:noWrap w:val="0"/>
                  <w:vAlign w:val="center"/>
                </w:tcPr>
                <w:p>
                  <w:pPr>
                    <w:widowControl w:val="0"/>
                    <w:jc w:val="center"/>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化粪池污泥</w:t>
                  </w:r>
                </w:p>
              </w:tc>
              <w:tc>
                <w:tcPr>
                  <w:tcW w:w="2534" w:type="pct"/>
                  <w:noWrap w:val="0"/>
                  <w:vAlign w:val="center"/>
                </w:tcPr>
                <w:p>
                  <w:pPr>
                    <w:widowControl w:val="0"/>
                    <w:adjustRightInd w:val="0"/>
                    <w:snapToGrid w:val="0"/>
                    <w:jc w:val="both"/>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设污泥收集桶，人工投加石灰进行消毒干化，密闭封袋后送至</w:t>
                  </w:r>
                  <w:r>
                    <w:rPr>
                      <w:rFonts w:hint="eastAsia" w:ascii="Times New Roman" w:hAnsi="Times New Roman" w:eastAsia="宋体" w:cs="Times New Roman"/>
                      <w:kern w:val="2"/>
                      <w:sz w:val="21"/>
                      <w:szCs w:val="21"/>
                      <w:highlight w:val="none"/>
                      <w:lang w:val="en-US" w:eastAsia="zh-CN"/>
                    </w:rPr>
                    <w:t>医废</w:t>
                  </w:r>
                  <w:r>
                    <w:rPr>
                      <w:rFonts w:ascii="Times New Roman" w:hAnsi="Times New Roman" w:eastAsia="宋体" w:cs="Times New Roman"/>
                      <w:kern w:val="2"/>
                      <w:sz w:val="21"/>
                      <w:szCs w:val="21"/>
                      <w:highlight w:val="none"/>
                    </w:rPr>
                    <w:t>间进行暂存，按照感染性废物进行处理</w:t>
                  </w:r>
                </w:p>
              </w:tc>
              <w:tc>
                <w:tcPr>
                  <w:tcW w:w="579" w:type="pct"/>
                  <w:vMerge w:val="continue"/>
                  <w:noWrap w:val="0"/>
                  <w:vAlign w:val="center"/>
                </w:tcPr>
                <w:p>
                  <w:pPr>
                    <w:widowControl w:val="0"/>
                    <w:adjustRightInd w:val="0"/>
                    <w:snapToGrid w:val="0"/>
                    <w:jc w:val="center"/>
                    <w:rPr>
                      <w:rFonts w:hint="eastAsia" w:ascii="Times New Roman" w:hAnsi="Times New Roman" w:eastAsia="宋体" w:cs="Times New Roman"/>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noWrap w:val="0"/>
                  <w:vAlign w:val="center"/>
                </w:tcPr>
                <w:p>
                  <w:pPr>
                    <w:widowControl w:val="0"/>
                    <w:jc w:val="center"/>
                    <w:rPr>
                      <w:rFonts w:ascii="Times New Roman" w:hAnsi="Times New Roman" w:eastAsia="宋体" w:cs="Times New Roman"/>
                      <w:kern w:val="2"/>
                      <w:sz w:val="21"/>
                      <w:szCs w:val="21"/>
                      <w:highlight w:val="none"/>
                    </w:rPr>
                  </w:pPr>
                </w:p>
              </w:tc>
              <w:tc>
                <w:tcPr>
                  <w:tcW w:w="579" w:type="pct"/>
                  <w:vMerge w:val="continue"/>
                  <w:noWrap w:val="0"/>
                  <w:vAlign w:val="center"/>
                </w:tcPr>
                <w:p>
                  <w:pPr>
                    <w:widowControl w:val="0"/>
                    <w:jc w:val="center"/>
                    <w:rPr>
                      <w:rFonts w:ascii="Times New Roman" w:hAnsi="Times New Roman" w:eastAsia="宋体" w:cs="Times New Roman"/>
                      <w:kern w:val="2"/>
                      <w:sz w:val="21"/>
                      <w:szCs w:val="21"/>
                      <w:highlight w:val="none"/>
                    </w:rPr>
                  </w:pPr>
                </w:p>
              </w:tc>
              <w:tc>
                <w:tcPr>
                  <w:tcW w:w="872" w:type="pct"/>
                  <w:noWrap w:val="0"/>
                  <w:vAlign w:val="center"/>
                </w:tcPr>
                <w:p>
                  <w:pPr>
                    <w:widowControl w:val="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rPr>
                    <w:t>生活垃圾</w:t>
                  </w:r>
                </w:p>
              </w:tc>
              <w:tc>
                <w:tcPr>
                  <w:tcW w:w="2534" w:type="pct"/>
                  <w:noWrap w:val="0"/>
                  <w:vAlign w:val="center"/>
                </w:tcPr>
                <w:p>
                  <w:pPr>
                    <w:widowControl w:val="0"/>
                    <w:adjustRightInd w:val="0"/>
                    <w:snapToGrid w:val="0"/>
                    <w:jc w:val="center"/>
                    <w:rPr>
                      <w:rFonts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经垃圾桶分类收集后</w:t>
                  </w:r>
                  <w:r>
                    <w:rPr>
                      <w:rFonts w:ascii="Times New Roman" w:hAnsi="Times New Roman" w:eastAsia="宋体" w:cs="Times New Roman"/>
                      <w:kern w:val="2"/>
                      <w:sz w:val="21"/>
                      <w:szCs w:val="21"/>
                      <w:highlight w:val="none"/>
                    </w:rPr>
                    <w:t>委托环卫部门统一清运</w:t>
                  </w:r>
                </w:p>
              </w:tc>
              <w:tc>
                <w:tcPr>
                  <w:tcW w:w="579" w:type="pct"/>
                  <w:noWrap w:val="0"/>
                  <w:vAlign w:val="center"/>
                </w:tcPr>
                <w:p>
                  <w:pPr>
                    <w:widowControl w:val="0"/>
                    <w:adjustRightInd w:val="0"/>
                    <w:snapToGrid w:val="0"/>
                    <w:jc w:val="center"/>
                    <w:rPr>
                      <w:rFonts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noWrap w:val="0"/>
                  <w:vAlign w:val="center"/>
                </w:tcPr>
                <w:p>
                  <w:pPr>
                    <w:widowControl w:val="0"/>
                    <w:jc w:val="center"/>
                    <w:rPr>
                      <w:rFonts w:ascii="Times New Roman" w:hAnsi="Times New Roman" w:eastAsia="宋体" w:cs="Times New Roman"/>
                      <w:kern w:val="2"/>
                      <w:sz w:val="21"/>
                      <w:szCs w:val="21"/>
                      <w:highlight w:val="yellow"/>
                    </w:rPr>
                  </w:pPr>
                </w:p>
              </w:tc>
              <w:tc>
                <w:tcPr>
                  <w:tcW w:w="579" w:type="pct"/>
                  <w:noWrap w:val="0"/>
                  <w:vAlign w:val="center"/>
                </w:tcPr>
                <w:p>
                  <w:pPr>
                    <w:widowControl w:val="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环境</w:t>
                  </w:r>
                </w:p>
                <w:p>
                  <w:pPr>
                    <w:widowControl w:val="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风险</w:t>
                  </w:r>
                </w:p>
              </w:tc>
              <w:tc>
                <w:tcPr>
                  <w:tcW w:w="3407" w:type="pct"/>
                  <w:gridSpan w:val="2"/>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u w:val="none"/>
                      <w:lang w:val="en-US" w:eastAsia="zh-CN"/>
                    </w:rPr>
                    <w:t>事故应急</w:t>
                  </w:r>
                  <w:r>
                    <w:rPr>
                      <w:rFonts w:hint="eastAsia" w:cs="Times New Roman"/>
                      <w:color w:val="auto"/>
                      <w:kern w:val="2"/>
                      <w:sz w:val="21"/>
                      <w:szCs w:val="21"/>
                      <w:highlight w:val="none"/>
                      <w:u w:val="none"/>
                      <w:lang w:val="en-US" w:eastAsia="zh-CN"/>
                    </w:rPr>
                    <w:t>罐一个</w:t>
                  </w:r>
                  <w:r>
                    <w:rPr>
                      <w:rFonts w:hint="eastAsia" w:ascii="Times New Roman" w:hAnsi="Times New Roman" w:eastAsia="宋体" w:cs="Times New Roman"/>
                      <w:color w:val="auto"/>
                      <w:kern w:val="2"/>
                      <w:sz w:val="21"/>
                      <w:szCs w:val="21"/>
                      <w:highlight w:val="none"/>
                      <w:u w:val="none"/>
                      <w:lang w:val="en-US" w:eastAsia="zh-CN"/>
                    </w:rPr>
                    <w:t>，</w:t>
                  </w:r>
                  <w:r>
                    <w:rPr>
                      <w:rFonts w:hint="eastAsia" w:cs="Times New Roman"/>
                      <w:color w:val="auto"/>
                      <w:kern w:val="2"/>
                      <w:sz w:val="21"/>
                      <w:szCs w:val="21"/>
                      <w:highlight w:val="none"/>
                      <w:u w:val="none"/>
                      <w:lang w:val="en-US" w:eastAsia="zh-CN"/>
                    </w:rPr>
                    <w:t>3.5</w:t>
                  </w:r>
                  <w:r>
                    <w:rPr>
                      <w:rFonts w:hint="eastAsia" w:ascii="Times New Roman" w:hAnsi="Times New Roman" w:eastAsia="宋体" w:cs="Times New Roman"/>
                      <w:color w:val="auto"/>
                      <w:kern w:val="2"/>
                      <w:sz w:val="21"/>
                      <w:szCs w:val="21"/>
                      <w:highlight w:val="none"/>
                      <w:u w:val="none"/>
                      <w:lang w:val="en-US" w:eastAsia="zh-CN"/>
                    </w:rPr>
                    <w:t>m</w:t>
                  </w:r>
                  <w:r>
                    <w:rPr>
                      <w:rFonts w:hint="eastAsia" w:ascii="Times New Roman" w:hAnsi="Times New Roman" w:eastAsia="宋体" w:cs="Times New Roman"/>
                      <w:color w:val="auto"/>
                      <w:kern w:val="2"/>
                      <w:sz w:val="21"/>
                      <w:szCs w:val="21"/>
                      <w:highlight w:val="none"/>
                      <w:u w:val="none"/>
                      <w:vertAlign w:val="superscript"/>
                      <w:lang w:val="en-US" w:eastAsia="zh-CN"/>
                    </w:rPr>
                    <w:t>3</w:t>
                  </w:r>
                </w:p>
              </w:tc>
              <w:tc>
                <w:tcPr>
                  <w:tcW w:w="579" w:type="pct"/>
                  <w:noWrap w:val="0"/>
                  <w:vAlign w:val="center"/>
                </w:tcPr>
                <w:p>
                  <w:pPr>
                    <w:widowControl w:val="0"/>
                    <w:adjustRightInd w:val="0"/>
                    <w:snapToGrid w:val="0"/>
                    <w:jc w:val="center"/>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Times New Roman"/>
                      <w:kern w:val="2"/>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noWrap w:val="0"/>
                  <w:vAlign w:val="center"/>
                </w:tcPr>
                <w:p>
                  <w:pPr>
                    <w:widowControl w:val="0"/>
                    <w:jc w:val="center"/>
                    <w:rPr>
                      <w:rFonts w:ascii="Times New Roman" w:hAnsi="Times New Roman" w:eastAsia="宋体" w:cs="Times New Roman"/>
                      <w:kern w:val="2"/>
                      <w:sz w:val="21"/>
                      <w:szCs w:val="21"/>
                      <w:highlight w:val="yellow"/>
                    </w:rPr>
                  </w:pPr>
                </w:p>
              </w:tc>
              <w:tc>
                <w:tcPr>
                  <w:tcW w:w="579" w:type="pct"/>
                  <w:noWrap w:val="0"/>
                  <w:vAlign w:val="center"/>
                </w:tcPr>
                <w:p>
                  <w:pPr>
                    <w:widowControl w:val="0"/>
                    <w:jc w:val="center"/>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绿化</w:t>
                  </w:r>
                </w:p>
              </w:tc>
              <w:tc>
                <w:tcPr>
                  <w:tcW w:w="3407" w:type="pct"/>
                  <w:gridSpan w:val="2"/>
                  <w:noWrap w:val="0"/>
                  <w:vAlign w:val="center"/>
                </w:tcPr>
                <w:p>
                  <w:pPr>
                    <w:widowControl w:val="0"/>
                    <w:adjustRightInd w:val="0"/>
                    <w:snapToGrid w:val="0"/>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占地</w:t>
                  </w:r>
                  <w:r>
                    <w:rPr>
                      <w:rFonts w:hint="eastAsia" w:cs="Times New Roman"/>
                      <w:color w:val="auto"/>
                      <w:kern w:val="2"/>
                      <w:sz w:val="21"/>
                      <w:szCs w:val="21"/>
                      <w:highlight w:val="none"/>
                      <w:lang w:val="en-US" w:eastAsia="zh-CN"/>
                    </w:rPr>
                    <w:t>50</w:t>
                  </w:r>
                  <w:r>
                    <w:rPr>
                      <w:rFonts w:hint="eastAsia" w:ascii="Times New Roman" w:hAnsi="Times New Roman" w:eastAsia="宋体" w:cs="Times New Roman"/>
                      <w:color w:val="auto"/>
                      <w:kern w:val="2"/>
                      <w:sz w:val="21"/>
                      <w:szCs w:val="21"/>
                      <w:highlight w:val="none"/>
                    </w:rPr>
                    <w:t>m</w:t>
                  </w:r>
                  <w:r>
                    <w:rPr>
                      <w:rFonts w:hint="eastAsia" w:ascii="Times New Roman" w:hAnsi="Times New Roman" w:eastAsia="宋体" w:cs="Times New Roman"/>
                      <w:color w:val="auto"/>
                      <w:kern w:val="2"/>
                      <w:sz w:val="21"/>
                      <w:szCs w:val="21"/>
                      <w:highlight w:val="none"/>
                      <w:vertAlign w:val="superscript"/>
                    </w:rPr>
                    <w:t>2</w:t>
                  </w:r>
                </w:p>
              </w:tc>
              <w:tc>
                <w:tcPr>
                  <w:tcW w:w="579" w:type="pct"/>
                  <w:noWrap w:val="0"/>
                  <w:vAlign w:val="center"/>
                </w:tcPr>
                <w:p>
                  <w:pPr>
                    <w:widowControl w:val="0"/>
                    <w:adjustRightInd w:val="0"/>
                    <w:snapToGrid w:val="0"/>
                    <w:jc w:val="center"/>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3" w:type="pct"/>
                  <w:vMerge w:val="restart"/>
                  <w:noWrap w:val="0"/>
                  <w:vAlign w:val="center"/>
                </w:tcPr>
                <w:p>
                  <w:pPr>
                    <w:widowControl w:val="0"/>
                    <w:jc w:val="center"/>
                    <w:rPr>
                      <w:rFonts w:hint="default" w:ascii="Times New Roman" w:hAnsi="Times New Roman" w:eastAsia="宋体" w:cs="Times New Roman"/>
                      <w:color w:val="auto"/>
                      <w:kern w:val="2"/>
                      <w:sz w:val="21"/>
                      <w:szCs w:val="21"/>
                      <w:highlight w:val="yellow"/>
                      <w:u w:val="none"/>
                      <w:lang w:val="en-US" w:eastAsia="zh-CN"/>
                    </w:rPr>
                  </w:pPr>
                  <w:r>
                    <w:rPr>
                      <w:rFonts w:hint="eastAsia" w:ascii="Times New Roman" w:hAnsi="Times New Roman" w:eastAsia="宋体" w:cs="Times New Roman"/>
                      <w:color w:val="auto"/>
                      <w:kern w:val="2"/>
                      <w:sz w:val="21"/>
                      <w:szCs w:val="21"/>
                      <w:highlight w:val="none"/>
                      <w:u w:val="none"/>
                      <w:lang w:val="en-US" w:eastAsia="zh-CN"/>
                    </w:rPr>
                    <w:t>依托工程</w:t>
                  </w:r>
                </w:p>
              </w:tc>
              <w:tc>
                <w:tcPr>
                  <w:tcW w:w="4566" w:type="pct"/>
                  <w:gridSpan w:val="4"/>
                  <w:noWrap w:val="0"/>
                  <w:vAlign w:val="center"/>
                </w:tcPr>
                <w:p>
                  <w:pPr>
                    <w:widowControl w:val="0"/>
                    <w:adjustRightInd w:val="0"/>
                    <w:snapToGrid w:val="0"/>
                    <w:jc w:val="both"/>
                    <w:rPr>
                      <w:rFonts w:hint="default" w:ascii="Times New Roman" w:hAnsi="Times New Roman" w:eastAsia="宋体" w:cs="Times New Roman"/>
                      <w:color w:val="auto"/>
                      <w:kern w:val="2"/>
                      <w:sz w:val="21"/>
                      <w:szCs w:val="21"/>
                      <w:highlight w:val="none"/>
                      <w:u w:val="none"/>
                      <w:lang w:val="en-US" w:eastAsia="zh-CN"/>
                    </w:rPr>
                  </w:pPr>
                  <w:r>
                    <w:rPr>
                      <w:rFonts w:hint="eastAsia" w:ascii="Times New Roman" w:hAnsi="Times New Roman" w:eastAsia="宋体" w:cs="Times New Roman"/>
                      <w:color w:val="auto"/>
                      <w:kern w:val="2"/>
                      <w:sz w:val="21"/>
                      <w:szCs w:val="21"/>
                      <w:u w:val="none"/>
                      <w:lang w:val="en-US" w:eastAsia="zh-CN"/>
                    </w:rPr>
                    <w:fldChar w:fldCharType="begin"/>
                  </w:r>
                  <w:r>
                    <w:rPr>
                      <w:rFonts w:hint="eastAsia" w:ascii="Times New Roman" w:hAnsi="Times New Roman" w:eastAsia="宋体" w:cs="Times New Roman"/>
                      <w:color w:val="auto"/>
                      <w:kern w:val="2"/>
                      <w:sz w:val="21"/>
                      <w:szCs w:val="21"/>
                      <w:u w:val="none"/>
                      <w:lang w:val="en-US" w:eastAsia="zh-CN"/>
                    </w:rPr>
                    <w:instrText xml:space="preserve"> = 1 \* GB3 \* MERGEFORMAT </w:instrText>
                  </w:r>
                  <w:r>
                    <w:rPr>
                      <w:rFonts w:hint="eastAsia" w:ascii="Times New Roman" w:hAnsi="Times New Roman" w:eastAsia="宋体" w:cs="Times New Roman"/>
                      <w:color w:val="auto"/>
                      <w:kern w:val="2"/>
                      <w:sz w:val="21"/>
                      <w:szCs w:val="21"/>
                      <w:u w:val="none"/>
                      <w:lang w:val="en-US" w:eastAsia="zh-CN"/>
                    </w:rPr>
                    <w:fldChar w:fldCharType="separate"/>
                  </w:r>
                  <w:r>
                    <w:t>①</w:t>
                  </w:r>
                  <w:r>
                    <w:rPr>
                      <w:rFonts w:hint="eastAsia" w:ascii="Times New Roman" w:hAnsi="Times New Roman" w:eastAsia="宋体" w:cs="Times New Roman"/>
                      <w:color w:val="auto"/>
                      <w:kern w:val="2"/>
                      <w:sz w:val="21"/>
                      <w:szCs w:val="21"/>
                      <w:u w:val="none"/>
                      <w:lang w:val="en-US" w:eastAsia="zh-CN"/>
                    </w:rPr>
                    <w:fldChar w:fldCharType="end"/>
                  </w:r>
                  <w:r>
                    <w:rPr>
                      <w:rFonts w:hint="eastAsia" w:ascii="Times New Roman" w:hAnsi="Times New Roman" w:eastAsia="宋体" w:cs="Times New Roman"/>
                      <w:color w:val="auto"/>
                      <w:kern w:val="2"/>
                      <w:sz w:val="21"/>
                      <w:szCs w:val="21"/>
                      <w:u w:val="none"/>
                      <w:lang w:val="en-US" w:eastAsia="zh-CN"/>
                    </w:rPr>
                    <w:t>给水：依托花垣县妇幼保健计划生育服务中心综合楼现有给水管道接入</w:t>
                  </w:r>
                  <w:r>
                    <w:rPr>
                      <w:rFonts w:hint="eastAsia" w:cs="Times New Roman"/>
                      <w:color w:val="auto"/>
                      <w:kern w:val="2"/>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33" w:type="pct"/>
                  <w:vMerge w:val="continue"/>
                  <w:noWrap w:val="0"/>
                  <w:vAlign w:val="center"/>
                </w:tcPr>
                <w:p>
                  <w:pPr>
                    <w:widowControl w:val="0"/>
                    <w:adjustRightInd w:val="0"/>
                    <w:snapToGrid w:val="0"/>
                    <w:jc w:val="left"/>
                  </w:pPr>
                </w:p>
              </w:tc>
              <w:tc>
                <w:tcPr>
                  <w:tcW w:w="4566" w:type="pct"/>
                  <w:gridSpan w:val="4"/>
                  <w:noWrap w:val="0"/>
                  <w:vAlign w:val="center"/>
                </w:tcPr>
                <w:p>
                  <w:pPr>
                    <w:widowControl w:val="0"/>
                    <w:autoSpaceDE w:val="0"/>
                    <w:autoSpaceDN w:val="0"/>
                    <w:jc w:val="both"/>
                    <w:rPr>
                      <w:rFonts w:hint="eastAsia" w:ascii="Times New Roman" w:hAnsi="Times New Roman" w:eastAsia="宋体" w:cs="宋体"/>
                      <w:color w:val="auto"/>
                      <w:kern w:val="2"/>
                      <w:sz w:val="21"/>
                      <w:szCs w:val="21"/>
                      <w:highlight w:val="none"/>
                      <w:u w:val="none"/>
                      <w:lang w:val="en-US" w:eastAsia="zh-CN" w:bidi="ar-SA"/>
                    </w:rPr>
                  </w:pPr>
                  <w:r>
                    <w:rPr>
                      <w:rFonts w:hint="eastAsia" w:ascii="Times New Roman" w:hAnsi="Times New Roman" w:eastAsia="宋体" w:cs="宋体"/>
                      <w:color w:val="auto"/>
                      <w:kern w:val="2"/>
                      <w:sz w:val="21"/>
                      <w:szCs w:val="21"/>
                      <w:highlight w:val="none"/>
                      <w:u w:val="none"/>
                      <w:lang w:val="en-US" w:eastAsia="zh-CN" w:bidi="ar-SA"/>
                    </w:rPr>
                    <w:fldChar w:fldCharType="begin"/>
                  </w:r>
                  <w:r>
                    <w:rPr>
                      <w:rFonts w:hint="eastAsia" w:ascii="Times New Roman" w:hAnsi="Times New Roman" w:eastAsia="宋体" w:cs="宋体"/>
                      <w:color w:val="auto"/>
                      <w:kern w:val="2"/>
                      <w:sz w:val="21"/>
                      <w:szCs w:val="21"/>
                      <w:highlight w:val="none"/>
                      <w:u w:val="none"/>
                      <w:lang w:val="en-US" w:eastAsia="zh-CN" w:bidi="ar-SA"/>
                    </w:rPr>
                    <w:instrText xml:space="preserve"> = 2 \* GB3 \* MERGEFORMAT </w:instrText>
                  </w:r>
                  <w:r>
                    <w:rPr>
                      <w:rFonts w:hint="eastAsia" w:ascii="Times New Roman" w:hAnsi="Times New Roman" w:eastAsia="宋体" w:cs="宋体"/>
                      <w:color w:val="auto"/>
                      <w:kern w:val="2"/>
                      <w:sz w:val="21"/>
                      <w:szCs w:val="21"/>
                      <w:highlight w:val="none"/>
                      <w:u w:val="none"/>
                      <w:lang w:val="en-US" w:eastAsia="zh-CN" w:bidi="ar-SA"/>
                    </w:rPr>
                    <w:fldChar w:fldCharType="separate"/>
                  </w:r>
                  <w:r>
                    <w:t>②</w:t>
                  </w:r>
                  <w:r>
                    <w:rPr>
                      <w:rFonts w:hint="eastAsia" w:ascii="Times New Roman" w:hAnsi="Times New Roman" w:eastAsia="宋体" w:cs="宋体"/>
                      <w:color w:val="auto"/>
                      <w:kern w:val="2"/>
                      <w:sz w:val="21"/>
                      <w:szCs w:val="21"/>
                      <w:highlight w:val="none"/>
                      <w:u w:val="none"/>
                      <w:lang w:val="en-US" w:eastAsia="zh-CN" w:bidi="ar-SA"/>
                    </w:rPr>
                    <w:fldChar w:fldCharType="end"/>
                  </w:r>
                  <w:r>
                    <w:rPr>
                      <w:rFonts w:hint="eastAsia" w:ascii="Times New Roman" w:hAnsi="Times New Roman" w:eastAsia="宋体" w:cs="宋体"/>
                      <w:color w:val="auto"/>
                      <w:kern w:val="2"/>
                      <w:sz w:val="21"/>
                      <w:szCs w:val="21"/>
                      <w:highlight w:val="none"/>
                      <w:u w:val="none"/>
                      <w:lang w:val="en-US" w:eastAsia="zh-CN" w:bidi="ar-SA"/>
                    </w:rPr>
                    <w:t>排水：医疗废水及医务人员生活污水依托</w:t>
                  </w:r>
                  <w:r>
                    <w:rPr>
                      <w:rFonts w:hint="eastAsia" w:ascii="Times New Roman" w:hAnsi="Times New Roman" w:eastAsia="宋体" w:cs="Times New Roman"/>
                      <w:kern w:val="2"/>
                      <w:sz w:val="21"/>
                      <w:szCs w:val="21"/>
                      <w:highlight w:val="none"/>
                      <w:lang w:val="en-US" w:eastAsia="zh-CN"/>
                    </w:rPr>
                    <w:t>花垣县妇幼保健计划生育服务中心综合楼</w:t>
                  </w:r>
                  <w:r>
                    <w:rPr>
                      <w:rFonts w:hint="eastAsia" w:ascii="Times New Roman" w:hAnsi="Times New Roman" w:eastAsia="宋体" w:cs="宋体"/>
                      <w:color w:val="auto"/>
                      <w:kern w:val="2"/>
                      <w:sz w:val="21"/>
                      <w:szCs w:val="21"/>
                      <w:highlight w:val="none"/>
                      <w:u w:val="none"/>
                      <w:lang w:val="en-US" w:eastAsia="zh-CN" w:bidi="ar-SA"/>
                    </w:rPr>
                    <w:t>现有排污管道、化粪池进行预处理。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33" w:type="pct"/>
                  <w:vMerge w:val="continue"/>
                  <w:noWrap w:val="0"/>
                  <w:vAlign w:val="center"/>
                </w:tcPr>
                <w:p>
                  <w:pPr>
                    <w:widowControl w:val="0"/>
                    <w:adjustRightInd w:val="0"/>
                    <w:snapToGrid w:val="0"/>
                    <w:jc w:val="left"/>
                  </w:pPr>
                </w:p>
              </w:tc>
              <w:tc>
                <w:tcPr>
                  <w:tcW w:w="4566" w:type="pct"/>
                  <w:gridSpan w:val="4"/>
                  <w:noWrap w:val="0"/>
                  <w:vAlign w:val="center"/>
                </w:tcPr>
                <w:p>
                  <w:pPr>
                    <w:widowControl w:val="0"/>
                    <w:adjustRightInd w:val="0"/>
                    <w:snapToGrid w:val="0"/>
                    <w:jc w:val="left"/>
                    <w:rPr>
                      <w:rFonts w:hint="eastAsia" w:ascii="Times New Roman" w:hAnsi="Times New Roman" w:eastAsia="宋体" w:cs="宋体"/>
                      <w:color w:val="auto"/>
                      <w:kern w:val="2"/>
                      <w:sz w:val="21"/>
                      <w:szCs w:val="21"/>
                      <w:highlight w:val="none"/>
                      <w:u w:val="none"/>
                      <w:lang w:val="en-US" w:eastAsia="zh-CN" w:bidi="ar-SA"/>
                    </w:rPr>
                  </w:pPr>
                  <w:r>
                    <w:rPr>
                      <w:rFonts w:hint="eastAsia" w:ascii="Times New Roman" w:hAnsi="Times New Roman" w:eastAsia="宋体" w:cs="宋体"/>
                      <w:color w:val="auto"/>
                      <w:kern w:val="2"/>
                      <w:sz w:val="21"/>
                      <w:szCs w:val="21"/>
                      <w:highlight w:val="none"/>
                      <w:u w:val="none"/>
                      <w:lang w:val="en-US" w:eastAsia="zh-CN" w:bidi="ar-SA"/>
                    </w:rPr>
                    <w:fldChar w:fldCharType="begin"/>
                  </w:r>
                  <w:r>
                    <w:rPr>
                      <w:rFonts w:hint="eastAsia" w:ascii="Times New Roman" w:hAnsi="Times New Roman" w:eastAsia="宋体" w:cs="宋体"/>
                      <w:color w:val="auto"/>
                      <w:kern w:val="2"/>
                      <w:sz w:val="21"/>
                      <w:szCs w:val="21"/>
                      <w:highlight w:val="none"/>
                      <w:u w:val="none"/>
                      <w:lang w:val="en-US" w:eastAsia="zh-CN" w:bidi="ar-SA"/>
                    </w:rPr>
                    <w:instrText xml:space="preserve"> = 3 \* GB3 \* MERGEFORMAT </w:instrText>
                  </w:r>
                  <w:r>
                    <w:rPr>
                      <w:rFonts w:hint="eastAsia" w:ascii="Times New Roman" w:hAnsi="Times New Roman" w:eastAsia="宋体" w:cs="宋体"/>
                      <w:color w:val="auto"/>
                      <w:kern w:val="2"/>
                      <w:sz w:val="21"/>
                      <w:szCs w:val="21"/>
                      <w:highlight w:val="none"/>
                      <w:u w:val="none"/>
                      <w:lang w:val="en-US" w:eastAsia="zh-CN" w:bidi="ar-SA"/>
                    </w:rPr>
                    <w:fldChar w:fldCharType="separate"/>
                  </w:r>
                  <w:r>
                    <w:t>③</w:t>
                  </w:r>
                  <w:r>
                    <w:rPr>
                      <w:rFonts w:hint="eastAsia" w:ascii="Times New Roman" w:hAnsi="Times New Roman" w:eastAsia="宋体" w:cs="宋体"/>
                      <w:color w:val="auto"/>
                      <w:kern w:val="2"/>
                      <w:sz w:val="21"/>
                      <w:szCs w:val="21"/>
                      <w:highlight w:val="none"/>
                      <w:u w:val="none"/>
                      <w:lang w:val="en-US" w:eastAsia="zh-CN" w:bidi="ar-SA"/>
                    </w:rPr>
                    <w:fldChar w:fldCharType="end"/>
                  </w:r>
                  <w:r>
                    <w:rPr>
                      <w:rFonts w:hint="eastAsia" w:cs="宋体"/>
                      <w:color w:val="auto"/>
                      <w:kern w:val="2"/>
                      <w:sz w:val="21"/>
                      <w:szCs w:val="21"/>
                      <w:highlight w:val="none"/>
                      <w:u w:val="none"/>
                      <w:lang w:val="en-US" w:eastAsia="zh-CN" w:bidi="ar-SA"/>
                    </w:rPr>
                    <w:t>供电</w:t>
                  </w:r>
                  <w:r>
                    <w:rPr>
                      <w:rFonts w:hint="eastAsia" w:ascii="Times New Roman" w:hAnsi="Times New Roman" w:eastAsia="宋体" w:cs="宋体"/>
                      <w:color w:val="auto"/>
                      <w:kern w:val="2"/>
                      <w:sz w:val="21"/>
                      <w:szCs w:val="21"/>
                      <w:highlight w:val="none"/>
                      <w:u w:val="none"/>
                      <w:lang w:val="en-US" w:eastAsia="zh-CN" w:bidi="ar-SA"/>
                    </w:rPr>
                    <w:t>：用电依托原花垣县妇幼保健计划生育服务中心综合楼现有电缆敷设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33" w:type="pct"/>
                  <w:vMerge w:val="continue"/>
                  <w:noWrap w:val="0"/>
                  <w:vAlign w:val="center"/>
                </w:tcPr>
                <w:p>
                  <w:pPr>
                    <w:widowControl w:val="0"/>
                    <w:adjustRightInd w:val="0"/>
                    <w:snapToGrid w:val="0"/>
                    <w:jc w:val="left"/>
                  </w:pPr>
                </w:p>
              </w:tc>
              <w:tc>
                <w:tcPr>
                  <w:tcW w:w="4566" w:type="pct"/>
                  <w:gridSpan w:val="4"/>
                  <w:noWrap w:val="0"/>
                  <w:vAlign w:val="center"/>
                </w:tcPr>
                <w:p>
                  <w:pPr>
                    <w:widowControl w:val="0"/>
                    <w:adjustRightInd w:val="0"/>
                    <w:snapToGrid w:val="0"/>
                    <w:jc w:val="left"/>
                    <w:rPr>
                      <w:rFonts w:hint="eastAsia" w:ascii="Times New Roman" w:hAnsi="Times New Roman" w:eastAsia="宋体" w:cs="宋体"/>
                      <w:color w:val="auto"/>
                      <w:kern w:val="2"/>
                      <w:sz w:val="21"/>
                      <w:szCs w:val="21"/>
                      <w:highlight w:val="none"/>
                      <w:u w:val="none"/>
                      <w:lang w:val="en-US" w:eastAsia="zh-CN" w:bidi="ar-SA"/>
                    </w:rPr>
                  </w:pPr>
                  <w:r>
                    <w:rPr>
                      <w:rFonts w:hint="eastAsia" w:cs="宋体"/>
                      <w:color w:val="auto"/>
                      <w:kern w:val="2"/>
                      <w:sz w:val="21"/>
                      <w:szCs w:val="21"/>
                      <w:highlight w:val="none"/>
                      <w:u w:val="none"/>
                      <w:lang w:val="en-US" w:eastAsia="zh-CN" w:bidi="ar-SA"/>
                    </w:rPr>
                    <w:fldChar w:fldCharType="begin"/>
                  </w:r>
                  <w:r>
                    <w:rPr>
                      <w:rFonts w:hint="eastAsia" w:cs="宋体"/>
                      <w:color w:val="auto"/>
                      <w:kern w:val="2"/>
                      <w:sz w:val="21"/>
                      <w:szCs w:val="21"/>
                      <w:highlight w:val="none"/>
                      <w:u w:val="none"/>
                      <w:lang w:val="en-US" w:eastAsia="zh-CN" w:bidi="ar-SA"/>
                    </w:rPr>
                    <w:instrText xml:space="preserve"> = 4 \* GB3 \* MERGEFORMAT </w:instrText>
                  </w:r>
                  <w:r>
                    <w:rPr>
                      <w:rFonts w:hint="eastAsia" w:cs="宋体"/>
                      <w:color w:val="auto"/>
                      <w:kern w:val="2"/>
                      <w:sz w:val="21"/>
                      <w:szCs w:val="21"/>
                      <w:highlight w:val="none"/>
                      <w:u w:val="none"/>
                      <w:lang w:val="en-US" w:eastAsia="zh-CN" w:bidi="ar-SA"/>
                    </w:rPr>
                    <w:fldChar w:fldCharType="separate"/>
                  </w:r>
                  <w:r>
                    <w:t>④</w:t>
                  </w:r>
                  <w:r>
                    <w:rPr>
                      <w:rFonts w:hint="eastAsia" w:cs="宋体"/>
                      <w:color w:val="auto"/>
                      <w:kern w:val="2"/>
                      <w:sz w:val="21"/>
                      <w:szCs w:val="21"/>
                      <w:highlight w:val="none"/>
                      <w:u w:val="none"/>
                      <w:lang w:val="en-US" w:eastAsia="zh-CN" w:bidi="ar-SA"/>
                    </w:rPr>
                    <w:fldChar w:fldCharType="end"/>
                  </w:r>
                  <w:r>
                    <w:rPr>
                      <w:rFonts w:hint="eastAsia" w:cs="宋体"/>
                      <w:color w:val="auto"/>
                      <w:kern w:val="2"/>
                      <w:sz w:val="21"/>
                      <w:szCs w:val="21"/>
                      <w:highlight w:val="none"/>
                      <w:u w:val="none"/>
                      <w:lang w:val="en-US" w:eastAsia="zh-CN" w:bidi="ar-SA"/>
                    </w:rPr>
                    <w:t>一体化污水处理站</w:t>
                  </w:r>
                  <w:r>
                    <w:rPr>
                      <w:rFonts w:hint="eastAsia" w:ascii="Times New Roman" w:hAnsi="Times New Roman" w:eastAsia="宋体" w:cs="宋体"/>
                      <w:color w:val="auto"/>
                      <w:kern w:val="2"/>
                      <w:sz w:val="21"/>
                      <w:szCs w:val="21"/>
                      <w:highlight w:val="none"/>
                      <w:u w:val="none"/>
                      <w:lang w:val="en-US" w:eastAsia="zh-CN" w:bidi="ar-SA"/>
                    </w:rPr>
                    <w:t>：医疗废水及医务人员生活污水依托</w:t>
                  </w:r>
                  <w:r>
                    <w:rPr>
                      <w:rFonts w:hint="eastAsia" w:cs="宋体"/>
                      <w:color w:val="auto"/>
                      <w:kern w:val="2"/>
                      <w:sz w:val="21"/>
                      <w:szCs w:val="21"/>
                      <w:highlight w:val="none"/>
                      <w:u w:val="none"/>
                      <w:lang w:val="en-US" w:eastAsia="zh-CN" w:bidi="ar-SA"/>
                    </w:rPr>
                    <w:t>经化粪池预处理后依托</w:t>
                  </w:r>
                  <w:r>
                    <w:rPr>
                      <w:rFonts w:hint="eastAsia" w:ascii="Times New Roman" w:hAnsi="Times New Roman" w:eastAsia="宋体" w:cs="Times New Roman"/>
                      <w:kern w:val="2"/>
                      <w:sz w:val="21"/>
                      <w:szCs w:val="21"/>
                      <w:highlight w:val="none"/>
                      <w:lang w:val="en-US" w:eastAsia="zh-CN"/>
                    </w:rPr>
                    <w:t>花垣县疾控中心现有</w:t>
                  </w:r>
                  <w:r>
                    <w:rPr>
                      <w:rFonts w:hint="eastAsia" w:cs="Times New Roman"/>
                      <w:kern w:val="2"/>
                      <w:sz w:val="21"/>
                      <w:szCs w:val="21"/>
                      <w:highlight w:val="none"/>
                      <w:lang w:val="en-US" w:eastAsia="zh-CN"/>
                    </w:rPr>
                    <w:t>一体化污水处理设施处理达标后进市政污水管网。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3" w:type="pct"/>
                  <w:vMerge w:val="continue"/>
                  <w:noWrap w:val="0"/>
                  <w:vAlign w:val="center"/>
                </w:tcPr>
                <w:p>
                  <w:pPr>
                    <w:widowControl w:val="0"/>
                    <w:adjustRightInd w:val="0"/>
                    <w:snapToGrid w:val="0"/>
                    <w:jc w:val="left"/>
                    <w:rPr>
                      <w:rFonts w:hint="eastAsia" w:ascii="Times New Roman" w:hAnsi="Times New Roman" w:eastAsia="宋体" w:cs="宋体"/>
                      <w:color w:val="auto"/>
                      <w:kern w:val="2"/>
                      <w:sz w:val="21"/>
                      <w:szCs w:val="21"/>
                      <w:highlight w:val="none"/>
                      <w:u w:val="none"/>
                      <w:lang w:val="en-US" w:eastAsia="zh-CN" w:bidi="ar-SA"/>
                    </w:rPr>
                  </w:pPr>
                </w:p>
              </w:tc>
              <w:tc>
                <w:tcPr>
                  <w:tcW w:w="4566" w:type="pct"/>
                  <w:gridSpan w:val="4"/>
                  <w:noWrap w:val="0"/>
                  <w:vAlign w:val="center"/>
                </w:tcPr>
                <w:p>
                  <w:pPr>
                    <w:widowControl w:val="0"/>
                    <w:autoSpaceDE w:val="0"/>
                    <w:autoSpaceDN w:val="0"/>
                    <w:jc w:val="both"/>
                    <w:rPr>
                      <w:rFonts w:hint="eastAsia" w:ascii="Times New Roman" w:hAnsi="Times New Roman" w:eastAsia="宋体" w:cs="宋体"/>
                      <w:color w:val="auto"/>
                      <w:kern w:val="2"/>
                      <w:sz w:val="21"/>
                      <w:szCs w:val="21"/>
                      <w:highlight w:val="none"/>
                      <w:u w:val="none"/>
                      <w:lang w:val="en-US" w:eastAsia="zh-CN" w:bidi="ar-SA"/>
                    </w:rPr>
                  </w:pPr>
                  <w:r>
                    <w:rPr>
                      <w:rFonts w:hint="eastAsia" w:cs="宋体"/>
                      <w:color w:val="auto"/>
                      <w:kern w:val="2"/>
                      <w:sz w:val="21"/>
                      <w:szCs w:val="21"/>
                      <w:highlight w:val="none"/>
                      <w:u w:val="none"/>
                      <w:lang w:val="en-US" w:eastAsia="zh-CN" w:bidi="ar-SA"/>
                    </w:rPr>
                    <w:fldChar w:fldCharType="begin"/>
                  </w:r>
                  <w:r>
                    <w:rPr>
                      <w:rFonts w:hint="eastAsia" w:cs="宋体"/>
                      <w:color w:val="auto"/>
                      <w:kern w:val="2"/>
                      <w:sz w:val="21"/>
                      <w:szCs w:val="21"/>
                      <w:highlight w:val="none"/>
                      <w:u w:val="none"/>
                      <w:lang w:val="en-US" w:eastAsia="zh-CN" w:bidi="ar-SA"/>
                    </w:rPr>
                    <w:instrText xml:space="preserve"> = 5 \* GB3 \* MERGEFORMAT </w:instrText>
                  </w:r>
                  <w:r>
                    <w:rPr>
                      <w:rFonts w:hint="eastAsia" w:cs="宋体"/>
                      <w:color w:val="auto"/>
                      <w:kern w:val="2"/>
                      <w:sz w:val="21"/>
                      <w:szCs w:val="21"/>
                      <w:highlight w:val="none"/>
                      <w:u w:val="none"/>
                      <w:lang w:val="en-US" w:eastAsia="zh-CN" w:bidi="ar-SA"/>
                    </w:rPr>
                    <w:fldChar w:fldCharType="separate"/>
                  </w:r>
                  <w:r>
                    <w:t>⑤</w:t>
                  </w:r>
                  <w:r>
                    <w:rPr>
                      <w:rFonts w:hint="eastAsia" w:cs="宋体"/>
                      <w:color w:val="auto"/>
                      <w:kern w:val="2"/>
                      <w:sz w:val="21"/>
                      <w:szCs w:val="21"/>
                      <w:highlight w:val="none"/>
                      <w:u w:val="none"/>
                      <w:lang w:val="en-US" w:eastAsia="zh-CN" w:bidi="ar-SA"/>
                    </w:rPr>
                    <w:fldChar w:fldCharType="end"/>
                  </w:r>
                  <w:r>
                    <w:rPr>
                      <w:rFonts w:hint="eastAsia" w:cs="宋体"/>
                      <w:color w:val="auto"/>
                      <w:kern w:val="2"/>
                      <w:sz w:val="21"/>
                      <w:szCs w:val="21"/>
                      <w:highlight w:val="none"/>
                      <w:u w:val="none"/>
                      <w:lang w:val="en-US" w:eastAsia="zh-CN" w:bidi="ar-SA"/>
                    </w:rPr>
                    <w:t>洗衣房：依托花垣县人民医院现有洗衣房，本项不设置洗衣房。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33" w:type="pct"/>
                  <w:vMerge w:val="continue"/>
                  <w:noWrap w:val="0"/>
                  <w:vAlign w:val="center"/>
                </w:tcPr>
                <w:p>
                  <w:pPr>
                    <w:widowControl w:val="0"/>
                    <w:adjustRightInd w:val="0"/>
                    <w:snapToGrid w:val="0"/>
                    <w:jc w:val="left"/>
                    <w:rPr>
                      <w:rFonts w:hint="eastAsia" w:ascii="Times New Roman" w:hAnsi="Times New Roman" w:eastAsia="宋体" w:cs="宋体"/>
                      <w:color w:val="auto"/>
                      <w:kern w:val="2"/>
                      <w:sz w:val="21"/>
                      <w:szCs w:val="21"/>
                      <w:highlight w:val="none"/>
                      <w:u w:val="none"/>
                      <w:lang w:val="en-US" w:eastAsia="zh-CN" w:bidi="ar-SA"/>
                    </w:rPr>
                  </w:pPr>
                </w:p>
              </w:tc>
              <w:tc>
                <w:tcPr>
                  <w:tcW w:w="4566" w:type="pct"/>
                  <w:gridSpan w:val="4"/>
                  <w:noWrap w:val="0"/>
                  <w:vAlign w:val="center"/>
                </w:tcPr>
                <w:p>
                  <w:pPr>
                    <w:widowControl w:val="0"/>
                    <w:adjustRightInd w:val="0"/>
                    <w:snapToGrid w:val="0"/>
                    <w:jc w:val="left"/>
                    <w:rPr>
                      <w:rFonts w:hint="eastAsia" w:ascii="Times New Roman" w:hAnsi="Times New Roman" w:eastAsia="宋体" w:cs="宋体"/>
                      <w:color w:val="auto"/>
                      <w:kern w:val="2"/>
                      <w:sz w:val="21"/>
                      <w:szCs w:val="21"/>
                      <w:highlight w:val="none"/>
                      <w:u w:val="none"/>
                      <w:lang w:val="en-US" w:eastAsia="zh-CN" w:bidi="ar-SA"/>
                    </w:rPr>
                  </w:pPr>
                  <w:r>
                    <w:rPr>
                      <w:rFonts w:hint="eastAsia" w:cs="宋体"/>
                      <w:color w:val="auto"/>
                      <w:kern w:val="2"/>
                      <w:sz w:val="21"/>
                      <w:szCs w:val="21"/>
                      <w:highlight w:val="none"/>
                      <w:u w:val="none"/>
                      <w:lang w:val="en-US" w:eastAsia="zh-CN" w:bidi="ar-SA"/>
                    </w:rPr>
                    <w:fldChar w:fldCharType="begin"/>
                  </w:r>
                  <w:r>
                    <w:rPr>
                      <w:rFonts w:hint="eastAsia" w:cs="宋体"/>
                      <w:color w:val="auto"/>
                      <w:kern w:val="2"/>
                      <w:sz w:val="21"/>
                      <w:szCs w:val="21"/>
                      <w:highlight w:val="none"/>
                      <w:u w:val="none"/>
                      <w:lang w:val="en-US" w:eastAsia="zh-CN" w:bidi="ar-SA"/>
                    </w:rPr>
                    <w:instrText xml:space="preserve"> = 6 \* GB3 \* MERGEFORMAT </w:instrText>
                  </w:r>
                  <w:r>
                    <w:rPr>
                      <w:rFonts w:hint="eastAsia" w:cs="宋体"/>
                      <w:color w:val="auto"/>
                      <w:kern w:val="2"/>
                      <w:sz w:val="21"/>
                      <w:szCs w:val="21"/>
                      <w:highlight w:val="none"/>
                      <w:u w:val="none"/>
                      <w:lang w:val="en-US" w:eastAsia="zh-CN" w:bidi="ar-SA"/>
                    </w:rPr>
                    <w:fldChar w:fldCharType="separate"/>
                  </w:r>
                  <w:r>
                    <w:t>⑥</w:t>
                  </w:r>
                  <w:r>
                    <w:rPr>
                      <w:rFonts w:hint="eastAsia" w:cs="宋体"/>
                      <w:color w:val="auto"/>
                      <w:kern w:val="2"/>
                      <w:sz w:val="21"/>
                      <w:szCs w:val="21"/>
                      <w:highlight w:val="none"/>
                      <w:u w:val="none"/>
                      <w:lang w:val="en-US" w:eastAsia="zh-CN" w:bidi="ar-SA"/>
                    </w:rPr>
                    <w:fldChar w:fldCharType="end"/>
                  </w:r>
                  <w:r>
                    <w:rPr>
                      <w:rFonts w:hint="eastAsia" w:cs="宋体"/>
                      <w:color w:val="auto"/>
                      <w:kern w:val="2"/>
                      <w:sz w:val="21"/>
                      <w:szCs w:val="21"/>
                      <w:highlight w:val="none"/>
                      <w:u w:val="none"/>
                      <w:lang w:val="en-US" w:eastAsia="zh-CN" w:bidi="ar-SA"/>
                    </w:rPr>
                    <w:t>医疗废物暂存间</w:t>
                  </w:r>
                  <w:r>
                    <w:rPr>
                      <w:rFonts w:hint="eastAsia" w:ascii="Times New Roman" w:hAnsi="Times New Roman" w:eastAsia="宋体" w:cs="宋体"/>
                      <w:color w:val="auto"/>
                      <w:kern w:val="2"/>
                      <w:sz w:val="21"/>
                      <w:szCs w:val="21"/>
                      <w:highlight w:val="none"/>
                      <w:u w:val="none"/>
                      <w:lang w:val="en-US" w:eastAsia="zh-CN" w:bidi="ar-SA"/>
                    </w:rPr>
                    <w:t>：医疗废物</w:t>
                  </w:r>
                  <w:r>
                    <w:rPr>
                      <w:rFonts w:hint="eastAsia" w:cs="宋体"/>
                      <w:color w:val="auto"/>
                      <w:kern w:val="2"/>
                      <w:sz w:val="21"/>
                      <w:szCs w:val="21"/>
                      <w:highlight w:val="none"/>
                      <w:u w:val="none"/>
                      <w:lang w:val="en-US" w:eastAsia="zh-CN" w:bidi="ar-SA"/>
                    </w:rPr>
                    <w:t>，</w:t>
                  </w:r>
                  <w:r>
                    <w:rPr>
                      <w:rFonts w:hint="eastAsia" w:ascii="Times New Roman" w:hAnsi="Times New Roman" w:eastAsia="宋体" w:cs="Times New Roman"/>
                      <w:kern w:val="2"/>
                      <w:sz w:val="21"/>
                      <w:szCs w:val="21"/>
                      <w:highlight w:val="none"/>
                      <w:lang w:val="en-US" w:eastAsia="zh-CN"/>
                    </w:rPr>
                    <w:t>化粪池污泥</w:t>
                  </w:r>
                  <w:r>
                    <w:rPr>
                      <w:rFonts w:hint="eastAsia" w:cs="Times New Roman"/>
                      <w:kern w:val="2"/>
                      <w:sz w:val="21"/>
                      <w:szCs w:val="21"/>
                      <w:highlight w:val="none"/>
                      <w:lang w:val="en-US" w:eastAsia="zh-CN"/>
                    </w:rPr>
                    <w:t>，废药物、药品</w:t>
                  </w:r>
                  <w:r>
                    <w:rPr>
                      <w:rFonts w:hint="eastAsia" w:ascii="Times New Roman" w:hAnsi="Times New Roman" w:eastAsia="宋体" w:cs="Times New Roman"/>
                      <w:kern w:val="2"/>
                      <w:sz w:val="21"/>
                      <w:szCs w:val="21"/>
                      <w:highlight w:val="none"/>
                      <w:lang w:val="en-US" w:eastAsia="zh-CN"/>
                    </w:rPr>
                    <w:t>依托于花垣县疾控中心现有医废暂存间（63m</w:t>
                  </w:r>
                  <w:r>
                    <w:rPr>
                      <w:rFonts w:hint="eastAsia" w:ascii="Times New Roman" w:hAnsi="Times New Roman" w:eastAsia="宋体" w:cs="Times New Roman"/>
                      <w:kern w:val="2"/>
                      <w:sz w:val="21"/>
                      <w:szCs w:val="21"/>
                      <w:highlight w:val="none"/>
                      <w:vertAlign w:val="superscript"/>
                      <w:lang w:val="en-US" w:eastAsia="zh-CN"/>
                    </w:rPr>
                    <w:t>2</w:t>
                  </w:r>
                  <w:r>
                    <w:rPr>
                      <w:rFonts w:hint="eastAsia" w:ascii="Times New Roman" w:hAnsi="Times New Roman" w:eastAsia="宋体" w:cs="Times New Roman"/>
                      <w:kern w:val="2"/>
                      <w:sz w:val="21"/>
                      <w:szCs w:val="21"/>
                      <w:highlight w:val="none"/>
                      <w:lang w:val="en-US" w:eastAsia="zh-CN"/>
                    </w:rPr>
                    <w:t>）。花垣县疾控中心在现有</w:t>
                  </w:r>
                  <w:r>
                    <w:rPr>
                      <w:rFonts w:hint="eastAsia" w:cs="Times New Roman"/>
                      <w:kern w:val="2"/>
                      <w:sz w:val="21"/>
                      <w:szCs w:val="21"/>
                      <w:highlight w:val="none"/>
                      <w:lang w:val="en-US" w:eastAsia="zh-CN"/>
                    </w:rPr>
                    <w:t>医废暂存间</w:t>
                  </w:r>
                  <w:r>
                    <w:rPr>
                      <w:rFonts w:hint="eastAsia" w:ascii="Times New Roman" w:hAnsi="Times New Roman" w:eastAsia="宋体" w:cs="Times New Roman"/>
                      <w:kern w:val="2"/>
                      <w:sz w:val="21"/>
                      <w:szCs w:val="21"/>
                      <w:highlight w:val="none"/>
                      <w:lang w:val="en-US" w:eastAsia="zh-CN"/>
                    </w:rPr>
                    <w:t>内无偿提供</w:t>
                  </w:r>
                  <w:r>
                    <w:rPr>
                      <w:rFonts w:hint="eastAsia" w:cs="Times New Roman"/>
                      <w:kern w:val="2"/>
                      <w:sz w:val="21"/>
                      <w:szCs w:val="21"/>
                      <w:highlight w:val="none"/>
                      <w:lang w:val="en-US" w:eastAsia="zh-CN"/>
                    </w:rPr>
                    <w:t>建筑面积2</w:t>
                  </w:r>
                  <w:r>
                    <w:rPr>
                      <w:rFonts w:hint="eastAsia" w:ascii="Times New Roman" w:hAnsi="Times New Roman" w:eastAsia="宋体" w:cs="Times New Roman"/>
                      <w:kern w:val="2"/>
                      <w:sz w:val="21"/>
                      <w:szCs w:val="21"/>
                      <w:highlight w:val="none"/>
                      <w:lang w:val="en-US" w:eastAsia="zh-CN"/>
                    </w:rPr>
                    <w:t>0m</w:t>
                  </w:r>
                  <w:r>
                    <w:rPr>
                      <w:rFonts w:hint="eastAsia" w:ascii="Times New Roman" w:hAnsi="Times New Roman" w:eastAsia="宋体" w:cs="Times New Roman"/>
                      <w:kern w:val="2"/>
                      <w:sz w:val="21"/>
                      <w:szCs w:val="21"/>
                      <w:highlight w:val="none"/>
                      <w:vertAlign w:val="superscript"/>
                      <w:lang w:val="en-US" w:eastAsia="zh-CN"/>
                    </w:rPr>
                    <w:t>2</w:t>
                  </w:r>
                  <w:r>
                    <w:rPr>
                      <w:rFonts w:hint="eastAsia" w:ascii="Times New Roman" w:hAnsi="Times New Roman" w:eastAsia="宋体" w:cs="Times New Roman"/>
                      <w:kern w:val="2"/>
                      <w:sz w:val="21"/>
                      <w:szCs w:val="21"/>
                      <w:highlight w:val="none"/>
                      <w:lang w:val="en-US" w:eastAsia="zh-CN"/>
                    </w:rPr>
                    <w:t>用于本项目</w:t>
                  </w:r>
                  <w:r>
                    <w:rPr>
                      <w:rFonts w:hint="eastAsia" w:cs="Times New Roman"/>
                      <w:kern w:val="2"/>
                      <w:sz w:val="21"/>
                      <w:szCs w:val="21"/>
                      <w:highlight w:val="none"/>
                      <w:lang w:val="en-US" w:eastAsia="zh-CN"/>
                    </w:rPr>
                    <w:t>医废暂存</w:t>
                  </w:r>
                  <w:r>
                    <w:rPr>
                      <w:rFonts w:hint="eastAsia" w:ascii="Times New Roman" w:hAnsi="Times New Roman" w:eastAsia="宋体" w:cs="Times New Roman"/>
                      <w:kern w:val="2"/>
                      <w:sz w:val="21"/>
                      <w:szCs w:val="21"/>
                      <w:highlight w:val="none"/>
                      <w:lang w:val="en-US" w:eastAsia="zh-CN"/>
                    </w:rPr>
                    <w:t>，按《危险废物贮存污染控制标准》（GB18597-2</w:t>
                  </w:r>
                  <w:r>
                    <w:rPr>
                      <w:rFonts w:hint="eastAsia" w:cs="Times New Roman"/>
                      <w:kern w:val="2"/>
                      <w:sz w:val="21"/>
                      <w:szCs w:val="21"/>
                      <w:highlight w:val="none"/>
                      <w:lang w:val="en-US" w:eastAsia="zh-CN"/>
                    </w:rPr>
                    <w:t>023）</w:t>
                  </w:r>
                  <w:r>
                    <w:rPr>
                      <w:rFonts w:hint="eastAsia" w:ascii="Times New Roman" w:hAnsi="Times New Roman" w:eastAsia="宋体" w:cs="Times New Roman"/>
                      <w:kern w:val="2"/>
                      <w:sz w:val="21"/>
                      <w:szCs w:val="21"/>
                      <w:highlight w:val="none"/>
                      <w:lang w:val="en-US" w:eastAsia="zh-CN"/>
                    </w:rPr>
                    <w:t>采取防扬散、防流失、防渗漏及其他防止污染环境的措施，定期交由</w:t>
                  </w:r>
                  <w:r>
                    <w:rPr>
                      <w:rFonts w:hint="eastAsia" w:cs="Times New Roman"/>
                      <w:kern w:val="2"/>
                      <w:sz w:val="21"/>
                      <w:szCs w:val="21"/>
                      <w:highlight w:val="none"/>
                      <w:lang w:val="en-US" w:eastAsia="zh-CN"/>
                    </w:rPr>
                    <w:t>有资质的单位进行处置。</w:t>
                  </w:r>
                </w:p>
              </w:tc>
            </w:tr>
          </w:tbl>
          <w:p>
            <w:pPr>
              <w:pStyle w:val="161"/>
              <w:rPr>
                <w:rFonts w:hint="default" w:ascii="Times New Roman" w:hAnsi="Times New Roman" w:cs="Times New Roman"/>
                <w:sz w:val="24"/>
                <w:szCs w:val="24"/>
                <w:u w:val="none" w:color="auto"/>
                <w:lang w:val="en-US" w:eastAsia="zh-CN"/>
              </w:rPr>
            </w:pPr>
            <w:r>
              <w:rPr>
                <w:rFonts w:hint="eastAsia" w:ascii="Times New Roman" w:hAnsi="Times New Roman" w:cs="Times New Roman"/>
                <w:sz w:val="24"/>
                <w:szCs w:val="24"/>
                <w:u w:val="none" w:color="auto"/>
                <w:lang w:val="en-US" w:eastAsia="zh-CN"/>
              </w:rPr>
              <w:t>4</w:t>
            </w:r>
            <w:r>
              <w:rPr>
                <w:rFonts w:hint="default" w:ascii="Times New Roman" w:hAnsi="Times New Roman" w:cs="Times New Roman"/>
                <w:sz w:val="24"/>
                <w:szCs w:val="24"/>
                <w:u w:val="none" w:color="auto"/>
                <w:lang w:val="en-US" w:eastAsia="zh-CN"/>
              </w:rPr>
              <w:t>、原辅材料使用情况</w:t>
            </w:r>
          </w:p>
          <w:p>
            <w:pPr>
              <w:pStyle w:val="98"/>
              <w:ind w:firstLine="480"/>
              <w:rPr>
                <w:rFonts w:hint="eastAsia" w:eastAsia="宋体"/>
                <w:sz w:val="24"/>
                <w:szCs w:val="24"/>
                <w:u w:val="none" w:color="auto"/>
                <w:lang w:eastAsia="zh-CN"/>
              </w:rPr>
            </w:pPr>
            <w:r>
              <w:rPr>
                <w:rFonts w:hint="eastAsia" w:ascii="Times New Roman" w:hAnsi="Times New Roman" w:eastAsia="宋体" w:cs="Times New Roman"/>
                <w:color w:val="auto"/>
                <w:kern w:val="2"/>
                <w:sz w:val="24"/>
                <w:szCs w:val="24"/>
                <w:lang w:val="en-US" w:eastAsia="zh-CN"/>
              </w:rPr>
              <w:t>本项目</w:t>
            </w:r>
            <w:r>
              <w:rPr>
                <w:rFonts w:ascii="Times New Roman" w:hAnsi="Times New Roman" w:eastAsia="宋体" w:cs="Times New Roman"/>
                <w:color w:val="auto"/>
                <w:kern w:val="2"/>
                <w:sz w:val="24"/>
                <w:szCs w:val="24"/>
              </w:rPr>
              <w:t>主要原辅材料</w:t>
            </w:r>
            <w:r>
              <w:rPr>
                <w:rStyle w:val="47"/>
                <w:rFonts w:hint="eastAsia" w:ascii="Times New Roman" w:hAnsi="Times New Roman" w:eastAsia="宋体" w:cs="Times New Roman"/>
                <w:color w:val="auto"/>
                <w:kern w:val="0"/>
                <w:sz w:val="24"/>
                <w:szCs w:val="24"/>
                <w:lang w:eastAsia="zh-CN"/>
              </w:rPr>
              <w:t>及能源消耗</w:t>
            </w:r>
            <w:r>
              <w:rPr>
                <w:rFonts w:hint="eastAsia" w:ascii="Times New Roman" w:hAnsi="Times New Roman" w:eastAsia="宋体" w:cs="Times New Roman"/>
                <w:color w:val="auto"/>
                <w:kern w:val="2"/>
                <w:sz w:val="24"/>
                <w:szCs w:val="24"/>
              </w:rPr>
              <w:t>见表2-</w:t>
            </w:r>
            <w:r>
              <w:rPr>
                <w:rFonts w:hint="eastAsia" w:ascii="Times New Roman" w:hAnsi="Times New Roman" w:eastAsia="宋体" w:cs="Times New Roman"/>
                <w:color w:val="auto"/>
                <w:kern w:val="2"/>
                <w:sz w:val="24"/>
                <w:szCs w:val="24"/>
                <w:lang w:val="en-US" w:eastAsia="zh-CN"/>
              </w:rPr>
              <w:t>2</w:t>
            </w:r>
            <w:r>
              <w:rPr>
                <w:rFonts w:hint="eastAsia" w:ascii="Times New Roman" w:hAnsi="Times New Roman" w:eastAsia="宋体" w:cs="Times New Roman"/>
                <w:color w:val="auto"/>
                <w:kern w:val="2"/>
                <w:sz w:val="24"/>
                <w:szCs w:val="24"/>
              </w:rPr>
              <w:t>，理化性质见表2-</w:t>
            </w:r>
            <w:r>
              <w:rPr>
                <w:rFonts w:hint="eastAsia" w:ascii="Times New Roman" w:hAnsi="Times New Roman" w:eastAsia="宋体" w:cs="Times New Roman"/>
                <w:color w:val="auto"/>
                <w:kern w:val="2"/>
                <w:sz w:val="24"/>
                <w:szCs w:val="24"/>
                <w:lang w:val="en-US" w:eastAsia="zh-CN"/>
              </w:rPr>
              <w:t>3</w:t>
            </w:r>
            <w:r>
              <w:rPr>
                <w:rFonts w:hint="eastAsia"/>
                <w:sz w:val="24"/>
                <w:szCs w:val="24"/>
                <w:u w:val="none" w:color="auto"/>
                <w:lang w:eastAsia="zh-CN"/>
              </w:rPr>
              <w:t>。</w:t>
            </w:r>
          </w:p>
          <w:p>
            <w:pPr>
              <w:pStyle w:val="8"/>
              <w:keepNext/>
              <w:keepLines w:val="0"/>
              <w:pageBreakBefore w:val="0"/>
              <w:widowControl/>
              <w:kinsoku/>
              <w:wordWrap/>
              <w:overflowPunct/>
              <w:topLinePunct w:val="0"/>
              <w:autoSpaceDE/>
              <w:autoSpaceDN/>
              <w:bidi w:val="0"/>
              <w:adjustRightInd/>
              <w:snapToGrid/>
              <w:spacing w:line="240" w:lineRule="auto"/>
              <w:textAlignment w:val="auto"/>
              <w:rPr>
                <w:rFonts w:hint="eastAsia"/>
                <w:u w:val="none" w:color="auto"/>
              </w:rPr>
            </w:pPr>
            <w:r>
              <w:rPr>
                <w:rFonts w:hint="eastAsia"/>
                <w:u w:val="none" w:color="auto"/>
              </w:rPr>
              <w:t>表2-</w:t>
            </w:r>
            <w:r>
              <w:rPr>
                <w:rFonts w:hint="eastAsia"/>
                <w:u w:val="none" w:color="auto"/>
                <w:lang w:val="en-US" w:eastAsia="zh-CN"/>
              </w:rPr>
              <w:t xml:space="preserve">5  </w:t>
            </w:r>
            <w:r>
              <w:rPr>
                <w:rFonts w:hint="eastAsia"/>
                <w:u w:val="none" w:color="auto"/>
              </w:rPr>
              <w:t>本项目主要原辅材料及燃料消耗用量一览表</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530"/>
              <w:gridCol w:w="1080"/>
              <w:gridCol w:w="930"/>
              <w:gridCol w:w="1005"/>
              <w:gridCol w:w="960"/>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jc w:val="center"/>
                    <w:textAlignment w:val="center"/>
                    <w:rPr>
                      <w:rFonts w:hint="eastAsia" w:ascii="宋体" w:hAnsi="宋体" w:eastAsia="宋体" w:cs="宋体"/>
                      <w:color w:val="auto"/>
                      <w:kern w:val="0"/>
                      <w:sz w:val="21"/>
                      <w:szCs w:val="21"/>
                    </w:rPr>
                  </w:pPr>
                  <w:r>
                    <w:rPr>
                      <w:rFonts w:ascii="Times New Roman" w:hAnsi="Times New Roman" w:eastAsia="宋体" w:cs="Times New Roman"/>
                      <w:bCs/>
                      <w:color w:val="auto"/>
                      <w:kern w:val="0"/>
                      <w:sz w:val="21"/>
                      <w:szCs w:val="21"/>
                      <w:lang w:bidi="ar"/>
                    </w:rPr>
                    <w:t>序号</w:t>
                  </w:r>
                </w:p>
              </w:tc>
              <w:tc>
                <w:tcPr>
                  <w:tcW w:w="967" w:type="pct"/>
                  <w:noWrap w:val="0"/>
                  <w:vAlign w:val="center"/>
                </w:tcPr>
                <w:p>
                  <w:pPr>
                    <w:widowControl/>
                    <w:jc w:val="center"/>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名称</w:t>
                  </w:r>
                </w:p>
              </w:tc>
              <w:tc>
                <w:tcPr>
                  <w:tcW w:w="683" w:type="pct"/>
                  <w:noWrap w:val="0"/>
                  <w:vAlign w:val="center"/>
                </w:tcPr>
                <w:p>
                  <w:pPr>
                    <w:widowControl/>
                    <w:jc w:val="center"/>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单位</w:t>
                  </w:r>
                </w:p>
              </w:tc>
              <w:tc>
                <w:tcPr>
                  <w:tcW w:w="588" w:type="pct"/>
                  <w:noWrap w:val="0"/>
                  <w:vAlign w:val="center"/>
                </w:tcPr>
                <w:p>
                  <w:pPr>
                    <w:widowControl/>
                    <w:jc w:val="center"/>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年用量</w:t>
                  </w:r>
                </w:p>
              </w:tc>
              <w:tc>
                <w:tcPr>
                  <w:tcW w:w="635" w:type="pct"/>
                  <w:noWrap w:val="0"/>
                  <w:vAlign w:val="center"/>
                </w:tcPr>
                <w:p>
                  <w:pPr>
                    <w:widowControl/>
                    <w:jc w:val="center"/>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最大暂存量</w:t>
                  </w:r>
                </w:p>
              </w:tc>
              <w:tc>
                <w:tcPr>
                  <w:tcW w:w="607" w:type="pct"/>
                  <w:noWrap w:val="0"/>
                  <w:vAlign w:val="center"/>
                </w:tcPr>
                <w:p>
                  <w:pPr>
                    <w:widowControl/>
                    <w:jc w:val="center"/>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来源</w:t>
                  </w:r>
                </w:p>
              </w:tc>
              <w:tc>
                <w:tcPr>
                  <w:tcW w:w="1186" w:type="pct"/>
                  <w:noWrap w:val="0"/>
                  <w:vAlign w:val="center"/>
                </w:tcPr>
                <w:p>
                  <w:pPr>
                    <w:widowControl/>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00" w:type="pct"/>
                  <w:gridSpan w:val="7"/>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宋体" w:hAnsi="宋体" w:eastAsia="宋体" w:cs="Times New Roman"/>
                      <w:color w:val="auto"/>
                      <w:spacing w:val="2"/>
                      <w:kern w:val="2"/>
                      <w:sz w:val="21"/>
                    </w:rPr>
                    <w:t>（一</w:t>
                  </w:r>
                  <w:r>
                    <w:rPr>
                      <w:rFonts w:hint="eastAsia" w:ascii="宋体" w:hAnsi="宋体" w:eastAsia="宋体" w:cs="Times New Roman"/>
                      <w:color w:val="auto"/>
                      <w:spacing w:val="-1"/>
                      <w:kern w:val="2"/>
                      <w:sz w:val="21"/>
                    </w:rPr>
                    <w:t>）</w:t>
                  </w:r>
                  <w:r>
                    <w:rPr>
                      <w:rFonts w:hint="eastAsia" w:ascii="宋体" w:hAnsi="宋体" w:eastAsia="宋体" w:cs="Times New Roman"/>
                      <w:color w:val="auto"/>
                      <w:spacing w:val="2"/>
                      <w:kern w:val="2"/>
                      <w:sz w:val="21"/>
                    </w:rPr>
                    <w:t>医疗原</w:t>
                  </w:r>
                  <w:r>
                    <w:rPr>
                      <w:rFonts w:hint="eastAsia" w:ascii="宋体" w:hAnsi="宋体" w:eastAsia="宋体" w:cs="Times New Roman"/>
                      <w:color w:val="auto"/>
                      <w:spacing w:val="-1"/>
                      <w:kern w:val="2"/>
                      <w:sz w:val="21"/>
                    </w:rPr>
                    <w:t>材</w:t>
                  </w:r>
                  <w:r>
                    <w:rPr>
                      <w:rFonts w:hint="eastAsia" w:ascii="宋体" w:hAnsi="宋体" w:eastAsia="宋体" w:cs="Times New Roman"/>
                      <w:color w:val="auto"/>
                      <w:kern w:val="2"/>
                      <w:sz w:val="21"/>
                    </w:rPr>
                    <w:t>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1</w:t>
                  </w:r>
                </w:p>
              </w:tc>
              <w:tc>
                <w:tcPr>
                  <w:tcW w:w="967" w:type="pct"/>
                  <w:noWrap w:val="0"/>
                  <w:vAlign w:val="center"/>
                </w:tcPr>
                <w:p>
                  <w:pPr>
                    <w:widowControl w:val="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一次性口罩</w:t>
                  </w:r>
                </w:p>
              </w:tc>
              <w:tc>
                <w:tcPr>
                  <w:tcW w:w="683"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个</w:t>
                  </w:r>
                </w:p>
              </w:tc>
              <w:tc>
                <w:tcPr>
                  <w:tcW w:w="588"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3700</w:t>
                  </w:r>
                </w:p>
              </w:tc>
              <w:tc>
                <w:tcPr>
                  <w:tcW w:w="635"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5</w:t>
                  </w:r>
                  <w:r>
                    <w:rPr>
                      <w:rFonts w:hint="eastAsia" w:ascii="Times New Roman" w:hAnsi="Times New Roman" w:eastAsia="宋体" w:cs="Times New Roman"/>
                      <w:color w:val="auto"/>
                      <w:kern w:val="2"/>
                      <w:sz w:val="21"/>
                      <w:szCs w:val="21"/>
                      <w:lang w:val="en-US" w:eastAsia="zh-CN"/>
                    </w:rPr>
                    <w:t>00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restar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贮存于药房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2</w:t>
                  </w:r>
                </w:p>
              </w:tc>
              <w:tc>
                <w:tcPr>
                  <w:tcW w:w="967" w:type="pct"/>
                  <w:noWrap w:val="0"/>
                  <w:vAlign w:val="center"/>
                </w:tcPr>
                <w:p>
                  <w:pPr>
                    <w:widowControl w:val="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一次性输液管</w:t>
                  </w:r>
                </w:p>
              </w:tc>
              <w:tc>
                <w:tcPr>
                  <w:tcW w:w="683" w:type="pct"/>
                  <w:noWrap w:val="0"/>
                  <w:vAlign w:val="center"/>
                </w:tcPr>
                <w:p>
                  <w:pPr>
                    <w:widowControl/>
                    <w:jc w:val="center"/>
                    <w:textAlignment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副</w:t>
                  </w:r>
                </w:p>
              </w:tc>
              <w:tc>
                <w:tcPr>
                  <w:tcW w:w="588"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1095</w:t>
                  </w:r>
                </w:p>
              </w:tc>
              <w:tc>
                <w:tcPr>
                  <w:tcW w:w="635"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500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continue"/>
                  <w:noWrap w:val="0"/>
                  <w:vAlign w:val="center"/>
                </w:tcPr>
                <w:p>
                  <w:pPr>
                    <w:widowControl/>
                    <w:jc w:val="center"/>
                    <w:textAlignment w:val="center"/>
                    <w:rPr>
                      <w:rFonts w:hint="eastAsia"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3</w:t>
                  </w:r>
                </w:p>
              </w:tc>
              <w:tc>
                <w:tcPr>
                  <w:tcW w:w="967" w:type="pct"/>
                  <w:noWrap w:val="0"/>
                  <w:vAlign w:val="center"/>
                </w:tcPr>
                <w:p>
                  <w:pPr>
                    <w:widowControl w:val="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一次性注射器</w:t>
                  </w:r>
                </w:p>
              </w:tc>
              <w:tc>
                <w:tcPr>
                  <w:tcW w:w="683"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副</w:t>
                  </w:r>
                </w:p>
              </w:tc>
              <w:tc>
                <w:tcPr>
                  <w:tcW w:w="588"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2100</w:t>
                  </w:r>
                </w:p>
              </w:tc>
              <w:tc>
                <w:tcPr>
                  <w:tcW w:w="635"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1000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continue"/>
                  <w:noWrap w:val="0"/>
                  <w:vAlign w:val="center"/>
                </w:tcPr>
                <w:p>
                  <w:pPr>
                    <w:widowControl/>
                    <w:jc w:val="center"/>
                    <w:textAlignment w:val="center"/>
                    <w:rPr>
                      <w:rFonts w:hint="eastAsia"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4</w:t>
                  </w:r>
                </w:p>
              </w:tc>
              <w:tc>
                <w:tcPr>
                  <w:tcW w:w="967" w:type="pct"/>
                  <w:noWrap w:val="0"/>
                  <w:vAlign w:val="center"/>
                </w:tcPr>
                <w:p>
                  <w:pPr>
                    <w:widowControl w:val="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一次性手套</w:t>
                  </w:r>
                </w:p>
              </w:tc>
              <w:tc>
                <w:tcPr>
                  <w:tcW w:w="683" w:type="pct"/>
                  <w:noWrap w:val="0"/>
                  <w:vAlign w:val="center"/>
                </w:tcPr>
                <w:p>
                  <w:pPr>
                    <w:widowControl/>
                    <w:jc w:val="center"/>
                    <w:textAlignment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副</w:t>
                  </w:r>
                </w:p>
              </w:tc>
              <w:tc>
                <w:tcPr>
                  <w:tcW w:w="588"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3650</w:t>
                  </w:r>
                </w:p>
              </w:tc>
              <w:tc>
                <w:tcPr>
                  <w:tcW w:w="635"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1200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continue"/>
                  <w:noWrap w:val="0"/>
                  <w:vAlign w:val="center"/>
                </w:tcPr>
                <w:p>
                  <w:pPr>
                    <w:widowControl/>
                    <w:jc w:val="center"/>
                    <w:textAlignment w:val="center"/>
                    <w:rPr>
                      <w:rFonts w:hint="eastAsia"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5</w:t>
                  </w:r>
                </w:p>
              </w:tc>
              <w:tc>
                <w:tcPr>
                  <w:tcW w:w="967"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中成药</w:t>
                  </w:r>
                </w:p>
              </w:tc>
              <w:tc>
                <w:tcPr>
                  <w:tcW w:w="683"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盒</w:t>
                  </w:r>
                </w:p>
              </w:tc>
              <w:tc>
                <w:tcPr>
                  <w:tcW w:w="588"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200</w:t>
                  </w:r>
                </w:p>
              </w:tc>
              <w:tc>
                <w:tcPr>
                  <w:tcW w:w="635"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50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continue"/>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6</w:t>
                  </w:r>
                </w:p>
              </w:tc>
              <w:tc>
                <w:tcPr>
                  <w:tcW w:w="967"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西药</w:t>
                  </w:r>
                </w:p>
              </w:tc>
              <w:tc>
                <w:tcPr>
                  <w:tcW w:w="683" w:type="pct"/>
                  <w:noWrap w:val="0"/>
                  <w:vAlign w:val="center"/>
                </w:tcPr>
                <w:p>
                  <w:pPr>
                    <w:widowControl/>
                    <w:jc w:val="center"/>
                    <w:textAlignment w:val="center"/>
                    <w:rPr>
                      <w:rFonts w:hint="eastAsia"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盒</w:t>
                  </w:r>
                </w:p>
              </w:tc>
              <w:tc>
                <w:tcPr>
                  <w:tcW w:w="588"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1200</w:t>
                  </w:r>
                </w:p>
              </w:tc>
              <w:tc>
                <w:tcPr>
                  <w:tcW w:w="635"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120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continue"/>
                  <w:noWrap w:val="0"/>
                  <w:vAlign w:val="center"/>
                </w:tcPr>
                <w:p>
                  <w:pPr>
                    <w:widowControl/>
                    <w:jc w:val="center"/>
                    <w:textAlignment w:val="center"/>
                    <w:rPr>
                      <w:rFonts w:hint="eastAsia"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7</w:t>
                  </w:r>
                </w:p>
              </w:tc>
              <w:tc>
                <w:tcPr>
                  <w:tcW w:w="967"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葡萄糖注射液</w:t>
                  </w:r>
                </w:p>
              </w:tc>
              <w:tc>
                <w:tcPr>
                  <w:tcW w:w="683" w:type="pct"/>
                  <w:noWrap w:val="0"/>
                  <w:vAlign w:val="center"/>
                </w:tcPr>
                <w:p>
                  <w:pPr>
                    <w:widowControl/>
                    <w:jc w:val="center"/>
                    <w:textAlignment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rPr>
                    <w:t>500ml/瓶</w:t>
                  </w:r>
                </w:p>
              </w:tc>
              <w:tc>
                <w:tcPr>
                  <w:tcW w:w="588"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30</w:t>
                  </w:r>
                </w:p>
              </w:tc>
              <w:tc>
                <w:tcPr>
                  <w:tcW w:w="635"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continue"/>
                  <w:noWrap w:val="0"/>
                  <w:vAlign w:val="center"/>
                </w:tcPr>
                <w:p>
                  <w:pPr>
                    <w:widowControl/>
                    <w:jc w:val="center"/>
                    <w:textAlignment w:val="center"/>
                    <w:rPr>
                      <w:rFonts w:hint="eastAsia"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8</w:t>
                  </w:r>
                </w:p>
              </w:tc>
              <w:tc>
                <w:tcPr>
                  <w:tcW w:w="967"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氯化钠注射液</w:t>
                  </w:r>
                </w:p>
              </w:tc>
              <w:tc>
                <w:tcPr>
                  <w:tcW w:w="683" w:type="pct"/>
                  <w:noWrap w:val="0"/>
                  <w:vAlign w:val="center"/>
                </w:tcPr>
                <w:p>
                  <w:pPr>
                    <w:widowControl/>
                    <w:jc w:val="center"/>
                    <w:textAlignment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rPr>
                    <w:t>500ml/瓶</w:t>
                  </w:r>
                </w:p>
              </w:tc>
              <w:tc>
                <w:tcPr>
                  <w:tcW w:w="588"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20</w:t>
                  </w:r>
                </w:p>
              </w:tc>
              <w:tc>
                <w:tcPr>
                  <w:tcW w:w="635"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continue"/>
                  <w:noWrap w:val="0"/>
                  <w:vAlign w:val="center"/>
                </w:tcPr>
                <w:p>
                  <w:pPr>
                    <w:widowControl/>
                    <w:jc w:val="center"/>
                    <w:textAlignment w:val="center"/>
                    <w:rPr>
                      <w:rFonts w:hint="eastAsia"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9</w:t>
                  </w:r>
                </w:p>
              </w:tc>
              <w:tc>
                <w:tcPr>
                  <w:tcW w:w="967"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医用棉签</w:t>
                  </w:r>
                </w:p>
              </w:tc>
              <w:tc>
                <w:tcPr>
                  <w:tcW w:w="683" w:type="pct"/>
                  <w:noWrap w:val="0"/>
                  <w:vAlign w:val="center"/>
                </w:tcPr>
                <w:p>
                  <w:pPr>
                    <w:widowControl/>
                    <w:jc w:val="center"/>
                    <w:textAlignment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盒</w:t>
                  </w:r>
                </w:p>
              </w:tc>
              <w:tc>
                <w:tcPr>
                  <w:tcW w:w="588"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60</w:t>
                  </w:r>
                </w:p>
              </w:tc>
              <w:tc>
                <w:tcPr>
                  <w:tcW w:w="635" w:type="pct"/>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continue"/>
                  <w:noWrap w:val="0"/>
                  <w:vAlign w:val="center"/>
                </w:tcPr>
                <w:p>
                  <w:pPr>
                    <w:widowControl/>
                    <w:jc w:val="center"/>
                    <w:textAlignment w:val="center"/>
                    <w:rPr>
                      <w:rFonts w:hint="eastAsia"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10</w:t>
                  </w:r>
                </w:p>
              </w:tc>
              <w:tc>
                <w:tcPr>
                  <w:tcW w:w="967" w:type="pct"/>
                  <w:noWrap w:val="0"/>
                  <w:vAlign w:val="center"/>
                </w:tcPr>
                <w:p>
                  <w:pPr>
                    <w:widowControl w:val="0"/>
                    <w:jc w:val="center"/>
                    <w:rPr>
                      <w:rFonts w:ascii="Times New Roman" w:hAnsi="Times New Roman" w:eastAsia="宋体" w:cs="Times New Roman"/>
                      <w:color w:val="auto"/>
                      <w:kern w:val="2"/>
                      <w:sz w:val="21"/>
                      <w:szCs w:val="21"/>
                    </w:rPr>
                  </w:pPr>
                  <w:r>
                    <w:rPr>
                      <w:rFonts w:hint="eastAsia" w:cs="Times New Roman"/>
                      <w:color w:val="auto"/>
                      <w:kern w:val="2"/>
                      <w:sz w:val="21"/>
                      <w:szCs w:val="21"/>
                      <w:lang w:val="en-US" w:eastAsia="zh-CN"/>
                    </w:rPr>
                    <w:t>医用</w:t>
                  </w:r>
                  <w:r>
                    <w:rPr>
                      <w:rFonts w:hint="eastAsia" w:ascii="Times New Roman" w:hAnsi="Times New Roman" w:eastAsia="宋体" w:cs="Times New Roman"/>
                      <w:color w:val="auto"/>
                      <w:kern w:val="2"/>
                      <w:sz w:val="21"/>
                      <w:szCs w:val="21"/>
                    </w:rPr>
                    <w:t>酒精</w:t>
                  </w:r>
                </w:p>
              </w:tc>
              <w:tc>
                <w:tcPr>
                  <w:tcW w:w="683"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100ml/瓶</w:t>
                  </w:r>
                </w:p>
              </w:tc>
              <w:tc>
                <w:tcPr>
                  <w:tcW w:w="588" w:type="pct"/>
                  <w:noWrap w:val="0"/>
                  <w:vAlign w:val="center"/>
                </w:tcPr>
                <w:p>
                  <w:pPr>
                    <w:widowControl/>
                    <w:jc w:val="center"/>
                    <w:textAlignment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200</w:t>
                  </w:r>
                </w:p>
              </w:tc>
              <w:tc>
                <w:tcPr>
                  <w:tcW w:w="635" w:type="pct"/>
                  <w:noWrap w:val="0"/>
                  <w:vAlign w:val="center"/>
                </w:tcPr>
                <w:p>
                  <w:pPr>
                    <w:widowControl/>
                    <w:jc w:val="center"/>
                    <w:textAlignment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100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continue"/>
                  <w:noWrap w:val="0"/>
                  <w:vAlign w:val="center"/>
                </w:tcPr>
                <w:p>
                  <w:pPr>
                    <w:widowControl/>
                    <w:jc w:val="center"/>
                    <w:textAlignment w:val="center"/>
                    <w:rPr>
                      <w:rFonts w:hint="eastAsia"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11</w:t>
                  </w:r>
                </w:p>
              </w:tc>
              <w:tc>
                <w:tcPr>
                  <w:tcW w:w="967" w:type="pct"/>
                  <w:noWrap w:val="0"/>
                  <w:vAlign w:val="center"/>
                </w:tcPr>
                <w:p>
                  <w:pPr>
                    <w:widowControl w:val="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碘伏</w:t>
                  </w:r>
                </w:p>
              </w:tc>
              <w:tc>
                <w:tcPr>
                  <w:tcW w:w="683"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500ml/瓶</w:t>
                  </w:r>
                </w:p>
              </w:tc>
              <w:tc>
                <w:tcPr>
                  <w:tcW w:w="588" w:type="pct"/>
                  <w:noWrap w:val="0"/>
                  <w:vAlign w:val="center"/>
                </w:tcPr>
                <w:p>
                  <w:pPr>
                    <w:widowControl/>
                    <w:jc w:val="center"/>
                    <w:textAlignment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100</w:t>
                  </w:r>
                </w:p>
              </w:tc>
              <w:tc>
                <w:tcPr>
                  <w:tcW w:w="635" w:type="pct"/>
                  <w:noWrap w:val="0"/>
                  <w:vAlign w:val="center"/>
                </w:tcPr>
                <w:p>
                  <w:pPr>
                    <w:widowControl/>
                    <w:jc w:val="center"/>
                    <w:textAlignment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100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continue"/>
                  <w:noWrap w:val="0"/>
                  <w:vAlign w:val="center"/>
                </w:tcPr>
                <w:p>
                  <w:pPr>
                    <w:widowControl/>
                    <w:jc w:val="center"/>
                    <w:textAlignment w:val="center"/>
                    <w:rPr>
                      <w:rFonts w:hint="eastAsia"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w:t>
                  </w:r>
                  <w:r>
                    <w:rPr>
                      <w:rFonts w:hint="eastAsia" w:cs="Times New Roman"/>
                      <w:color w:val="auto"/>
                      <w:kern w:val="2"/>
                      <w:sz w:val="21"/>
                      <w:szCs w:val="21"/>
                      <w:lang w:val="en-US" w:eastAsia="zh-CN"/>
                    </w:rPr>
                    <w:t>2</w:t>
                  </w:r>
                </w:p>
              </w:tc>
              <w:tc>
                <w:tcPr>
                  <w:tcW w:w="967" w:type="pct"/>
                  <w:noWrap w:val="0"/>
                  <w:vAlign w:val="center"/>
                </w:tcPr>
                <w:p>
                  <w:pPr>
                    <w:widowControl w:val="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84消毒液</w:t>
                  </w:r>
                </w:p>
              </w:tc>
              <w:tc>
                <w:tcPr>
                  <w:tcW w:w="683"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500ml/瓶</w:t>
                  </w:r>
                </w:p>
              </w:tc>
              <w:tc>
                <w:tcPr>
                  <w:tcW w:w="588" w:type="pct"/>
                  <w:noWrap w:val="0"/>
                  <w:vAlign w:val="center"/>
                </w:tcPr>
                <w:p>
                  <w:pPr>
                    <w:widowControl/>
                    <w:jc w:val="center"/>
                    <w:textAlignment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2400</w:t>
                  </w:r>
                </w:p>
              </w:tc>
              <w:tc>
                <w:tcPr>
                  <w:tcW w:w="635" w:type="pct"/>
                  <w:noWrap w:val="0"/>
                  <w:vAlign w:val="center"/>
                </w:tcPr>
                <w:p>
                  <w:pPr>
                    <w:widowControl/>
                    <w:jc w:val="center"/>
                    <w:textAlignment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1000</w:t>
                  </w:r>
                </w:p>
              </w:tc>
              <w:tc>
                <w:tcPr>
                  <w:tcW w:w="607" w:type="pct"/>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外购</w:t>
                  </w:r>
                </w:p>
              </w:tc>
              <w:tc>
                <w:tcPr>
                  <w:tcW w:w="1186" w:type="pct"/>
                  <w:vMerge w:val="continue"/>
                  <w:noWrap w:val="0"/>
                  <w:vAlign w:val="center"/>
                </w:tcPr>
                <w:p>
                  <w:pPr>
                    <w:widowControl/>
                    <w:jc w:val="center"/>
                    <w:textAlignment w:val="center"/>
                    <w:rPr>
                      <w:rFonts w:hint="eastAsia"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00" w:type="pct"/>
                  <w:gridSpan w:val="7"/>
                  <w:noWrap w:val="0"/>
                  <w:vAlign w:val="center"/>
                </w:tcPr>
                <w:p>
                  <w:pPr>
                    <w:widowControl/>
                    <w:jc w:val="center"/>
                    <w:textAlignment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（二）污水处理原材料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jc w:val="center"/>
                    <w:textAlignment w:val="center"/>
                    <w:rPr>
                      <w:rFonts w:hint="eastAsia" w:ascii="Times New Roman" w:hAnsi="Times New Roman" w:eastAsia="宋体" w:cs="Times New Roman"/>
                      <w:color w:val="auto"/>
                      <w:kern w:val="0"/>
                      <w:sz w:val="21"/>
                      <w:szCs w:val="21"/>
                      <w:u w:val="none"/>
                      <w:lang w:bidi="ar"/>
                    </w:rPr>
                  </w:pPr>
                  <w:r>
                    <w:rPr>
                      <w:rFonts w:hint="eastAsia" w:ascii="Times New Roman" w:hAnsi="Times New Roman" w:eastAsia="宋体" w:cs="Times New Roman"/>
                      <w:color w:val="auto"/>
                      <w:kern w:val="0"/>
                      <w:sz w:val="21"/>
                      <w:szCs w:val="21"/>
                      <w:u w:val="none"/>
                      <w:lang w:bidi="ar"/>
                    </w:rPr>
                    <w:t>1</w:t>
                  </w:r>
                </w:p>
              </w:tc>
              <w:tc>
                <w:tcPr>
                  <w:tcW w:w="967" w:type="pct"/>
                  <w:noWrap w:val="0"/>
                  <w:vAlign w:val="center"/>
                </w:tcPr>
                <w:p>
                  <w:pPr>
                    <w:widowControl/>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次氯酸钠</w:t>
                  </w:r>
                </w:p>
              </w:tc>
              <w:tc>
                <w:tcPr>
                  <w:tcW w:w="683" w:type="pct"/>
                  <w:noWrap w:val="0"/>
                  <w:vAlign w:val="center"/>
                </w:tcPr>
                <w:p>
                  <w:pPr>
                    <w:widowControl/>
                    <w:jc w:val="center"/>
                    <w:textAlignment w:val="center"/>
                    <w:rPr>
                      <w:rFonts w:ascii="Times New Roman" w:hAnsi="Times New Roman" w:eastAsia="宋体" w:cs="Times New Roman"/>
                      <w:color w:val="auto"/>
                      <w:kern w:val="0"/>
                      <w:sz w:val="21"/>
                      <w:szCs w:val="21"/>
                      <w:u w:val="none"/>
                      <w:lang w:bidi="ar"/>
                    </w:rPr>
                  </w:pPr>
                  <w:r>
                    <w:rPr>
                      <w:rFonts w:hint="eastAsia" w:ascii="Times New Roman" w:hAnsi="Times New Roman" w:eastAsia="宋体" w:cs="Times New Roman"/>
                      <w:color w:val="auto"/>
                      <w:kern w:val="0"/>
                      <w:sz w:val="21"/>
                      <w:szCs w:val="21"/>
                      <w:u w:val="none"/>
                      <w:lang w:bidi="ar"/>
                    </w:rPr>
                    <w:t>kg</w:t>
                  </w:r>
                </w:p>
              </w:tc>
              <w:tc>
                <w:tcPr>
                  <w:tcW w:w="588" w:type="pct"/>
                  <w:noWrap w:val="0"/>
                  <w:vAlign w:val="center"/>
                </w:tcPr>
                <w:p>
                  <w:pPr>
                    <w:widowControl/>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40</w:t>
                  </w:r>
                </w:p>
              </w:tc>
              <w:tc>
                <w:tcPr>
                  <w:tcW w:w="635" w:type="pct"/>
                  <w:noWrap w:val="0"/>
                  <w:vAlign w:val="center"/>
                </w:tcPr>
                <w:p>
                  <w:pPr>
                    <w:widowControl/>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25</w:t>
                  </w:r>
                </w:p>
              </w:tc>
              <w:tc>
                <w:tcPr>
                  <w:tcW w:w="607" w:type="pct"/>
                  <w:noWrap w:val="0"/>
                  <w:vAlign w:val="center"/>
                </w:tcPr>
                <w:p>
                  <w:pPr>
                    <w:widowControl/>
                    <w:jc w:val="center"/>
                    <w:textAlignment w:val="center"/>
                    <w:rPr>
                      <w:rFonts w:ascii="Times New Roman" w:hAnsi="Times New Roman" w:eastAsia="宋体" w:cs="Times New Roman"/>
                      <w:color w:val="auto"/>
                      <w:kern w:val="0"/>
                      <w:sz w:val="21"/>
                      <w:szCs w:val="21"/>
                      <w:u w:val="none"/>
                      <w:lang w:bidi="ar"/>
                    </w:rPr>
                  </w:pPr>
                  <w:r>
                    <w:rPr>
                      <w:rFonts w:hint="eastAsia" w:ascii="Times New Roman" w:hAnsi="Times New Roman" w:eastAsia="宋体" w:cs="Times New Roman"/>
                      <w:color w:val="auto"/>
                      <w:kern w:val="0"/>
                      <w:sz w:val="21"/>
                      <w:szCs w:val="21"/>
                      <w:u w:val="none"/>
                      <w:lang w:bidi="ar"/>
                    </w:rPr>
                    <w:t>外购</w:t>
                  </w:r>
                </w:p>
              </w:tc>
              <w:tc>
                <w:tcPr>
                  <w:tcW w:w="1186" w:type="pct"/>
                  <w:noWrap w:val="0"/>
                  <w:vAlign w:val="center"/>
                </w:tcPr>
                <w:p>
                  <w:pPr>
                    <w:widowControl/>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污水消毒，</w:t>
                  </w:r>
                  <w:r>
                    <w:rPr>
                      <w:rFonts w:hint="eastAsia" w:cs="Times New Roman"/>
                      <w:color w:val="auto"/>
                      <w:kern w:val="0"/>
                      <w:sz w:val="21"/>
                      <w:szCs w:val="21"/>
                      <w:u w:val="none"/>
                      <w:lang w:val="en-US" w:eastAsia="zh-CN" w:bidi="ar"/>
                    </w:rPr>
                    <w:t>25</w:t>
                  </w:r>
                  <w:r>
                    <w:rPr>
                      <w:rFonts w:hint="eastAsia" w:ascii="Times New Roman" w:hAnsi="Times New Roman" w:eastAsia="宋体" w:cs="Times New Roman"/>
                      <w:color w:val="auto"/>
                      <w:kern w:val="0"/>
                      <w:sz w:val="21"/>
                      <w:szCs w:val="21"/>
                      <w:u w:val="none"/>
                      <w:lang w:val="en-US" w:eastAsia="zh-CN" w:bidi="ar"/>
                    </w:rPr>
                    <w:t>kg/</w:t>
                  </w:r>
                  <w:r>
                    <w:rPr>
                      <w:rFonts w:hint="eastAsia" w:cs="Times New Roman"/>
                      <w:color w:val="auto"/>
                      <w:kern w:val="0"/>
                      <w:sz w:val="21"/>
                      <w:szCs w:val="21"/>
                      <w:u w:val="none"/>
                      <w:lang w:val="en-US" w:eastAsia="zh-CN" w:bidi="ar"/>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jc w:val="center"/>
                    <w:textAlignment w:val="center"/>
                    <w:rPr>
                      <w:rFonts w:hint="eastAsia"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2</w:t>
                  </w:r>
                </w:p>
              </w:tc>
              <w:tc>
                <w:tcPr>
                  <w:tcW w:w="967" w:type="pct"/>
                  <w:noWrap w:val="0"/>
                  <w:vAlign w:val="center"/>
                </w:tcPr>
                <w:p>
                  <w:pPr>
                    <w:widowControl/>
                    <w:jc w:val="center"/>
                    <w:textAlignment w:val="center"/>
                    <w:rPr>
                      <w:rFonts w:hint="eastAsia"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PAC</w:t>
                  </w:r>
                </w:p>
              </w:tc>
              <w:tc>
                <w:tcPr>
                  <w:tcW w:w="683" w:type="pct"/>
                  <w:noWrap w:val="0"/>
                  <w:vAlign w:val="center"/>
                </w:tcPr>
                <w:p>
                  <w:pPr>
                    <w:widowControl/>
                    <w:jc w:val="center"/>
                    <w:textAlignment w:val="center"/>
                    <w:rPr>
                      <w:rFonts w:hint="eastAsia" w:ascii="Times New Roman" w:hAnsi="Times New Roman" w:eastAsia="宋体" w:cs="Times New Roman"/>
                      <w:color w:val="auto"/>
                      <w:kern w:val="0"/>
                      <w:sz w:val="21"/>
                      <w:szCs w:val="21"/>
                      <w:u w:val="none"/>
                      <w:lang w:bidi="ar"/>
                    </w:rPr>
                  </w:pPr>
                  <w:r>
                    <w:rPr>
                      <w:rFonts w:hint="eastAsia" w:ascii="Times New Roman" w:hAnsi="Times New Roman" w:eastAsia="宋体" w:cs="Times New Roman"/>
                      <w:color w:val="auto"/>
                      <w:kern w:val="0"/>
                      <w:sz w:val="21"/>
                      <w:szCs w:val="21"/>
                      <w:u w:val="none"/>
                      <w:lang w:bidi="ar"/>
                    </w:rPr>
                    <w:t>kg</w:t>
                  </w:r>
                </w:p>
              </w:tc>
              <w:tc>
                <w:tcPr>
                  <w:tcW w:w="588" w:type="pct"/>
                  <w:noWrap w:val="0"/>
                  <w:vAlign w:val="center"/>
                </w:tcPr>
                <w:p>
                  <w:pPr>
                    <w:widowControl/>
                    <w:jc w:val="center"/>
                    <w:textAlignment w:val="center"/>
                    <w:rPr>
                      <w:rFonts w:hint="default"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110</w:t>
                  </w:r>
                </w:p>
              </w:tc>
              <w:tc>
                <w:tcPr>
                  <w:tcW w:w="635" w:type="pct"/>
                  <w:noWrap w:val="0"/>
                  <w:vAlign w:val="center"/>
                </w:tcPr>
                <w:p>
                  <w:pPr>
                    <w:widowControl/>
                    <w:jc w:val="center"/>
                    <w:textAlignment w:val="center"/>
                    <w:rPr>
                      <w:rFonts w:hint="default"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50</w:t>
                  </w:r>
                </w:p>
              </w:tc>
              <w:tc>
                <w:tcPr>
                  <w:tcW w:w="607" w:type="pct"/>
                  <w:noWrap w:val="0"/>
                  <w:vAlign w:val="center"/>
                </w:tcPr>
                <w:p>
                  <w:pPr>
                    <w:widowControl/>
                    <w:jc w:val="center"/>
                    <w:textAlignment w:val="center"/>
                    <w:rPr>
                      <w:rFonts w:hint="eastAsia" w:ascii="Times New Roman" w:hAnsi="Times New Roman" w:eastAsia="宋体" w:cs="Times New Roman"/>
                      <w:color w:val="auto"/>
                      <w:kern w:val="0"/>
                      <w:sz w:val="21"/>
                      <w:szCs w:val="21"/>
                      <w:u w:val="none"/>
                      <w:lang w:bidi="ar"/>
                    </w:rPr>
                  </w:pPr>
                  <w:r>
                    <w:rPr>
                      <w:rFonts w:hint="eastAsia" w:ascii="Times New Roman" w:hAnsi="Times New Roman" w:eastAsia="宋体" w:cs="Times New Roman"/>
                      <w:color w:val="auto"/>
                      <w:kern w:val="0"/>
                      <w:sz w:val="21"/>
                      <w:szCs w:val="21"/>
                      <w:u w:val="none"/>
                      <w:lang w:bidi="ar"/>
                    </w:rPr>
                    <w:t>外购</w:t>
                  </w:r>
                </w:p>
              </w:tc>
              <w:tc>
                <w:tcPr>
                  <w:tcW w:w="1186" w:type="pct"/>
                  <w:noWrap w:val="0"/>
                  <w:vAlign w:val="center"/>
                </w:tcPr>
                <w:p>
                  <w:pPr>
                    <w:widowControl/>
                    <w:jc w:val="center"/>
                    <w:textAlignment w:val="center"/>
                    <w:rPr>
                      <w:rFonts w:hint="eastAsia"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25kg/包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jc w:val="center"/>
                    <w:textAlignment w:val="center"/>
                    <w:rPr>
                      <w:rFonts w:hint="eastAsia"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3</w:t>
                  </w:r>
                </w:p>
              </w:tc>
              <w:tc>
                <w:tcPr>
                  <w:tcW w:w="967" w:type="pct"/>
                  <w:noWrap w:val="0"/>
                  <w:vAlign w:val="center"/>
                </w:tcPr>
                <w:p>
                  <w:pPr>
                    <w:widowControl/>
                    <w:jc w:val="center"/>
                    <w:textAlignment w:val="center"/>
                    <w:rPr>
                      <w:rFonts w:hint="eastAsia"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PAM</w:t>
                  </w:r>
                </w:p>
              </w:tc>
              <w:tc>
                <w:tcPr>
                  <w:tcW w:w="683" w:type="pct"/>
                  <w:noWrap w:val="0"/>
                  <w:vAlign w:val="center"/>
                </w:tcPr>
                <w:p>
                  <w:pPr>
                    <w:widowControl/>
                    <w:jc w:val="center"/>
                    <w:textAlignment w:val="center"/>
                    <w:rPr>
                      <w:rFonts w:hint="eastAsia" w:ascii="Times New Roman" w:hAnsi="Times New Roman" w:eastAsia="宋体" w:cs="Times New Roman"/>
                      <w:color w:val="auto"/>
                      <w:kern w:val="0"/>
                      <w:sz w:val="21"/>
                      <w:szCs w:val="21"/>
                      <w:u w:val="none"/>
                      <w:lang w:bidi="ar"/>
                    </w:rPr>
                  </w:pPr>
                  <w:r>
                    <w:rPr>
                      <w:rFonts w:hint="eastAsia" w:ascii="Times New Roman" w:hAnsi="Times New Roman" w:eastAsia="宋体" w:cs="Times New Roman"/>
                      <w:color w:val="auto"/>
                      <w:kern w:val="0"/>
                      <w:sz w:val="21"/>
                      <w:szCs w:val="21"/>
                      <w:u w:val="none"/>
                      <w:lang w:bidi="ar"/>
                    </w:rPr>
                    <w:t>kg</w:t>
                  </w:r>
                </w:p>
              </w:tc>
              <w:tc>
                <w:tcPr>
                  <w:tcW w:w="588" w:type="pct"/>
                  <w:noWrap w:val="0"/>
                  <w:vAlign w:val="center"/>
                </w:tcPr>
                <w:p>
                  <w:pPr>
                    <w:widowControl/>
                    <w:jc w:val="center"/>
                    <w:textAlignment w:val="center"/>
                    <w:rPr>
                      <w:rFonts w:hint="default"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2</w:t>
                  </w:r>
                </w:p>
              </w:tc>
              <w:tc>
                <w:tcPr>
                  <w:tcW w:w="635" w:type="pct"/>
                  <w:noWrap w:val="0"/>
                  <w:vAlign w:val="center"/>
                </w:tcPr>
                <w:p>
                  <w:pPr>
                    <w:widowControl/>
                    <w:jc w:val="center"/>
                    <w:textAlignment w:val="center"/>
                    <w:rPr>
                      <w:rFonts w:hint="default"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25</w:t>
                  </w:r>
                </w:p>
              </w:tc>
              <w:tc>
                <w:tcPr>
                  <w:tcW w:w="607" w:type="pct"/>
                  <w:noWrap w:val="0"/>
                  <w:vAlign w:val="center"/>
                </w:tcPr>
                <w:p>
                  <w:pPr>
                    <w:widowControl/>
                    <w:jc w:val="center"/>
                    <w:textAlignment w:val="center"/>
                    <w:rPr>
                      <w:rFonts w:hint="eastAsia" w:ascii="Times New Roman" w:hAnsi="Times New Roman" w:eastAsia="宋体" w:cs="Times New Roman"/>
                      <w:color w:val="auto"/>
                      <w:kern w:val="0"/>
                      <w:sz w:val="21"/>
                      <w:szCs w:val="21"/>
                      <w:u w:val="none"/>
                      <w:lang w:bidi="ar"/>
                    </w:rPr>
                  </w:pPr>
                  <w:r>
                    <w:rPr>
                      <w:rFonts w:hint="eastAsia" w:ascii="Times New Roman" w:hAnsi="Times New Roman" w:eastAsia="宋体" w:cs="Times New Roman"/>
                      <w:color w:val="auto"/>
                      <w:kern w:val="0"/>
                      <w:sz w:val="21"/>
                      <w:szCs w:val="21"/>
                      <w:u w:val="none"/>
                      <w:lang w:bidi="ar"/>
                    </w:rPr>
                    <w:t>外购</w:t>
                  </w:r>
                </w:p>
              </w:tc>
              <w:tc>
                <w:tcPr>
                  <w:tcW w:w="1186" w:type="pct"/>
                  <w:noWrap w:val="0"/>
                  <w:vAlign w:val="center"/>
                </w:tcPr>
                <w:p>
                  <w:pPr>
                    <w:widowControl/>
                    <w:jc w:val="center"/>
                    <w:textAlignment w:val="center"/>
                    <w:rPr>
                      <w:rFonts w:hint="eastAsia"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25kg/包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00" w:type="pct"/>
                  <w:gridSpan w:val="7"/>
                  <w:noWrap w:val="0"/>
                  <w:vAlign w:val="center"/>
                </w:tcPr>
                <w:p>
                  <w:pPr>
                    <w:widowControl/>
                    <w:jc w:val="center"/>
                    <w:textAlignment w:val="center"/>
                    <w:rPr>
                      <w:rFonts w:hint="eastAsia"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（三）能源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jc w:val="center"/>
                    <w:textAlignment w:val="center"/>
                    <w:rPr>
                      <w:rFonts w:hint="eastAsia"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1</w:t>
                  </w:r>
                </w:p>
              </w:tc>
              <w:tc>
                <w:tcPr>
                  <w:tcW w:w="967" w:type="pct"/>
                  <w:noWrap w:val="0"/>
                  <w:vAlign w:val="center"/>
                </w:tcPr>
                <w:p>
                  <w:pPr>
                    <w:widowControl/>
                    <w:jc w:val="center"/>
                    <w:textAlignment w:val="center"/>
                    <w:rPr>
                      <w:rFonts w:hint="eastAsia"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电</w:t>
                  </w:r>
                </w:p>
              </w:tc>
              <w:tc>
                <w:tcPr>
                  <w:tcW w:w="683" w:type="pct"/>
                  <w:noWrap w:val="0"/>
                  <w:vAlign w:val="center"/>
                </w:tcPr>
                <w:p>
                  <w:pPr>
                    <w:widowControl/>
                    <w:jc w:val="center"/>
                    <w:textAlignment w:val="center"/>
                    <w:rPr>
                      <w:rFonts w:hint="eastAsia" w:ascii="Times New Roman" w:hAnsi="Times New Roman" w:eastAsia="宋体" w:cs="Times New Roman"/>
                      <w:color w:val="000000"/>
                      <w:kern w:val="0"/>
                      <w:sz w:val="21"/>
                      <w:szCs w:val="21"/>
                      <w:lang w:bidi="ar"/>
                    </w:rPr>
                  </w:pPr>
                  <w:r>
                    <w:rPr>
                      <w:rFonts w:ascii="Times New Roman" w:hAnsi="Times New Roman" w:eastAsia="Times New Roman" w:cs="Times New Roman"/>
                      <w:color w:val="000000"/>
                      <w:spacing w:val="1"/>
                      <w:kern w:val="2"/>
                      <w:sz w:val="21"/>
                    </w:rPr>
                    <w:t>k</w:t>
                  </w:r>
                  <w:r>
                    <w:rPr>
                      <w:rFonts w:ascii="Times New Roman" w:hAnsi="Times New Roman" w:eastAsia="Times New Roman" w:cs="Times New Roman"/>
                      <w:color w:val="000000"/>
                      <w:spacing w:val="4"/>
                      <w:kern w:val="2"/>
                      <w:sz w:val="21"/>
                    </w:rPr>
                    <w:t>W</w:t>
                  </w:r>
                  <w:r>
                    <w:rPr>
                      <w:rFonts w:hint="eastAsia" w:ascii="宋体" w:hAnsi="宋体" w:eastAsia="宋体" w:cs="Times New Roman"/>
                      <w:color w:val="000000"/>
                      <w:spacing w:val="4"/>
                      <w:kern w:val="2"/>
                      <w:sz w:val="21"/>
                    </w:rPr>
                    <w:t>·</w:t>
                  </w:r>
                  <w:r>
                    <w:rPr>
                      <w:rFonts w:ascii="Times New Roman" w:hAnsi="Times New Roman" w:eastAsia="Times New Roman" w:cs="Times New Roman"/>
                      <w:color w:val="000000"/>
                      <w:kern w:val="2"/>
                      <w:sz w:val="21"/>
                    </w:rPr>
                    <w:t>h</w:t>
                  </w:r>
                </w:p>
              </w:tc>
              <w:tc>
                <w:tcPr>
                  <w:tcW w:w="588" w:type="pct"/>
                  <w:noWrap w:val="0"/>
                  <w:vAlign w:val="center"/>
                </w:tcPr>
                <w:p>
                  <w:pPr>
                    <w:widowControl/>
                    <w:jc w:val="center"/>
                    <w:textAlignment w:val="center"/>
                    <w:rPr>
                      <w:rFonts w:ascii="Times New Roman" w:hAnsi="Times New Roman" w:eastAsia="宋体" w:cs="Times New Roman"/>
                      <w:color w:val="000000"/>
                      <w:kern w:val="0"/>
                      <w:sz w:val="21"/>
                      <w:szCs w:val="21"/>
                      <w:lang w:bidi="ar"/>
                    </w:rPr>
                  </w:pPr>
                  <w:r>
                    <w:rPr>
                      <w:rFonts w:hint="eastAsia" w:cs="Times New Roman"/>
                      <w:color w:val="000000"/>
                      <w:kern w:val="0"/>
                      <w:sz w:val="21"/>
                      <w:szCs w:val="21"/>
                      <w:lang w:val="en-US" w:eastAsia="zh-CN" w:bidi="ar"/>
                    </w:rPr>
                    <w:t>6</w:t>
                  </w:r>
                  <w:r>
                    <w:rPr>
                      <w:rFonts w:hint="eastAsia" w:ascii="Times New Roman" w:hAnsi="Times New Roman" w:eastAsia="宋体" w:cs="Times New Roman"/>
                      <w:color w:val="000000"/>
                      <w:kern w:val="0"/>
                      <w:sz w:val="21"/>
                      <w:szCs w:val="21"/>
                      <w:lang w:bidi="ar"/>
                    </w:rPr>
                    <w:t>万</w:t>
                  </w:r>
                </w:p>
              </w:tc>
              <w:tc>
                <w:tcPr>
                  <w:tcW w:w="635" w:type="pct"/>
                  <w:noWrap w:val="0"/>
                  <w:vAlign w:val="center"/>
                </w:tcPr>
                <w:p>
                  <w:pPr>
                    <w:widowControl/>
                    <w:jc w:val="center"/>
                    <w:textAlignment w:val="center"/>
                    <w:rPr>
                      <w:rFonts w:hint="eastAsia"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w:t>
                  </w:r>
                </w:p>
              </w:tc>
              <w:tc>
                <w:tcPr>
                  <w:tcW w:w="607" w:type="pct"/>
                  <w:noWrap w:val="0"/>
                  <w:vAlign w:val="center"/>
                </w:tcPr>
                <w:p>
                  <w:pPr>
                    <w:widowControl/>
                    <w:jc w:val="center"/>
                    <w:textAlignment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市政</w:t>
                  </w:r>
                </w:p>
                <w:p>
                  <w:pPr>
                    <w:widowControl/>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电网</w:t>
                  </w:r>
                </w:p>
              </w:tc>
              <w:tc>
                <w:tcPr>
                  <w:tcW w:w="1186" w:type="pct"/>
                  <w:noWrap w:val="0"/>
                  <w:vAlign w:val="center"/>
                </w:tcPr>
                <w:p>
                  <w:pPr>
                    <w:widowControl/>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0" w:type="pct"/>
                  <w:noWrap w:val="0"/>
                  <w:vAlign w:val="center"/>
                </w:tcPr>
                <w:p>
                  <w:pPr>
                    <w:widowControl/>
                    <w:jc w:val="center"/>
                    <w:textAlignment w:val="center"/>
                    <w:rPr>
                      <w:rFonts w:hint="eastAsia"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2</w:t>
                  </w:r>
                </w:p>
              </w:tc>
              <w:tc>
                <w:tcPr>
                  <w:tcW w:w="967" w:type="pct"/>
                  <w:noWrap w:val="0"/>
                  <w:vAlign w:val="center"/>
                </w:tcPr>
                <w:p>
                  <w:pPr>
                    <w:widowControl/>
                    <w:jc w:val="center"/>
                    <w:textAlignment w:val="center"/>
                    <w:rPr>
                      <w:rFonts w:hint="eastAsia"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水</w:t>
                  </w:r>
                </w:p>
              </w:tc>
              <w:tc>
                <w:tcPr>
                  <w:tcW w:w="683" w:type="pct"/>
                  <w:noWrap w:val="0"/>
                  <w:vAlign w:val="center"/>
                </w:tcPr>
                <w:p>
                  <w:pPr>
                    <w:widowControl/>
                    <w:jc w:val="center"/>
                    <w:textAlignment w:val="center"/>
                    <w:rPr>
                      <w:rFonts w:hint="eastAsia"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t</w:t>
                  </w:r>
                </w:p>
              </w:tc>
              <w:tc>
                <w:tcPr>
                  <w:tcW w:w="588" w:type="pct"/>
                  <w:noWrap w:val="0"/>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4929.25</w:t>
                  </w:r>
                </w:p>
              </w:tc>
              <w:tc>
                <w:tcPr>
                  <w:tcW w:w="635" w:type="pct"/>
                  <w:noWrap w:val="0"/>
                  <w:vAlign w:val="center"/>
                </w:tcPr>
                <w:p>
                  <w:pPr>
                    <w:widowControl/>
                    <w:jc w:val="center"/>
                    <w:textAlignment w:val="center"/>
                    <w:rPr>
                      <w:rFonts w:hint="eastAsia"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w:t>
                  </w:r>
                </w:p>
              </w:tc>
              <w:tc>
                <w:tcPr>
                  <w:tcW w:w="607" w:type="pct"/>
                  <w:noWrap w:val="0"/>
                  <w:vAlign w:val="center"/>
                </w:tcPr>
                <w:p>
                  <w:pPr>
                    <w:widowControl/>
                    <w:jc w:val="center"/>
                    <w:textAlignment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市政</w:t>
                  </w:r>
                </w:p>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管网</w:t>
                  </w:r>
                </w:p>
              </w:tc>
              <w:tc>
                <w:tcPr>
                  <w:tcW w:w="1186" w:type="pct"/>
                  <w:noWrap w:val="0"/>
                  <w:vAlign w:val="center"/>
                </w:tcPr>
                <w:p>
                  <w:pPr>
                    <w:widowControl/>
                    <w:jc w:val="center"/>
                    <w:textAlignment w:val="center"/>
                    <w:rPr>
                      <w:rFonts w:hint="eastAsia"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w:t>
                  </w:r>
                </w:p>
              </w:tc>
            </w:tr>
          </w:tbl>
          <w:p>
            <w:pPr>
              <w:widowControl/>
              <w:ind w:firstLine="422" w:firstLineChars="200"/>
              <w:jc w:val="center"/>
            </w:pPr>
            <w:r>
              <w:rPr>
                <w:rFonts w:ascii="Times New Roman" w:hAnsi="Times New Roman" w:eastAsia="宋体" w:cs="Times New Roman"/>
                <w:b/>
                <w:bCs/>
                <w:color w:val="auto"/>
                <w:kern w:val="2"/>
                <w:sz w:val="21"/>
                <w:szCs w:val="21"/>
              </w:rPr>
              <w:t>表</w:t>
            </w:r>
            <w:r>
              <w:rPr>
                <w:rFonts w:hint="eastAsia" w:ascii="Times New Roman" w:hAnsi="Times New Roman" w:eastAsia="宋体" w:cs="Times New Roman"/>
                <w:b/>
                <w:bCs/>
                <w:color w:val="auto"/>
                <w:kern w:val="2"/>
                <w:sz w:val="21"/>
                <w:szCs w:val="21"/>
              </w:rPr>
              <w:t>2</w:t>
            </w:r>
            <w:r>
              <w:rPr>
                <w:rFonts w:ascii="Times New Roman" w:hAnsi="Times New Roman" w:eastAsia="宋体" w:cs="Times New Roman"/>
                <w:b/>
                <w:bCs/>
                <w:color w:val="auto"/>
                <w:kern w:val="2"/>
                <w:sz w:val="21"/>
                <w:szCs w:val="21"/>
              </w:rPr>
              <w:t>-</w:t>
            </w:r>
            <w:r>
              <w:rPr>
                <w:rFonts w:hint="eastAsia" w:ascii="Times New Roman" w:hAnsi="Times New Roman" w:eastAsia="宋体" w:cs="Times New Roman"/>
                <w:b/>
                <w:bCs/>
                <w:color w:val="auto"/>
                <w:kern w:val="2"/>
                <w:sz w:val="21"/>
                <w:szCs w:val="21"/>
              </w:rPr>
              <w:t xml:space="preserve">4  </w:t>
            </w:r>
            <w:r>
              <w:rPr>
                <w:rFonts w:ascii="Times New Roman" w:hAnsi="Times New Roman" w:eastAsia="宋体" w:cs="Times New Roman"/>
                <w:b/>
                <w:bCs/>
                <w:color w:val="auto"/>
                <w:kern w:val="2"/>
                <w:sz w:val="21"/>
                <w:szCs w:val="21"/>
              </w:rPr>
              <w:t xml:space="preserve"> </w:t>
            </w:r>
            <w:r>
              <w:rPr>
                <w:rFonts w:hint="eastAsia" w:ascii="Times New Roman" w:hAnsi="Times New Roman" w:eastAsia="宋体" w:cs="Times New Roman"/>
                <w:b/>
                <w:bCs/>
                <w:color w:val="auto"/>
                <w:kern w:val="2"/>
                <w:sz w:val="21"/>
                <w:szCs w:val="21"/>
              </w:rPr>
              <w:t>项目</w:t>
            </w:r>
            <w:r>
              <w:rPr>
                <w:rFonts w:ascii="Times New Roman" w:hAnsi="Times New Roman" w:eastAsia="宋体" w:cs="Times New Roman"/>
                <w:b/>
                <w:bCs/>
                <w:color w:val="auto"/>
                <w:kern w:val="2"/>
                <w:sz w:val="21"/>
                <w:szCs w:val="21"/>
              </w:rPr>
              <w:t>主要</w:t>
            </w:r>
            <w:r>
              <w:rPr>
                <w:rFonts w:hint="eastAsia" w:ascii="Times New Roman" w:hAnsi="Times New Roman" w:eastAsia="宋体" w:cs="Times New Roman"/>
                <w:b/>
                <w:bCs/>
                <w:color w:val="auto"/>
                <w:kern w:val="2"/>
                <w:sz w:val="21"/>
                <w:szCs w:val="21"/>
              </w:rPr>
              <w:t>原辅材料理化性质一览表</w:t>
            </w:r>
          </w:p>
          <w:tbl>
            <w:tblPr>
              <w:tblStyle w:val="34"/>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672"/>
              <w:gridCol w:w="1046"/>
              <w:gridCol w:w="2718"/>
              <w:gridCol w:w="1050"/>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noWrap w:val="0"/>
                  <w:vAlign w:val="center"/>
                </w:tcPr>
                <w:p>
                  <w:pPr>
                    <w:pStyle w:val="180"/>
                    <w:jc w:val="center"/>
                    <w:rPr>
                      <w:rFonts w:hint="eastAsia" w:ascii="Times New Roman" w:hAnsi="Times New Roman" w:eastAsia="宋体" w:cs="Times New Roman"/>
                      <w:b/>
                      <w:bCs/>
                      <w:sz w:val="21"/>
                      <w:szCs w:val="21"/>
                      <w:u w:val="none" w:color="auto"/>
                      <w:lang w:val="en-US" w:eastAsia="zh-CN"/>
                    </w:rPr>
                  </w:pPr>
                  <w:r>
                    <w:rPr>
                      <w:rFonts w:hint="eastAsia" w:ascii="Times New Roman" w:hAnsi="Times New Roman" w:cs="Times New Roman"/>
                      <w:b/>
                      <w:bCs/>
                      <w:sz w:val="21"/>
                      <w:szCs w:val="21"/>
                      <w:u w:val="none" w:color="auto"/>
                      <w:lang w:val="en-US" w:eastAsia="zh-CN"/>
                    </w:rPr>
                    <w:t>序号</w:t>
                  </w:r>
                </w:p>
              </w:tc>
              <w:tc>
                <w:tcPr>
                  <w:tcW w:w="425" w:type="pct"/>
                  <w:noWrap w:val="0"/>
                  <w:vAlign w:val="center"/>
                </w:tcPr>
                <w:p>
                  <w:pPr>
                    <w:pStyle w:val="180"/>
                    <w:ind w:firstLine="0" w:firstLineChars="0"/>
                    <w:jc w:val="center"/>
                    <w:rPr>
                      <w:rFonts w:hint="default" w:ascii="Times New Roman" w:hAnsi="Times New Roman" w:cs="Times New Roman"/>
                      <w:b/>
                      <w:bCs/>
                      <w:color w:val="000000"/>
                      <w:kern w:val="0"/>
                      <w:sz w:val="21"/>
                      <w:szCs w:val="21"/>
                      <w:u w:val="none" w:color="auto"/>
                      <w:lang w:val="en-US" w:eastAsia="zh-CN" w:bidi="ar-SA"/>
                    </w:rPr>
                  </w:pPr>
                  <w:r>
                    <w:rPr>
                      <w:rFonts w:hint="default" w:ascii="Times New Roman" w:hAnsi="Times New Roman" w:cs="Times New Roman"/>
                      <w:b/>
                      <w:bCs/>
                      <w:sz w:val="21"/>
                      <w:szCs w:val="21"/>
                      <w:u w:val="none" w:color="auto"/>
                    </w:rPr>
                    <w:t>名称</w:t>
                  </w:r>
                </w:p>
              </w:tc>
              <w:tc>
                <w:tcPr>
                  <w:tcW w:w="662" w:type="pct"/>
                  <w:noWrap w:val="0"/>
                  <w:vAlign w:val="center"/>
                </w:tcPr>
                <w:p>
                  <w:pPr>
                    <w:pStyle w:val="180"/>
                    <w:jc w:val="center"/>
                    <w:rPr>
                      <w:rFonts w:hint="eastAsia" w:ascii="Times New Roman" w:hAnsi="Times New Roman" w:eastAsia="宋体" w:cs="Times New Roman"/>
                      <w:b/>
                      <w:bCs/>
                      <w:sz w:val="21"/>
                      <w:szCs w:val="21"/>
                      <w:u w:val="none" w:color="auto"/>
                      <w:lang w:val="en-US" w:eastAsia="zh-CN"/>
                    </w:rPr>
                  </w:pPr>
                  <w:r>
                    <w:rPr>
                      <w:rFonts w:hint="eastAsia" w:ascii="Times New Roman" w:hAnsi="Times New Roman" w:cs="Times New Roman"/>
                      <w:b/>
                      <w:bCs/>
                      <w:sz w:val="21"/>
                      <w:szCs w:val="21"/>
                      <w:u w:val="none" w:color="auto"/>
                      <w:lang w:val="en-US" w:eastAsia="zh-CN"/>
                    </w:rPr>
                    <w:t>分子式</w:t>
                  </w:r>
                </w:p>
              </w:tc>
              <w:tc>
                <w:tcPr>
                  <w:tcW w:w="1721" w:type="pct"/>
                  <w:noWrap w:val="0"/>
                  <w:vAlign w:val="center"/>
                </w:tcPr>
                <w:p>
                  <w:pPr>
                    <w:pStyle w:val="180"/>
                    <w:jc w:val="center"/>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理化性质</w:t>
                  </w:r>
                </w:p>
              </w:tc>
              <w:tc>
                <w:tcPr>
                  <w:tcW w:w="665" w:type="pct"/>
                  <w:noWrap w:val="0"/>
                  <w:vAlign w:val="center"/>
                </w:tcPr>
                <w:p>
                  <w:pPr>
                    <w:pStyle w:val="180"/>
                    <w:jc w:val="center"/>
                    <w:rPr>
                      <w:rFonts w:hint="eastAsia" w:ascii="Times New Roman" w:hAnsi="Times New Roman" w:eastAsia="宋体" w:cs="Times New Roman"/>
                      <w:b/>
                      <w:bCs/>
                      <w:sz w:val="21"/>
                      <w:szCs w:val="21"/>
                      <w:u w:val="none" w:color="auto"/>
                      <w:lang w:val="en-US" w:eastAsia="zh-CN"/>
                    </w:rPr>
                  </w:pPr>
                  <w:r>
                    <w:rPr>
                      <w:rFonts w:hint="eastAsia" w:ascii="Times New Roman" w:hAnsi="Times New Roman" w:cs="Times New Roman"/>
                      <w:b/>
                      <w:bCs/>
                      <w:sz w:val="21"/>
                      <w:szCs w:val="21"/>
                      <w:u w:val="none" w:color="auto"/>
                      <w:lang w:val="en-US" w:eastAsia="zh-CN"/>
                    </w:rPr>
                    <w:t>安全性</w:t>
                  </w:r>
                </w:p>
              </w:tc>
              <w:tc>
                <w:tcPr>
                  <w:tcW w:w="1234" w:type="pct"/>
                  <w:noWrap w:val="0"/>
                  <w:vAlign w:val="center"/>
                </w:tcPr>
                <w:p>
                  <w:pPr>
                    <w:pStyle w:val="180"/>
                    <w:jc w:val="center"/>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毒理性质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noWrap w:val="0"/>
                  <w:vAlign w:val="center"/>
                </w:tcPr>
                <w:p>
                  <w:pPr>
                    <w:pStyle w:val="180"/>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w:t>
                  </w:r>
                </w:p>
              </w:tc>
              <w:tc>
                <w:tcPr>
                  <w:tcW w:w="425" w:type="pct"/>
                  <w:noWrap w:val="0"/>
                  <w:vAlign w:val="center"/>
                </w:tcPr>
                <w:p>
                  <w:pPr>
                    <w:pStyle w:val="180"/>
                    <w:ind w:firstLine="0" w:firstLineChars="0"/>
                    <w:jc w:val="center"/>
                    <w:rPr>
                      <w:rFonts w:hint="default" w:ascii="Times New Roman" w:hAnsi="Times New Roman" w:cs="Times New Roman"/>
                      <w:color w:val="000000"/>
                      <w:kern w:val="0"/>
                      <w:sz w:val="21"/>
                      <w:szCs w:val="21"/>
                      <w:u w:val="none" w:color="auto"/>
                      <w:lang w:val="en-US" w:eastAsia="zh-CN" w:bidi="ar-SA"/>
                    </w:rPr>
                  </w:pPr>
                  <w:r>
                    <w:rPr>
                      <w:rFonts w:hint="default" w:ascii="Times New Roman" w:hAnsi="Times New Roman" w:cs="Times New Roman"/>
                      <w:sz w:val="21"/>
                      <w:szCs w:val="21"/>
                      <w:u w:val="none" w:color="auto"/>
                    </w:rPr>
                    <w:t>乙醇</w:t>
                  </w:r>
                </w:p>
              </w:tc>
              <w:tc>
                <w:tcPr>
                  <w:tcW w:w="662" w:type="pct"/>
                  <w:noWrap w:val="0"/>
                  <w:vAlign w:val="center"/>
                </w:tcPr>
                <w:p>
                  <w:pPr>
                    <w:pStyle w:val="180"/>
                    <w:jc w:val="center"/>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C</w:t>
                  </w:r>
                  <w:r>
                    <w:rPr>
                      <w:rFonts w:hint="default" w:ascii="Times New Roman" w:hAnsi="Times New Roman" w:cs="Times New Roman"/>
                      <w:sz w:val="21"/>
                      <w:szCs w:val="21"/>
                      <w:u w:val="none" w:color="auto"/>
                      <w:vertAlign w:val="subscript"/>
                    </w:rPr>
                    <w:t>2</w:t>
                  </w:r>
                  <w:r>
                    <w:rPr>
                      <w:rFonts w:hint="default" w:ascii="Times New Roman" w:hAnsi="Times New Roman" w:cs="Times New Roman"/>
                      <w:sz w:val="21"/>
                      <w:szCs w:val="21"/>
                      <w:u w:val="none" w:color="auto"/>
                    </w:rPr>
                    <w:t>H</w:t>
                  </w:r>
                  <w:r>
                    <w:rPr>
                      <w:rFonts w:hint="default" w:ascii="Times New Roman" w:hAnsi="Times New Roman" w:cs="Times New Roman"/>
                      <w:sz w:val="21"/>
                      <w:szCs w:val="21"/>
                      <w:u w:val="none" w:color="auto"/>
                      <w:vertAlign w:val="subscript"/>
                    </w:rPr>
                    <w:t>5</w:t>
                  </w:r>
                  <w:r>
                    <w:rPr>
                      <w:rFonts w:hint="default" w:ascii="Times New Roman" w:hAnsi="Times New Roman" w:cs="Times New Roman"/>
                      <w:sz w:val="21"/>
                      <w:szCs w:val="21"/>
                      <w:u w:val="none" w:color="auto"/>
                    </w:rPr>
                    <w:t xml:space="preserve"> OH</w:t>
                  </w:r>
                </w:p>
              </w:tc>
              <w:tc>
                <w:tcPr>
                  <w:tcW w:w="1721" w:type="pct"/>
                  <w:noWrap w:val="0"/>
                  <w:vAlign w:val="center"/>
                </w:tcPr>
                <w:p>
                  <w:pPr>
                    <w:pStyle w:val="180"/>
                    <w:jc w:val="center"/>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分子式为C</w:t>
                  </w:r>
                  <w:r>
                    <w:rPr>
                      <w:rFonts w:hint="default" w:ascii="Times New Roman" w:hAnsi="Times New Roman" w:cs="Times New Roman"/>
                      <w:sz w:val="21"/>
                      <w:szCs w:val="21"/>
                      <w:u w:val="none" w:color="auto"/>
                      <w:vertAlign w:val="subscript"/>
                    </w:rPr>
                    <w:t>2</w:t>
                  </w:r>
                  <w:r>
                    <w:rPr>
                      <w:rFonts w:hint="default" w:ascii="Times New Roman" w:hAnsi="Times New Roman" w:cs="Times New Roman"/>
                      <w:sz w:val="21"/>
                      <w:szCs w:val="21"/>
                      <w:u w:val="none" w:color="auto"/>
                    </w:rPr>
                    <w:t>H</w:t>
                  </w:r>
                  <w:r>
                    <w:rPr>
                      <w:rFonts w:hint="default" w:ascii="Times New Roman" w:hAnsi="Times New Roman" w:cs="Times New Roman"/>
                      <w:sz w:val="21"/>
                      <w:szCs w:val="21"/>
                      <w:u w:val="none" w:color="auto"/>
                      <w:vertAlign w:val="subscript"/>
                    </w:rPr>
                    <w:t>5</w:t>
                  </w:r>
                  <w:r>
                    <w:rPr>
                      <w:rFonts w:hint="default" w:ascii="Times New Roman" w:hAnsi="Times New Roman" w:cs="Times New Roman"/>
                      <w:sz w:val="21"/>
                      <w:szCs w:val="21"/>
                      <w:u w:val="none" w:color="auto"/>
                    </w:rPr>
                    <w:t>OH（C</w:t>
                  </w:r>
                  <w:r>
                    <w:rPr>
                      <w:rFonts w:hint="default" w:ascii="Times New Roman" w:hAnsi="Times New Roman" w:cs="Times New Roman"/>
                      <w:sz w:val="21"/>
                      <w:szCs w:val="21"/>
                      <w:u w:val="none" w:color="auto"/>
                      <w:vertAlign w:val="subscript"/>
                    </w:rPr>
                    <w:t>2</w:t>
                  </w:r>
                  <w:r>
                    <w:rPr>
                      <w:rFonts w:hint="default" w:ascii="Times New Roman" w:hAnsi="Times New Roman" w:cs="Times New Roman"/>
                      <w:sz w:val="21"/>
                      <w:szCs w:val="21"/>
                      <w:u w:val="none" w:color="auto"/>
                    </w:rPr>
                    <w:t>H</w:t>
                  </w:r>
                  <w:r>
                    <w:rPr>
                      <w:rFonts w:hint="default" w:ascii="Times New Roman" w:hAnsi="Times New Roman" w:cs="Times New Roman"/>
                      <w:sz w:val="21"/>
                      <w:szCs w:val="21"/>
                      <w:u w:val="none" w:color="auto"/>
                      <w:vertAlign w:val="subscript"/>
                    </w:rPr>
                    <w:t>6</w:t>
                  </w:r>
                  <w:r>
                    <w:rPr>
                      <w:rFonts w:hint="default" w:ascii="Times New Roman" w:hAnsi="Times New Roman" w:cs="Times New Roman"/>
                      <w:sz w:val="21"/>
                      <w:szCs w:val="21"/>
                      <w:u w:val="none" w:color="auto"/>
                    </w:rPr>
                    <w:t>O），俗称酒精，在常温、常压下是一种易燃、易挥发的无色透明液体，它的水溶液具有特殊的、令人愉快的香味，并略带刺激性，沸点：78.4°C。医疗上也常用体积分数为70%-75%的乙醇作消毒剂</w:t>
                  </w:r>
                </w:p>
              </w:tc>
              <w:tc>
                <w:tcPr>
                  <w:tcW w:w="665" w:type="pct"/>
                  <w:noWrap w:val="0"/>
                  <w:vAlign w:val="center"/>
                </w:tcPr>
                <w:p>
                  <w:pPr>
                    <w:pStyle w:val="18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易燃</w:t>
                  </w:r>
                </w:p>
              </w:tc>
              <w:tc>
                <w:tcPr>
                  <w:tcW w:w="1234" w:type="pct"/>
                  <w:noWrap w:val="0"/>
                  <w:vAlign w:val="center"/>
                </w:tcPr>
                <w:p>
                  <w:pPr>
                    <w:pStyle w:val="180"/>
                    <w:jc w:val="center"/>
                    <w:rPr>
                      <w:rFonts w:hint="eastAsia"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rPr>
                    <w:t>毒性：微毒。急性毒性：LD50</w:t>
                  </w:r>
                  <w:r>
                    <w:rPr>
                      <w:rFonts w:hint="eastAsia" w:ascii="Times New Roman" w:hAnsi="Times New Roman" w:cs="Times New Roman"/>
                      <w:sz w:val="21"/>
                      <w:szCs w:val="21"/>
                      <w:u w:val="none" w:color="auto"/>
                      <w:lang w:eastAsia="zh-CN"/>
                    </w:rPr>
                    <w:t>：</w:t>
                  </w:r>
                  <w:r>
                    <w:rPr>
                      <w:rFonts w:hint="default" w:ascii="Times New Roman" w:hAnsi="Times New Roman" w:cs="Times New Roman"/>
                      <w:sz w:val="21"/>
                      <w:szCs w:val="21"/>
                      <w:u w:val="none" w:color="auto"/>
                    </w:rPr>
                    <w:t>7060 mg/kg（兔经口）；LD50</w:t>
                  </w:r>
                  <w:r>
                    <w:rPr>
                      <w:rFonts w:hint="eastAsia" w:ascii="Times New Roman" w:hAnsi="Times New Roman" w:cs="Times New Roman"/>
                      <w:sz w:val="21"/>
                      <w:szCs w:val="21"/>
                      <w:u w:val="none" w:color="auto"/>
                      <w:lang w:eastAsia="zh-CN"/>
                    </w:rPr>
                    <w:t>：</w:t>
                  </w:r>
                  <w:r>
                    <w:rPr>
                      <w:rFonts w:hint="default" w:ascii="Times New Roman" w:hAnsi="Times New Roman" w:cs="Times New Roman"/>
                      <w:sz w:val="21"/>
                      <w:szCs w:val="21"/>
                      <w:u w:val="none" w:color="auto"/>
                    </w:rPr>
                    <w:t>7340 mg/kg（兔经皮）；LC50</w:t>
                  </w:r>
                  <w:r>
                    <w:rPr>
                      <w:rFonts w:hint="eastAsia" w:ascii="Times New Roman" w:hAnsi="Times New Roman" w:cs="Times New Roman"/>
                      <w:sz w:val="21"/>
                      <w:szCs w:val="21"/>
                      <w:u w:val="none" w:color="auto"/>
                      <w:lang w:eastAsia="zh-CN"/>
                    </w:rPr>
                    <w:t>：</w:t>
                  </w:r>
                  <w:r>
                    <w:rPr>
                      <w:rFonts w:hint="default" w:ascii="Times New Roman" w:hAnsi="Times New Roman" w:cs="Times New Roman"/>
                      <w:sz w:val="21"/>
                      <w:szCs w:val="21"/>
                      <w:u w:val="none" w:color="auto"/>
                    </w:rPr>
                    <w:t>37620mg/m³，10 h（大鼠吸入</w:t>
                  </w:r>
                  <w:r>
                    <w:rPr>
                      <w:rFonts w:hint="eastAsia" w:ascii="Times New Roman" w:hAnsi="Times New Roman" w:cs="Times New Roman"/>
                      <w:sz w:val="21"/>
                      <w:szCs w:val="21"/>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noWrap w:val="0"/>
                  <w:vAlign w:val="center"/>
                </w:tcPr>
                <w:p>
                  <w:pPr>
                    <w:pStyle w:val="180"/>
                    <w:jc w:val="center"/>
                    <w:rPr>
                      <w:rFonts w:hint="eastAsia" w:ascii="Times New Roman" w:hAnsi="Times New Roman" w:eastAsia="宋体" w:cs="Times New Roman"/>
                      <w:sz w:val="21"/>
                      <w:szCs w:val="21"/>
                      <w:u w:val="none" w:color="auto"/>
                      <w:lang w:eastAsia="zh-CN"/>
                    </w:rPr>
                  </w:pPr>
                  <w:r>
                    <w:rPr>
                      <w:rFonts w:hint="eastAsia" w:ascii="Times New Roman" w:hAnsi="Times New Roman" w:cs="Times New Roman"/>
                      <w:sz w:val="21"/>
                      <w:szCs w:val="21"/>
                      <w:u w:val="none" w:color="auto"/>
                      <w:lang w:val="en-US" w:eastAsia="zh-CN"/>
                    </w:rPr>
                    <w:t>2</w:t>
                  </w:r>
                </w:p>
              </w:tc>
              <w:tc>
                <w:tcPr>
                  <w:tcW w:w="425" w:type="pct"/>
                  <w:noWrap w:val="0"/>
                  <w:vAlign w:val="center"/>
                </w:tcPr>
                <w:p>
                  <w:pPr>
                    <w:pStyle w:val="180"/>
                    <w:ind w:firstLine="0" w:firstLineChars="0"/>
                    <w:jc w:val="center"/>
                    <w:rPr>
                      <w:rFonts w:hint="default" w:ascii="Times New Roman" w:hAnsi="Times New Roman" w:cs="Times New Roman"/>
                      <w:color w:val="000000"/>
                      <w:kern w:val="0"/>
                      <w:sz w:val="21"/>
                      <w:szCs w:val="21"/>
                      <w:u w:val="none" w:color="auto"/>
                      <w:lang w:val="en-US" w:eastAsia="zh-CN" w:bidi="ar-SA"/>
                    </w:rPr>
                  </w:pPr>
                  <w:r>
                    <w:rPr>
                      <w:rFonts w:hint="eastAsia" w:cs="Times New Roman"/>
                      <w:color w:val="000000"/>
                      <w:kern w:val="0"/>
                      <w:sz w:val="21"/>
                      <w:szCs w:val="21"/>
                      <w:u w:val="none" w:color="auto"/>
                      <w:lang w:val="en-US" w:eastAsia="zh-CN" w:bidi="ar-SA"/>
                    </w:rPr>
                    <w:t>次氯酸钠</w:t>
                  </w:r>
                </w:p>
              </w:tc>
              <w:tc>
                <w:tcPr>
                  <w:tcW w:w="662" w:type="pct"/>
                  <w:noWrap w:val="0"/>
                  <w:vAlign w:val="center"/>
                </w:tcPr>
                <w:p>
                  <w:pPr>
                    <w:pStyle w:val="18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NaClO</w:t>
                  </w:r>
                </w:p>
              </w:tc>
              <w:tc>
                <w:tcPr>
                  <w:tcW w:w="1721" w:type="pct"/>
                  <w:noWrap w:val="0"/>
                  <w:vAlign w:val="center"/>
                </w:tcPr>
                <w:p>
                  <w:pPr>
                    <w:pStyle w:val="180"/>
                    <w:jc w:val="center"/>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次氯酸钠溶液，微黄色溶液，有似氯气的气味，主要用于环境和物体表面消毒的含氯消毒剂，含有强力去污成份，可杀灭大肠杆菌</w:t>
                  </w:r>
                </w:p>
              </w:tc>
              <w:tc>
                <w:tcPr>
                  <w:tcW w:w="665" w:type="pct"/>
                  <w:noWrap w:val="0"/>
                  <w:vAlign w:val="center"/>
                </w:tcPr>
                <w:p>
                  <w:pPr>
                    <w:pStyle w:val="180"/>
                    <w:jc w:val="center"/>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有致敏作用</w:t>
                  </w:r>
                  <w:r>
                    <w:rPr>
                      <w:rFonts w:hint="eastAsia" w:ascii="Times New Roman" w:hAnsi="Times New Roman" w:cs="Times New Roman"/>
                      <w:sz w:val="21"/>
                      <w:szCs w:val="21"/>
                      <w:u w:val="none" w:color="auto"/>
                      <w:lang w:eastAsia="zh-CN"/>
                    </w:rPr>
                    <w:t>，</w:t>
                  </w:r>
                  <w:r>
                    <w:rPr>
                      <w:rFonts w:hint="default" w:ascii="Times New Roman" w:hAnsi="Times New Roman" w:cs="Times New Roman"/>
                      <w:sz w:val="21"/>
                      <w:szCs w:val="21"/>
                      <w:u w:val="none" w:color="auto"/>
                    </w:rPr>
                    <w:t>放出的游离氯</w:t>
                  </w:r>
                </w:p>
                <w:p>
                  <w:pPr>
                    <w:pStyle w:val="180"/>
                    <w:jc w:val="center"/>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有可能引起中毒</w:t>
                  </w:r>
                </w:p>
              </w:tc>
              <w:tc>
                <w:tcPr>
                  <w:tcW w:w="1234" w:type="pct"/>
                  <w:noWrap w:val="0"/>
                  <w:vAlign w:val="center"/>
                </w:tcPr>
                <w:p>
                  <w:pPr>
                    <w:pStyle w:val="180"/>
                    <w:jc w:val="center"/>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LD50：8500mg/ kg（小鼠经口）；LC50：无资料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noWrap w:val="0"/>
                  <w:vAlign w:val="center"/>
                </w:tcPr>
                <w:p>
                  <w:pPr>
                    <w:pStyle w:val="180"/>
                    <w:jc w:val="center"/>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3</w:t>
                  </w:r>
                </w:p>
              </w:tc>
              <w:tc>
                <w:tcPr>
                  <w:tcW w:w="425" w:type="pct"/>
                  <w:noWrap w:val="0"/>
                  <w:vAlign w:val="center"/>
                </w:tcPr>
                <w:p>
                  <w:pPr>
                    <w:pStyle w:val="180"/>
                    <w:ind w:firstLine="0" w:firstLineChars="0"/>
                    <w:jc w:val="center"/>
                    <w:rPr>
                      <w:rFonts w:hint="default" w:ascii="Times New Roman" w:hAnsi="Times New Roman" w:cs="Times New Roman"/>
                      <w:color w:val="000000"/>
                      <w:kern w:val="0"/>
                      <w:sz w:val="21"/>
                      <w:szCs w:val="21"/>
                      <w:u w:val="none" w:color="auto"/>
                      <w:lang w:val="en-US" w:eastAsia="zh-CN" w:bidi="ar-SA"/>
                    </w:rPr>
                  </w:pPr>
                  <w:r>
                    <w:rPr>
                      <w:rFonts w:hint="eastAsia" w:cs="Times New Roman"/>
                      <w:color w:val="000000"/>
                      <w:kern w:val="0"/>
                      <w:sz w:val="21"/>
                      <w:szCs w:val="21"/>
                      <w:u w:val="none" w:color="auto"/>
                      <w:lang w:val="en-US" w:eastAsia="zh-CN" w:bidi="ar-SA"/>
                    </w:rPr>
                    <w:t>PAC（絮凝剂）</w:t>
                  </w:r>
                </w:p>
              </w:tc>
              <w:tc>
                <w:tcPr>
                  <w:tcW w:w="662" w:type="pct"/>
                  <w:noWrap w:val="0"/>
                  <w:vAlign w:val="center"/>
                </w:tcPr>
                <w:p>
                  <w:pPr>
                    <w:pStyle w:val="180"/>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[AL</w:t>
                  </w:r>
                  <w:r>
                    <w:rPr>
                      <w:rFonts w:hint="eastAsia" w:ascii="Times New Roman" w:hAnsi="Times New Roman" w:cs="Times New Roman"/>
                      <w:sz w:val="21"/>
                      <w:szCs w:val="21"/>
                      <w:u w:val="none" w:color="auto"/>
                      <w:vertAlign w:val="subscript"/>
                      <w:lang w:val="en-US" w:eastAsia="zh-CN"/>
                    </w:rPr>
                    <w:t>2</w:t>
                  </w:r>
                  <w:r>
                    <w:rPr>
                      <w:rFonts w:hint="eastAsia" w:ascii="Times New Roman" w:hAnsi="Times New Roman" w:cs="Times New Roman"/>
                      <w:sz w:val="21"/>
                      <w:szCs w:val="21"/>
                      <w:u w:val="none" w:color="auto"/>
                      <w:lang w:val="en-US" w:eastAsia="zh-CN"/>
                    </w:rPr>
                    <w:t>(OH)</w:t>
                  </w:r>
                  <w:r>
                    <w:rPr>
                      <w:rFonts w:hint="eastAsia" w:ascii="Times New Roman" w:hAnsi="Times New Roman" w:cs="Times New Roman"/>
                      <w:sz w:val="21"/>
                      <w:szCs w:val="21"/>
                      <w:u w:val="none" w:color="auto"/>
                      <w:vertAlign w:val="subscript"/>
                      <w:lang w:val="en-US" w:eastAsia="zh-CN"/>
                    </w:rPr>
                    <w:t>n</w:t>
                  </w:r>
                  <w:r>
                    <w:rPr>
                      <w:rFonts w:hint="eastAsia" w:ascii="Times New Roman" w:hAnsi="Times New Roman" w:cs="Times New Roman"/>
                      <w:sz w:val="21"/>
                      <w:szCs w:val="21"/>
                      <w:u w:val="none" w:color="auto"/>
                      <w:lang w:val="en-US" w:eastAsia="zh-CN"/>
                    </w:rPr>
                    <w:t>Cl</w:t>
                  </w:r>
                  <w:r>
                    <w:rPr>
                      <w:rFonts w:hint="eastAsia" w:ascii="Times New Roman" w:hAnsi="Times New Roman" w:cs="Times New Roman"/>
                      <w:sz w:val="21"/>
                      <w:szCs w:val="21"/>
                      <w:u w:val="none" w:color="auto"/>
                      <w:vertAlign w:val="subscript"/>
                      <w:lang w:val="en-US" w:eastAsia="zh-CN"/>
                    </w:rPr>
                    <w:t>6-n</w:t>
                  </w:r>
                  <w:r>
                    <w:rPr>
                      <w:rFonts w:hint="eastAsia" w:ascii="Times New Roman" w:hAnsi="Times New Roman" w:cs="Times New Roman"/>
                      <w:sz w:val="21"/>
                      <w:szCs w:val="21"/>
                      <w:u w:val="none" w:color="auto"/>
                      <w:lang w:val="en-US" w:eastAsia="zh-CN"/>
                    </w:rPr>
                    <w:t>]</w:t>
                  </w:r>
                  <w:r>
                    <w:rPr>
                      <w:rFonts w:hint="eastAsia" w:ascii="Times New Roman" w:hAnsi="Times New Roman" w:cs="Times New Roman"/>
                      <w:sz w:val="21"/>
                      <w:szCs w:val="21"/>
                      <w:u w:val="none" w:color="auto"/>
                      <w:vertAlign w:val="baseline"/>
                      <w:lang w:val="en-US" w:eastAsia="zh-CN"/>
                    </w:rPr>
                    <w:t>m</w:t>
                  </w:r>
                </w:p>
              </w:tc>
              <w:tc>
                <w:tcPr>
                  <w:tcW w:w="17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是一种无机物，一种新兴净水材料、无机高分子混凝剂，简称聚铝。它是介于AlC</w:t>
                  </w:r>
                  <w:r>
                    <w:rPr>
                      <w:rFonts w:hint="eastAsia" w:cs="Times New Roman"/>
                      <w:sz w:val="21"/>
                      <w:szCs w:val="21"/>
                      <w:u w:val="none" w:color="auto"/>
                      <w:lang w:val="en-US" w:eastAsia="zh-CN"/>
                    </w:rPr>
                    <w:t>l</w:t>
                  </w:r>
                  <w:r>
                    <w:rPr>
                      <w:rFonts w:hint="default" w:ascii="Times New Roman" w:hAnsi="Times New Roman" w:cs="Times New Roman"/>
                      <w:sz w:val="21"/>
                      <w:szCs w:val="21"/>
                      <w:u w:val="none" w:color="auto"/>
                      <w:vertAlign w:val="subscript"/>
                    </w:rPr>
                    <w:t>3</w:t>
                  </w:r>
                  <w:r>
                    <w:rPr>
                      <w:rFonts w:hint="default" w:ascii="Times New Roman" w:hAnsi="Times New Roman" w:cs="Times New Roman"/>
                      <w:sz w:val="21"/>
                      <w:szCs w:val="21"/>
                      <w:u w:val="none" w:color="auto"/>
                    </w:rPr>
                    <w:t>和Al(OH)</w:t>
                  </w:r>
                  <w:r>
                    <w:rPr>
                      <w:rFonts w:hint="default" w:ascii="Times New Roman" w:hAnsi="Times New Roman" w:cs="Times New Roman"/>
                      <w:sz w:val="21"/>
                      <w:szCs w:val="21"/>
                      <w:u w:val="none" w:color="auto"/>
                      <w:vertAlign w:val="subscript"/>
                    </w:rPr>
                    <w:t>3</w:t>
                  </w:r>
                  <w:r>
                    <w:rPr>
                      <w:rFonts w:hint="default" w:ascii="Times New Roman" w:hAnsi="Times New Roman" w:cs="Times New Roman"/>
                      <w:sz w:val="21"/>
                      <w:szCs w:val="21"/>
                      <w:u w:val="none" w:color="auto"/>
                    </w:rPr>
                    <w:t>之间的一种水溶性无机高分子聚合物，n=1~5为具有Keggin结构的高电荷聚合环链体，对水中胶体和颗粒物具有高度电中和及桥联作用，并可强力去除微有毒物及重金属离子，性状稳定。</w:t>
                  </w:r>
                </w:p>
              </w:tc>
              <w:tc>
                <w:tcPr>
                  <w:tcW w:w="665" w:type="pct"/>
                  <w:noWrap w:val="0"/>
                  <w:vAlign w:val="center"/>
                </w:tcPr>
                <w:p>
                  <w:pPr>
                    <w:pStyle w:val="180"/>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不易燃</w:t>
                  </w:r>
                </w:p>
              </w:tc>
              <w:tc>
                <w:tcPr>
                  <w:tcW w:w="1234" w:type="pct"/>
                  <w:noWrap w:val="0"/>
                  <w:vAlign w:val="center"/>
                </w:tcPr>
                <w:p>
                  <w:pPr>
                    <w:pStyle w:val="180"/>
                    <w:jc w:val="center"/>
                    <w:rPr>
                      <w:rFonts w:hint="eastAsia"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noWrap w:val="0"/>
                  <w:vAlign w:val="center"/>
                </w:tcPr>
                <w:p>
                  <w:pPr>
                    <w:pStyle w:val="18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4</w:t>
                  </w:r>
                </w:p>
              </w:tc>
              <w:tc>
                <w:tcPr>
                  <w:tcW w:w="425" w:type="pct"/>
                  <w:noWrap w:val="0"/>
                  <w:vAlign w:val="center"/>
                </w:tcPr>
                <w:p>
                  <w:pPr>
                    <w:pStyle w:val="180"/>
                    <w:ind w:firstLine="0" w:firstLineChars="0"/>
                    <w:jc w:val="center"/>
                    <w:rPr>
                      <w:rFonts w:hint="default" w:cs="Times New Roman"/>
                      <w:color w:val="000000"/>
                      <w:kern w:val="0"/>
                      <w:sz w:val="21"/>
                      <w:szCs w:val="21"/>
                      <w:u w:val="none" w:color="auto"/>
                      <w:lang w:val="en-US" w:eastAsia="zh-CN" w:bidi="ar-SA"/>
                    </w:rPr>
                  </w:pPr>
                  <w:r>
                    <w:rPr>
                      <w:rFonts w:hint="eastAsia" w:cs="Times New Roman"/>
                      <w:color w:val="000000"/>
                      <w:kern w:val="0"/>
                      <w:sz w:val="21"/>
                      <w:szCs w:val="21"/>
                      <w:u w:val="none" w:color="auto"/>
                      <w:lang w:val="en-US" w:eastAsia="zh-CN" w:bidi="ar-SA"/>
                    </w:rPr>
                    <w:t>PAM（助凝剂）</w:t>
                  </w:r>
                </w:p>
              </w:tc>
              <w:tc>
                <w:tcPr>
                  <w:tcW w:w="662" w:type="pct"/>
                  <w:noWrap w:val="0"/>
                  <w:vAlign w:val="center"/>
                </w:tcPr>
                <w:p>
                  <w:pPr>
                    <w:pStyle w:val="18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w:t>
                  </w:r>
                </w:p>
              </w:tc>
              <w:tc>
                <w:tcPr>
                  <w:tcW w:w="17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color="auto"/>
                    </w:rPr>
                  </w:pPr>
                  <w:r>
                    <w:rPr>
                      <w:rFonts w:hint="default" w:ascii="Times New Roman" w:hAnsi="Times New Roman" w:eastAsia="宋体" w:cs="Times New Roman"/>
                      <w:spacing w:val="1"/>
                      <w:sz w:val="21"/>
                      <w:szCs w:val="21"/>
                    </w:rPr>
                    <w:t>PAM全名为聚丙烯酰胺，该产品的分子能与分散于溶液中的悬浮粒子架桥吸附，有着极强的絮凝作用。密度=1.3 g/cm³。PAM在50-60°C下溶于水，水解度为5%-35%，也溶于乙酸、丙酸、氯代乙酸、乙二醇、甘油和胺等有机溶剂。</w:t>
                  </w:r>
                </w:p>
              </w:tc>
              <w:tc>
                <w:tcPr>
                  <w:tcW w:w="665" w:type="pct"/>
                  <w:noWrap w:val="0"/>
                  <w:vAlign w:val="center"/>
                </w:tcPr>
                <w:p>
                  <w:pPr>
                    <w:pStyle w:val="180"/>
                    <w:jc w:val="center"/>
                    <w:rPr>
                      <w:rFonts w:hint="default" w:cs="Times New Roman"/>
                      <w:sz w:val="21"/>
                      <w:szCs w:val="21"/>
                      <w:u w:val="none" w:color="auto"/>
                      <w:lang w:val="en-US" w:eastAsia="zh-CN"/>
                    </w:rPr>
                  </w:pPr>
                  <w:r>
                    <w:rPr>
                      <w:rFonts w:hint="eastAsia" w:cs="Times New Roman"/>
                      <w:sz w:val="21"/>
                      <w:szCs w:val="21"/>
                      <w:u w:val="none" w:color="auto"/>
                      <w:lang w:val="en-US" w:eastAsia="zh-CN"/>
                    </w:rPr>
                    <w:t>不易燃</w:t>
                  </w:r>
                </w:p>
              </w:tc>
              <w:tc>
                <w:tcPr>
                  <w:tcW w:w="1234" w:type="pct"/>
                  <w:noWrap w:val="0"/>
                  <w:vAlign w:val="center"/>
                </w:tcPr>
                <w:p>
                  <w:pPr>
                    <w:pStyle w:val="180"/>
                    <w:jc w:val="center"/>
                    <w:rPr>
                      <w:rFonts w:hint="eastAsia" w:cs="Times New Roman"/>
                      <w:sz w:val="21"/>
                      <w:szCs w:val="21"/>
                      <w:u w:val="none" w:color="auto"/>
                      <w:lang w:val="en-US" w:eastAsia="zh-CN"/>
                    </w:rPr>
                  </w:pPr>
                  <w:r>
                    <w:rPr>
                      <w:rFonts w:hint="eastAsia" w:cs="Times New Roman"/>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noWrap w:val="0"/>
                  <w:vAlign w:val="center"/>
                </w:tcPr>
                <w:p>
                  <w:pPr>
                    <w:pStyle w:val="18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5</w:t>
                  </w:r>
                </w:p>
              </w:tc>
              <w:tc>
                <w:tcPr>
                  <w:tcW w:w="425" w:type="pct"/>
                  <w:noWrap w:val="0"/>
                  <w:vAlign w:val="center"/>
                </w:tcPr>
                <w:p>
                  <w:pPr>
                    <w:pStyle w:val="180"/>
                    <w:ind w:firstLine="0" w:firstLineChars="0"/>
                    <w:jc w:val="center"/>
                    <w:rPr>
                      <w:rFonts w:hint="default" w:ascii="Times New Roman" w:hAnsi="Times New Roman" w:cs="Times New Roman"/>
                      <w:color w:val="000000"/>
                      <w:kern w:val="0"/>
                      <w:sz w:val="21"/>
                      <w:szCs w:val="21"/>
                      <w:u w:val="none" w:color="auto"/>
                      <w:lang w:val="en-US" w:eastAsia="zh-CN" w:bidi="ar-SA"/>
                    </w:rPr>
                  </w:pPr>
                  <w:r>
                    <w:rPr>
                      <w:rFonts w:hint="eastAsia" w:cs="Times New Roman"/>
                      <w:color w:val="000000"/>
                      <w:kern w:val="0"/>
                      <w:sz w:val="21"/>
                      <w:szCs w:val="21"/>
                      <w:u w:val="none" w:color="auto"/>
                      <w:lang w:val="en-US" w:eastAsia="zh-CN" w:bidi="ar-SA"/>
                    </w:rPr>
                    <w:t>碘伏</w:t>
                  </w:r>
                </w:p>
              </w:tc>
              <w:tc>
                <w:tcPr>
                  <w:tcW w:w="662" w:type="pct"/>
                  <w:noWrap w:val="0"/>
                  <w:vAlign w:val="center"/>
                </w:tcPr>
                <w:p>
                  <w:pPr>
                    <w:pStyle w:val="180"/>
                    <w:jc w:val="center"/>
                    <w:rPr>
                      <w:rFonts w:hint="eastAsia"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w:t>
                  </w:r>
                </w:p>
              </w:tc>
              <w:tc>
                <w:tcPr>
                  <w:tcW w:w="17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碘伏是单质碘与聚乙烯吡咯烷酮（Povidone）的不定型结合物，它具有广谱杀菌作用，可杀灭细菌繁殖体、真菌、原虫和部分病毒</w:t>
                  </w:r>
                  <w:r>
                    <w:rPr>
                      <w:rFonts w:hint="default" w:ascii="Times New Roman" w:hAnsi="Times New Roman" w:eastAsia="宋体" w:cs="Times New Roman"/>
                      <w:sz w:val="21"/>
                      <w:szCs w:val="21"/>
                      <w:u w:val="none" w:color="auto"/>
                    </w:rPr>
                    <w:fldChar w:fldCharType="begin"/>
                  </w:r>
                  <w:r>
                    <w:rPr>
                      <w:rFonts w:hint="default" w:ascii="Times New Roman" w:hAnsi="Times New Roman" w:eastAsia="宋体" w:cs="Times New Roman"/>
                      <w:sz w:val="21"/>
                      <w:szCs w:val="21"/>
                      <w:u w:val="none" w:color="auto"/>
                    </w:rPr>
                    <w:instrText xml:space="preserve"> HYPERLINK "https://baike.sogou.com/v213910.htm?fromTitle=%E7%A2%98%E4%BC%8F" \l "quote1" </w:instrText>
                  </w:r>
                  <w:r>
                    <w:rPr>
                      <w:rFonts w:hint="default" w:ascii="Times New Roman" w:hAnsi="Times New Roman" w:eastAsia="宋体" w:cs="Times New Roman"/>
                      <w:sz w:val="21"/>
                      <w:szCs w:val="21"/>
                      <w:u w:val="none" w:color="auto"/>
                    </w:rPr>
                    <w:fldChar w:fldCharType="separate"/>
                  </w:r>
                  <w:r>
                    <w:rPr>
                      <w:rFonts w:hint="default" w:ascii="Times New Roman" w:hAnsi="Times New Roman" w:eastAsia="宋体" w:cs="Times New Roman"/>
                      <w:sz w:val="21"/>
                      <w:szCs w:val="21"/>
                      <w:u w:val="none" w:color="auto"/>
                    </w:rPr>
                    <w:fldChar w:fldCharType="end"/>
                  </w:r>
                  <w:bookmarkStart w:id="7" w:name="ref_1"/>
                  <w:bookmarkEnd w:id="7"/>
                  <w:r>
                    <w:rPr>
                      <w:rFonts w:hint="default" w:ascii="Times New Roman" w:hAnsi="Times New Roman" w:eastAsia="宋体" w:cs="Times New Roman"/>
                      <w:sz w:val="21"/>
                      <w:szCs w:val="21"/>
                      <w:u w:val="none" w:color="auto"/>
                    </w:rPr>
                    <w:t>。在医疗上用作杀菌消毒剂，可用于皮肤、粘膜的消毒，可处理烫伤、皮肤霉菌感染等，也可用于手术前和其它皮肤的消毒、各种注射部位皮肤消毒等</w:t>
                  </w:r>
                </w:p>
              </w:tc>
              <w:tc>
                <w:tcPr>
                  <w:tcW w:w="665" w:type="pct"/>
                  <w:noWrap w:val="0"/>
                  <w:vAlign w:val="center"/>
                </w:tcPr>
                <w:p>
                  <w:pPr>
                    <w:pStyle w:val="18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w:t>
                  </w:r>
                </w:p>
              </w:tc>
              <w:tc>
                <w:tcPr>
                  <w:tcW w:w="1234" w:type="pct"/>
                  <w:noWrap w:val="0"/>
                  <w:vAlign w:val="center"/>
                </w:tcPr>
                <w:p>
                  <w:pPr>
                    <w:pStyle w:val="180"/>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人经口LDLo：28mg/kg</w:t>
                  </w:r>
                </w:p>
                <w:p>
                  <w:pPr>
                    <w:pStyle w:val="180"/>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大鼠经口LD50：14g/kg;吸入LCLo：137ppm/1H</w:t>
                  </w:r>
                </w:p>
                <w:p>
                  <w:pPr>
                    <w:pStyle w:val="180"/>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小鼠经口LD50：22g/kg</w:t>
                  </w:r>
                </w:p>
              </w:tc>
            </w:tr>
          </w:tbl>
          <w:p>
            <w:pPr>
              <w:pStyle w:val="161"/>
              <w:rPr>
                <w:rFonts w:hint="default" w:ascii="Times New Roman" w:hAnsi="Times New Roman" w:cs="Times New Roman"/>
                <w:lang w:val="en-US" w:eastAsia="zh-CN"/>
              </w:rPr>
            </w:pPr>
            <w:r>
              <w:rPr>
                <w:rFonts w:hint="eastAsia" w:ascii="Times New Roman" w:hAnsi="Times New Roman" w:cs="Times New Roman"/>
                <w:lang w:val="en-US" w:eastAsia="zh-CN"/>
              </w:rPr>
              <w:t>5</w:t>
            </w:r>
            <w:r>
              <w:rPr>
                <w:rFonts w:hint="default" w:ascii="Times New Roman" w:hAnsi="Times New Roman" w:cs="Times New Roman"/>
                <w:lang w:val="en-US" w:eastAsia="zh-CN"/>
              </w:rPr>
              <w:t>、主要</w:t>
            </w:r>
            <w:r>
              <w:rPr>
                <w:rFonts w:hint="eastAsia" w:ascii="Times New Roman" w:hAnsi="Times New Roman" w:cs="Times New Roman"/>
                <w:lang w:val="en-US" w:eastAsia="zh-CN"/>
              </w:rPr>
              <w:t>医疗</w:t>
            </w:r>
            <w:r>
              <w:rPr>
                <w:rFonts w:hint="default" w:ascii="Times New Roman" w:hAnsi="Times New Roman" w:cs="Times New Roman"/>
                <w:lang w:val="en-US" w:eastAsia="zh-CN"/>
              </w:rPr>
              <w:t>设备</w:t>
            </w:r>
          </w:p>
          <w:p>
            <w:pPr>
              <w:pStyle w:val="98"/>
              <w:ind w:firstLine="480"/>
              <w:rPr>
                <w:rFonts w:hint="eastAsia" w:eastAsia="宋体"/>
                <w:sz w:val="24"/>
                <w:szCs w:val="24"/>
                <w:lang w:eastAsia="zh-CN"/>
              </w:rPr>
            </w:pPr>
            <w:r>
              <w:rPr>
                <w:sz w:val="24"/>
                <w:szCs w:val="24"/>
              </w:rPr>
              <w:t>本项目</w:t>
            </w:r>
            <w:r>
              <w:rPr>
                <w:rFonts w:hint="default"/>
                <w:sz w:val="24"/>
                <w:szCs w:val="24"/>
              </w:rPr>
              <w:t>主要</w:t>
            </w:r>
            <w:r>
              <w:rPr>
                <w:rFonts w:hint="eastAsia"/>
                <w:sz w:val="24"/>
                <w:szCs w:val="24"/>
                <w:lang w:val="en-US" w:eastAsia="zh-CN"/>
              </w:rPr>
              <w:t>医疗</w:t>
            </w:r>
            <w:r>
              <w:rPr>
                <w:rFonts w:hint="default"/>
                <w:sz w:val="24"/>
                <w:szCs w:val="24"/>
              </w:rPr>
              <w:t>设备见表2-</w:t>
            </w:r>
            <w:r>
              <w:rPr>
                <w:rFonts w:hint="eastAsia"/>
                <w:sz w:val="24"/>
                <w:szCs w:val="24"/>
                <w:lang w:val="en-US" w:eastAsia="zh-CN"/>
              </w:rPr>
              <w:t>6</w:t>
            </w:r>
            <w:r>
              <w:rPr>
                <w:rFonts w:hint="eastAsia"/>
                <w:sz w:val="24"/>
                <w:szCs w:val="24"/>
                <w:lang w:eastAsia="zh-CN"/>
              </w:rPr>
              <w:t>。</w:t>
            </w:r>
          </w:p>
          <w:p>
            <w:pPr>
              <w:pStyle w:val="8"/>
              <w:keepNext/>
              <w:keepLines w:val="0"/>
              <w:pageBreakBefore w:val="0"/>
              <w:widowControl/>
              <w:kinsoku/>
              <w:wordWrap/>
              <w:overflowPunct/>
              <w:topLinePunct w:val="0"/>
              <w:autoSpaceDE/>
              <w:autoSpaceDN/>
              <w:bidi w:val="0"/>
              <w:adjustRightInd/>
              <w:snapToGrid/>
              <w:spacing w:line="240" w:lineRule="auto"/>
              <w:textAlignment w:val="auto"/>
            </w:pPr>
            <w:r>
              <w:rPr>
                <w:rFonts w:hint="eastAsia"/>
              </w:rPr>
              <w:t>表2-</w:t>
            </w:r>
            <w:r>
              <w:rPr>
                <w:rFonts w:hint="eastAsia"/>
                <w:lang w:val="en-US" w:eastAsia="zh-CN"/>
              </w:rPr>
              <w:t xml:space="preserve">6   </w:t>
            </w:r>
            <w:r>
              <w:rPr>
                <w:rFonts w:hint="eastAsia"/>
              </w:rPr>
              <w:t>项目主要设备设施表</w:t>
            </w:r>
          </w:p>
          <w:tbl>
            <w:tblPr>
              <w:tblStyle w:val="34"/>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369"/>
              <w:gridCol w:w="1958"/>
              <w:gridCol w:w="897"/>
              <w:gridCol w:w="1506"/>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6"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b/>
                      <w:sz w:val="21"/>
                      <w:szCs w:val="21"/>
                      <w:u w:val="none"/>
                      <w:lang w:val="en-US" w:eastAsia="zh-CN"/>
                    </w:rPr>
                  </w:pPr>
                  <w:bookmarkStart w:id="8" w:name="_Toc24853"/>
                  <w:bookmarkStart w:id="9" w:name="_Toc26488"/>
                  <w:r>
                    <w:rPr>
                      <w:rFonts w:cs="宋体"/>
                      <w:b/>
                      <w:sz w:val="21"/>
                      <w:szCs w:val="21"/>
                      <w:u w:val="none"/>
                      <w:lang w:val="en-US" w:eastAsia="zh-CN"/>
                    </w:rPr>
                    <w:t>序号</w:t>
                  </w:r>
                </w:p>
              </w:tc>
              <w:tc>
                <w:tcPr>
                  <w:tcW w:w="867"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b/>
                      <w:sz w:val="21"/>
                      <w:szCs w:val="21"/>
                      <w:u w:val="none"/>
                      <w:lang w:val="en-US" w:eastAsia="zh-CN"/>
                    </w:rPr>
                  </w:pPr>
                  <w:r>
                    <w:rPr>
                      <w:rFonts w:cs="宋体"/>
                      <w:b/>
                      <w:sz w:val="21"/>
                      <w:szCs w:val="21"/>
                      <w:u w:val="none"/>
                      <w:lang w:val="en-US" w:eastAsia="zh-CN"/>
                    </w:rPr>
                    <w:t>设备名称</w:t>
                  </w:r>
                </w:p>
              </w:tc>
              <w:tc>
                <w:tcPr>
                  <w:tcW w:w="1240"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b/>
                      <w:sz w:val="21"/>
                      <w:szCs w:val="21"/>
                      <w:u w:val="none"/>
                      <w:lang w:val="en-US" w:eastAsia="zh-CN"/>
                    </w:rPr>
                  </w:pPr>
                  <w:r>
                    <w:rPr>
                      <w:rFonts w:cs="宋体"/>
                      <w:b/>
                      <w:sz w:val="21"/>
                      <w:szCs w:val="21"/>
                      <w:u w:val="none"/>
                      <w:lang w:val="en-US" w:eastAsia="zh-CN"/>
                    </w:rPr>
                    <w:t>规格型号</w:t>
                  </w:r>
                </w:p>
              </w:tc>
              <w:tc>
                <w:tcPr>
                  <w:tcW w:w="568"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b/>
                      <w:sz w:val="21"/>
                      <w:szCs w:val="21"/>
                      <w:u w:val="none"/>
                      <w:lang w:val="en-US" w:eastAsia="zh-CN"/>
                    </w:rPr>
                  </w:pPr>
                  <w:r>
                    <w:rPr>
                      <w:rFonts w:hint="eastAsia" w:cs="宋体"/>
                      <w:b/>
                      <w:sz w:val="21"/>
                      <w:szCs w:val="21"/>
                      <w:u w:val="none"/>
                      <w:lang w:val="en-US" w:eastAsia="zh-CN"/>
                    </w:rPr>
                    <w:t>单位</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b/>
                      <w:sz w:val="21"/>
                      <w:szCs w:val="21"/>
                      <w:u w:val="none"/>
                      <w:lang w:val="en-US" w:eastAsia="zh-CN"/>
                    </w:rPr>
                  </w:pPr>
                  <w:r>
                    <w:rPr>
                      <w:rFonts w:hint="eastAsia" w:cs="宋体"/>
                      <w:b/>
                      <w:sz w:val="21"/>
                      <w:szCs w:val="21"/>
                      <w:u w:val="none"/>
                      <w:lang w:val="en-US" w:eastAsia="zh-CN"/>
                    </w:rPr>
                    <w:t>数量</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b/>
                      <w:sz w:val="21"/>
                      <w:szCs w:val="21"/>
                      <w:u w:val="none"/>
                      <w:lang w:val="en-US" w:eastAsia="zh-CN"/>
                    </w:rPr>
                  </w:pPr>
                  <w:r>
                    <w:rPr>
                      <w:rFonts w:hint="eastAsia" w:cs="宋体"/>
                      <w:b/>
                      <w:sz w:val="21"/>
                      <w:szCs w:val="21"/>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6"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sz w:val="21"/>
                      <w:szCs w:val="21"/>
                      <w:u w:val="none"/>
                      <w:lang w:val="en-US" w:eastAsia="zh-CN"/>
                    </w:rPr>
                  </w:pPr>
                  <w:r>
                    <w:rPr>
                      <w:rFonts w:cs="宋体"/>
                      <w:sz w:val="21"/>
                      <w:szCs w:val="21"/>
                      <w:u w:val="none"/>
                      <w:lang w:val="en-US" w:eastAsia="zh-CN"/>
                    </w:rPr>
                    <w:t>1</w:t>
                  </w:r>
                </w:p>
              </w:tc>
              <w:tc>
                <w:tcPr>
                  <w:tcW w:w="86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cs="宋体"/>
                      <w:sz w:val="21"/>
                      <w:szCs w:val="21"/>
                      <w:u w:val="none"/>
                      <w:lang w:val="en-US" w:eastAsia="zh-CN"/>
                    </w:rPr>
                  </w:pPr>
                  <w:r>
                    <w:rPr>
                      <w:rFonts w:hint="eastAsia" w:ascii="Times New Roman" w:hAnsi="Times New Roman" w:eastAsia="宋体" w:cs="Times New Roman"/>
                      <w:color w:val="000000"/>
                      <w:spacing w:val="0"/>
                      <w:w w:val="100"/>
                      <w:kern w:val="0"/>
                      <w:sz w:val="21"/>
                      <w:szCs w:val="21"/>
                      <w:lang w:val="en-US" w:eastAsia="zh-CN" w:bidi="ar"/>
                    </w:rPr>
                    <w:t>心电监护</w:t>
                  </w:r>
                </w:p>
              </w:tc>
              <w:tc>
                <w:tcPr>
                  <w:tcW w:w="12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宋体"/>
                      <w:sz w:val="21"/>
                      <w:szCs w:val="21"/>
                      <w:u w:val="none"/>
                      <w:lang w:val="en-US" w:eastAsia="zh-CN"/>
                    </w:rPr>
                  </w:pPr>
                  <w:r>
                    <w:rPr>
                      <w:rFonts w:hint="eastAsia" w:ascii="Times New Roman" w:hAnsi="Times New Roman" w:eastAsia="宋体" w:cs="Times New Roman"/>
                      <w:color w:val="000000"/>
                      <w:spacing w:val="0"/>
                      <w:w w:val="100"/>
                      <w:kern w:val="2"/>
                      <w:sz w:val="21"/>
                      <w:szCs w:val="21"/>
                    </w:rPr>
                    <w:t>ipm12</w:t>
                  </w:r>
                </w:p>
              </w:tc>
              <w:tc>
                <w:tcPr>
                  <w:tcW w:w="568"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sz w:val="21"/>
                      <w:szCs w:val="21"/>
                      <w:u w:val="none"/>
                      <w:lang w:val="en-US" w:eastAsia="zh-CN"/>
                    </w:rPr>
                  </w:pPr>
                  <w:r>
                    <w:rPr>
                      <w:rFonts w:cs="宋体"/>
                      <w:sz w:val="21"/>
                      <w:szCs w:val="21"/>
                      <w:u w:val="none"/>
                      <w:lang w:val="en-US" w:eastAsia="zh-CN"/>
                    </w:rPr>
                    <w:t>台</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hint="eastAsia" w:cs="宋体"/>
                      <w:sz w:val="21"/>
                      <w:szCs w:val="21"/>
                      <w:u w:val="none"/>
                      <w:lang w:val="en-US" w:eastAsia="zh-CN"/>
                    </w:rPr>
                    <w:t>1</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hint="eastAsia" w:cs="宋体"/>
                      <w:sz w:val="21"/>
                      <w:szCs w:val="21"/>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6"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sz w:val="21"/>
                      <w:szCs w:val="21"/>
                      <w:u w:val="none"/>
                      <w:lang w:val="en-US" w:eastAsia="zh-CN"/>
                    </w:rPr>
                  </w:pPr>
                  <w:r>
                    <w:rPr>
                      <w:rFonts w:cs="宋体"/>
                      <w:sz w:val="21"/>
                      <w:szCs w:val="21"/>
                      <w:u w:val="none"/>
                      <w:lang w:val="en-US" w:eastAsia="zh-CN"/>
                    </w:rPr>
                    <w:t>2</w:t>
                  </w:r>
                </w:p>
              </w:tc>
              <w:tc>
                <w:tcPr>
                  <w:tcW w:w="86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cs="宋体"/>
                      <w:sz w:val="21"/>
                      <w:szCs w:val="21"/>
                      <w:u w:val="none"/>
                      <w:lang w:val="en-US" w:eastAsia="zh-CN"/>
                    </w:rPr>
                  </w:pPr>
                  <w:r>
                    <w:rPr>
                      <w:rFonts w:hint="eastAsia" w:ascii="Times New Roman" w:hAnsi="Times New Roman" w:eastAsia="宋体" w:cs="Times New Roman"/>
                      <w:color w:val="000000"/>
                      <w:spacing w:val="0"/>
                      <w:w w:val="100"/>
                      <w:kern w:val="0"/>
                      <w:sz w:val="21"/>
                      <w:szCs w:val="21"/>
                      <w:lang w:bidi="ar"/>
                    </w:rPr>
                    <w:t>输液泵</w:t>
                  </w:r>
                </w:p>
              </w:tc>
              <w:tc>
                <w:tcPr>
                  <w:tcW w:w="12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宋体"/>
                      <w:sz w:val="21"/>
                      <w:szCs w:val="21"/>
                      <w:u w:val="none"/>
                      <w:lang w:val="en-US" w:eastAsia="zh-CN"/>
                    </w:rPr>
                  </w:pPr>
                  <w:r>
                    <w:rPr>
                      <w:rFonts w:hint="eastAsia" w:ascii="Times New Roman" w:hAnsi="Times New Roman" w:eastAsia="宋体" w:cs="Times New Roman"/>
                      <w:color w:val="000000"/>
                      <w:spacing w:val="0"/>
                      <w:w w:val="100"/>
                      <w:kern w:val="2"/>
                      <w:sz w:val="21"/>
                      <w:szCs w:val="21"/>
                    </w:rPr>
                    <w:t>佳仕比tmc6</w:t>
                  </w:r>
                </w:p>
              </w:tc>
              <w:tc>
                <w:tcPr>
                  <w:tcW w:w="568" w:type="pct"/>
                  <w:noWrap w:val="0"/>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cs="宋体"/>
                      <w:sz w:val="21"/>
                      <w:szCs w:val="21"/>
                      <w:u w:val="none"/>
                      <w:lang w:val="en-US" w:eastAsia="zh-CN"/>
                    </w:rPr>
                    <w:t>台</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hint="eastAsia" w:cs="宋体"/>
                      <w:sz w:val="21"/>
                      <w:szCs w:val="21"/>
                      <w:u w:val="none"/>
                      <w:lang w:val="en-US" w:eastAsia="zh-CN"/>
                    </w:rPr>
                    <w:t>1</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eastAsia" w:cs="宋体"/>
                      <w:sz w:val="21"/>
                      <w:szCs w:val="21"/>
                      <w:u w:val="none"/>
                      <w:lang w:val="en-US" w:eastAsia="zh-CN"/>
                    </w:rPr>
                  </w:pPr>
                  <w:r>
                    <w:rPr>
                      <w:rFonts w:hint="eastAsia" w:cs="宋体"/>
                      <w:sz w:val="21"/>
                      <w:szCs w:val="21"/>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6"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sz w:val="21"/>
                      <w:szCs w:val="21"/>
                      <w:u w:val="none"/>
                      <w:lang w:val="en-US" w:eastAsia="zh-CN"/>
                    </w:rPr>
                  </w:pPr>
                  <w:r>
                    <w:rPr>
                      <w:rFonts w:cs="宋体"/>
                      <w:sz w:val="21"/>
                      <w:szCs w:val="21"/>
                      <w:u w:val="none"/>
                      <w:lang w:val="en-US" w:eastAsia="zh-CN"/>
                    </w:rPr>
                    <w:t>3</w:t>
                  </w:r>
                </w:p>
              </w:tc>
              <w:tc>
                <w:tcPr>
                  <w:tcW w:w="86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cs="宋体"/>
                      <w:sz w:val="21"/>
                      <w:szCs w:val="21"/>
                      <w:u w:val="none"/>
                      <w:lang w:val="en-US" w:eastAsia="zh-CN"/>
                    </w:rPr>
                  </w:pPr>
                  <w:r>
                    <w:rPr>
                      <w:rFonts w:hint="eastAsia" w:ascii="Times New Roman" w:hAnsi="Times New Roman" w:eastAsia="宋体" w:cs="Times New Roman"/>
                      <w:color w:val="000000"/>
                      <w:spacing w:val="0"/>
                      <w:w w:val="100"/>
                      <w:kern w:val="0"/>
                      <w:sz w:val="21"/>
                      <w:szCs w:val="21"/>
                      <w:lang w:val="en-US" w:eastAsia="zh-CN" w:bidi="ar"/>
                    </w:rPr>
                    <w:t>洗胃机</w:t>
                  </w:r>
                </w:p>
              </w:tc>
              <w:tc>
                <w:tcPr>
                  <w:tcW w:w="12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宋体"/>
                      <w:sz w:val="21"/>
                      <w:szCs w:val="21"/>
                      <w:u w:val="none"/>
                      <w:lang w:val="en-US" w:eastAsia="zh-CN"/>
                    </w:rPr>
                  </w:pPr>
                  <w:r>
                    <w:rPr>
                      <w:rFonts w:hint="eastAsia" w:ascii="Times New Roman" w:hAnsi="Times New Roman" w:eastAsia="宋体" w:cs="Times New Roman"/>
                      <w:color w:val="000000"/>
                      <w:spacing w:val="0"/>
                      <w:w w:val="100"/>
                      <w:kern w:val="2"/>
                      <w:sz w:val="21"/>
                      <w:szCs w:val="21"/>
                      <w:lang w:val="en-US" w:eastAsia="zh-CN"/>
                    </w:rPr>
                    <w:t>/</w:t>
                  </w:r>
                </w:p>
              </w:tc>
              <w:tc>
                <w:tcPr>
                  <w:tcW w:w="568" w:type="pct"/>
                  <w:noWrap w:val="0"/>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sz w:val="21"/>
                      <w:szCs w:val="21"/>
                      <w:u w:val="none"/>
                      <w:lang w:val="en-US" w:eastAsia="zh-CN"/>
                    </w:rPr>
                  </w:pPr>
                  <w:r>
                    <w:rPr>
                      <w:rFonts w:cs="宋体"/>
                      <w:sz w:val="21"/>
                      <w:szCs w:val="21"/>
                      <w:u w:val="none"/>
                      <w:lang w:val="en-US" w:eastAsia="zh-CN"/>
                    </w:rPr>
                    <w:t>台</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hint="eastAsia" w:cs="宋体"/>
                      <w:sz w:val="21"/>
                      <w:szCs w:val="21"/>
                      <w:u w:val="none"/>
                      <w:lang w:val="en-US" w:eastAsia="zh-CN"/>
                    </w:rPr>
                    <w:t>1</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eastAsia" w:cs="宋体"/>
                      <w:sz w:val="21"/>
                      <w:szCs w:val="21"/>
                      <w:u w:val="none"/>
                      <w:lang w:val="en-US" w:eastAsia="zh-CN"/>
                    </w:rPr>
                  </w:pPr>
                  <w:r>
                    <w:rPr>
                      <w:rFonts w:hint="eastAsia" w:cs="宋体"/>
                      <w:sz w:val="21"/>
                      <w:szCs w:val="21"/>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6"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sz w:val="21"/>
                      <w:szCs w:val="21"/>
                      <w:u w:val="none"/>
                      <w:lang w:val="en-US" w:eastAsia="zh-CN"/>
                    </w:rPr>
                  </w:pPr>
                  <w:r>
                    <w:rPr>
                      <w:rFonts w:cs="宋体"/>
                      <w:sz w:val="21"/>
                      <w:szCs w:val="21"/>
                      <w:u w:val="none"/>
                      <w:lang w:val="en-US" w:eastAsia="zh-CN"/>
                    </w:rPr>
                    <w:t>4</w:t>
                  </w:r>
                </w:p>
              </w:tc>
              <w:tc>
                <w:tcPr>
                  <w:tcW w:w="86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00"/>
                      <w:spacing w:val="0"/>
                      <w:w w:val="100"/>
                      <w:kern w:val="0"/>
                      <w:sz w:val="21"/>
                      <w:szCs w:val="21"/>
                      <w:lang w:val="en-US" w:eastAsia="zh-CN" w:bidi="ar"/>
                    </w:rPr>
                  </w:pPr>
                  <w:r>
                    <w:rPr>
                      <w:rFonts w:hint="eastAsia" w:ascii="Times New Roman" w:hAnsi="Times New Roman" w:eastAsia="宋体" w:cs="Times New Roman"/>
                      <w:color w:val="000000"/>
                      <w:spacing w:val="0"/>
                      <w:w w:val="100"/>
                      <w:kern w:val="0"/>
                      <w:sz w:val="21"/>
                      <w:szCs w:val="21"/>
                      <w:lang w:val="en-US" w:eastAsia="zh-CN" w:bidi="ar"/>
                    </w:rPr>
                    <w:t>等离子</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cs="宋体"/>
                      <w:sz w:val="21"/>
                      <w:szCs w:val="21"/>
                      <w:u w:val="none"/>
                      <w:lang w:val="en-US" w:eastAsia="zh-CN"/>
                    </w:rPr>
                  </w:pPr>
                  <w:r>
                    <w:rPr>
                      <w:rFonts w:hint="eastAsia" w:ascii="Times New Roman" w:hAnsi="Times New Roman" w:eastAsia="宋体" w:cs="Times New Roman"/>
                      <w:color w:val="000000"/>
                      <w:spacing w:val="0"/>
                      <w:w w:val="100"/>
                      <w:kern w:val="0"/>
                      <w:sz w:val="21"/>
                      <w:szCs w:val="21"/>
                      <w:lang w:val="en-US" w:eastAsia="zh-CN" w:bidi="ar"/>
                    </w:rPr>
                    <w:t>消毒机</w:t>
                  </w:r>
                </w:p>
              </w:tc>
              <w:tc>
                <w:tcPr>
                  <w:tcW w:w="12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cs="宋体"/>
                      <w:sz w:val="21"/>
                      <w:szCs w:val="21"/>
                      <w:u w:val="none"/>
                      <w:lang w:val="en-US" w:eastAsia="zh-CN"/>
                    </w:rPr>
                  </w:pPr>
                  <w:r>
                    <w:rPr>
                      <w:rFonts w:hint="eastAsia" w:ascii="Times New Roman" w:hAnsi="Times New Roman" w:eastAsia="宋体" w:cs="Times New Roman"/>
                      <w:color w:val="000000"/>
                      <w:spacing w:val="0"/>
                      <w:w w:val="100"/>
                      <w:kern w:val="2"/>
                      <w:sz w:val="21"/>
                      <w:szCs w:val="21"/>
                      <w:lang w:val="en-US" w:eastAsia="zh-CN"/>
                    </w:rPr>
                    <w:t>PLASMAROBOT</w:t>
                  </w:r>
                </w:p>
              </w:tc>
              <w:tc>
                <w:tcPr>
                  <w:tcW w:w="568" w:type="pct"/>
                  <w:noWrap w:val="0"/>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sz w:val="21"/>
                      <w:szCs w:val="21"/>
                      <w:u w:val="none"/>
                      <w:lang w:val="en-US" w:eastAsia="zh-CN"/>
                    </w:rPr>
                  </w:pPr>
                  <w:r>
                    <w:rPr>
                      <w:rFonts w:cs="宋体"/>
                      <w:sz w:val="21"/>
                      <w:szCs w:val="21"/>
                      <w:u w:val="none"/>
                      <w:lang w:val="en-US" w:eastAsia="zh-CN"/>
                    </w:rPr>
                    <w:t>台</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hint="eastAsia" w:cs="宋体"/>
                      <w:sz w:val="21"/>
                      <w:szCs w:val="21"/>
                      <w:u w:val="none"/>
                      <w:lang w:val="en-US" w:eastAsia="zh-CN"/>
                    </w:rPr>
                    <w:t>1</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eastAsia" w:cs="宋体"/>
                      <w:sz w:val="21"/>
                      <w:szCs w:val="21"/>
                      <w:u w:val="none"/>
                      <w:lang w:val="en-US" w:eastAsia="zh-CN"/>
                    </w:rPr>
                  </w:pPr>
                  <w:r>
                    <w:rPr>
                      <w:rFonts w:hint="eastAsia" w:cs="宋体"/>
                      <w:sz w:val="21"/>
                      <w:szCs w:val="21"/>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6"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sz w:val="21"/>
                      <w:szCs w:val="21"/>
                      <w:u w:val="none"/>
                      <w:lang w:val="en-US" w:eastAsia="zh-CN"/>
                    </w:rPr>
                  </w:pPr>
                  <w:r>
                    <w:rPr>
                      <w:rFonts w:cs="宋体"/>
                      <w:sz w:val="21"/>
                      <w:szCs w:val="21"/>
                      <w:u w:val="none"/>
                      <w:lang w:val="en-US" w:eastAsia="zh-CN"/>
                    </w:rPr>
                    <w:t>5</w:t>
                  </w:r>
                </w:p>
              </w:tc>
              <w:tc>
                <w:tcPr>
                  <w:tcW w:w="867" w:type="pct"/>
                  <w:noWrap w:val="0"/>
                  <w:vAlign w:val="center"/>
                </w:tcPr>
                <w:p>
                  <w:pPr>
                    <w:widowControl/>
                    <w:jc w:val="center"/>
                    <w:textAlignment w:val="center"/>
                    <w:rPr>
                      <w:rFonts w:cs="宋体"/>
                      <w:sz w:val="21"/>
                      <w:szCs w:val="21"/>
                      <w:u w:val="none"/>
                      <w:lang w:val="en-US" w:eastAsia="zh-CN"/>
                    </w:rPr>
                  </w:pPr>
                  <w:r>
                    <w:rPr>
                      <w:rFonts w:hint="eastAsia" w:ascii="Times New Roman" w:hAnsi="Times New Roman" w:eastAsia="宋体" w:cs="Times New Roman"/>
                      <w:color w:val="000000"/>
                      <w:spacing w:val="0"/>
                      <w:w w:val="100"/>
                      <w:kern w:val="2"/>
                      <w:sz w:val="21"/>
                      <w:szCs w:val="21"/>
                      <w:lang w:val="en-US" w:eastAsia="zh-CN"/>
                    </w:rPr>
                    <w:t>电动吸引器</w:t>
                  </w:r>
                </w:p>
              </w:tc>
              <w:tc>
                <w:tcPr>
                  <w:tcW w:w="1240" w:type="pct"/>
                  <w:noWrap w:val="0"/>
                  <w:vAlign w:val="center"/>
                </w:tcPr>
                <w:p>
                  <w:pPr>
                    <w:widowControl/>
                    <w:jc w:val="center"/>
                    <w:textAlignment w:val="center"/>
                    <w:rPr>
                      <w:rFonts w:cs="宋体"/>
                      <w:sz w:val="21"/>
                      <w:szCs w:val="21"/>
                      <w:u w:val="none"/>
                      <w:lang w:val="en-US" w:eastAsia="zh-CN"/>
                    </w:rPr>
                  </w:pPr>
                  <w:r>
                    <w:rPr>
                      <w:rFonts w:hint="eastAsia" w:ascii="Times New Roman" w:hAnsi="Times New Roman" w:eastAsia="宋体" w:cs="Times New Roman"/>
                      <w:color w:val="000000"/>
                      <w:spacing w:val="0"/>
                      <w:w w:val="100"/>
                      <w:kern w:val="0"/>
                      <w:sz w:val="21"/>
                      <w:szCs w:val="21"/>
                      <w:lang w:bidi="ar"/>
                    </w:rPr>
                    <w:t>/</w:t>
                  </w:r>
                </w:p>
              </w:tc>
              <w:tc>
                <w:tcPr>
                  <w:tcW w:w="568" w:type="pct"/>
                  <w:noWrap w:val="0"/>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cs="宋体"/>
                      <w:sz w:val="21"/>
                      <w:szCs w:val="21"/>
                      <w:u w:val="none"/>
                      <w:lang w:val="en-US" w:eastAsia="zh-CN"/>
                    </w:rPr>
                  </w:pPr>
                  <w:r>
                    <w:rPr>
                      <w:rFonts w:cs="宋体"/>
                      <w:sz w:val="21"/>
                      <w:szCs w:val="21"/>
                      <w:u w:val="none"/>
                      <w:lang w:val="en-US" w:eastAsia="zh-CN"/>
                    </w:rPr>
                    <w:t>台</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hint="eastAsia" w:cs="宋体"/>
                      <w:sz w:val="21"/>
                      <w:szCs w:val="21"/>
                      <w:u w:val="none"/>
                      <w:lang w:val="en-US" w:eastAsia="zh-CN"/>
                    </w:rPr>
                    <w:t>1</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eastAsia" w:cs="宋体"/>
                      <w:sz w:val="21"/>
                      <w:szCs w:val="21"/>
                      <w:u w:val="none"/>
                      <w:lang w:val="en-US" w:eastAsia="zh-CN"/>
                    </w:rPr>
                  </w:pPr>
                  <w:r>
                    <w:rPr>
                      <w:rFonts w:hint="eastAsia" w:cs="宋体"/>
                      <w:sz w:val="21"/>
                      <w:szCs w:val="21"/>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6"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hint="eastAsia" w:cs="宋体"/>
                      <w:sz w:val="21"/>
                      <w:szCs w:val="21"/>
                      <w:u w:val="none"/>
                      <w:lang w:val="en-US" w:eastAsia="zh-CN"/>
                    </w:rPr>
                    <w:t>6</w:t>
                  </w:r>
                </w:p>
              </w:tc>
              <w:tc>
                <w:tcPr>
                  <w:tcW w:w="867" w:type="pct"/>
                  <w:noWrap w:val="0"/>
                  <w:vAlign w:val="center"/>
                </w:tcPr>
                <w:p>
                  <w:pPr>
                    <w:widowControl/>
                    <w:jc w:val="center"/>
                    <w:textAlignment w:val="center"/>
                    <w:rPr>
                      <w:rFonts w:hint="default" w:ascii="宋体" w:hAnsi="宋体" w:eastAsia="宋体" w:cs="宋体"/>
                      <w:color w:val="000000"/>
                      <w:sz w:val="21"/>
                      <w:szCs w:val="21"/>
                      <w:u w:val="none"/>
                      <w:lang w:val="en-US" w:eastAsia="zh-CN"/>
                    </w:rPr>
                  </w:pPr>
                  <w:r>
                    <w:rPr>
                      <w:rFonts w:hint="eastAsia" w:ascii="宋体" w:hAnsi="宋体" w:cs="宋体"/>
                      <w:color w:val="000000"/>
                      <w:sz w:val="21"/>
                      <w:szCs w:val="21"/>
                      <w:u w:val="none"/>
                      <w:lang w:val="en-US" w:eastAsia="zh-CN"/>
                    </w:rPr>
                    <w:t>一体化污水处理站</w:t>
                  </w:r>
                </w:p>
              </w:tc>
              <w:tc>
                <w:tcPr>
                  <w:tcW w:w="1240" w:type="pct"/>
                  <w:noWrap w:val="0"/>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hint="eastAsia" w:ascii="Times New Roman" w:hAnsi="Times New Roman" w:eastAsia="宋体" w:cs="Times New Roman"/>
                      <w:color w:val="000000"/>
                      <w:spacing w:val="0"/>
                      <w:w w:val="100"/>
                      <w:kern w:val="0"/>
                      <w:sz w:val="21"/>
                      <w:szCs w:val="21"/>
                      <w:lang w:bidi="ar"/>
                    </w:rPr>
                    <w:t>/</w:t>
                  </w:r>
                </w:p>
              </w:tc>
              <w:tc>
                <w:tcPr>
                  <w:tcW w:w="568"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hint="eastAsia" w:cs="宋体"/>
                      <w:sz w:val="21"/>
                      <w:szCs w:val="21"/>
                      <w:u w:val="none"/>
                      <w:lang w:val="en-US" w:eastAsia="zh-CN"/>
                    </w:rPr>
                    <w:t>套</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hint="eastAsia" w:cs="宋体"/>
                      <w:sz w:val="21"/>
                      <w:szCs w:val="21"/>
                      <w:u w:val="none"/>
                      <w:lang w:val="en-US" w:eastAsia="zh-CN"/>
                    </w:rPr>
                    <w:t>1</w:t>
                  </w:r>
                </w:p>
              </w:tc>
              <w:tc>
                <w:tcPr>
                  <w:tcW w:w="954" w:type="pct"/>
                  <w:noWrap w:val="0"/>
                  <w:vAlign w:val="center"/>
                </w:tcPr>
                <w:p>
                  <w:pPr>
                    <w:pStyle w:val="159"/>
                    <w:keepNext w:val="0"/>
                    <w:keepLines w:val="0"/>
                    <w:pageBreakBefore w:val="0"/>
                    <w:widowControl/>
                    <w:kinsoku/>
                    <w:wordWrap/>
                    <w:overflowPunct/>
                    <w:topLinePunct w:val="0"/>
                    <w:autoSpaceDE/>
                    <w:autoSpaceDN/>
                    <w:bidi w:val="0"/>
                    <w:adjustRightInd/>
                    <w:snapToGrid/>
                    <w:spacing w:before="0" w:after="0" w:line="320" w:lineRule="exact"/>
                    <w:ind w:right="0"/>
                    <w:textAlignment w:val="center"/>
                    <w:rPr>
                      <w:rFonts w:hint="default" w:cs="宋体"/>
                      <w:sz w:val="21"/>
                      <w:szCs w:val="21"/>
                      <w:u w:val="none"/>
                      <w:lang w:val="en-US" w:eastAsia="zh-CN"/>
                    </w:rPr>
                  </w:pPr>
                  <w:r>
                    <w:rPr>
                      <w:rFonts w:hint="eastAsia" w:cs="宋体"/>
                      <w:sz w:val="21"/>
                      <w:szCs w:val="21"/>
                      <w:u w:val="none"/>
                      <w:lang w:val="en-US" w:eastAsia="zh-CN"/>
                    </w:rPr>
                    <w:t>依托花垣县疾控中心现有</w:t>
                  </w:r>
                </w:p>
              </w:tc>
            </w:tr>
            <w:bookmarkEnd w:id="8"/>
            <w:bookmarkEnd w:id="9"/>
          </w:tbl>
          <w:p>
            <w:pPr>
              <w:pStyle w:val="161"/>
              <w:rPr>
                <w:rFonts w:hint="default" w:ascii="Times New Roman" w:hAnsi="Times New Roman" w:cs="Times New Roman"/>
                <w:lang w:val="en-US" w:eastAsia="zh-CN"/>
              </w:rPr>
            </w:pPr>
            <w:r>
              <w:rPr>
                <w:rFonts w:hint="eastAsia" w:ascii="Times New Roman" w:hAnsi="Times New Roman" w:cs="Times New Roman"/>
                <w:lang w:val="en-US" w:eastAsia="zh-CN"/>
              </w:rPr>
              <w:t>6</w:t>
            </w:r>
            <w:r>
              <w:rPr>
                <w:rFonts w:hint="default" w:ascii="Times New Roman" w:hAnsi="Times New Roman" w:cs="Times New Roman"/>
                <w:lang w:val="en-US" w:eastAsia="zh-CN"/>
              </w:rPr>
              <w:t>、公用工程</w:t>
            </w:r>
          </w:p>
          <w:p>
            <w:pPr>
              <w:pStyle w:val="98"/>
              <w:ind w:firstLine="480"/>
              <w:rPr>
                <w:sz w:val="24"/>
                <w:szCs w:val="24"/>
              </w:rPr>
            </w:pPr>
            <w:r>
              <w:rPr>
                <w:sz w:val="24"/>
                <w:szCs w:val="24"/>
              </w:rPr>
              <w:t>（1）给水工程</w:t>
            </w:r>
          </w:p>
          <w:p>
            <w:pPr>
              <w:pStyle w:val="98"/>
              <w:ind w:firstLine="480"/>
              <w:rPr>
                <w:rFonts w:hint="eastAsia"/>
                <w:sz w:val="24"/>
                <w:szCs w:val="24"/>
                <w:u w:val="none"/>
                <w:lang w:val="en-US" w:eastAsia="zh-CN"/>
              </w:rPr>
            </w:pPr>
            <w:r>
              <w:rPr>
                <w:rFonts w:hint="eastAsia" w:ascii="Times New Roman" w:hAnsi="Times New Roman" w:eastAsia="宋体" w:cs="Times New Roman"/>
                <w:b w:val="0"/>
                <w:bCs w:val="0"/>
                <w:color w:val="auto"/>
                <w:kern w:val="2"/>
                <w:sz w:val="24"/>
                <w:szCs w:val="24"/>
                <w:lang w:val="en-US" w:eastAsia="zh-CN"/>
              </w:rPr>
              <w:t>本项目采用市政给水管网为给水水源。</w:t>
            </w:r>
            <w:r>
              <w:rPr>
                <w:rFonts w:hint="eastAsia"/>
                <w:sz w:val="24"/>
                <w:szCs w:val="24"/>
                <w:u w:val="none"/>
                <w:lang w:val="en-US" w:eastAsia="zh-CN"/>
              </w:rPr>
              <w:t>自来水已接入（依托花垣县计划生育服务站综合楼现有自来水管道）。</w:t>
            </w:r>
          </w:p>
          <w:p>
            <w:pPr>
              <w:pStyle w:val="98"/>
              <w:ind w:firstLine="480"/>
              <w:rPr>
                <w:rFonts w:hint="default" w:eastAsia="宋体"/>
                <w:sz w:val="24"/>
                <w:szCs w:val="24"/>
                <w:u w:val="none"/>
                <w:lang w:val="en-US" w:eastAsia="zh-CN"/>
              </w:rPr>
            </w:pPr>
            <w:r>
              <w:rPr>
                <w:rFonts w:hint="eastAsia" w:ascii="Times New Roman" w:hAnsi="Times New Roman" w:eastAsia="宋体" w:cs="Times New Roman"/>
                <w:b w:val="0"/>
                <w:bCs w:val="0"/>
                <w:color w:val="auto"/>
                <w:kern w:val="2"/>
                <w:sz w:val="24"/>
                <w:szCs w:val="24"/>
                <w:lang w:val="en-US" w:eastAsia="zh-CN"/>
              </w:rPr>
              <w:t>本</w:t>
            </w:r>
            <w:r>
              <w:rPr>
                <w:rFonts w:hint="eastAsia" w:ascii="Times New Roman" w:hAnsi="Times New Roman" w:eastAsia="宋体" w:cs="Times New Roman"/>
                <w:b w:val="0"/>
                <w:bCs w:val="0"/>
                <w:color w:val="auto"/>
                <w:kern w:val="2"/>
                <w:sz w:val="24"/>
                <w:szCs w:val="24"/>
              </w:rPr>
              <w:t>项目</w:t>
            </w:r>
            <w:r>
              <w:rPr>
                <w:rFonts w:hint="eastAsia" w:ascii="Times New Roman" w:hAnsi="Times New Roman" w:eastAsia="宋体" w:cs="Times New Roman"/>
                <w:b w:val="0"/>
                <w:bCs w:val="0"/>
                <w:color w:val="auto"/>
                <w:kern w:val="2"/>
                <w:sz w:val="24"/>
                <w:szCs w:val="24"/>
                <w:lang w:val="en-US" w:eastAsia="zh-CN"/>
              </w:rPr>
              <w:t>不设置食堂，</w:t>
            </w:r>
            <w:r>
              <w:rPr>
                <w:rFonts w:hint="eastAsia" w:cs="Times New Roman"/>
                <w:b w:val="0"/>
                <w:bCs w:val="0"/>
                <w:color w:val="auto"/>
                <w:kern w:val="2"/>
                <w:sz w:val="24"/>
                <w:szCs w:val="24"/>
                <w:lang w:val="en-US" w:eastAsia="zh-CN"/>
              </w:rPr>
              <w:t>洗衣房依托于花垣县人民医院，无食堂用水及洗衣用水。</w:t>
            </w:r>
            <w:r>
              <w:rPr>
                <w:rFonts w:hint="eastAsia" w:ascii="Times New Roman" w:hAnsi="Times New Roman" w:eastAsia="宋体" w:cs="Times New Roman"/>
                <w:b w:val="0"/>
                <w:bCs w:val="0"/>
                <w:color w:val="auto"/>
                <w:kern w:val="2"/>
                <w:sz w:val="24"/>
                <w:szCs w:val="24"/>
              </w:rPr>
              <w:t>主要用水是</w:t>
            </w:r>
            <w:r>
              <w:rPr>
                <w:rFonts w:hint="eastAsia" w:ascii="Times New Roman" w:hAnsi="Times New Roman" w:eastAsia="宋体" w:cs="Times New Roman"/>
                <w:b w:val="0"/>
                <w:bCs w:val="0"/>
                <w:color w:val="auto"/>
                <w:kern w:val="2"/>
                <w:sz w:val="24"/>
                <w:szCs w:val="24"/>
                <w:lang w:val="en-US" w:eastAsia="zh-CN"/>
              </w:rPr>
              <w:t>病房用水</w:t>
            </w:r>
            <w:r>
              <w:rPr>
                <w:rFonts w:hint="eastAsia" w:ascii="Times New Roman" w:hAnsi="Times New Roman" w:eastAsia="宋体" w:cs="Times New Roman"/>
                <w:b w:val="0"/>
                <w:bCs w:val="0"/>
                <w:color w:val="auto"/>
                <w:kern w:val="2"/>
                <w:sz w:val="24"/>
                <w:szCs w:val="24"/>
              </w:rPr>
              <w:t>、</w:t>
            </w:r>
            <w:r>
              <w:rPr>
                <w:rFonts w:hint="eastAsia" w:ascii="Times New Roman" w:hAnsi="Times New Roman" w:eastAsia="宋体" w:cs="Times New Roman"/>
                <w:b w:val="0"/>
                <w:bCs w:val="0"/>
                <w:color w:val="auto"/>
                <w:kern w:val="2"/>
                <w:sz w:val="24"/>
                <w:szCs w:val="24"/>
                <w:lang w:val="en-US" w:eastAsia="zh-CN"/>
              </w:rPr>
              <w:t>职工</w:t>
            </w:r>
            <w:r>
              <w:rPr>
                <w:rFonts w:hint="eastAsia" w:ascii="Times New Roman" w:hAnsi="Times New Roman" w:eastAsia="宋体" w:cs="Times New Roman"/>
                <w:b w:val="0"/>
                <w:bCs w:val="0"/>
                <w:color w:val="auto"/>
                <w:kern w:val="2"/>
                <w:sz w:val="24"/>
                <w:szCs w:val="24"/>
              </w:rPr>
              <w:t>生活用水</w:t>
            </w:r>
            <w:r>
              <w:rPr>
                <w:rFonts w:hint="eastAsia" w:ascii="Times New Roman" w:hAnsi="Times New Roman" w:eastAsia="宋体" w:cs="Times New Roman"/>
                <w:b w:val="0"/>
                <w:bCs w:val="0"/>
                <w:color w:val="auto"/>
                <w:kern w:val="2"/>
                <w:sz w:val="24"/>
                <w:szCs w:val="24"/>
                <w:lang w:val="en-US" w:eastAsia="zh-CN"/>
              </w:rPr>
              <w:t>及绿化用水</w:t>
            </w:r>
            <w:r>
              <w:rPr>
                <w:rFonts w:hint="eastAsia" w:ascii="Times New Roman" w:hAnsi="Times New Roman" w:eastAsia="宋体" w:cs="Times New Roman"/>
                <w:b w:val="0"/>
                <w:bCs w:val="0"/>
                <w:color w:val="auto"/>
                <w:kern w:val="2"/>
                <w:sz w:val="24"/>
                <w:szCs w:val="24"/>
              </w:rPr>
              <w:t>。</w:t>
            </w:r>
            <w:r>
              <w:rPr>
                <w:color w:val="000000"/>
                <w:sz w:val="24"/>
                <w:szCs w:val="24"/>
                <w:u w:val="none"/>
              </w:rPr>
              <w:t>用水情况的核算参照《综合医院建筑设计规范》（GB51039-2014）、《建筑给水排水设计规范》（GB50015-2019）、《湖南省用水定额地方标准》（DB43/T388-2020）执行，计算得出最大用水量。</w:t>
            </w:r>
            <w:r>
              <w:rPr>
                <w:rFonts w:hint="eastAsia"/>
                <w:color w:val="000000"/>
                <w:sz w:val="24"/>
                <w:szCs w:val="24"/>
                <w:u w:val="none"/>
                <w:lang w:val="en-US" w:eastAsia="zh-CN"/>
              </w:rPr>
              <w:t>本项目总用水量13.55</w:t>
            </w:r>
            <w:r>
              <w:rPr>
                <w:rFonts w:hint="eastAsia" w:ascii="Times New Roman" w:hAnsi="Times New Roman" w:eastAsia="宋体" w:cs="Times New Roman"/>
                <w:sz w:val="24"/>
                <w:szCs w:val="24"/>
                <w:u w:val="none" w:color="auto"/>
                <w:lang w:val="en-US" w:eastAsia="zh-CN" w:bidi="zh-CN"/>
              </w:rPr>
              <w:t>m</w:t>
            </w:r>
            <w:r>
              <w:rPr>
                <w:rFonts w:hint="eastAsia" w:ascii="Times New Roman" w:hAnsi="Times New Roman" w:eastAsia="宋体" w:cs="Times New Roman"/>
                <w:sz w:val="24"/>
                <w:szCs w:val="24"/>
                <w:u w:val="none" w:color="auto"/>
                <w:vertAlign w:val="superscript"/>
                <w:lang w:val="en-US" w:eastAsia="zh-CN" w:bidi="zh-CN"/>
              </w:rPr>
              <w:t>3</w:t>
            </w:r>
            <w:r>
              <w:rPr>
                <w:rFonts w:hint="eastAsia" w:ascii="Times New Roman" w:hAnsi="Times New Roman" w:eastAsia="宋体" w:cs="Times New Roman"/>
                <w:sz w:val="24"/>
                <w:szCs w:val="24"/>
                <w:u w:val="none" w:color="auto"/>
                <w:lang w:val="en-US" w:eastAsia="zh-CN" w:bidi="zh-CN"/>
              </w:rPr>
              <w:t>/d（</w:t>
            </w:r>
            <w:r>
              <w:rPr>
                <w:rFonts w:hint="eastAsia" w:cs="Times New Roman"/>
                <w:sz w:val="24"/>
                <w:szCs w:val="24"/>
                <w:u w:val="none" w:color="auto"/>
                <w:lang w:val="en-US" w:eastAsia="zh-CN" w:bidi="zh-CN"/>
              </w:rPr>
              <w:t>4929.25</w:t>
            </w:r>
            <w:r>
              <w:rPr>
                <w:rFonts w:hint="eastAsia" w:ascii="Times New Roman" w:hAnsi="Times New Roman" w:eastAsia="宋体" w:cs="Times New Roman"/>
                <w:sz w:val="24"/>
                <w:szCs w:val="24"/>
                <w:u w:val="none" w:color="auto"/>
                <w:lang w:val="en-US" w:eastAsia="zh-CN" w:bidi="zh-CN"/>
              </w:rPr>
              <w:t>m</w:t>
            </w:r>
            <w:r>
              <w:rPr>
                <w:rFonts w:hint="eastAsia" w:ascii="Times New Roman" w:hAnsi="Times New Roman" w:eastAsia="宋体" w:cs="Times New Roman"/>
                <w:sz w:val="24"/>
                <w:szCs w:val="24"/>
                <w:u w:val="none" w:color="auto"/>
                <w:vertAlign w:val="superscript"/>
                <w:lang w:val="en-US" w:eastAsia="zh-CN" w:bidi="zh-CN"/>
              </w:rPr>
              <w:t>3</w:t>
            </w:r>
            <w:r>
              <w:rPr>
                <w:rFonts w:hint="eastAsia" w:ascii="Times New Roman" w:hAnsi="Times New Roman" w:eastAsia="宋体" w:cs="Times New Roman"/>
                <w:sz w:val="24"/>
                <w:szCs w:val="24"/>
                <w:u w:val="none" w:color="auto"/>
                <w:lang w:val="en-US" w:eastAsia="zh-CN" w:bidi="zh-CN"/>
              </w:rPr>
              <w:t>/a）</w:t>
            </w:r>
            <w:r>
              <w:rPr>
                <w:rFonts w:hint="eastAsia"/>
                <w:color w:val="000000"/>
                <w:sz w:val="24"/>
                <w:szCs w:val="24"/>
                <w:u w:val="none"/>
                <w:lang w:val="en-US" w:eastAsia="zh-CN"/>
              </w:rPr>
              <w:t>。</w:t>
            </w:r>
          </w:p>
          <w:p>
            <w:pPr>
              <w:widowControl w:val="0"/>
              <w:wordWrap w:val="0"/>
              <w:topLinePunct/>
              <w:spacing w:line="360" w:lineRule="auto"/>
              <w:ind w:left="480" w:leftChars="200" w:firstLine="0" w:firstLineChars="0"/>
              <w:jc w:val="both"/>
              <w:rPr>
                <w:rFonts w:hint="default" w:ascii="Times New Roman" w:hAnsi="Times New Roman" w:eastAsia="宋体" w:cs="Times New Roman"/>
                <w:color w:val="auto"/>
                <w:u w:val="none" w:color="auto"/>
                <w:lang w:val="en-US" w:bidi="zh-CN"/>
              </w:rPr>
            </w:pPr>
            <w:r>
              <w:rPr>
                <w:rFonts w:hint="eastAsia" w:ascii="Times New Roman" w:hAnsi="Times New Roman" w:eastAsia="宋体" w:cs="Times New Roman"/>
                <w:color w:val="auto"/>
                <w:u w:val="none" w:color="auto"/>
                <w:lang w:val="en-US" w:bidi="zh-CN"/>
              </w:rPr>
              <w:t>1）病房用水</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baseline"/>
              <w:rPr>
                <w:rFonts w:hint="eastAsia" w:ascii="Times New Roman" w:hAnsi="Times New Roman" w:eastAsia="宋体" w:cs="Times New Roman"/>
                <w:color w:val="auto"/>
                <w:u w:val="none" w:color="auto"/>
                <w:lang w:val="en-US" w:eastAsia="zh-CN" w:bidi="zh-CN"/>
              </w:rPr>
            </w:pPr>
            <w:r>
              <w:rPr>
                <w:rFonts w:hint="eastAsia" w:ascii="Times New Roman" w:hAnsi="Times New Roman" w:eastAsia="宋体" w:cs="Times New Roman"/>
                <w:color w:val="auto"/>
                <w:kern w:val="2"/>
                <w:sz w:val="24"/>
                <w:szCs w:val="24"/>
                <w:u w:val="none"/>
                <w:lang w:val="en-US" w:eastAsia="zh-CN"/>
              </w:rPr>
              <w:t>本项目病房每层设有公共卫生间、淋浴室，病房用水定额为250L/床•d，住院人数按满负荷计算，为48床，用水量为12m</w:t>
            </w:r>
            <w:r>
              <w:rPr>
                <w:rFonts w:hint="eastAsia" w:ascii="Times New Roman" w:hAnsi="Times New Roman" w:eastAsia="宋体" w:cs="Times New Roman"/>
                <w:color w:val="auto"/>
                <w:kern w:val="2"/>
                <w:sz w:val="24"/>
                <w:szCs w:val="24"/>
                <w:u w:val="none"/>
                <w:vertAlign w:val="superscript"/>
                <w:lang w:val="en-US" w:eastAsia="zh-CN"/>
              </w:rPr>
              <w:t>3</w:t>
            </w:r>
            <w:r>
              <w:rPr>
                <w:rFonts w:hint="eastAsia" w:ascii="Times New Roman" w:hAnsi="Times New Roman" w:eastAsia="宋体" w:cs="Times New Roman"/>
                <w:color w:val="auto"/>
                <w:kern w:val="2"/>
                <w:sz w:val="24"/>
                <w:szCs w:val="24"/>
                <w:u w:val="none"/>
                <w:lang w:val="en-US" w:eastAsia="zh-CN"/>
              </w:rPr>
              <w:t>/d（4380m</w:t>
            </w:r>
            <w:r>
              <w:rPr>
                <w:rFonts w:hint="eastAsia" w:ascii="Times New Roman" w:hAnsi="Times New Roman" w:eastAsia="宋体" w:cs="Times New Roman"/>
                <w:color w:val="auto"/>
                <w:kern w:val="2"/>
                <w:sz w:val="24"/>
                <w:szCs w:val="24"/>
                <w:u w:val="none"/>
                <w:vertAlign w:val="superscript"/>
                <w:lang w:val="en-US" w:eastAsia="zh-CN"/>
              </w:rPr>
              <w:t>3</w:t>
            </w:r>
            <w:r>
              <w:rPr>
                <w:rFonts w:hint="eastAsia" w:ascii="Times New Roman" w:hAnsi="Times New Roman" w:eastAsia="宋体" w:cs="Times New Roman"/>
                <w:color w:val="auto"/>
                <w:kern w:val="2"/>
                <w:sz w:val="24"/>
                <w:szCs w:val="24"/>
                <w:u w:val="none"/>
                <w:lang w:val="en-US" w:eastAsia="zh-CN"/>
              </w:rPr>
              <w:t>/a）</w:t>
            </w:r>
            <w:r>
              <w:rPr>
                <w:rFonts w:hint="default" w:ascii="Times New Roman" w:hAnsi="Times New Roman" w:eastAsia="宋体" w:cs="Times New Roman"/>
                <w:color w:val="auto"/>
                <w:u w:val="none" w:color="auto"/>
                <w:lang w:val="en-US" w:bidi="zh-CN"/>
              </w:rPr>
              <w:t>。</w:t>
            </w:r>
            <w:r>
              <w:rPr>
                <w:rFonts w:hint="eastAsia" w:ascii="Times New Roman" w:hAnsi="Times New Roman" w:eastAsia="宋体" w:cs="Times New Roman"/>
                <w:color w:val="auto"/>
                <w:u w:val="none" w:color="auto"/>
                <w:lang w:val="en-US" w:eastAsia="zh-CN" w:bidi="zh-CN"/>
              </w:rPr>
              <w:t>产污系数以0.8计，则病房废水产生量约为9.6m</w:t>
            </w:r>
            <w:r>
              <w:rPr>
                <w:rFonts w:hint="eastAsia" w:ascii="Times New Roman" w:hAnsi="Times New Roman" w:eastAsia="宋体" w:cs="Times New Roman"/>
                <w:color w:val="auto"/>
                <w:u w:val="none" w:color="auto"/>
                <w:vertAlign w:val="superscript"/>
                <w:lang w:val="en-US" w:eastAsia="zh-CN" w:bidi="zh-CN"/>
              </w:rPr>
              <w:t>3</w:t>
            </w:r>
            <w:r>
              <w:rPr>
                <w:rFonts w:hint="eastAsia" w:ascii="Times New Roman" w:hAnsi="Times New Roman" w:eastAsia="宋体" w:cs="Times New Roman"/>
                <w:color w:val="auto"/>
                <w:u w:val="none" w:color="auto"/>
                <w:lang w:val="en-US" w:eastAsia="zh-CN" w:bidi="zh-CN"/>
              </w:rPr>
              <w:t>/d（3504m</w:t>
            </w:r>
            <w:r>
              <w:rPr>
                <w:rFonts w:hint="eastAsia" w:ascii="Times New Roman" w:hAnsi="Times New Roman" w:eastAsia="宋体" w:cs="Times New Roman"/>
                <w:color w:val="auto"/>
                <w:u w:val="none" w:color="auto"/>
                <w:vertAlign w:val="superscript"/>
                <w:lang w:val="en-US" w:eastAsia="zh-CN" w:bidi="zh-CN"/>
              </w:rPr>
              <w:t>3</w:t>
            </w:r>
            <w:r>
              <w:rPr>
                <w:rFonts w:hint="eastAsia" w:ascii="Times New Roman" w:hAnsi="Times New Roman" w:eastAsia="宋体" w:cs="Times New Roman"/>
                <w:color w:val="auto"/>
                <w:u w:val="none" w:color="auto"/>
                <w:lang w:val="en-US" w:eastAsia="zh-CN" w:bidi="zh-CN"/>
              </w:rPr>
              <w:t>/a）</w:t>
            </w:r>
            <w:r>
              <w:rPr>
                <w:rFonts w:hint="default" w:ascii="Times New Roman" w:hAnsi="Times New Roman" w:eastAsia="宋体" w:cs="Times New Roman"/>
                <w:color w:val="auto"/>
                <w:u w:val="none" w:color="auto"/>
                <w:lang w:val="en-US" w:bidi="zh-CN"/>
              </w:rPr>
              <w:t>。</w:t>
            </w:r>
          </w:p>
          <w:p>
            <w:pPr>
              <w:widowControl w:val="0"/>
              <w:wordWrap w:val="0"/>
              <w:topLinePunct/>
              <w:spacing w:line="360" w:lineRule="auto"/>
              <w:ind w:left="480" w:leftChars="200" w:firstLine="0" w:firstLineChars="0"/>
              <w:jc w:val="both"/>
              <w:rPr>
                <w:rFonts w:ascii="Times New Roman" w:hAnsi="Times New Roman" w:eastAsia="宋体" w:cs="Times New Roman"/>
                <w:color w:val="auto"/>
                <w:u w:val="none" w:color="auto"/>
                <w:lang w:val="en-US" w:bidi="zh-CN"/>
              </w:rPr>
            </w:pPr>
            <w:r>
              <w:rPr>
                <w:rFonts w:hint="eastAsia" w:ascii="Times New Roman" w:hAnsi="Times New Roman" w:eastAsia="宋体" w:cs="Times New Roman"/>
                <w:color w:val="auto"/>
                <w:u w:val="none" w:color="auto"/>
                <w:lang w:val="en-US" w:bidi="zh-CN"/>
              </w:rPr>
              <w:t>2）医务人员</w:t>
            </w:r>
            <w:r>
              <w:rPr>
                <w:rFonts w:hint="default" w:ascii="Times New Roman" w:hAnsi="Times New Roman" w:eastAsia="宋体" w:cs="Times New Roman"/>
                <w:color w:val="auto"/>
                <w:u w:val="none" w:color="auto"/>
                <w:lang w:val="en-US" w:bidi="zh-CN"/>
              </w:rPr>
              <w:t>生活用水</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baseline"/>
              <w:rPr>
                <w:rFonts w:hint="default" w:ascii="Times New Roman" w:hAnsi="Times New Roman" w:eastAsia="宋体" w:cs="Times New Roman"/>
                <w:u w:val="none" w:color="auto"/>
                <w:lang w:val="en-US" w:bidi="zh-CN"/>
              </w:rPr>
            </w:pPr>
            <w:r>
              <w:rPr>
                <w:rFonts w:hint="default" w:ascii="Times New Roman" w:hAnsi="Times New Roman" w:eastAsia="宋体" w:cs="Times New Roman"/>
                <w:color w:val="auto"/>
                <w:u w:val="none" w:color="auto"/>
                <w:lang w:val="en-US" w:bidi="zh-CN"/>
              </w:rPr>
              <w:t>项目运营期劳动定员</w:t>
            </w:r>
            <w:r>
              <w:rPr>
                <w:rFonts w:hint="eastAsia" w:ascii="Times New Roman" w:hAnsi="Times New Roman" w:eastAsia="宋体" w:cs="Times New Roman"/>
                <w:color w:val="auto"/>
                <w:u w:val="none" w:color="auto"/>
                <w:lang w:val="en-US" w:eastAsia="zh-CN" w:bidi="zh-CN"/>
              </w:rPr>
              <w:t>10</w:t>
            </w:r>
            <w:r>
              <w:rPr>
                <w:rFonts w:hint="default" w:ascii="Times New Roman" w:hAnsi="Times New Roman" w:eastAsia="宋体" w:cs="Times New Roman"/>
                <w:color w:val="auto"/>
                <w:u w:val="none" w:color="auto"/>
                <w:lang w:val="en-US" w:bidi="zh-CN"/>
              </w:rPr>
              <w:t>人</w:t>
            </w:r>
            <w:r>
              <w:rPr>
                <w:rFonts w:hint="eastAsia" w:ascii="Times New Roman" w:hAnsi="Times New Roman" w:eastAsia="宋体" w:cs="Times New Roman"/>
                <w:color w:val="auto"/>
                <w:u w:val="none" w:color="auto"/>
                <w:lang w:val="en-US" w:eastAsia="zh-CN" w:bidi="zh-CN"/>
              </w:rPr>
              <w:t>，</w:t>
            </w:r>
            <w:r>
              <w:rPr>
                <w:rFonts w:hint="default" w:ascii="Times New Roman" w:hAnsi="Times New Roman" w:eastAsia="宋体" w:cs="Times New Roman"/>
                <w:u w:val="none" w:color="auto"/>
                <w:lang w:val="en-US" w:bidi="zh-CN"/>
              </w:rPr>
              <w:t>年工作时间</w:t>
            </w:r>
            <w:r>
              <w:rPr>
                <w:rFonts w:hint="eastAsia" w:ascii="Times New Roman" w:hAnsi="Times New Roman" w:eastAsia="宋体" w:cs="Times New Roman"/>
                <w:u w:val="none" w:color="auto"/>
                <w:lang w:val="en-US" w:bidi="zh-CN"/>
              </w:rPr>
              <w:t>365</w:t>
            </w:r>
            <w:r>
              <w:rPr>
                <w:rFonts w:hint="default" w:ascii="Times New Roman" w:hAnsi="Times New Roman" w:eastAsia="宋体" w:cs="Times New Roman"/>
                <w:u w:val="none" w:color="auto"/>
                <w:lang w:val="en-US" w:bidi="zh-CN"/>
              </w:rPr>
              <w:t>d。</w:t>
            </w:r>
            <w:r>
              <w:rPr>
                <w:rFonts w:hint="default" w:ascii="Times New Roman" w:hAnsi="Times New Roman" w:eastAsia="宋体" w:cs="Times New Roman"/>
                <w:u w:val="none" w:color="auto"/>
                <w:lang w:val="zh-CN" w:bidi="zh-CN"/>
              </w:rPr>
              <w:t>根据《湖南省用水定额（DB43/T388-2020）》</w:t>
            </w:r>
            <w:r>
              <w:rPr>
                <w:rFonts w:hint="default" w:ascii="Times New Roman" w:hAnsi="Times New Roman" w:eastAsia="宋体" w:cs="Times New Roman"/>
                <w:u w:val="none" w:color="auto"/>
                <w:lang w:val="zh-CN" w:eastAsia="zh-CN" w:bidi="zh-CN"/>
              </w:rPr>
              <w:t>，表</w:t>
            </w:r>
            <w:r>
              <w:rPr>
                <w:rFonts w:hint="eastAsia" w:ascii="Times New Roman" w:hAnsi="Times New Roman" w:eastAsia="宋体" w:cs="Times New Roman"/>
                <w:u w:val="none" w:color="auto"/>
                <w:lang w:val="en-US" w:eastAsia="zh-CN" w:bidi="zh-CN"/>
              </w:rPr>
              <w:t>29</w:t>
            </w:r>
            <w:r>
              <w:rPr>
                <w:rFonts w:hint="eastAsia" w:ascii="Times New Roman" w:hAnsi="Times New Roman" w:eastAsia="宋体" w:cs="Times New Roman"/>
                <w:u w:val="none" w:color="auto"/>
                <w:lang w:val="zh-CN" w:eastAsia="zh-CN" w:bidi="zh-CN"/>
              </w:rPr>
              <w:t>：</w:t>
            </w:r>
            <w:r>
              <w:rPr>
                <w:rFonts w:hint="eastAsia" w:ascii="Times New Roman" w:hAnsi="Times New Roman" w:eastAsia="宋体" w:cs="Times New Roman"/>
                <w:u w:val="none" w:color="auto"/>
                <w:lang w:val="en-US" w:eastAsia="zh-CN" w:bidi="zh-CN"/>
              </w:rPr>
              <w:t>城镇</w:t>
            </w:r>
            <w:r>
              <w:rPr>
                <w:rFonts w:hint="default" w:ascii="Times New Roman" w:hAnsi="Times New Roman" w:eastAsia="宋体" w:cs="Times New Roman"/>
                <w:u w:val="none" w:color="auto"/>
                <w:lang w:val="zh-CN" w:eastAsia="zh-CN" w:bidi="zh-CN"/>
              </w:rPr>
              <w:t>居民生活用水定额</w:t>
            </w:r>
            <w:r>
              <w:rPr>
                <w:rFonts w:hint="eastAsia" w:ascii="Times New Roman" w:hAnsi="Times New Roman" w:eastAsia="宋体" w:cs="Times New Roman"/>
                <w:u w:val="none" w:color="auto"/>
                <w:lang w:val="zh-CN" w:eastAsia="zh-CN" w:bidi="zh-CN"/>
              </w:rPr>
              <w:t>（</w:t>
            </w:r>
            <w:r>
              <w:rPr>
                <w:rFonts w:hint="eastAsia" w:ascii="Times New Roman" w:hAnsi="Times New Roman" w:eastAsia="宋体" w:cs="Times New Roman"/>
                <w:u w:val="none" w:color="auto"/>
                <w:lang w:val="en-US" w:eastAsia="zh-CN" w:bidi="zh-CN"/>
              </w:rPr>
              <w:t>小城市</w:t>
            </w:r>
            <w:r>
              <w:rPr>
                <w:rFonts w:hint="eastAsia" w:ascii="Times New Roman" w:hAnsi="Times New Roman" w:eastAsia="宋体" w:cs="Times New Roman"/>
                <w:u w:val="none" w:color="auto"/>
                <w:lang w:val="zh-CN" w:eastAsia="zh-CN" w:bidi="zh-CN"/>
              </w:rPr>
              <w:t>）</w:t>
            </w:r>
            <w:r>
              <w:rPr>
                <w:rFonts w:hint="default" w:ascii="Times New Roman" w:hAnsi="Times New Roman" w:eastAsia="宋体" w:cs="Times New Roman"/>
                <w:u w:val="none" w:color="auto"/>
                <w:lang w:val="zh-CN" w:eastAsia="zh-CN" w:bidi="zh-CN"/>
              </w:rPr>
              <w:t>，用水定额为14</w:t>
            </w:r>
            <w:r>
              <w:rPr>
                <w:rFonts w:hint="eastAsia" w:ascii="Times New Roman" w:hAnsi="Times New Roman" w:eastAsia="宋体" w:cs="Times New Roman"/>
                <w:u w:val="none" w:color="auto"/>
                <w:lang w:val="en-US" w:eastAsia="zh-CN" w:bidi="zh-CN"/>
              </w:rPr>
              <w:t>5</w:t>
            </w:r>
            <w:r>
              <w:rPr>
                <w:rFonts w:hint="default" w:ascii="Times New Roman" w:hAnsi="Times New Roman" w:eastAsia="宋体" w:cs="Times New Roman"/>
                <w:u w:val="none" w:color="auto"/>
                <w:lang w:val="zh-CN" w:eastAsia="zh-CN" w:bidi="zh-CN"/>
              </w:rPr>
              <w:t>L/人·d</w:t>
            </w:r>
            <w:r>
              <w:rPr>
                <w:rFonts w:hint="eastAsia" w:ascii="Times New Roman" w:hAnsi="Times New Roman" w:eastAsia="宋体" w:cs="Times New Roman"/>
                <w:u w:val="none" w:color="auto"/>
                <w:lang w:val="zh-CN" w:eastAsia="zh-CN" w:bidi="zh-CN"/>
              </w:rPr>
              <w:t>（</w:t>
            </w:r>
            <w:r>
              <w:rPr>
                <w:rFonts w:hint="eastAsia" w:ascii="Times New Roman" w:hAnsi="Times New Roman" w:eastAsia="宋体" w:cs="Times New Roman"/>
                <w:u w:val="none" w:color="auto"/>
                <w:lang w:val="en-US" w:eastAsia="zh-CN" w:bidi="zh-CN"/>
              </w:rPr>
              <w:t>通用值</w:t>
            </w:r>
            <w:r>
              <w:rPr>
                <w:rFonts w:hint="eastAsia" w:ascii="Times New Roman" w:hAnsi="Times New Roman" w:eastAsia="宋体" w:cs="Times New Roman"/>
                <w:u w:val="none" w:color="auto"/>
                <w:lang w:val="zh-CN" w:eastAsia="zh-CN" w:bidi="zh-CN"/>
              </w:rPr>
              <w:t>）</w:t>
            </w:r>
            <w:r>
              <w:rPr>
                <w:rFonts w:hint="default" w:ascii="Times New Roman" w:hAnsi="Times New Roman" w:eastAsia="宋体" w:cs="Times New Roman"/>
                <w:u w:val="none" w:color="auto"/>
                <w:lang w:val="zh-CN" w:eastAsia="zh-CN" w:bidi="zh-CN"/>
              </w:rPr>
              <w:t>，则医务人员总用水量为</w:t>
            </w:r>
            <w:r>
              <w:rPr>
                <w:rFonts w:hint="eastAsia" w:ascii="Times New Roman" w:hAnsi="Times New Roman" w:eastAsia="宋体" w:cs="Times New Roman"/>
                <w:u w:val="none" w:color="auto"/>
                <w:lang w:val="en-US" w:eastAsia="zh-CN" w:bidi="zh-CN"/>
              </w:rPr>
              <w:t>1.45</w:t>
            </w:r>
            <w:r>
              <w:rPr>
                <w:rFonts w:hint="default" w:ascii="Times New Roman" w:hAnsi="Times New Roman" w:eastAsia="宋体" w:cs="Times New Roman"/>
                <w:u w:val="none" w:color="auto"/>
                <w:lang w:val="zh-CN" w:eastAsia="zh-CN" w:bidi="zh-CN"/>
              </w:rPr>
              <w:t>m</w:t>
            </w:r>
            <w:r>
              <w:rPr>
                <w:rFonts w:hint="default" w:ascii="Times New Roman" w:hAnsi="Times New Roman" w:eastAsia="宋体" w:cs="Times New Roman"/>
                <w:u w:val="none" w:color="auto"/>
                <w:vertAlign w:val="superscript"/>
                <w:lang w:val="zh-CN" w:eastAsia="zh-CN" w:bidi="zh-CN"/>
              </w:rPr>
              <w:t>3</w:t>
            </w:r>
            <w:r>
              <w:rPr>
                <w:rFonts w:hint="default" w:ascii="Times New Roman" w:hAnsi="Times New Roman" w:eastAsia="宋体" w:cs="Times New Roman"/>
                <w:u w:val="none" w:color="auto"/>
                <w:lang w:val="zh-CN" w:eastAsia="zh-CN" w:bidi="zh-CN"/>
              </w:rPr>
              <w:t>/d（</w:t>
            </w:r>
            <w:r>
              <w:rPr>
                <w:rFonts w:hint="eastAsia" w:ascii="Times New Roman" w:hAnsi="Times New Roman" w:eastAsia="宋体" w:cs="Times New Roman"/>
                <w:u w:val="none" w:color="auto"/>
                <w:lang w:val="en-US" w:eastAsia="zh-CN" w:bidi="zh-CN"/>
              </w:rPr>
              <w:t>529.25</w:t>
            </w:r>
            <w:r>
              <w:rPr>
                <w:rFonts w:hint="default" w:ascii="Times New Roman" w:hAnsi="Times New Roman" w:eastAsia="宋体" w:cs="Times New Roman"/>
                <w:u w:val="none" w:color="auto"/>
                <w:lang w:val="zh-CN" w:eastAsia="zh-CN" w:bidi="zh-CN"/>
              </w:rPr>
              <w:t>m</w:t>
            </w:r>
            <w:r>
              <w:rPr>
                <w:rFonts w:hint="default" w:ascii="Times New Roman" w:hAnsi="Times New Roman" w:eastAsia="宋体" w:cs="Times New Roman"/>
                <w:u w:val="none" w:color="auto"/>
                <w:vertAlign w:val="superscript"/>
                <w:lang w:val="zh-CN" w:eastAsia="zh-CN" w:bidi="zh-CN"/>
              </w:rPr>
              <w:t>3</w:t>
            </w:r>
            <w:r>
              <w:rPr>
                <w:rFonts w:hint="default" w:ascii="Times New Roman" w:hAnsi="Times New Roman" w:eastAsia="宋体" w:cs="Times New Roman"/>
                <w:u w:val="none" w:color="auto"/>
                <w:lang w:val="zh-CN" w:eastAsia="zh-CN" w:bidi="zh-CN"/>
              </w:rPr>
              <w:t>/a）</w:t>
            </w:r>
            <w:r>
              <w:rPr>
                <w:rFonts w:hint="eastAsia" w:ascii="Times New Roman" w:hAnsi="Times New Roman" w:eastAsia="宋体" w:cs="Times New Roman"/>
                <w:u w:val="none" w:color="auto"/>
                <w:lang w:val="en-US" w:eastAsia="zh-CN" w:bidi="zh-CN"/>
              </w:rPr>
              <w:t>。产污系数以0.8计，则生活污水产生量约为1.16m</w:t>
            </w:r>
            <w:r>
              <w:rPr>
                <w:rFonts w:hint="eastAsia" w:ascii="Times New Roman" w:hAnsi="Times New Roman" w:eastAsia="宋体" w:cs="Times New Roman"/>
                <w:u w:val="none" w:color="auto"/>
                <w:vertAlign w:val="superscript"/>
                <w:lang w:val="en-US" w:eastAsia="zh-CN" w:bidi="zh-CN"/>
              </w:rPr>
              <w:t>3</w:t>
            </w:r>
            <w:r>
              <w:rPr>
                <w:rFonts w:hint="eastAsia" w:ascii="Times New Roman" w:hAnsi="Times New Roman" w:eastAsia="宋体" w:cs="Times New Roman"/>
                <w:u w:val="none" w:color="auto"/>
                <w:lang w:val="en-US" w:eastAsia="zh-CN" w:bidi="zh-CN"/>
              </w:rPr>
              <w:t>/d（423.4m</w:t>
            </w:r>
            <w:r>
              <w:rPr>
                <w:rFonts w:hint="eastAsia" w:ascii="Times New Roman" w:hAnsi="Times New Roman" w:eastAsia="宋体" w:cs="Times New Roman"/>
                <w:u w:val="none" w:color="auto"/>
                <w:vertAlign w:val="superscript"/>
                <w:lang w:val="en-US" w:eastAsia="zh-CN" w:bidi="zh-CN"/>
              </w:rPr>
              <w:t>3</w:t>
            </w:r>
            <w:r>
              <w:rPr>
                <w:rFonts w:hint="eastAsia" w:ascii="Times New Roman" w:hAnsi="Times New Roman" w:eastAsia="宋体" w:cs="Times New Roman"/>
                <w:u w:val="none" w:color="auto"/>
                <w:lang w:val="en-US" w:eastAsia="zh-CN" w:bidi="zh-CN"/>
              </w:rPr>
              <w:t>/a）</w:t>
            </w:r>
            <w:r>
              <w:rPr>
                <w:rFonts w:hint="default" w:ascii="Times New Roman" w:hAnsi="Times New Roman" w:eastAsia="宋体" w:cs="Times New Roman"/>
                <w:u w:val="none" w:color="auto"/>
                <w:lang w:val="en-US" w:bidi="zh-CN"/>
              </w:rPr>
              <w:t>。</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baseline"/>
              <w:rPr>
                <w:rFonts w:hint="eastAsia" w:ascii="Times New Roman" w:hAnsi="Times New Roman" w:eastAsia="宋体" w:cs="Times New Roman"/>
                <w:u w:val="none" w:color="auto"/>
                <w:lang w:val="en-US" w:eastAsia="zh-CN" w:bidi="zh-CN"/>
              </w:rPr>
            </w:pPr>
            <w:r>
              <w:rPr>
                <w:rFonts w:hint="eastAsia" w:ascii="Times New Roman" w:hAnsi="Times New Roman" w:eastAsia="宋体" w:cs="Times New Roman"/>
                <w:color w:val="auto"/>
                <w:u w:val="none" w:color="auto"/>
                <w:lang w:val="en-US" w:bidi="zh-CN"/>
              </w:rPr>
              <w:t>3）</w:t>
            </w:r>
            <w:r>
              <w:rPr>
                <w:rFonts w:hint="default" w:ascii="Times New Roman" w:hAnsi="Times New Roman" w:eastAsia="宋体" w:cs="Times New Roman"/>
                <w:color w:val="auto"/>
                <w:u w:val="none" w:color="auto"/>
                <w:lang w:val="en-US" w:bidi="zh-CN"/>
              </w:rPr>
              <w:t>本项目绿化面积</w:t>
            </w:r>
            <w:r>
              <w:rPr>
                <w:rFonts w:hint="eastAsia" w:ascii="Times New Roman" w:hAnsi="Times New Roman" w:eastAsia="宋体" w:cs="Times New Roman"/>
                <w:color w:val="auto"/>
                <w:u w:val="none" w:color="auto"/>
                <w:lang w:val="en-US" w:bidi="zh-CN"/>
              </w:rPr>
              <w:t>5</w:t>
            </w:r>
            <w:r>
              <w:rPr>
                <w:rFonts w:hint="default" w:ascii="Times New Roman" w:hAnsi="Times New Roman" w:eastAsia="宋体" w:cs="Times New Roman"/>
                <w:color w:val="auto"/>
                <w:u w:val="none" w:color="auto"/>
                <w:lang w:val="en-US" w:eastAsia="zh-CN" w:bidi="zh-CN"/>
              </w:rPr>
              <w:t>0</w:t>
            </w:r>
            <w:r>
              <w:rPr>
                <w:rFonts w:hint="default" w:ascii="Times New Roman" w:hAnsi="Times New Roman" w:eastAsia="宋体" w:cs="Times New Roman"/>
                <w:color w:val="auto"/>
                <w:u w:val="none" w:color="auto"/>
                <w:lang w:val="en-US" w:bidi="zh-CN"/>
              </w:rPr>
              <w:t>m</w:t>
            </w:r>
            <w:r>
              <w:rPr>
                <w:rFonts w:hint="default" w:ascii="Times New Roman" w:hAnsi="Times New Roman" w:eastAsia="宋体" w:cs="Times New Roman"/>
                <w:color w:val="auto"/>
                <w:u w:val="none" w:color="auto"/>
                <w:vertAlign w:val="superscript"/>
                <w:lang w:val="en-US" w:bidi="zh-CN"/>
              </w:rPr>
              <w:t>2</w:t>
            </w:r>
            <w:r>
              <w:rPr>
                <w:rFonts w:hint="default" w:ascii="Times New Roman" w:hAnsi="Times New Roman" w:eastAsia="宋体" w:cs="Times New Roman"/>
                <w:color w:val="auto"/>
                <w:u w:val="none" w:color="auto"/>
                <w:lang w:val="en-US" w:bidi="zh-CN"/>
              </w:rPr>
              <w:t>，根据</w:t>
            </w:r>
            <w:r>
              <w:rPr>
                <w:rFonts w:hint="default" w:ascii="Times New Roman" w:hAnsi="Times New Roman" w:eastAsia="宋体" w:cs="Times New Roman"/>
                <w:color w:val="auto"/>
                <w:u w:val="none" w:color="auto"/>
                <w:lang w:val="zh-CN" w:bidi="zh-CN"/>
              </w:rPr>
              <w:t>《湖南省地方标准用水定额》（DB43/T388-2020）中表</w:t>
            </w:r>
            <w:r>
              <w:rPr>
                <w:rFonts w:hint="default" w:ascii="Times New Roman" w:hAnsi="Times New Roman" w:eastAsia="宋体" w:cs="Times New Roman"/>
                <w:color w:val="auto"/>
                <w:u w:val="none" w:color="auto"/>
                <w:lang w:val="en-US" w:bidi="zh-CN"/>
              </w:rPr>
              <w:t>32</w:t>
            </w:r>
            <w:r>
              <w:rPr>
                <w:rFonts w:hint="eastAsia" w:ascii="Times New Roman" w:hAnsi="Times New Roman" w:eastAsia="宋体" w:cs="Times New Roman"/>
                <w:color w:val="auto"/>
                <w:u w:val="none" w:color="auto"/>
                <w:lang w:val="en-US" w:bidi="zh-CN"/>
              </w:rPr>
              <w:t>：</w:t>
            </w:r>
            <w:r>
              <w:rPr>
                <w:rFonts w:hint="default" w:ascii="Times New Roman" w:hAnsi="Times New Roman" w:eastAsia="宋体" w:cs="Times New Roman"/>
                <w:color w:val="auto"/>
                <w:u w:val="none" w:color="auto"/>
                <w:lang w:val="en-US" w:bidi="zh-CN"/>
              </w:rPr>
              <w:t>公共设施用水定额，项目绿化用水按</w:t>
            </w:r>
            <w:r>
              <w:rPr>
                <w:rFonts w:hint="default" w:ascii="Times New Roman" w:hAnsi="Times New Roman" w:eastAsia="宋体" w:cs="Times New Roman"/>
                <w:color w:val="auto"/>
                <w:u w:val="none" w:color="auto"/>
                <w:lang w:val="en-US" w:eastAsia="zh-CN" w:bidi="zh-CN"/>
              </w:rPr>
              <w:t>60</w:t>
            </w:r>
            <w:r>
              <w:rPr>
                <w:rFonts w:hint="default" w:ascii="Times New Roman" w:hAnsi="Times New Roman" w:eastAsia="宋体" w:cs="Times New Roman"/>
                <w:color w:val="auto"/>
                <w:u w:val="none" w:color="auto"/>
                <w:lang w:val="en-US" w:bidi="zh-CN"/>
              </w:rPr>
              <w:t>L/m</w:t>
            </w:r>
            <w:r>
              <w:rPr>
                <w:rFonts w:hint="default" w:ascii="Times New Roman" w:hAnsi="Times New Roman" w:eastAsia="宋体" w:cs="Times New Roman"/>
                <w:color w:val="auto"/>
                <w:u w:val="none" w:color="auto"/>
                <w:vertAlign w:val="superscript"/>
                <w:lang w:val="en-US" w:bidi="zh-CN"/>
              </w:rPr>
              <w:t>2</w:t>
            </w:r>
            <w:r>
              <w:rPr>
                <w:rFonts w:hint="default" w:ascii="Times New Roman" w:hAnsi="Times New Roman" w:eastAsia="宋体" w:cs="Times New Roman"/>
                <w:color w:val="auto"/>
                <w:u w:val="none" w:color="auto"/>
                <w:lang w:val="en-US" w:bidi="zh-CN"/>
              </w:rPr>
              <w:t>·</w:t>
            </w:r>
            <w:r>
              <w:rPr>
                <w:rFonts w:hint="default" w:ascii="Times New Roman" w:hAnsi="Times New Roman" w:eastAsia="宋体" w:cs="Times New Roman"/>
                <w:color w:val="auto"/>
                <w:u w:val="none" w:color="auto"/>
                <w:lang w:val="en-US" w:eastAsia="zh-CN" w:bidi="zh-CN"/>
              </w:rPr>
              <w:t>月</w:t>
            </w:r>
            <w:r>
              <w:rPr>
                <w:rFonts w:hint="default" w:ascii="Times New Roman" w:hAnsi="Times New Roman" w:eastAsia="宋体" w:cs="Times New Roman"/>
                <w:color w:val="auto"/>
                <w:u w:val="none" w:color="auto"/>
                <w:lang w:val="en-US" w:bidi="zh-CN"/>
              </w:rPr>
              <w:t>计，绿化浇灌天数按200天/年计，则项目绿化用水量为</w:t>
            </w:r>
            <w:r>
              <w:rPr>
                <w:rFonts w:hint="default" w:ascii="Times New Roman" w:hAnsi="Times New Roman" w:eastAsia="宋体" w:cs="Times New Roman"/>
                <w:color w:val="auto"/>
                <w:u w:val="none" w:color="auto"/>
                <w:lang w:val="en-US" w:eastAsia="zh-CN" w:bidi="zh-CN"/>
              </w:rPr>
              <w:t>0.</w:t>
            </w:r>
            <w:r>
              <w:rPr>
                <w:rFonts w:hint="eastAsia" w:ascii="Times New Roman" w:hAnsi="Times New Roman" w:eastAsia="宋体" w:cs="Times New Roman"/>
                <w:color w:val="auto"/>
                <w:u w:val="none" w:color="auto"/>
                <w:lang w:val="en-US" w:eastAsia="zh-CN" w:bidi="zh-CN"/>
              </w:rPr>
              <w:t>1</w:t>
            </w:r>
            <w:r>
              <w:rPr>
                <w:rFonts w:hint="default" w:ascii="Times New Roman" w:hAnsi="Times New Roman" w:eastAsia="宋体" w:cs="Times New Roman"/>
                <w:color w:val="auto"/>
                <w:u w:val="none" w:color="auto"/>
                <w:lang w:val="en-US" w:bidi="zh-CN"/>
              </w:rPr>
              <w:t>m</w:t>
            </w:r>
            <w:r>
              <w:rPr>
                <w:rFonts w:hint="default" w:ascii="Times New Roman" w:hAnsi="Times New Roman" w:eastAsia="宋体" w:cs="Times New Roman"/>
                <w:color w:val="auto"/>
                <w:u w:val="none" w:color="auto"/>
                <w:vertAlign w:val="superscript"/>
                <w:lang w:val="en-US" w:bidi="zh-CN"/>
              </w:rPr>
              <w:t>3</w:t>
            </w:r>
            <w:r>
              <w:rPr>
                <w:rFonts w:hint="default" w:ascii="Times New Roman" w:hAnsi="Times New Roman" w:eastAsia="宋体" w:cs="Times New Roman"/>
                <w:color w:val="auto"/>
                <w:u w:val="none" w:color="auto"/>
                <w:lang w:val="en-US" w:bidi="zh-CN"/>
              </w:rPr>
              <w:t>/d，合</w:t>
            </w:r>
            <w:r>
              <w:rPr>
                <w:rFonts w:hint="eastAsia" w:ascii="Times New Roman" w:hAnsi="Times New Roman" w:eastAsia="宋体" w:cs="Times New Roman"/>
                <w:color w:val="auto"/>
                <w:u w:val="none" w:color="auto"/>
                <w:lang w:val="en-US" w:bidi="zh-CN"/>
              </w:rPr>
              <w:t>2</w:t>
            </w:r>
            <w:r>
              <w:rPr>
                <w:rFonts w:hint="eastAsia" w:ascii="Times New Roman" w:hAnsi="Times New Roman" w:eastAsia="宋体" w:cs="Times New Roman"/>
                <w:color w:val="auto"/>
                <w:u w:val="none" w:color="auto"/>
                <w:lang w:val="en-US" w:eastAsia="zh-CN" w:bidi="zh-CN"/>
              </w:rPr>
              <w:t>0</w:t>
            </w:r>
            <w:r>
              <w:rPr>
                <w:rFonts w:hint="default" w:ascii="Times New Roman" w:hAnsi="Times New Roman" w:eastAsia="宋体" w:cs="Times New Roman"/>
                <w:color w:val="auto"/>
                <w:u w:val="none" w:color="auto"/>
                <w:lang w:val="en-US" w:bidi="zh-CN"/>
              </w:rPr>
              <w:t>m</w:t>
            </w:r>
            <w:r>
              <w:rPr>
                <w:rFonts w:hint="default" w:ascii="Times New Roman" w:hAnsi="Times New Roman" w:eastAsia="宋体" w:cs="Times New Roman"/>
                <w:color w:val="auto"/>
                <w:u w:val="none" w:color="auto"/>
                <w:vertAlign w:val="superscript"/>
                <w:lang w:val="en-US" w:bidi="zh-CN"/>
              </w:rPr>
              <w:t>3</w:t>
            </w:r>
            <w:r>
              <w:rPr>
                <w:rFonts w:hint="default" w:ascii="Times New Roman" w:hAnsi="Times New Roman" w:eastAsia="宋体" w:cs="Times New Roman"/>
                <w:color w:val="auto"/>
                <w:u w:val="none" w:color="auto"/>
                <w:lang w:val="en-US" w:bidi="zh-CN"/>
              </w:rPr>
              <w:t>/a，绿化用水全部蒸发或进入土壤</w:t>
            </w:r>
            <w:r>
              <w:rPr>
                <w:rFonts w:hint="eastAsia" w:ascii="Times New Roman" w:hAnsi="Times New Roman" w:eastAsia="宋体" w:cs="Times New Roman"/>
                <w:u w:val="none" w:color="auto"/>
                <w:lang w:eastAsia="zh-CN"/>
              </w:rPr>
              <w:t>。</w:t>
            </w:r>
          </w:p>
          <w:p>
            <w:pPr>
              <w:pStyle w:val="98"/>
              <w:ind w:firstLine="480"/>
              <w:rPr>
                <w:sz w:val="24"/>
                <w:szCs w:val="24"/>
              </w:rPr>
            </w:pPr>
            <w:r>
              <w:rPr>
                <w:sz w:val="24"/>
                <w:szCs w:val="24"/>
              </w:rPr>
              <w:t>（2）排水工程</w:t>
            </w:r>
          </w:p>
          <w:p>
            <w:pPr>
              <w:pStyle w:val="98"/>
              <w:ind w:firstLine="480"/>
              <w:rPr>
                <w:rFonts w:hint="eastAsia"/>
                <w:bCs/>
                <w:sz w:val="24"/>
                <w:szCs w:val="24"/>
                <w:lang w:val="en-US" w:eastAsia="zh-CN"/>
              </w:rPr>
            </w:pPr>
            <w:r>
              <w:rPr>
                <w:rFonts w:hint="eastAsia"/>
                <w:bCs/>
                <w:sz w:val="24"/>
                <w:szCs w:val="24"/>
                <w:lang w:val="en-US" w:eastAsia="zh-CN"/>
              </w:rPr>
              <w:t>1）雨水</w:t>
            </w:r>
          </w:p>
          <w:p>
            <w:pPr>
              <w:pStyle w:val="98"/>
              <w:ind w:firstLine="480"/>
              <w:rPr>
                <w:rFonts w:hint="eastAsia"/>
                <w:bCs/>
                <w:sz w:val="24"/>
                <w:szCs w:val="24"/>
                <w:lang w:eastAsia="zh-CN"/>
              </w:rPr>
            </w:pPr>
            <w:r>
              <w:rPr>
                <w:bCs/>
                <w:sz w:val="24"/>
                <w:szCs w:val="24"/>
              </w:rPr>
              <w:t>本项目采取雨污分流体制，屋面雨水经落水管流经地面与地面雨水汇集到排雨水管沟，最终排入</w:t>
            </w:r>
            <w:r>
              <w:rPr>
                <w:rFonts w:hint="eastAsia"/>
                <w:bCs/>
                <w:sz w:val="24"/>
                <w:szCs w:val="24"/>
                <w:lang w:val="en-US" w:eastAsia="zh-CN"/>
              </w:rPr>
              <w:t>市政</w:t>
            </w:r>
            <w:r>
              <w:rPr>
                <w:bCs/>
                <w:sz w:val="24"/>
                <w:szCs w:val="24"/>
              </w:rPr>
              <w:t>雨水管网</w:t>
            </w:r>
            <w:r>
              <w:rPr>
                <w:rFonts w:hint="eastAsia"/>
                <w:bCs/>
                <w:sz w:val="24"/>
                <w:szCs w:val="24"/>
                <w:lang w:eastAsia="zh-CN"/>
              </w:rPr>
              <w:t>。</w:t>
            </w:r>
          </w:p>
          <w:p>
            <w:pPr>
              <w:pStyle w:val="98"/>
              <w:numPr>
                <w:ilvl w:val="0"/>
                <w:numId w:val="2"/>
              </w:numPr>
              <w:ind w:firstLine="480"/>
              <w:rPr>
                <w:rFonts w:hint="eastAsia"/>
                <w:bCs/>
                <w:sz w:val="24"/>
                <w:szCs w:val="24"/>
                <w:lang w:val="en-US" w:eastAsia="zh-CN"/>
              </w:rPr>
            </w:pPr>
            <w:r>
              <w:rPr>
                <w:rFonts w:hint="eastAsia"/>
                <w:bCs/>
                <w:sz w:val="24"/>
                <w:szCs w:val="24"/>
                <w:lang w:val="en-US" w:eastAsia="zh-CN"/>
              </w:rPr>
              <w:t>污水</w:t>
            </w:r>
          </w:p>
          <w:p>
            <w:pPr>
              <w:pStyle w:val="98"/>
              <w:ind w:firstLine="480"/>
              <w:rPr>
                <w:rFonts w:hint="default" w:eastAsia="宋体"/>
                <w:sz w:val="24"/>
                <w:szCs w:val="24"/>
                <w:highlight w:val="yellow"/>
                <w:u w:val="none" w:color="auto"/>
                <w:vertAlign w:val="baseline"/>
                <w:lang w:val="en-US" w:eastAsia="zh-CN"/>
              </w:rPr>
            </w:pPr>
            <w:r>
              <w:rPr>
                <w:bCs/>
                <w:sz w:val="24"/>
                <w:szCs w:val="24"/>
              </w:rPr>
              <w:t>本项目采取雨污分流体制。</w:t>
            </w:r>
            <w:r>
              <w:rPr>
                <w:rFonts w:hint="eastAsia"/>
                <w:bCs/>
                <w:sz w:val="24"/>
                <w:szCs w:val="24"/>
                <w:lang w:val="en-US" w:eastAsia="zh-CN"/>
              </w:rPr>
              <w:t>医务人员生活污水、病房污水一起接入院区污水管网，进入</w:t>
            </w:r>
            <w:r>
              <w:rPr>
                <w:rFonts w:hint="eastAsia"/>
                <w:bCs/>
                <w:sz w:val="24"/>
                <w:szCs w:val="24"/>
                <w:lang w:eastAsia="zh-CN"/>
              </w:rPr>
              <w:t>化粪池预处理后，再经</w:t>
            </w:r>
            <w:r>
              <w:rPr>
                <w:rFonts w:hint="eastAsia"/>
                <w:bCs/>
                <w:sz w:val="24"/>
                <w:szCs w:val="24"/>
                <w:lang w:val="en-US" w:eastAsia="zh-CN"/>
              </w:rPr>
              <w:t>院区东侧一体化</w:t>
            </w:r>
            <w:r>
              <w:rPr>
                <w:bCs/>
                <w:sz w:val="24"/>
                <w:szCs w:val="24"/>
              </w:rPr>
              <w:t>污水处理站处理后达到《医疗机构水污染物排放标准》（GB18466-2005）表2</w:t>
            </w:r>
            <w:r>
              <w:rPr>
                <w:rFonts w:hint="eastAsia"/>
                <w:bCs/>
                <w:sz w:val="24"/>
                <w:szCs w:val="24"/>
              </w:rPr>
              <w:t>预处理标准后</w:t>
            </w:r>
            <w:r>
              <w:rPr>
                <w:rFonts w:hint="eastAsia"/>
                <w:bCs/>
                <w:sz w:val="24"/>
                <w:szCs w:val="24"/>
                <w:lang w:val="en-US" w:eastAsia="zh-CN"/>
              </w:rPr>
              <w:t>接入市政污水管网，进入花垣县污水处理厂处理后排入花垣河</w:t>
            </w:r>
            <w:r>
              <w:rPr>
                <w:rFonts w:hint="eastAsia" w:ascii="Times New Roman" w:hAnsi="Times New Roman" w:eastAsia="宋体" w:cs="Times New Roman"/>
                <w:color w:val="auto"/>
                <w:sz w:val="24"/>
                <w:szCs w:val="24"/>
                <w:u w:val="none" w:color="auto"/>
                <w:lang w:val="en-US" w:eastAsia="zh-CN" w:bidi="zh-CN"/>
              </w:rPr>
              <w:t>。</w:t>
            </w:r>
          </w:p>
          <w:p>
            <w:pPr>
              <w:pStyle w:val="8"/>
              <w:keepNext/>
              <w:keepLines w:val="0"/>
              <w:pageBreakBefore w:val="0"/>
              <w:widowControl/>
              <w:kinsoku/>
              <w:wordWrap/>
              <w:overflowPunct/>
              <w:topLinePunct w:val="0"/>
              <w:autoSpaceDE/>
              <w:autoSpaceDN/>
              <w:bidi w:val="0"/>
              <w:adjustRightInd/>
              <w:snapToGrid/>
              <w:spacing w:line="240" w:lineRule="auto"/>
              <w:textAlignment w:val="auto"/>
              <w:rPr>
                <w:rFonts w:hint="eastAsia"/>
                <w:u w:val="none"/>
                <w:lang w:val="en-US" w:eastAsia="zh-CN"/>
              </w:rPr>
            </w:pPr>
            <w:r>
              <w:rPr>
                <w:rFonts w:hint="eastAsia"/>
                <w:u w:val="none"/>
              </w:rPr>
              <w:t>表2-</w:t>
            </w:r>
            <w:r>
              <w:rPr>
                <w:rFonts w:hint="eastAsia"/>
                <w:u w:val="none"/>
                <w:lang w:val="en-US" w:eastAsia="zh-CN"/>
              </w:rPr>
              <w:t xml:space="preserve">7  </w:t>
            </w:r>
            <w:r>
              <w:rPr>
                <w:rFonts w:hint="eastAsia"/>
                <w:u w:val="none"/>
              </w:rPr>
              <w:t>项目</w:t>
            </w:r>
            <w:r>
              <w:rPr>
                <w:rFonts w:hint="eastAsia"/>
                <w:u w:val="none"/>
                <w:lang w:val="en-US" w:eastAsia="zh-CN"/>
              </w:rPr>
              <w:t>运营期给排水</w:t>
            </w:r>
            <w:r>
              <w:rPr>
                <w:rFonts w:hint="eastAsia"/>
                <w:u w:val="none"/>
              </w:rPr>
              <w:t>情况</w:t>
            </w:r>
            <w:r>
              <w:rPr>
                <w:rFonts w:hint="eastAsia"/>
                <w:u w:val="none"/>
                <w:lang w:val="en-US" w:eastAsia="zh-CN"/>
              </w:rPr>
              <w:t xml:space="preserve">一览表     </w:t>
            </w:r>
            <w:r>
              <w:rPr>
                <w:u w:val="none"/>
              </w:rPr>
              <w:t>单位：m</w:t>
            </w:r>
            <w:r>
              <w:rPr>
                <w:u w:val="none"/>
                <w:vertAlign w:val="superscript"/>
              </w:rPr>
              <w:t>3</w:t>
            </w:r>
            <w:r>
              <w:rPr>
                <w:u w:val="none"/>
              </w:rPr>
              <w:t>/</w:t>
            </w:r>
            <w:r>
              <w:rPr>
                <w:rFonts w:hint="eastAsia"/>
                <w:u w:val="none"/>
                <w:lang w:val="en-US" w:eastAsia="zh-CN"/>
              </w:rPr>
              <w:t>a</w:t>
            </w:r>
          </w:p>
          <w:tbl>
            <w:tblPr>
              <w:tblStyle w:val="35"/>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
              <w:gridCol w:w="834"/>
              <w:gridCol w:w="627"/>
              <w:gridCol w:w="720"/>
              <w:gridCol w:w="693"/>
              <w:gridCol w:w="617"/>
              <w:gridCol w:w="577"/>
              <w:gridCol w:w="704"/>
              <w:gridCol w:w="939"/>
              <w:gridCol w:w="815"/>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14" w:type="pct"/>
                  <w:vMerge w:val="restar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528" w:type="pct"/>
                  <w:vMerge w:val="restar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用水项目名称</w:t>
                  </w:r>
                </w:p>
              </w:tc>
              <w:tc>
                <w:tcPr>
                  <w:tcW w:w="397" w:type="pct"/>
                  <w:vMerge w:val="restar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使用人数或单位数</w:t>
                  </w:r>
                </w:p>
              </w:tc>
              <w:tc>
                <w:tcPr>
                  <w:tcW w:w="456" w:type="pct"/>
                  <w:vMerge w:val="restar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439" w:type="pct"/>
                  <w:vMerge w:val="restar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用水量标准(L)</w:t>
                  </w:r>
                </w:p>
              </w:tc>
              <w:tc>
                <w:tcPr>
                  <w:tcW w:w="390" w:type="pct"/>
                  <w:vMerge w:val="restar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废水产生率</w:t>
                  </w:r>
                </w:p>
              </w:tc>
              <w:tc>
                <w:tcPr>
                  <w:tcW w:w="365" w:type="pct"/>
                  <w:vMerge w:val="restar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天数</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d</w:t>
                  </w:r>
                  <w:r>
                    <w:rPr>
                      <w:rFonts w:hint="default" w:ascii="Times New Roman" w:hAnsi="Times New Roman" w:eastAsia="宋体" w:cs="Times New Roman"/>
                      <w:color w:val="auto"/>
                      <w:kern w:val="0"/>
                      <w:sz w:val="21"/>
                      <w:szCs w:val="21"/>
                    </w:rPr>
                    <w:t>)</w:t>
                  </w:r>
                </w:p>
              </w:tc>
              <w:tc>
                <w:tcPr>
                  <w:tcW w:w="1040" w:type="pct"/>
                  <w:gridSpan w:val="2"/>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用水量（m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c>
                <w:tcPr>
                  <w:tcW w:w="1167" w:type="pct"/>
                  <w:gridSpan w:val="2"/>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214" w:type="pct"/>
                  <w:vMerge w:val="continue"/>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p>
              </w:tc>
              <w:tc>
                <w:tcPr>
                  <w:tcW w:w="528" w:type="pct"/>
                  <w:vMerge w:val="continue"/>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p>
              </w:tc>
              <w:tc>
                <w:tcPr>
                  <w:tcW w:w="397" w:type="pct"/>
                  <w:vMerge w:val="continue"/>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p>
              </w:tc>
              <w:tc>
                <w:tcPr>
                  <w:tcW w:w="456" w:type="pct"/>
                  <w:vMerge w:val="continue"/>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p>
              </w:tc>
              <w:tc>
                <w:tcPr>
                  <w:tcW w:w="439" w:type="pct"/>
                  <w:vMerge w:val="continue"/>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p>
              </w:tc>
              <w:tc>
                <w:tcPr>
                  <w:tcW w:w="390" w:type="pct"/>
                  <w:vMerge w:val="continue"/>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p>
              </w:tc>
              <w:tc>
                <w:tcPr>
                  <w:tcW w:w="365" w:type="pct"/>
                  <w:vMerge w:val="continue"/>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p>
              </w:tc>
              <w:tc>
                <w:tcPr>
                  <w:tcW w:w="446"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日</w:t>
                  </w:r>
                </w:p>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用</w:t>
                  </w:r>
                </w:p>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w:t>
                  </w:r>
                </w:p>
              </w:tc>
              <w:tc>
                <w:tcPr>
                  <w:tcW w:w="594"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年用水</w:t>
                  </w:r>
                </w:p>
              </w:tc>
              <w:tc>
                <w:tcPr>
                  <w:tcW w:w="516"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日</w:t>
                  </w:r>
                </w:p>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w:t>
                  </w:r>
                </w:p>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w:t>
                  </w:r>
                </w:p>
              </w:tc>
              <w:tc>
                <w:tcPr>
                  <w:tcW w:w="651"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年废水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14"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1</w:t>
                  </w:r>
                </w:p>
              </w:tc>
              <w:tc>
                <w:tcPr>
                  <w:tcW w:w="528"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病房</w:t>
                  </w:r>
                </w:p>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用水</w:t>
                  </w:r>
                </w:p>
              </w:tc>
              <w:tc>
                <w:tcPr>
                  <w:tcW w:w="397"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48</w:t>
                  </w:r>
                </w:p>
              </w:tc>
              <w:tc>
                <w:tcPr>
                  <w:tcW w:w="456"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床/日</w:t>
                  </w:r>
                </w:p>
              </w:tc>
              <w:tc>
                <w:tcPr>
                  <w:tcW w:w="439"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250</w:t>
                  </w:r>
                </w:p>
              </w:tc>
              <w:tc>
                <w:tcPr>
                  <w:tcW w:w="390"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eastAsia"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0.8</w:t>
                  </w:r>
                </w:p>
              </w:tc>
              <w:tc>
                <w:tcPr>
                  <w:tcW w:w="365"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365</w:t>
                  </w:r>
                </w:p>
              </w:tc>
              <w:tc>
                <w:tcPr>
                  <w:tcW w:w="446"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bidi="ar"/>
                    </w:rPr>
                    <w:t>12</w:t>
                  </w:r>
                </w:p>
              </w:tc>
              <w:tc>
                <w:tcPr>
                  <w:tcW w:w="594"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4380</w:t>
                  </w:r>
                </w:p>
              </w:tc>
              <w:tc>
                <w:tcPr>
                  <w:tcW w:w="516"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9.6</w:t>
                  </w:r>
                </w:p>
              </w:tc>
              <w:tc>
                <w:tcPr>
                  <w:tcW w:w="651"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bidi="ar"/>
                    </w:rPr>
                    <w:t>3504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14"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2</w:t>
                  </w:r>
                </w:p>
              </w:tc>
              <w:tc>
                <w:tcPr>
                  <w:tcW w:w="528"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医务人员生活用水</w:t>
                  </w:r>
                </w:p>
              </w:tc>
              <w:tc>
                <w:tcPr>
                  <w:tcW w:w="397"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10</w:t>
                  </w:r>
                </w:p>
              </w:tc>
              <w:tc>
                <w:tcPr>
                  <w:tcW w:w="456"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人/日</w:t>
                  </w:r>
                </w:p>
              </w:tc>
              <w:tc>
                <w:tcPr>
                  <w:tcW w:w="439"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145</w:t>
                  </w:r>
                </w:p>
              </w:tc>
              <w:tc>
                <w:tcPr>
                  <w:tcW w:w="390"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eastAsia"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0.8</w:t>
                  </w:r>
                </w:p>
              </w:tc>
              <w:tc>
                <w:tcPr>
                  <w:tcW w:w="365"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365</w:t>
                  </w:r>
                </w:p>
              </w:tc>
              <w:tc>
                <w:tcPr>
                  <w:tcW w:w="446"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1.45</w:t>
                  </w:r>
                </w:p>
              </w:tc>
              <w:tc>
                <w:tcPr>
                  <w:tcW w:w="594"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529.25</w:t>
                  </w:r>
                </w:p>
              </w:tc>
              <w:tc>
                <w:tcPr>
                  <w:tcW w:w="516"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1.16</w:t>
                  </w:r>
                </w:p>
              </w:tc>
              <w:tc>
                <w:tcPr>
                  <w:tcW w:w="651"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423.4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14"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3</w:t>
                  </w:r>
                </w:p>
              </w:tc>
              <w:tc>
                <w:tcPr>
                  <w:tcW w:w="528"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绿化用水</w:t>
                  </w:r>
                </w:p>
              </w:tc>
              <w:tc>
                <w:tcPr>
                  <w:tcW w:w="397"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50</w:t>
                  </w:r>
                </w:p>
              </w:tc>
              <w:tc>
                <w:tcPr>
                  <w:tcW w:w="895" w:type="pct"/>
                  <w:gridSpan w:val="2"/>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60</w:t>
                  </w:r>
                  <w:r>
                    <w:rPr>
                      <w:rFonts w:hint="default" w:ascii="Times New Roman" w:hAnsi="Times New Roman" w:eastAsia="宋体" w:cs="Times New Roman"/>
                      <w:color w:val="auto"/>
                      <w:kern w:val="0"/>
                      <w:sz w:val="21"/>
                      <w:szCs w:val="21"/>
                      <w:u w:val="none"/>
                      <w:lang w:val="en-US"/>
                    </w:rPr>
                    <w:t>L/m</w:t>
                  </w:r>
                  <w:r>
                    <w:rPr>
                      <w:rFonts w:hint="default" w:ascii="Times New Roman" w:hAnsi="Times New Roman" w:eastAsia="宋体" w:cs="Times New Roman"/>
                      <w:color w:val="auto"/>
                      <w:kern w:val="0"/>
                      <w:sz w:val="21"/>
                      <w:szCs w:val="21"/>
                      <w:u w:val="none"/>
                      <w:vertAlign w:val="superscript"/>
                      <w:lang w:val="en-US"/>
                    </w:rPr>
                    <w:t>2</w:t>
                  </w:r>
                  <w:r>
                    <w:rPr>
                      <w:rFonts w:hint="default" w:ascii="Times New Roman" w:hAnsi="Times New Roman" w:eastAsia="宋体" w:cs="Times New Roman"/>
                      <w:color w:val="auto"/>
                      <w:kern w:val="0"/>
                      <w:sz w:val="21"/>
                      <w:szCs w:val="21"/>
                      <w:u w:val="none"/>
                      <w:lang w:val="en-US"/>
                    </w:rPr>
                    <w:t>·</w:t>
                  </w:r>
                  <w:r>
                    <w:rPr>
                      <w:rFonts w:hint="default" w:ascii="Times New Roman" w:hAnsi="Times New Roman" w:eastAsia="宋体" w:cs="Times New Roman"/>
                      <w:color w:val="auto"/>
                      <w:kern w:val="0"/>
                      <w:sz w:val="21"/>
                      <w:szCs w:val="21"/>
                      <w:u w:val="none"/>
                      <w:lang w:val="en-US" w:eastAsia="zh-CN"/>
                    </w:rPr>
                    <w:t>月</w:t>
                  </w:r>
                </w:p>
              </w:tc>
              <w:tc>
                <w:tcPr>
                  <w:tcW w:w="390"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w:t>
                  </w:r>
                </w:p>
              </w:tc>
              <w:tc>
                <w:tcPr>
                  <w:tcW w:w="365" w:type="pct"/>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200</w:t>
                  </w:r>
                </w:p>
              </w:tc>
              <w:tc>
                <w:tcPr>
                  <w:tcW w:w="446"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0.</w:t>
                  </w:r>
                  <w:r>
                    <w:rPr>
                      <w:rFonts w:hint="eastAsia" w:cs="Times New Roman"/>
                      <w:color w:val="auto"/>
                      <w:kern w:val="0"/>
                      <w:sz w:val="21"/>
                      <w:szCs w:val="21"/>
                      <w:u w:val="none"/>
                      <w:lang w:val="en-US" w:eastAsia="zh-CN" w:bidi="ar"/>
                    </w:rPr>
                    <w:t>1</w:t>
                  </w:r>
                </w:p>
              </w:tc>
              <w:tc>
                <w:tcPr>
                  <w:tcW w:w="594"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2</w:t>
                  </w:r>
                  <w:r>
                    <w:rPr>
                      <w:rFonts w:hint="eastAsia" w:ascii="Times New Roman" w:hAnsi="Times New Roman" w:eastAsia="宋体" w:cs="Times New Roman"/>
                      <w:color w:val="auto"/>
                      <w:kern w:val="0"/>
                      <w:sz w:val="21"/>
                      <w:szCs w:val="21"/>
                      <w:u w:val="none"/>
                      <w:lang w:val="en-US" w:eastAsia="zh-CN" w:bidi="ar"/>
                    </w:rPr>
                    <w:t>0</w:t>
                  </w:r>
                </w:p>
              </w:tc>
              <w:tc>
                <w:tcPr>
                  <w:tcW w:w="516"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0</w:t>
                  </w:r>
                </w:p>
              </w:tc>
              <w:tc>
                <w:tcPr>
                  <w:tcW w:w="651" w:type="pct"/>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91" w:type="pct"/>
                  <w:gridSpan w:val="7"/>
                  <w:noWrap w:val="0"/>
                  <w:vAlign w:val="center"/>
                </w:tcPr>
                <w:p>
                  <w:pPr>
                    <w:pStyle w:val="51"/>
                    <w:keepNext w:val="0"/>
                    <w:keepLines w:val="0"/>
                    <w:pageBreakBefore w:val="0"/>
                    <w:tabs>
                      <w:tab w:val="left" w:pos="1845"/>
                    </w:tabs>
                    <w:kinsoku/>
                    <w:wordWrap/>
                    <w:overflowPunct/>
                    <w:topLinePunct w:val="0"/>
                    <w:bidi w:val="0"/>
                    <w:adjustRightInd/>
                    <w:snapToGrid/>
                    <w:ind w:firstLine="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总计</w:t>
                  </w:r>
                </w:p>
              </w:tc>
              <w:tc>
                <w:tcPr>
                  <w:tcW w:w="446" w:type="pct"/>
                  <w:noWrap w:val="0"/>
                  <w:vAlign w:val="center"/>
                </w:tcPr>
                <w:p>
                  <w:pPr>
                    <w:keepNext w:val="0"/>
                    <w:keepLines w:val="0"/>
                    <w:pageBreakBefore w:val="0"/>
                    <w:widowControl/>
                    <w:kinsoku/>
                    <w:wordWrap/>
                    <w:overflowPunct/>
                    <w:topLinePunct w:val="0"/>
                    <w:bidi w:val="0"/>
                    <w:adjustRightInd/>
                    <w:snapToGrid/>
                    <w:ind w:firstLine="0"/>
                    <w:jc w:val="center"/>
                    <w:textAlignment w:val="bottom"/>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13.55</w:t>
                  </w:r>
                </w:p>
              </w:tc>
              <w:tc>
                <w:tcPr>
                  <w:tcW w:w="594" w:type="pct"/>
                  <w:noWrap w:val="0"/>
                  <w:vAlign w:val="center"/>
                </w:tcPr>
                <w:p>
                  <w:pPr>
                    <w:keepNext w:val="0"/>
                    <w:keepLines w:val="0"/>
                    <w:pageBreakBefore w:val="0"/>
                    <w:widowControl/>
                    <w:kinsoku/>
                    <w:wordWrap/>
                    <w:overflowPunct/>
                    <w:topLinePunct w:val="0"/>
                    <w:bidi w:val="0"/>
                    <w:adjustRightInd/>
                    <w:snapToGrid/>
                    <w:ind w:firstLine="0"/>
                    <w:jc w:val="center"/>
                    <w:textAlignment w:val="bottom"/>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4929.25</w:t>
                  </w:r>
                </w:p>
              </w:tc>
              <w:tc>
                <w:tcPr>
                  <w:tcW w:w="516" w:type="pct"/>
                  <w:noWrap w:val="0"/>
                  <w:vAlign w:val="center"/>
                </w:tcPr>
                <w:p>
                  <w:pPr>
                    <w:keepNext w:val="0"/>
                    <w:keepLines w:val="0"/>
                    <w:pageBreakBefore w:val="0"/>
                    <w:widowControl/>
                    <w:kinsoku/>
                    <w:wordWrap/>
                    <w:overflowPunct/>
                    <w:topLinePunct w:val="0"/>
                    <w:bidi w:val="0"/>
                    <w:adjustRightInd/>
                    <w:snapToGrid/>
                    <w:ind w:firstLine="0"/>
                    <w:jc w:val="center"/>
                    <w:textAlignment w:val="bottom"/>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10.76</w:t>
                  </w:r>
                </w:p>
              </w:tc>
              <w:tc>
                <w:tcPr>
                  <w:tcW w:w="651" w:type="pct"/>
                  <w:noWrap w:val="0"/>
                  <w:vAlign w:val="center"/>
                </w:tcPr>
                <w:p>
                  <w:pPr>
                    <w:keepNext w:val="0"/>
                    <w:keepLines w:val="0"/>
                    <w:pageBreakBefore w:val="0"/>
                    <w:widowControl/>
                    <w:kinsoku/>
                    <w:wordWrap/>
                    <w:overflowPunct/>
                    <w:topLinePunct w:val="0"/>
                    <w:bidi w:val="0"/>
                    <w:adjustRightInd/>
                    <w:snapToGrid/>
                    <w:ind w:firstLine="0"/>
                    <w:jc w:val="center"/>
                    <w:textAlignment w:val="bottom"/>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3927.4</w:t>
                  </w:r>
                </w:p>
              </w:tc>
            </w:tr>
          </w:tbl>
          <w:p>
            <w:pPr>
              <w:rPr>
                <w:rFonts w:hint="eastAsia"/>
                <w:lang w:val="en-US" w:eastAsia="zh-CN"/>
              </w:rPr>
            </w:pPr>
          </w:p>
          <w:p>
            <w:pPr>
              <w:pStyle w:val="33"/>
              <w:ind w:left="0" w:leftChars="0" w:firstLine="0" w:firstLineChars="0"/>
              <w:jc w:val="both"/>
              <w:rPr>
                <w:rFonts w:hint="eastAsia"/>
                <w:sz w:val="24"/>
                <w:lang w:eastAsia="zh-CN"/>
              </w:rPr>
            </w:pPr>
            <w:r>
              <w:rPr>
                <w:sz w:val="24"/>
              </w:rPr>
              <mc:AlternateContent>
                <mc:Choice Requires="wpc">
                  <w:drawing>
                    <wp:inline distT="0" distB="0" distL="114300" distR="114300">
                      <wp:extent cx="5027930" cy="2136775"/>
                      <wp:effectExtent l="0" t="0" r="1270" b="0"/>
                      <wp:docPr id="32" name="画布 2"/>
                      <wp:cNvGraphicFramePr/>
                      <a:graphic xmlns:a="http://schemas.openxmlformats.org/drawingml/2006/main">
                        <a:graphicData uri="http://schemas.microsoft.com/office/word/2010/wordprocessingCanvas">
                          <wpc:wpc>
                            <wpc:bg>
                              <a:noFill/>
                            </wpc:bg>
                            <wpc:whole>
                              <a:ln>
                                <a:noFill/>
                              </a:ln>
                            </wpc:whole>
                            <wps:wsp>
                              <wps:cNvPr id="1" name="直线 4"/>
                              <wps:cNvCnPr/>
                              <wps:spPr>
                                <a:xfrm flipH="1">
                                  <a:off x="702310" y="537211"/>
                                  <a:ext cx="635" cy="1332001"/>
                                </a:xfrm>
                                <a:prstGeom prst="line">
                                  <a:avLst/>
                                </a:prstGeom>
                                <a:ln w="9525" cap="flat" cmpd="sng">
                                  <a:solidFill>
                                    <a:srgbClr val="000000"/>
                                  </a:solidFill>
                                  <a:prstDash val="solid"/>
                                  <a:headEnd type="none" w="med" len="med"/>
                                  <a:tailEnd type="none" w="med" len="med"/>
                                </a:ln>
                              </wps:spPr>
                              <wps:bodyPr upright="1"/>
                            </wps:wsp>
                            <wps:wsp>
                              <wps:cNvPr id="2" name="直线 5"/>
                              <wps:cNvCnPr/>
                              <wps:spPr>
                                <a:xfrm flipV="1">
                                  <a:off x="711200" y="541656"/>
                                  <a:ext cx="431800" cy="0"/>
                                </a:xfrm>
                                <a:prstGeom prst="line">
                                  <a:avLst/>
                                </a:prstGeom>
                                <a:ln w="9525" cap="flat" cmpd="sng">
                                  <a:solidFill>
                                    <a:srgbClr val="000000"/>
                                  </a:solidFill>
                                  <a:prstDash val="solid"/>
                                  <a:headEnd type="none" w="med" len="med"/>
                                  <a:tailEnd type="triangle" w="med" len="med"/>
                                </a:ln>
                              </wps:spPr>
                              <wps:bodyPr upright="1"/>
                            </wps:wsp>
                            <wps:wsp>
                              <wps:cNvPr id="3" name="自选图形 6"/>
                              <wps:cNvSpPr/>
                              <wps:spPr>
                                <a:xfrm>
                                  <a:off x="1130300" y="371476"/>
                                  <a:ext cx="1038225" cy="426720"/>
                                </a:xfrm>
                                <a:prstGeom prst="flowChartProcess">
                                  <a:avLst/>
                                </a:prstGeom>
                                <a:no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sz w:val="21"/>
                                        <w:szCs w:val="21"/>
                                        <w:lang w:val="en-US" w:eastAsia="zh-CN"/>
                                      </w:rPr>
                                      <w:t>医务人员生活用水</w:t>
                                    </w:r>
                                  </w:p>
                                </w:txbxContent>
                              </wps:txbx>
                              <wps:bodyPr vert="horz" wrap="square" anchor="t" anchorCtr="0" upright="1"/>
                            </wps:wsp>
                            <wps:wsp>
                              <wps:cNvPr id="4" name="直线 7"/>
                              <wps:cNvCnPr/>
                              <wps:spPr>
                                <a:xfrm flipV="1">
                                  <a:off x="2178050" y="532131"/>
                                  <a:ext cx="431800" cy="0"/>
                                </a:xfrm>
                                <a:prstGeom prst="line">
                                  <a:avLst/>
                                </a:prstGeom>
                                <a:ln w="9525" cap="flat" cmpd="sng">
                                  <a:solidFill>
                                    <a:srgbClr val="000000"/>
                                  </a:solidFill>
                                  <a:prstDash val="solid"/>
                                  <a:headEnd type="none" w="med" len="med"/>
                                  <a:tailEnd type="triangle" w="med" len="med"/>
                                </a:ln>
                              </wps:spPr>
                              <wps:bodyPr upright="1"/>
                            </wps:wsp>
                            <wps:wsp>
                              <wps:cNvPr id="5" name="自选图形 8"/>
                              <wps:cNvSpPr/>
                              <wps:spPr>
                                <a:xfrm>
                                  <a:off x="2616200" y="361951"/>
                                  <a:ext cx="667385" cy="330200"/>
                                </a:xfrm>
                                <a:prstGeom prst="flowChartProcess">
                                  <a:avLst/>
                                </a:prstGeom>
                                <a:no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sz w:val="21"/>
                                        <w:szCs w:val="21"/>
                                        <w:lang w:val="en-US" w:eastAsia="zh-CN"/>
                                      </w:rPr>
                                      <w:t>化粪池</w:t>
                                    </w:r>
                                  </w:p>
                                </w:txbxContent>
                              </wps:txbx>
                              <wps:bodyPr vert="horz" wrap="square" anchor="t" anchorCtr="0" upright="1"/>
                            </wps:wsp>
                            <wps:wsp>
                              <wps:cNvPr id="6" name="直线 9"/>
                              <wps:cNvCnPr/>
                              <wps:spPr>
                                <a:xfrm flipV="1">
                                  <a:off x="3292475" y="532131"/>
                                  <a:ext cx="576000" cy="0"/>
                                </a:xfrm>
                                <a:prstGeom prst="line">
                                  <a:avLst/>
                                </a:prstGeom>
                                <a:ln w="9525" cap="flat" cmpd="sng">
                                  <a:solidFill>
                                    <a:srgbClr val="000000"/>
                                  </a:solidFill>
                                  <a:prstDash val="solid"/>
                                  <a:headEnd type="none" w="med" len="med"/>
                                  <a:tailEnd type="triangle" w="med" len="med"/>
                                </a:ln>
                              </wps:spPr>
                              <wps:bodyPr upright="1"/>
                            </wps:wsp>
                            <wps:wsp>
                              <wps:cNvPr id="7" name="直线 13"/>
                              <wps:cNvCnPr/>
                              <wps:spPr>
                                <a:xfrm flipV="1">
                                  <a:off x="712470" y="1296671"/>
                                  <a:ext cx="431800" cy="0"/>
                                </a:xfrm>
                                <a:prstGeom prst="line">
                                  <a:avLst/>
                                </a:prstGeom>
                                <a:ln w="9525" cap="flat" cmpd="sng">
                                  <a:solidFill>
                                    <a:srgbClr val="000000"/>
                                  </a:solidFill>
                                  <a:prstDash val="solid"/>
                                  <a:headEnd type="none" w="med" len="med"/>
                                  <a:tailEnd type="triangle" w="med" len="med"/>
                                </a:ln>
                              </wps:spPr>
                              <wps:bodyPr upright="1"/>
                            </wps:wsp>
                            <wps:wsp>
                              <wps:cNvPr id="8" name="自选图形 14"/>
                              <wps:cNvSpPr/>
                              <wps:spPr>
                                <a:xfrm>
                                  <a:off x="1139825" y="1145541"/>
                                  <a:ext cx="1028700" cy="330200"/>
                                </a:xfrm>
                                <a:prstGeom prst="flowChartProcess">
                                  <a:avLst/>
                                </a:prstGeom>
                                <a:no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eastAsia="宋体"/>
                                        <w:sz w:val="21"/>
                                        <w:szCs w:val="21"/>
                                        <w:lang w:val="en-US" w:eastAsia="zh-CN"/>
                                      </w:rPr>
                                      <w:t>病房用水</w:t>
                                    </w:r>
                                  </w:p>
                                </w:txbxContent>
                              </wps:txbx>
                              <wps:bodyPr vert="horz" wrap="square" anchor="t" anchorCtr="0" upright="1"/>
                            </wps:wsp>
                            <wps:wsp>
                              <wps:cNvPr id="9" name="直线 19"/>
                              <wps:cNvCnPr/>
                              <wps:spPr>
                                <a:xfrm flipV="1">
                                  <a:off x="101600" y="913130"/>
                                  <a:ext cx="609600" cy="0"/>
                                </a:xfrm>
                                <a:prstGeom prst="line">
                                  <a:avLst/>
                                </a:prstGeom>
                                <a:ln w="9525" cap="flat" cmpd="sng">
                                  <a:solidFill>
                                    <a:srgbClr val="000000"/>
                                  </a:solidFill>
                                  <a:prstDash val="solid"/>
                                  <a:headEnd type="none" w="med" len="med"/>
                                  <a:tailEnd type="triangle" w="med" len="med"/>
                                </a:ln>
                              </wps:spPr>
                              <wps:bodyPr upright="1"/>
                            </wps:wsp>
                            <wps:wsp>
                              <wps:cNvPr id="10" name="自选图形 21"/>
                              <wps:cNvCnPr/>
                              <wps:spPr>
                                <a:xfrm rot="-5400000">
                                  <a:off x="1614805" y="189230"/>
                                  <a:ext cx="217170" cy="147320"/>
                                </a:xfrm>
                                <a:prstGeom prst="curvedConnector3">
                                  <a:avLst>
                                    <a:gd name="adj1" fmla="val 49708"/>
                                  </a:avLst>
                                </a:prstGeom>
                                <a:ln w="9525" cap="flat" cmpd="sng">
                                  <a:solidFill>
                                    <a:srgbClr val="000000"/>
                                  </a:solidFill>
                                  <a:prstDash val="solid"/>
                                  <a:headEnd type="none" w="med" len="med"/>
                                  <a:tailEnd type="triangle" w="med" len="med"/>
                                </a:ln>
                              </wps:spPr>
                              <wps:bodyPr/>
                            </wps:wsp>
                            <wps:wsp>
                              <wps:cNvPr id="11" name="自选图形 22"/>
                              <wps:cNvSpPr/>
                              <wps:spPr>
                                <a:xfrm>
                                  <a:off x="1701165" y="29210"/>
                                  <a:ext cx="664210" cy="330200"/>
                                </a:xfrm>
                                <a:prstGeom prst="flowChartProcess">
                                  <a:avLst/>
                                </a:prstGeom>
                                <a:noFill/>
                                <a:ln>
                                  <a:noFill/>
                                </a:ln>
                              </wps:spPr>
                              <wps:txbx>
                                <w:txbxContent>
                                  <w:p>
                                    <w:pPr>
                                      <w:rPr>
                                        <w:rFonts w:hint="default" w:eastAsia="宋体"/>
                                        <w:sz w:val="21"/>
                                        <w:szCs w:val="21"/>
                                        <w:lang w:val="en-US" w:eastAsia="zh-CN"/>
                                      </w:rPr>
                                    </w:pPr>
                                    <w:r>
                                      <w:rPr>
                                        <w:rFonts w:hint="eastAsia" w:eastAsia="宋体"/>
                                        <w:sz w:val="21"/>
                                        <w:szCs w:val="21"/>
                                        <w:lang w:val="en-US" w:eastAsia="zh-CN"/>
                                      </w:rPr>
                                      <w:t>1</w:t>
                                    </w:r>
                                    <w:r>
                                      <w:rPr>
                                        <w:rFonts w:hint="eastAsia"/>
                                        <w:sz w:val="21"/>
                                        <w:szCs w:val="21"/>
                                        <w:lang w:val="en-US" w:eastAsia="zh-CN"/>
                                      </w:rPr>
                                      <w:t>05.85</w:t>
                                    </w:r>
                                  </w:p>
                                </w:txbxContent>
                              </wps:txbx>
                              <wps:bodyPr vert="horz" wrap="square" anchor="t" anchorCtr="0" upright="1"/>
                            </wps:wsp>
                            <wps:wsp>
                              <wps:cNvPr id="12" name="自选图形 23"/>
                              <wps:cNvSpPr/>
                              <wps:spPr>
                                <a:xfrm>
                                  <a:off x="556260" y="327025"/>
                                  <a:ext cx="660400" cy="330200"/>
                                </a:xfrm>
                                <a:prstGeom prst="flowChartProcess">
                                  <a:avLst/>
                                </a:prstGeom>
                                <a:noFill/>
                                <a:ln>
                                  <a:noFill/>
                                </a:ln>
                              </wps:spPr>
                              <wps:txbx>
                                <w:txbxContent>
                                  <w:p>
                                    <w:pPr>
                                      <w:rPr>
                                        <w:rFonts w:hint="default" w:eastAsia="宋体"/>
                                        <w:sz w:val="21"/>
                                        <w:szCs w:val="21"/>
                                        <w:lang w:val="en-US" w:eastAsia="zh-CN"/>
                                      </w:rPr>
                                    </w:pPr>
                                    <w:r>
                                      <w:rPr>
                                        <w:rFonts w:hint="eastAsia"/>
                                        <w:sz w:val="21"/>
                                        <w:szCs w:val="21"/>
                                        <w:lang w:val="en-US" w:eastAsia="zh-CN"/>
                                      </w:rPr>
                                      <w:t>529.25</w:t>
                                    </w:r>
                                  </w:p>
                                </w:txbxContent>
                              </wps:txbx>
                              <wps:bodyPr vert="horz" wrap="square" anchor="t" anchorCtr="0" upright="1"/>
                            </wps:wsp>
                            <wps:wsp>
                              <wps:cNvPr id="13" name="自选图形 24"/>
                              <wps:cNvSpPr/>
                              <wps:spPr>
                                <a:xfrm>
                                  <a:off x="655320" y="1085851"/>
                                  <a:ext cx="504825" cy="330200"/>
                                </a:xfrm>
                                <a:prstGeom prst="flowChartProcess">
                                  <a:avLst/>
                                </a:prstGeom>
                                <a:noFill/>
                                <a:ln>
                                  <a:noFill/>
                                </a:ln>
                              </wps:spPr>
                              <wps:txbx>
                                <w:txbxContent>
                                  <w:p>
                                    <w:pPr>
                                      <w:rPr>
                                        <w:rFonts w:hint="default" w:eastAsia="宋体"/>
                                        <w:sz w:val="21"/>
                                        <w:szCs w:val="21"/>
                                        <w:lang w:val="en-US" w:eastAsia="zh-CN"/>
                                      </w:rPr>
                                    </w:pPr>
                                    <w:r>
                                      <w:rPr>
                                        <w:rFonts w:hint="eastAsia"/>
                                        <w:sz w:val="21"/>
                                        <w:szCs w:val="21"/>
                                        <w:lang w:val="en-US" w:eastAsia="zh-CN"/>
                                      </w:rPr>
                                      <w:t>4380</w:t>
                                    </w:r>
                                  </w:p>
                                </w:txbxContent>
                              </wps:txbx>
                              <wps:bodyPr vert="horz" wrap="square" anchor="t" anchorCtr="0" upright="1"/>
                            </wps:wsp>
                            <wps:wsp>
                              <wps:cNvPr id="14" name="自选图形 25"/>
                              <wps:cNvSpPr/>
                              <wps:spPr>
                                <a:xfrm>
                                  <a:off x="3302000" y="316865"/>
                                  <a:ext cx="680085" cy="330200"/>
                                </a:xfrm>
                                <a:prstGeom prst="flowChartProcess">
                                  <a:avLst/>
                                </a:prstGeom>
                                <a:noFill/>
                                <a:ln>
                                  <a:noFill/>
                                </a:ln>
                              </wps:spPr>
                              <wps:txbx>
                                <w:txbxContent>
                                  <w:p>
                                    <w:pPr>
                                      <w:jc w:val="both"/>
                                      <w:rPr>
                                        <w:rFonts w:hint="default" w:eastAsia="宋体"/>
                                        <w:sz w:val="21"/>
                                        <w:szCs w:val="21"/>
                                        <w:lang w:val="en-US" w:eastAsia="zh-CN"/>
                                      </w:rPr>
                                    </w:pPr>
                                    <w:r>
                                      <w:rPr>
                                        <w:rFonts w:hint="eastAsia"/>
                                        <w:sz w:val="21"/>
                                        <w:szCs w:val="21"/>
                                        <w:lang w:val="en-US" w:eastAsia="zh-CN"/>
                                      </w:rPr>
                                      <w:t>3927.4</w:t>
                                    </w:r>
                                  </w:p>
                                </w:txbxContent>
                              </wps:txbx>
                              <wps:bodyPr vert="horz" wrap="square" anchor="t" anchorCtr="0" upright="1"/>
                            </wps:wsp>
                            <wps:wsp>
                              <wps:cNvPr id="15" name="自选图形 29"/>
                              <wps:cNvSpPr/>
                              <wps:spPr>
                                <a:xfrm>
                                  <a:off x="2274570" y="1085215"/>
                                  <a:ext cx="698500" cy="434340"/>
                                </a:xfrm>
                                <a:prstGeom prst="flowChartProcess">
                                  <a:avLst/>
                                </a:prstGeom>
                                <a:noFill/>
                                <a:ln>
                                  <a:noFill/>
                                </a:ln>
                              </wps:spPr>
                              <wps:txbx>
                                <w:txbxContent>
                                  <w:p>
                                    <w:pPr>
                                      <w:rPr>
                                        <w:rFonts w:hint="default" w:eastAsia="宋体"/>
                                        <w:sz w:val="21"/>
                                        <w:szCs w:val="21"/>
                                        <w:lang w:val="en-US" w:eastAsia="zh-CN"/>
                                      </w:rPr>
                                    </w:pPr>
                                    <w:r>
                                      <w:rPr>
                                        <w:rFonts w:hint="eastAsia"/>
                                        <w:sz w:val="21"/>
                                        <w:szCs w:val="21"/>
                                        <w:lang w:val="en-US" w:eastAsia="zh-CN"/>
                                      </w:rPr>
                                      <w:t>3504</w:t>
                                    </w:r>
                                  </w:p>
                                </w:txbxContent>
                              </wps:txbx>
                              <wps:bodyPr vert="horz" wrap="square" anchor="t" anchorCtr="0" upright="1"/>
                            </wps:wsp>
                            <wps:wsp>
                              <wps:cNvPr id="16" name="自选图形 40"/>
                              <wps:cNvSpPr/>
                              <wps:spPr>
                                <a:xfrm>
                                  <a:off x="88265" y="664846"/>
                                  <a:ext cx="616585" cy="330199"/>
                                </a:xfrm>
                                <a:prstGeom prst="flowChartProcess">
                                  <a:avLst/>
                                </a:prstGeom>
                                <a:noFill/>
                                <a:ln>
                                  <a:noFill/>
                                </a:ln>
                              </wps:spPr>
                              <wps:txbx>
                                <w:txbxContent>
                                  <w:p>
                                    <w:pPr>
                                      <w:rPr>
                                        <w:rFonts w:hint="default" w:eastAsia="宋体"/>
                                        <w:sz w:val="21"/>
                                        <w:szCs w:val="21"/>
                                        <w:lang w:val="en-US" w:eastAsia="zh-CN"/>
                                      </w:rPr>
                                    </w:pPr>
                                    <w:r>
                                      <w:rPr>
                                        <w:rFonts w:hint="eastAsia"/>
                                        <w:sz w:val="21"/>
                                        <w:szCs w:val="21"/>
                                        <w:lang w:val="en-US" w:eastAsia="zh-CN"/>
                                      </w:rPr>
                                      <w:t>4929.25</w:t>
                                    </w:r>
                                  </w:p>
                                </w:txbxContent>
                              </wps:txbx>
                              <wps:bodyPr vert="horz" wrap="square" anchor="t" anchorCtr="0" upright="1"/>
                            </wps:wsp>
                            <wps:wsp>
                              <wps:cNvPr id="17" name="自选图形 41"/>
                              <wps:cNvSpPr/>
                              <wps:spPr>
                                <a:xfrm>
                                  <a:off x="76200" y="944245"/>
                                  <a:ext cx="607695" cy="317500"/>
                                </a:xfrm>
                                <a:prstGeom prst="flowChartProcess">
                                  <a:avLst/>
                                </a:prstGeom>
                                <a:noFill/>
                                <a:ln>
                                  <a:noFill/>
                                </a:ln>
                              </wps:spPr>
                              <wps:txbx>
                                <w:txbxContent>
                                  <w:p>
                                    <w:pPr>
                                      <w:rPr>
                                        <w:rFonts w:hint="default" w:eastAsia="宋体"/>
                                        <w:sz w:val="21"/>
                                        <w:szCs w:val="21"/>
                                        <w:lang w:val="en-US" w:eastAsia="zh-CN"/>
                                      </w:rPr>
                                    </w:pPr>
                                    <w:r>
                                      <w:rPr>
                                        <w:rFonts w:hint="eastAsia" w:eastAsia="宋体"/>
                                        <w:sz w:val="21"/>
                                        <w:szCs w:val="21"/>
                                        <w:lang w:val="en-US" w:eastAsia="zh-CN"/>
                                      </w:rPr>
                                      <w:t>新鲜水</w:t>
                                    </w:r>
                                  </w:p>
                                </w:txbxContent>
                              </wps:txbx>
                              <wps:bodyPr vert="horz" wrap="square" anchor="t" anchorCtr="0" upright="1"/>
                            </wps:wsp>
                            <wps:wsp>
                              <wps:cNvPr id="18" name="直线 48"/>
                              <wps:cNvCnPr/>
                              <wps:spPr>
                                <a:xfrm flipH="1">
                                  <a:off x="2168525" y="1318896"/>
                                  <a:ext cx="774065" cy="635"/>
                                </a:xfrm>
                                <a:prstGeom prst="line">
                                  <a:avLst/>
                                </a:prstGeom>
                                <a:ln w="9525" cap="flat" cmpd="sng">
                                  <a:solidFill>
                                    <a:srgbClr val="000000"/>
                                  </a:solidFill>
                                  <a:prstDash val="solid"/>
                                  <a:headEnd type="none" w="med" len="med"/>
                                  <a:tailEnd type="none" w="med" len="med"/>
                                </a:ln>
                              </wps:spPr>
                              <wps:bodyPr upright="1"/>
                            </wps:wsp>
                            <wps:wsp>
                              <wps:cNvPr id="19" name="直线 49"/>
                              <wps:cNvCnPr/>
                              <wps:spPr>
                                <a:xfrm flipV="1">
                                  <a:off x="2940050" y="713106"/>
                                  <a:ext cx="0" cy="612001"/>
                                </a:xfrm>
                                <a:prstGeom prst="line">
                                  <a:avLst/>
                                </a:prstGeom>
                                <a:ln w="9525" cap="flat" cmpd="sng">
                                  <a:solidFill>
                                    <a:srgbClr val="000000"/>
                                  </a:solidFill>
                                  <a:prstDash val="solid"/>
                                  <a:headEnd type="none" w="med" len="med"/>
                                  <a:tailEnd type="triangle" w="med" len="med"/>
                                </a:ln>
                              </wps:spPr>
                              <wps:bodyPr upright="1"/>
                            </wps:wsp>
                            <wps:wsp>
                              <wps:cNvPr id="20" name="自选图形 50"/>
                              <wps:cNvSpPr/>
                              <wps:spPr>
                                <a:xfrm>
                                  <a:off x="3891915" y="267335"/>
                                  <a:ext cx="1022350" cy="501650"/>
                                </a:xfrm>
                                <a:prstGeom prst="flowChartProcess">
                                  <a:avLst/>
                                </a:prstGeom>
                                <a:noFill/>
                                <a:ln w="9525" cap="flat" cmpd="sng">
                                  <a:solidFill>
                                    <a:srgbClr val="000000"/>
                                  </a:solidFill>
                                  <a:prstDash val="solid"/>
                                  <a:miter/>
                                  <a:headEnd type="none" w="med" len="med"/>
                                  <a:tailEnd type="none" w="med" len="med"/>
                                </a:ln>
                              </wps:spPr>
                              <wps:txbx>
                                <w:txbxContent>
                                  <w:p>
                                    <w:pPr>
                                      <w:rPr>
                                        <w:rFonts w:hint="eastAsia" w:eastAsia="宋体"/>
                                        <w:sz w:val="21"/>
                                        <w:szCs w:val="21"/>
                                        <w:lang w:val="en-US" w:eastAsia="zh-CN"/>
                                      </w:rPr>
                                    </w:pPr>
                                    <w:r>
                                      <w:rPr>
                                        <w:rFonts w:hint="eastAsia" w:eastAsia="宋体"/>
                                        <w:sz w:val="21"/>
                                        <w:szCs w:val="21"/>
                                        <w:lang w:val="en-US" w:eastAsia="zh-CN"/>
                                      </w:rPr>
                                      <w:t>一体化污水</w:t>
                                    </w:r>
                                  </w:p>
                                  <w:p>
                                    <w:pPr>
                                      <w:rPr>
                                        <w:rFonts w:hint="default" w:eastAsia="宋体"/>
                                        <w:sz w:val="21"/>
                                        <w:szCs w:val="21"/>
                                        <w:lang w:val="en-US" w:eastAsia="zh-CN"/>
                                      </w:rPr>
                                    </w:pPr>
                                    <w:r>
                                      <w:rPr>
                                        <w:rFonts w:hint="eastAsia" w:eastAsia="宋体"/>
                                        <w:sz w:val="21"/>
                                        <w:szCs w:val="21"/>
                                        <w:lang w:val="en-US" w:eastAsia="zh-CN"/>
                                      </w:rPr>
                                      <w:t>处理站</w:t>
                                    </w:r>
                                  </w:p>
                                </w:txbxContent>
                              </wps:txbx>
                              <wps:bodyPr vert="horz" wrap="square" anchor="t" anchorCtr="0" upright="1"/>
                            </wps:wsp>
                            <wps:wsp>
                              <wps:cNvPr id="21" name="直线 51"/>
                              <wps:cNvCnPr/>
                              <wps:spPr>
                                <a:xfrm flipV="1">
                                  <a:off x="4340225" y="770890"/>
                                  <a:ext cx="0" cy="288000"/>
                                </a:xfrm>
                                <a:prstGeom prst="line">
                                  <a:avLst/>
                                </a:prstGeom>
                                <a:ln w="9525" cap="flat" cmpd="sng">
                                  <a:solidFill>
                                    <a:srgbClr val="000000"/>
                                  </a:solidFill>
                                  <a:prstDash val="solid"/>
                                  <a:headEnd type="triangle" w="med" len="med"/>
                                  <a:tailEnd type="none" w="med" len="med"/>
                                </a:ln>
                              </wps:spPr>
                              <wps:bodyPr upright="1"/>
                            </wps:wsp>
                            <wps:wsp>
                              <wps:cNvPr id="22" name="自选图形 52"/>
                              <wps:cNvSpPr/>
                              <wps:spPr>
                                <a:xfrm>
                                  <a:off x="3768725" y="1087120"/>
                                  <a:ext cx="1123950" cy="314325"/>
                                </a:xfrm>
                                <a:prstGeom prst="flowChartProcess">
                                  <a:avLst/>
                                </a:prstGeom>
                                <a:no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sz w:val="21"/>
                                        <w:szCs w:val="21"/>
                                        <w:lang w:val="en-US" w:eastAsia="zh-CN"/>
                                      </w:rPr>
                                      <w:t>市政污水管网</w:t>
                                    </w:r>
                                  </w:p>
                                </w:txbxContent>
                              </wps:txbx>
                              <wps:bodyPr vert="horz" wrap="square" anchor="t" anchorCtr="0" upright="1"/>
                            </wps:wsp>
                            <wps:wsp>
                              <wps:cNvPr id="23" name="自选图形 55"/>
                              <wps:cNvSpPr/>
                              <wps:spPr>
                                <a:xfrm>
                                  <a:off x="2073275" y="298450"/>
                                  <a:ext cx="660400" cy="330200"/>
                                </a:xfrm>
                                <a:prstGeom prst="flowChartProcess">
                                  <a:avLst/>
                                </a:prstGeom>
                                <a:noFill/>
                                <a:ln>
                                  <a:noFill/>
                                </a:ln>
                              </wps:spPr>
                              <wps:txbx>
                                <w:txbxContent>
                                  <w:p>
                                    <w:pPr>
                                      <w:rPr>
                                        <w:rFonts w:hint="default" w:eastAsia="宋体"/>
                                        <w:sz w:val="21"/>
                                        <w:szCs w:val="21"/>
                                        <w:lang w:val="en-US" w:eastAsia="zh-CN"/>
                                      </w:rPr>
                                    </w:pPr>
                                    <w:r>
                                      <w:rPr>
                                        <w:rFonts w:hint="eastAsia"/>
                                        <w:sz w:val="21"/>
                                        <w:szCs w:val="21"/>
                                        <w:lang w:val="en-US" w:eastAsia="zh-CN"/>
                                      </w:rPr>
                                      <w:t>423.4</w:t>
                                    </w:r>
                                  </w:p>
                                </w:txbxContent>
                              </wps:txbx>
                              <wps:bodyPr vert="horz" wrap="square" anchor="t" anchorCtr="0" upright="1"/>
                            </wps:wsp>
                            <wps:wsp>
                              <wps:cNvPr id="24" name="自选图形 56"/>
                              <wps:cNvCnPr/>
                              <wps:spPr>
                                <a:xfrm rot="-5400000">
                                  <a:off x="1591945" y="974090"/>
                                  <a:ext cx="215900" cy="139700"/>
                                </a:xfrm>
                                <a:prstGeom prst="curvedConnector3">
                                  <a:avLst>
                                    <a:gd name="adj1" fmla="val 49708"/>
                                  </a:avLst>
                                </a:prstGeom>
                                <a:ln w="9525" cap="flat" cmpd="sng">
                                  <a:solidFill>
                                    <a:srgbClr val="000000"/>
                                  </a:solidFill>
                                  <a:prstDash val="solid"/>
                                  <a:headEnd type="none" w="med" len="med"/>
                                  <a:tailEnd type="triangle" w="med" len="med"/>
                                </a:ln>
                              </wps:spPr>
                              <wps:bodyPr/>
                            </wps:wsp>
                            <wps:wsp>
                              <wps:cNvPr id="25" name="自选图形 57"/>
                              <wps:cNvSpPr/>
                              <wps:spPr>
                                <a:xfrm>
                                  <a:off x="1653540" y="848995"/>
                                  <a:ext cx="565150" cy="330200"/>
                                </a:xfrm>
                                <a:prstGeom prst="flowChartProcess">
                                  <a:avLst/>
                                </a:prstGeom>
                                <a:noFill/>
                                <a:ln>
                                  <a:noFill/>
                                </a:ln>
                              </wps:spPr>
                              <wps:txbx>
                                <w:txbxContent>
                                  <w:p>
                                    <w:pPr>
                                      <w:rPr>
                                        <w:rFonts w:hint="default" w:eastAsia="宋体"/>
                                        <w:sz w:val="21"/>
                                        <w:szCs w:val="21"/>
                                        <w:lang w:val="en-US" w:eastAsia="zh-CN"/>
                                      </w:rPr>
                                    </w:pPr>
                                    <w:r>
                                      <w:rPr>
                                        <w:rFonts w:hint="eastAsia"/>
                                        <w:sz w:val="21"/>
                                        <w:szCs w:val="21"/>
                                        <w:lang w:val="en-US" w:eastAsia="zh-CN"/>
                                      </w:rPr>
                                      <w:t>876</w:t>
                                    </w:r>
                                  </w:p>
                                </w:txbxContent>
                              </wps:txbx>
                              <wps:bodyPr vert="horz" wrap="square" anchor="t" anchorCtr="0" upright="1"/>
                            </wps:wsp>
                            <wps:wsp>
                              <wps:cNvPr id="26" name="自选图形 58"/>
                              <wps:cNvSpPr/>
                              <wps:spPr>
                                <a:xfrm>
                                  <a:off x="4291330" y="774700"/>
                                  <a:ext cx="736600" cy="330200"/>
                                </a:xfrm>
                                <a:prstGeom prst="flowChartProcess">
                                  <a:avLst/>
                                </a:prstGeom>
                                <a:noFill/>
                                <a:ln>
                                  <a:noFill/>
                                </a:ln>
                              </wps:spPr>
                              <wps:txbx>
                                <w:txbxContent>
                                  <w:p>
                                    <w:pPr>
                                      <w:jc w:val="both"/>
                                      <w:rPr>
                                        <w:rFonts w:hint="default" w:eastAsia="宋体"/>
                                        <w:sz w:val="21"/>
                                        <w:szCs w:val="21"/>
                                        <w:lang w:val="en-US" w:eastAsia="zh-CN"/>
                                      </w:rPr>
                                    </w:pPr>
                                    <w:r>
                                      <w:rPr>
                                        <w:rFonts w:hint="eastAsia"/>
                                        <w:sz w:val="21"/>
                                        <w:szCs w:val="21"/>
                                        <w:lang w:val="en-US" w:eastAsia="zh-CN"/>
                                      </w:rPr>
                                      <w:t>3927.4</w:t>
                                    </w:r>
                                  </w:p>
                                </w:txbxContent>
                              </wps:txbx>
                              <wps:bodyPr vert="horz" wrap="square" anchor="t" anchorCtr="0" upright="1"/>
                            </wps:wsp>
                            <wps:wsp>
                              <wps:cNvPr id="27" name="直线 59"/>
                              <wps:cNvCnPr/>
                              <wps:spPr>
                                <a:xfrm flipV="1">
                                  <a:off x="706120" y="1868171"/>
                                  <a:ext cx="431800" cy="0"/>
                                </a:xfrm>
                                <a:prstGeom prst="line">
                                  <a:avLst/>
                                </a:prstGeom>
                                <a:ln w="9525" cap="flat" cmpd="sng">
                                  <a:solidFill>
                                    <a:srgbClr val="000000"/>
                                  </a:solidFill>
                                  <a:prstDash val="solid"/>
                                  <a:headEnd type="none" w="med" len="med"/>
                                  <a:tailEnd type="triangle" w="med" len="med"/>
                                </a:ln>
                              </wps:spPr>
                              <wps:bodyPr upright="1"/>
                            </wps:wsp>
                            <wps:wsp>
                              <wps:cNvPr id="28" name="自选图形 60"/>
                              <wps:cNvSpPr/>
                              <wps:spPr>
                                <a:xfrm>
                                  <a:off x="1133475" y="1698625"/>
                                  <a:ext cx="1028700" cy="330200"/>
                                </a:xfrm>
                                <a:prstGeom prst="flowChartProcess">
                                  <a:avLst/>
                                </a:prstGeom>
                                <a:no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eastAsia="宋体"/>
                                        <w:sz w:val="21"/>
                                        <w:szCs w:val="21"/>
                                        <w:lang w:val="en-US" w:eastAsia="zh-CN"/>
                                      </w:rPr>
                                      <w:t>绿化用水</w:t>
                                    </w:r>
                                  </w:p>
                                </w:txbxContent>
                              </wps:txbx>
                              <wps:bodyPr vert="horz" wrap="square" anchor="t" anchorCtr="0" upright="1"/>
                            </wps:wsp>
                            <wps:wsp>
                              <wps:cNvPr id="29" name="自选图形 61"/>
                              <wps:cNvSpPr/>
                              <wps:spPr>
                                <a:xfrm>
                                  <a:off x="655320" y="1645285"/>
                                  <a:ext cx="495300" cy="330200"/>
                                </a:xfrm>
                                <a:prstGeom prst="flowChartProcess">
                                  <a:avLst/>
                                </a:prstGeom>
                                <a:noFill/>
                                <a:ln>
                                  <a:noFill/>
                                </a:ln>
                              </wps:spPr>
                              <wps:txbx>
                                <w:txbxContent>
                                  <w:p>
                                    <w:pPr>
                                      <w:rPr>
                                        <w:rFonts w:hint="default" w:eastAsia="宋体"/>
                                        <w:sz w:val="21"/>
                                        <w:szCs w:val="21"/>
                                        <w:lang w:val="en-US" w:eastAsia="zh-CN"/>
                                      </w:rPr>
                                    </w:pPr>
                                    <w:r>
                                      <w:rPr>
                                        <w:rFonts w:hint="eastAsia"/>
                                        <w:sz w:val="21"/>
                                        <w:szCs w:val="21"/>
                                        <w:lang w:val="en-US" w:eastAsia="zh-CN"/>
                                      </w:rPr>
                                      <w:t>20</w:t>
                                    </w:r>
                                  </w:p>
                                </w:txbxContent>
                              </wps:txbx>
                              <wps:bodyPr vert="horz" wrap="square" anchor="t" anchorCtr="0" upright="1"/>
                            </wps:wsp>
                            <wps:wsp>
                              <wps:cNvPr id="30" name="自选图形 62"/>
                              <wps:cNvCnPr/>
                              <wps:spPr>
                                <a:xfrm flipV="1">
                                  <a:off x="2162810" y="1759585"/>
                                  <a:ext cx="302260" cy="123190"/>
                                </a:xfrm>
                                <a:prstGeom prst="curvedConnector3">
                                  <a:avLst>
                                    <a:gd name="adj1" fmla="val 50208"/>
                                  </a:avLst>
                                </a:prstGeom>
                                <a:ln w="9525" cap="flat" cmpd="sng">
                                  <a:solidFill>
                                    <a:srgbClr val="000000"/>
                                  </a:solidFill>
                                  <a:prstDash val="solid"/>
                                  <a:headEnd type="none" w="med" len="med"/>
                                  <a:tailEnd type="triangle" w="med" len="med"/>
                                </a:ln>
                              </wps:spPr>
                              <wps:bodyPr/>
                            </wps:wsp>
                            <wps:wsp>
                              <wps:cNvPr id="31" name="自选图形 63"/>
                              <wps:cNvSpPr/>
                              <wps:spPr>
                                <a:xfrm>
                                  <a:off x="2322195" y="1593850"/>
                                  <a:ext cx="495300" cy="330200"/>
                                </a:xfrm>
                                <a:prstGeom prst="flowChartProcess">
                                  <a:avLst/>
                                </a:prstGeom>
                                <a:noFill/>
                                <a:ln>
                                  <a:noFill/>
                                </a:ln>
                              </wps:spPr>
                              <wps:txbx>
                                <w:txbxContent>
                                  <w:p>
                                    <w:pPr>
                                      <w:rPr>
                                        <w:rFonts w:hint="default" w:eastAsia="宋体"/>
                                        <w:sz w:val="21"/>
                                        <w:szCs w:val="21"/>
                                        <w:lang w:val="en-US" w:eastAsia="zh-CN"/>
                                      </w:rPr>
                                    </w:pPr>
                                    <w:r>
                                      <w:rPr>
                                        <w:rFonts w:hint="eastAsia"/>
                                        <w:sz w:val="21"/>
                                        <w:szCs w:val="21"/>
                                        <w:lang w:val="en-US" w:eastAsia="zh-CN"/>
                                      </w:rPr>
                                      <w:t>20</w:t>
                                    </w:r>
                                  </w:p>
                                </w:txbxContent>
                              </wps:txbx>
                              <wps:bodyPr vert="horz" wrap="square" anchor="t" anchorCtr="0" upright="1"/>
                            </wps:wsp>
                            <wps:wsp>
                              <wps:cNvPr id="33" name="直线 51"/>
                              <wps:cNvCnPr/>
                              <wps:spPr>
                                <a:xfrm flipV="1">
                                  <a:off x="4349750" y="1419225"/>
                                  <a:ext cx="0" cy="288290"/>
                                </a:xfrm>
                                <a:prstGeom prst="line">
                                  <a:avLst/>
                                </a:prstGeom>
                                <a:ln w="9525" cap="flat" cmpd="sng">
                                  <a:solidFill>
                                    <a:srgbClr val="000000"/>
                                  </a:solidFill>
                                  <a:prstDash val="solid"/>
                                  <a:headEnd type="triangle" w="med" len="med"/>
                                  <a:tailEnd type="none" w="med" len="med"/>
                                </a:ln>
                              </wps:spPr>
                              <wps:bodyPr upright="1"/>
                            </wps:wsp>
                            <wps:wsp>
                              <wps:cNvPr id="46" name="自选图形 52"/>
                              <wps:cNvSpPr/>
                              <wps:spPr>
                                <a:xfrm>
                                  <a:off x="3666490" y="1708150"/>
                                  <a:ext cx="1323340" cy="314325"/>
                                </a:xfrm>
                                <a:prstGeom prst="flowChartProcess">
                                  <a:avLst/>
                                </a:prstGeom>
                                <a:no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eastAsia="宋体"/>
                                        <w:sz w:val="21"/>
                                        <w:szCs w:val="21"/>
                                        <w:lang w:val="en-US" w:eastAsia="zh-CN"/>
                                      </w:rPr>
                                      <w:t>花垣县污水处理厂</w:t>
                                    </w:r>
                                  </w:p>
                                </w:txbxContent>
                              </wps:txbx>
                              <wps:bodyPr vert="horz" wrap="square" anchor="t" anchorCtr="0" upright="1"/>
                            </wps:wsp>
                            <wps:wsp>
                              <wps:cNvPr id="47" name="自选图形 58"/>
                              <wps:cNvSpPr/>
                              <wps:spPr>
                                <a:xfrm>
                                  <a:off x="4291330" y="1403350"/>
                                  <a:ext cx="736600" cy="330200"/>
                                </a:xfrm>
                                <a:prstGeom prst="flowChartProcess">
                                  <a:avLst/>
                                </a:prstGeom>
                                <a:noFill/>
                                <a:ln>
                                  <a:noFill/>
                                </a:ln>
                              </wps:spPr>
                              <wps:txbx>
                                <w:txbxContent>
                                  <w:p>
                                    <w:pPr>
                                      <w:jc w:val="both"/>
                                      <w:rPr>
                                        <w:rFonts w:hint="default" w:eastAsia="宋体"/>
                                        <w:sz w:val="21"/>
                                        <w:szCs w:val="21"/>
                                        <w:lang w:val="en-US" w:eastAsia="zh-CN"/>
                                      </w:rPr>
                                    </w:pPr>
                                    <w:r>
                                      <w:rPr>
                                        <w:rFonts w:hint="eastAsia"/>
                                        <w:sz w:val="21"/>
                                        <w:szCs w:val="21"/>
                                        <w:lang w:val="en-US" w:eastAsia="zh-CN"/>
                                      </w:rPr>
                                      <w:t>3927.4</w:t>
                                    </w:r>
                                  </w:p>
                                </w:txbxContent>
                              </wps:txbx>
                              <wps:bodyPr vert="horz" wrap="square" anchor="t" anchorCtr="0" upright="1"/>
                            </wps:wsp>
                          </wpc:wpc>
                        </a:graphicData>
                      </a:graphic>
                    </wp:inline>
                  </w:drawing>
                </mc:Choice>
                <mc:Fallback>
                  <w:pict>
                    <v:group id="画布 2" o:spid="_x0000_s1026" o:spt="203" style="height:168.25pt;width:395.9pt;" coordsize="5027930,2136775" editas="canvas" o:gfxdata="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">
                      <o:lock v:ext="edit" aspectratio="f"/>
                      <v:shape id="画布 2" o:spid="_x0000_s1026" style="position:absolute;left:0;top:0;height:2136775;width:5027930;" filled="f" stroked="f" coordsize="21600,21600" o:gfxdata="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">
                        <v:fill on="f" focussize="0,0"/>
                        <v:stroke on="f"/>
                        <v:imagedata o:title=""/>
                        <o:lock v:ext="edit" aspectratio="f"/>
                      </v:shape>
                      <v:line id="直线 4" o:spid="_x0000_s1026" o:spt="20" style="position:absolute;left:702310;top:537211;flip:x;height:1332001;width:635;" filled="f" stroked="t" coordsize="21600,21600" o:gfxdata="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GBJHLVAAAABQEAAA8AAAAAAAAAAQAgAAAAIgAAAGRycy9kb3ducmV2Lnht&#10;bFBLAQIUABQAAAAIAIdO4kBsEG7e/AEAAPEDAAAOAAAAAAAAAAEAIAAAACQBAABkcnMvZTJvRG9j&#10;LnhtbFBLBQYAAAAABgAGAFkBAACSBQAAAAA=&#10;">
                        <v:fill on="f" focussize="0,0"/>
                        <v:stroke color="#000000" joinstyle="round"/>
                        <v:imagedata o:title=""/>
                        <o:lock v:ext="edit" aspectratio="f"/>
                      </v:line>
                      <v:line id="直线 5" o:spid="_x0000_s1026" o:spt="20" style="position:absolute;left:711200;top:541656;flip:y;height:0;width:431800;" filled="f" stroked="t" coordsize="21600,21600" o:gfxdata="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qx3v1gAAAAUBAAAPAAAAAAAAAAEAIAAAACIAAABkcnMvZG93&#10;bnJldi54bWxQSwECFAAUAAAACACHTuJAtagogAICAADyAwAADgAAAAAAAAABACAAAAAlAQAAZHJz&#10;L2Uyb0RvYy54bWxQSwUGAAAAAAYABgBZAQAAmQUAAAAA&#10;">
                        <v:fill on="f" focussize="0,0"/>
                        <v:stroke color="#000000" joinstyle="round" endarrow="block"/>
                        <v:imagedata o:title=""/>
                        <o:lock v:ext="edit" aspectratio="f"/>
                      </v:line>
                      <v:shape id="自选图形 6" o:spid="_x0000_s1026" o:spt="109" type="#_x0000_t109" style="position:absolute;left:1130300;top:371476;height:426720;width:1038225;" filled="f" stroked="t" coordsize="21600,21600" o:gfxdata="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gcH2NUAAAAFAQAADwAAAAAAAAABACAAAAAiAAAAZHJzL2Rvd25y&#10;ZXYueG1sUEsBAhQAFAAAAAgAh07iQLvy8Ic6AgAAUAQAAA4AAAAAAAAAAQAgAAAAJAEAAGRycy9l&#10;Mm9Eb2MueG1sUEsFBgAAAAAGAAYAWQEAANAFAAAAAA==&#10;">
                        <v:fill on="f" focussize="0,0"/>
                        <v:stroke color="#000000" joinstyle="miter"/>
                        <v:imagedata o:title=""/>
                        <o:lock v:ext="edit" aspectratio="f"/>
                        <v:textbox>
                          <w:txbxContent>
                            <w:p>
                              <w:pPr>
                                <w:rPr>
                                  <w:rFonts w:hint="default" w:eastAsia="宋体"/>
                                  <w:sz w:val="21"/>
                                  <w:szCs w:val="21"/>
                                  <w:lang w:val="en-US" w:eastAsia="zh-CN"/>
                                </w:rPr>
                              </w:pPr>
                              <w:r>
                                <w:rPr>
                                  <w:rFonts w:hint="eastAsia"/>
                                  <w:sz w:val="21"/>
                                  <w:szCs w:val="21"/>
                                  <w:lang w:val="en-US" w:eastAsia="zh-CN"/>
                                </w:rPr>
                                <w:t>医务人员生活用水</w:t>
                              </w:r>
                            </w:p>
                          </w:txbxContent>
                        </v:textbox>
                      </v:shape>
                      <v:line id="直线 7" o:spid="_x0000_s1026" o:spt="20" style="position:absolute;left:2178050;top:532131;flip:y;height:0;width:431800;" filled="f" stroked="t" coordsize="21600,21600" o:gfxdata="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arHe/WAAAABQEAAA8AAAAAAAAAAQAgAAAAIgAAAGRycy9k&#10;b3ducmV2LnhtbFBLAQIUABQAAAAIAIdO4kBSt0pzBAIAAPMDAAAOAAAAAAAAAAEAIAAAACUBAABk&#10;cnMvZTJvRG9jLnhtbFBLBQYAAAAABgAGAFkBAACbBQAAAAA=&#10;">
                        <v:fill on="f" focussize="0,0"/>
                        <v:stroke color="#000000" joinstyle="round" endarrow="block"/>
                        <v:imagedata o:title=""/>
                        <o:lock v:ext="edit" aspectratio="f"/>
                      </v:line>
                      <v:shape id="自选图形 8" o:spid="_x0000_s1026" o:spt="109" type="#_x0000_t109" style="position:absolute;left:2616200;top:361951;height:330200;width:667385;" filled="f" stroked="t" coordsize="21600,21600" o:gfxdata="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yBwfY1QAAAAUBAAAPAAAAAAAAAAEAIAAAACIAAABkcnMvZG93bnJldi54&#10;bWxQSwECFAAUAAAACACHTuJAglwe5jYCAABPBAAADgAAAAAAAAABACAAAAAkAQAAZHJzL2Uyb0Rv&#10;Yy54bWxQSwUGAAAAAAYABgBZAQAAzAUAAAAA&#10;">
                        <v:fill on="f" focussize="0,0"/>
                        <v:stroke color="#000000" joinstyle="miter"/>
                        <v:imagedata o:title=""/>
                        <o:lock v:ext="edit" aspectratio="f"/>
                        <v:textbox>
                          <w:txbxContent>
                            <w:p>
                              <w:pPr>
                                <w:rPr>
                                  <w:rFonts w:hint="default" w:eastAsia="宋体"/>
                                  <w:sz w:val="21"/>
                                  <w:szCs w:val="21"/>
                                  <w:lang w:val="en-US" w:eastAsia="zh-CN"/>
                                </w:rPr>
                              </w:pPr>
                              <w:r>
                                <w:rPr>
                                  <w:rFonts w:hint="eastAsia"/>
                                  <w:sz w:val="21"/>
                                  <w:szCs w:val="21"/>
                                  <w:lang w:val="en-US" w:eastAsia="zh-CN"/>
                                </w:rPr>
                                <w:t>化粪池</w:t>
                              </w:r>
                            </w:p>
                          </w:txbxContent>
                        </v:textbox>
                      </v:shape>
                      <v:line id="直线 9" o:spid="_x0000_s1026" o:spt="20" style="position:absolute;left:3292475;top:532131;flip:y;height:0;width:576000;" filled="f" stroked="t" coordsize="21600,21600" o:gfxdata="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arHe/WAAAABQEAAA8AAAAAAAAAAQAgAAAAIgAAAGRycy9k&#10;b3ducmV2LnhtbFBLAQIUABQAAAAIAIdO4kD4vKGbBAIAAPMDAAAOAAAAAAAAAAEAIAAAACUBAABk&#10;cnMvZTJvRG9jLnhtbFBLBQYAAAAABgAGAFkBAACbBQAAAAA=&#10;">
                        <v:fill on="f" focussize="0,0"/>
                        <v:stroke color="#000000" joinstyle="round" endarrow="block"/>
                        <v:imagedata o:title=""/>
                        <o:lock v:ext="edit" aspectratio="f"/>
                      </v:line>
                      <v:line id="直线 13" o:spid="_x0000_s1026" o:spt="20" style="position:absolute;left:712470;top:1296671;flip:y;height:0;width:431800;" filled="f" stroked="t" coordsize="21600,21600" o:gfxdata="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qsd79YAAAAFAQAADwAAAAAAAAABACAAAAAiAAAAZHJzL2Rv&#10;d25yZXYueG1sUEsBAhQAFAAAAAgAh07iQKNBsIIDAgAA9AMAAA4AAAAAAAAAAQAgAAAAJQEAAGRy&#10;cy9lMm9Eb2MueG1sUEsFBgAAAAAGAAYAWQEAAJoFAAAAAA==&#10;">
                        <v:fill on="f" focussize="0,0"/>
                        <v:stroke color="#000000" joinstyle="round" endarrow="block"/>
                        <v:imagedata o:title=""/>
                        <o:lock v:ext="edit" aspectratio="f"/>
                      </v:line>
                      <v:shape id="自选图形 14" o:spid="_x0000_s1026" o:spt="109" type="#_x0000_t109" style="position:absolute;left:1139825;top:1145541;height:330200;width:1028700;" filled="f" stroked="t" coordsize="21600,21600" o:gfxdata="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gcH2NUAAAAFAQAADwAAAAAAAAABACAAAAAiAAAAZHJzL2Rvd25yZXYu&#10;eG1sUEsBAhQAFAAAAAgAh07iQAinO543AgAAUgQAAA4AAAAAAAAAAQAgAAAAJAEAAGRycy9lMm9E&#10;b2MueG1sUEsFBgAAAAAGAAYAWQEAAM0FAAAAAA==&#10;">
                        <v:fill on="f" focussize="0,0"/>
                        <v:stroke color="#000000" joinstyle="miter"/>
                        <v:imagedata o:title=""/>
                        <o:lock v:ext="edit" aspectratio="f"/>
                        <v:textbox>
                          <w:txbxContent>
                            <w:p>
                              <w:pPr>
                                <w:rPr>
                                  <w:rFonts w:hint="default" w:eastAsia="宋体"/>
                                  <w:sz w:val="21"/>
                                  <w:szCs w:val="21"/>
                                  <w:lang w:val="en-US" w:eastAsia="zh-CN"/>
                                </w:rPr>
                              </w:pPr>
                              <w:r>
                                <w:rPr>
                                  <w:rFonts w:hint="eastAsia" w:eastAsia="宋体"/>
                                  <w:sz w:val="21"/>
                                  <w:szCs w:val="21"/>
                                  <w:lang w:val="en-US" w:eastAsia="zh-CN"/>
                                </w:rPr>
                                <w:t>病房用水</w:t>
                              </w:r>
                            </w:p>
                          </w:txbxContent>
                        </v:textbox>
                      </v:shape>
                      <v:line id="直线 19" o:spid="_x0000_s1026" o:spt="20" style="position:absolute;left:101600;top:913130;flip:y;height:0;width:609600;" filled="f" stroked="t" coordsize="21600,21600" o:gfxdata="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qx3v1gAAAAUBAAAPAAAAAAAAAAEAIAAAACIAAABkcnMvZG93bnJl&#10;di54bWxQSwECFAAUAAAACACHTuJAkZfWr/8BAADzAwAADgAAAAAAAAABACAAAAAlAQAAZHJzL2Uy&#10;b0RvYy54bWxQSwUGAAAAAAYABgBZAQAAlgUAAAAA&#10;">
                        <v:fill on="f" focussize="0,0"/>
                        <v:stroke color="#000000" joinstyle="round" endarrow="block"/>
                        <v:imagedata o:title=""/>
                        <o:lock v:ext="edit" aspectratio="f"/>
                      </v:line>
                      <v:shape id="自选图形 21" o:spid="_x0000_s1026" o:spt="38" type="#_x0000_t38" style="position:absolute;left:1614805;top:189230;height:147320;width:217170;rotation:-5898240f;" filled="f" stroked="t" coordsize="21600,21600" o:gfxdata="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yRBtdQAAAAFAQAADwAAAAAAAAABACAAAAAiAAAAZHJzL2Rvd25yZXYueG1sUEsBAhQAFAAA&#10;AAgAh07iQIHYYiAsAgAAMgQAAA4AAAAAAAAAAQAgAAAAIwEAAGRycy9lMm9Eb2MueG1sUEsFBgAA&#10;AAAGAAYAWQEAAMEFAAAAAA==&#10;" adj="10737">
                        <v:fill on="f" focussize="0,0"/>
                        <v:stroke color="#000000" joinstyle="round" endarrow="block"/>
                        <v:imagedata o:title=""/>
                        <o:lock v:ext="edit" aspectratio="f"/>
                      </v:shape>
                      <v:shape id="自选图形 22" o:spid="_x0000_s1026" o:spt="109" type="#_x0000_t109" style="position:absolute;left:1701165;top:29210;height:330200;width:664210;"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EdcwR1AAAAAUBAAAPAAAAAAAA&#10;AAEAIAAAACIAAABkcnMvZG93bnJldi54bWxQSwECFAAUAAAACACHTuJAd4IZRd0BAACRAwAADgAA&#10;AAAAAAABACAAAAAjAQAAZHJzL2Uyb0RvYy54bWxQSwUGAAAAAAYABgBZAQAAcgUAAAAA&#10;">
                        <v:fill on="f" focussize="0,0"/>
                        <v:stroke on="f"/>
                        <v:imagedata o:title=""/>
                        <o:lock v:ext="edit" aspectratio="f"/>
                        <v:textbox>
                          <w:txbxContent>
                            <w:p>
                              <w:pPr>
                                <w:rPr>
                                  <w:rFonts w:hint="default" w:eastAsia="宋体"/>
                                  <w:sz w:val="21"/>
                                  <w:szCs w:val="21"/>
                                  <w:lang w:val="en-US" w:eastAsia="zh-CN"/>
                                </w:rPr>
                              </w:pPr>
                              <w:r>
                                <w:rPr>
                                  <w:rFonts w:hint="eastAsia" w:eastAsia="宋体"/>
                                  <w:sz w:val="21"/>
                                  <w:szCs w:val="21"/>
                                  <w:lang w:val="en-US" w:eastAsia="zh-CN"/>
                                </w:rPr>
                                <w:t>1</w:t>
                              </w:r>
                              <w:r>
                                <w:rPr>
                                  <w:rFonts w:hint="eastAsia"/>
                                  <w:sz w:val="21"/>
                                  <w:szCs w:val="21"/>
                                  <w:lang w:val="en-US" w:eastAsia="zh-CN"/>
                                </w:rPr>
                                <w:t>05.85</w:t>
                              </w:r>
                            </w:p>
                          </w:txbxContent>
                        </v:textbox>
                      </v:shape>
                      <v:shape id="自选图形 23" o:spid="_x0000_s1026" o:spt="109" type="#_x0000_t109" style="position:absolute;left:556260;top:327025;height:330200;width:660400;"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HXMEdQAAAAFAQAADwAAAAAA&#10;AAABACAAAAAiAAAAZHJzL2Rvd25yZXYueG1sUEsBAhQAFAAAAAgAh07iQPzbYrPeAQAAkQMAAA4A&#10;AAAAAAAAAQAgAAAAIwEAAGRycy9lMm9Eb2MueG1sUEsFBgAAAAAGAAYAWQEAAHMFA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529.25</w:t>
                              </w:r>
                            </w:p>
                          </w:txbxContent>
                        </v:textbox>
                      </v:shape>
                      <v:shape id="自选图形 24" o:spid="_x0000_s1026" o:spt="109" type="#_x0000_t109" style="position:absolute;left:655320;top:1085851;height:330200;width:504825;"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EdcwR1AAAAAUBAAAPAAAA&#10;AAAAAAEAIAAAACIAAABkcnMvZG93bnJldi54bWxQSwECFAAUAAAACACHTuJAoUPou+ABAACSAwAA&#10;DgAAAAAAAAABACAAAAAjAQAAZHJzL2Uyb0RvYy54bWxQSwUGAAAAAAYABgBZAQAAdQU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4380</w:t>
                              </w:r>
                            </w:p>
                          </w:txbxContent>
                        </v:textbox>
                      </v:shape>
                      <v:shape id="自选图形 25" o:spid="_x0000_s1026" o:spt="109" type="#_x0000_t109" style="position:absolute;left:3302000;top:316865;height:330200;width:680085;"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EdcwR1AAAAAUBAAAPAAAAAAAA&#10;AAEAIAAAACIAAABkcnMvZG93bnJldi54bWxQSwECFAAUAAAACACHTuJAPJTwkt0BAACSAwAADgAA&#10;AAAAAAABACAAAAAjAQAAZHJzL2Uyb0RvYy54bWxQSwUGAAAAAAYABgBZAQAAcgUAAAAA&#10;">
                        <v:fill on="f" focussize="0,0"/>
                        <v:stroke on="f"/>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3927.4</w:t>
                              </w:r>
                            </w:p>
                          </w:txbxContent>
                        </v:textbox>
                      </v:shape>
                      <v:shape id="自选图形 29" o:spid="_x0000_s1026" o:spt="109" type="#_x0000_t109" style="position:absolute;left:2274570;top:1085215;height:434340;width:698500;"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HXMEdQAAAAFAQAADwAA&#10;AAAAAAABACAAAAAiAAAAZHJzL2Rvd25yZXYueG1sUEsBAhQAFAAAAAgAh07iQB9AXBLhAQAAkwMA&#10;AA4AAAAAAAAAAQAgAAAAIwEAAGRycy9lMm9Eb2MueG1sUEsFBgAAAAAGAAYAWQEAAHYFA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3504</w:t>
                              </w:r>
                            </w:p>
                          </w:txbxContent>
                        </v:textbox>
                      </v:shape>
                      <v:shape id="自选图形 40" o:spid="_x0000_s1026" o:spt="109" type="#_x0000_t109" style="position:absolute;left:88265;top:664846;height:330199;width:616585;"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HXMEdQAAAAFAQAADwAAAAAA&#10;AAABACAAAAAiAAAAZHJzL2Rvd25yZXYueG1sUEsBAhQAFAAAAAgAh07iQOsgzXTeAQAAkAMAAA4A&#10;AAAAAAAAAQAgAAAAIwEAAGRycy9lMm9Eb2MueG1sUEsFBgAAAAAGAAYAWQEAAHMFA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4929.25</w:t>
                              </w:r>
                            </w:p>
                          </w:txbxContent>
                        </v:textbox>
                      </v:shape>
                      <v:shape id="自选图形 41" o:spid="_x0000_s1026" o:spt="109" type="#_x0000_t109" style="position:absolute;left:76200;top:944245;height:317500;width:607695;"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R1zBHUAAAABQEAAA8AAAAA&#10;AAAAAQAgAAAAIgAAAGRycy9kb3ducmV2LnhtbFBLAQIUABQAAAAIAIdO4kBVk8Ad3wEAAJADAAAO&#10;AAAAAAAAAAEAIAAAACMBAABkcnMvZTJvRG9jLnhtbFBLBQYAAAAABgAGAFkBAAB0BQAAAAA=&#10;">
                        <v:fill on="f" focussize="0,0"/>
                        <v:stroke on="f"/>
                        <v:imagedata o:title=""/>
                        <o:lock v:ext="edit" aspectratio="f"/>
                        <v:textbox>
                          <w:txbxContent>
                            <w:p>
                              <w:pPr>
                                <w:rPr>
                                  <w:rFonts w:hint="default" w:eastAsia="宋体"/>
                                  <w:sz w:val="21"/>
                                  <w:szCs w:val="21"/>
                                  <w:lang w:val="en-US" w:eastAsia="zh-CN"/>
                                </w:rPr>
                              </w:pPr>
                              <w:r>
                                <w:rPr>
                                  <w:rFonts w:hint="eastAsia" w:eastAsia="宋体"/>
                                  <w:sz w:val="21"/>
                                  <w:szCs w:val="21"/>
                                  <w:lang w:val="en-US" w:eastAsia="zh-CN"/>
                                </w:rPr>
                                <w:t>新鲜水</w:t>
                              </w:r>
                            </w:p>
                          </w:txbxContent>
                        </v:textbox>
                      </v:shape>
                      <v:line id="直线 48" o:spid="_x0000_s1026" o:spt="20" style="position:absolute;left:2168525;top:1318896;flip:x;height:635;width:774065;" filled="f" stroked="t" coordsize="21600,21600" o:gfxdata="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YEkctUAAAAFAQAADwAAAAAAAAABACAAAAAiAAAAZHJzL2Rvd25yZXYu&#10;eG1sUEsBAhQAFAAAAAgAh07iQA8FxZr+AQAA9AMAAA4AAAAAAAAAAQAgAAAAJAEAAGRycy9lMm9E&#10;b2MueG1sUEsFBgAAAAAGAAYAWQEAAJQFAAAAAA==&#10;">
                        <v:fill on="f" focussize="0,0"/>
                        <v:stroke color="#000000" joinstyle="round"/>
                        <v:imagedata o:title=""/>
                        <o:lock v:ext="edit" aspectratio="f"/>
                      </v:line>
                      <v:line id="直线 49" o:spid="_x0000_s1026" o:spt="20" style="position:absolute;left:2940050;top:713106;flip:y;height:612001;width:0;" filled="f" stroked="t" coordsize="21600,21600" o:gfxdata="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qx3v1gAAAAUBAAAPAAAAAAAAAAEAIAAAACIAAABkcnMvZG93&#10;bnJldi54bWxQSwECFAAUAAAACACHTuJA2IfJdQICAAD1AwAADgAAAAAAAAABACAAAAAlAQAAZHJz&#10;L2Uyb0RvYy54bWxQSwUGAAAAAAYABgBZAQAAmQUAAAAA&#10;">
                        <v:fill on="f" focussize="0,0"/>
                        <v:stroke color="#000000" joinstyle="round" endarrow="block"/>
                        <v:imagedata o:title=""/>
                        <o:lock v:ext="edit" aspectratio="f"/>
                      </v:line>
                      <v:shape id="自选图形 50" o:spid="_x0000_s1026" o:spt="109" type="#_x0000_t109" style="position:absolute;left:3891915;top:267335;height:501650;width:1022350;" filled="f" stroked="t" coordsize="21600,21600" o:gfxdata="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BwfY1QAAAAUBAAAPAAAAAAAAAAEAIAAAACIAAABkcnMvZG93bnJl&#10;di54bWxQSwECFAAUAAAACACHTuJAfYGaBDkCAABSBAAADgAAAAAAAAABACAAAAAkAQAAZHJzL2Uy&#10;b0RvYy54bWxQSwUGAAAAAAYABgBZAQAAzwUAAAAA&#10;">
                        <v:fill on="f" focussize="0,0"/>
                        <v:stroke color="#000000" joinstyle="miter"/>
                        <v:imagedata o:title=""/>
                        <o:lock v:ext="edit" aspectratio="f"/>
                        <v:textbox>
                          <w:txbxContent>
                            <w:p>
                              <w:pPr>
                                <w:rPr>
                                  <w:rFonts w:hint="eastAsia" w:eastAsia="宋体"/>
                                  <w:sz w:val="21"/>
                                  <w:szCs w:val="21"/>
                                  <w:lang w:val="en-US" w:eastAsia="zh-CN"/>
                                </w:rPr>
                              </w:pPr>
                              <w:r>
                                <w:rPr>
                                  <w:rFonts w:hint="eastAsia" w:eastAsia="宋体"/>
                                  <w:sz w:val="21"/>
                                  <w:szCs w:val="21"/>
                                  <w:lang w:val="en-US" w:eastAsia="zh-CN"/>
                                </w:rPr>
                                <w:t>一体化污水</w:t>
                              </w:r>
                            </w:p>
                            <w:p>
                              <w:pPr>
                                <w:rPr>
                                  <w:rFonts w:hint="default" w:eastAsia="宋体"/>
                                  <w:sz w:val="21"/>
                                  <w:szCs w:val="21"/>
                                  <w:lang w:val="en-US" w:eastAsia="zh-CN"/>
                                </w:rPr>
                              </w:pPr>
                              <w:r>
                                <w:rPr>
                                  <w:rFonts w:hint="eastAsia" w:eastAsia="宋体"/>
                                  <w:sz w:val="21"/>
                                  <w:szCs w:val="21"/>
                                  <w:lang w:val="en-US" w:eastAsia="zh-CN"/>
                                </w:rPr>
                                <w:t>处理站</w:t>
                              </w:r>
                            </w:p>
                          </w:txbxContent>
                        </v:textbox>
                      </v:shape>
                      <v:line id="直线 51" o:spid="_x0000_s1026" o:spt="20" style="position:absolute;left:4340225;top:770890;flip:y;height:288000;width:0;" filled="f" stroked="t" coordsize="21600,21600" o:gfxdata="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yle3jVAAAABQEAAA8AAAAAAAAAAQAgAAAAIgAAAGRycy9k&#10;b3ducmV2LnhtbFBLAQIUABQAAAAIAIdO4kBRvEvdBQIAAPUDAAAOAAAAAAAAAAEAIAAAACQBAABk&#10;cnMvZTJvRG9jLnhtbFBLBQYAAAAABgAGAFkBAACbBQAAAAA=&#10;">
                        <v:fill on="f" focussize="0,0"/>
                        <v:stroke color="#000000" joinstyle="round" startarrow="block"/>
                        <v:imagedata o:title=""/>
                        <o:lock v:ext="edit" aspectratio="f"/>
                      </v:line>
                      <v:shape id="自选图形 52" o:spid="_x0000_s1026" o:spt="109" type="#_x0000_t109" style="position:absolute;left:3768725;top:1087120;height:314325;width:1123950;" filled="f" stroked="t" coordsize="21600,21600" o:gfxdata="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yBwfY1QAAAAUBAAAPAAAAAAAAAAEAIAAAACIAAABkcnMvZG93&#10;bnJldi54bWxQSwECFAAUAAAACACHTuJA8MW5SjwCAABTBAAADgAAAAAAAAABACAAAAAkAQAAZHJz&#10;L2Uyb0RvYy54bWxQSwUGAAAAAAYABgBZAQAA0gUAAAAA&#10;">
                        <v:fill on="f" focussize="0,0"/>
                        <v:stroke color="#000000" joinstyle="miter"/>
                        <v:imagedata o:title=""/>
                        <o:lock v:ext="edit" aspectratio="f"/>
                        <v:textbox>
                          <w:txbxContent>
                            <w:p>
                              <w:pPr>
                                <w:rPr>
                                  <w:rFonts w:hint="default" w:eastAsia="宋体"/>
                                  <w:sz w:val="21"/>
                                  <w:szCs w:val="21"/>
                                  <w:lang w:val="en-US" w:eastAsia="zh-CN"/>
                                </w:rPr>
                              </w:pPr>
                              <w:r>
                                <w:rPr>
                                  <w:rFonts w:hint="eastAsia"/>
                                  <w:sz w:val="21"/>
                                  <w:szCs w:val="21"/>
                                  <w:lang w:val="en-US" w:eastAsia="zh-CN"/>
                                </w:rPr>
                                <w:t>市政污水管网</w:t>
                              </w:r>
                            </w:p>
                          </w:txbxContent>
                        </v:textbox>
                      </v:shape>
                      <v:shape id="自选图形 55" o:spid="_x0000_s1026" o:spt="109" type="#_x0000_t109" style="position:absolute;left:2073275;top:298450;height:330200;width:660400;"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R1zBHUAAAABQEAAA8AAAAA&#10;AAAAAQAgAAAAIgAAAGRycy9kb3ducmV2LnhtbFBLAQIUABQAAAAIAIdO4kC+KNFp3wEAAJIDAAAO&#10;AAAAAAAAAAEAIAAAACMBAABkcnMvZTJvRG9jLnhtbFBLBQYAAAAABgAGAFkBAAB0BQ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423.4</w:t>
                              </w:r>
                            </w:p>
                          </w:txbxContent>
                        </v:textbox>
                      </v:shape>
                      <v:shape id="自选图形 56" o:spid="_x0000_s1026" o:spt="38" type="#_x0000_t38" style="position:absolute;left:1591945;top:974090;height:139700;width:215900;rotation:-5898240f;" filled="f" stroked="t" coordsize="21600,21600" o:gfxdata="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yRBtdQAAAAFAQAADwAAAAAAAAABACAAAAAiAAAAZHJzL2Rvd25yZXYueG1sUEsBAhQAFAAA&#10;AAgAh07iQJFV5zUsAgAAMgQAAA4AAAAAAAAAAQAgAAAAIwEAAGRycy9lMm9Eb2MueG1sUEsFBgAA&#10;AAAGAAYAWQEAAMEFAAAAAA==&#10;" adj="10737">
                        <v:fill on="f" focussize="0,0"/>
                        <v:stroke color="#000000" joinstyle="round" endarrow="block"/>
                        <v:imagedata o:title=""/>
                        <o:lock v:ext="edit" aspectratio="f"/>
                      </v:shape>
                      <v:shape id="自选图形 57" o:spid="_x0000_s1026" o:spt="109" type="#_x0000_t109" style="position:absolute;left:1653540;top:848995;height:330200;width:565150;"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HXMEdQAAAAFAQAADwAA&#10;AAAAAAABACAAAAAiAAAAZHJzL2Rvd25yZXYueG1sUEsBAhQAFAAAAAgAh07iQKSsUCnhAQAAkgMA&#10;AA4AAAAAAAAAAQAgAAAAIwEAAGRycy9lMm9Eb2MueG1sUEsFBgAAAAAGAAYAWQEAAHYFA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876</w:t>
                              </w:r>
                            </w:p>
                          </w:txbxContent>
                        </v:textbox>
                      </v:shape>
                      <v:shape id="自选图形 58" o:spid="_x0000_s1026" o:spt="109" type="#_x0000_t109" style="position:absolute;left:4291330;top:774700;height:330200;width:736600;"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R1zBHUAAAABQEAAA8AAAAA&#10;AAAAAQAgAAAAIgAAAGRycy9kb3ducmV2LnhtbFBLAQIUABQAAAAIAIdO4kD8lNL13wEAAJIDAAAO&#10;AAAAAAAAAAEAIAAAACMBAABkcnMvZTJvRG9jLnhtbFBLBQYAAAAABgAGAFkBAAB0BQAAAAA=&#10;">
                        <v:fill on="f" focussize="0,0"/>
                        <v:stroke on="f"/>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3927.4</w:t>
                              </w:r>
                            </w:p>
                          </w:txbxContent>
                        </v:textbox>
                      </v:shape>
                      <v:line id="直线 59" o:spid="_x0000_s1026" o:spt="20" style="position:absolute;left:706120;top:1868171;flip:y;height:0;width:431800;" filled="f" stroked="t" coordsize="21600,21600" o:gfxdata="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qx3v1gAAAAUBAAAPAAAAAAAAAAEAIAAAACIAAABkcnMv&#10;ZG93bnJldi54bWxQSwECFAAUAAAACACHTuJANalxvAUCAAD1AwAADgAAAAAAAAABACAAAAAlAQAA&#10;ZHJzL2Uyb0RvYy54bWxQSwUGAAAAAAYABgBZAQAAnAUAAAAA&#10;">
                        <v:fill on="f" focussize="0,0"/>
                        <v:stroke color="#000000" joinstyle="round" endarrow="block"/>
                        <v:imagedata o:title=""/>
                        <o:lock v:ext="edit" aspectratio="f"/>
                      </v:line>
                      <v:shape id="自选图形 60" o:spid="_x0000_s1026" o:spt="109" type="#_x0000_t109" style="position:absolute;left:1133475;top:1698625;height:330200;width:1028700;" filled="f" stroked="t" coordsize="21600,21600" o:gfxdata="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IHB9jVAAAABQEAAA8AAAAAAAAAAQAgAAAAIgAAAGRycy9kb3ducmV2&#10;LnhtbFBLAQIUABQAAAAIAIdO4kAcREoAOAIAAFMEAAAOAAAAAAAAAAEAIAAAACQBAABkcnMvZTJv&#10;RG9jLnhtbFBLBQYAAAAABgAGAFkBAADOBQAAAAA=&#10;">
                        <v:fill on="f" focussize="0,0"/>
                        <v:stroke color="#000000" joinstyle="miter"/>
                        <v:imagedata o:title=""/>
                        <o:lock v:ext="edit" aspectratio="f"/>
                        <v:textbox>
                          <w:txbxContent>
                            <w:p>
                              <w:pPr>
                                <w:rPr>
                                  <w:rFonts w:hint="default" w:eastAsia="宋体"/>
                                  <w:sz w:val="21"/>
                                  <w:szCs w:val="21"/>
                                  <w:lang w:val="en-US" w:eastAsia="zh-CN"/>
                                </w:rPr>
                              </w:pPr>
                              <w:r>
                                <w:rPr>
                                  <w:rFonts w:hint="eastAsia" w:eastAsia="宋体"/>
                                  <w:sz w:val="21"/>
                                  <w:szCs w:val="21"/>
                                  <w:lang w:val="en-US" w:eastAsia="zh-CN"/>
                                </w:rPr>
                                <w:t>绿化用水</w:t>
                              </w:r>
                            </w:p>
                          </w:txbxContent>
                        </v:textbox>
                      </v:shape>
                      <v:shape id="自选图形 61" o:spid="_x0000_s1026" o:spt="109" type="#_x0000_t109" style="position:absolute;left:655320;top:1645285;height:330200;width:495300;"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HXMEdQAAAAFAQAADwAA&#10;AAAAAAABACAAAAAiAAAAZHJzL2Rvd25yZXYueG1sUEsBAhQAFAAAAAgAh07iQBJv1HDhAQAAkgMA&#10;AA4AAAAAAAAAAQAgAAAAIwEAAGRycy9lMm9Eb2MueG1sUEsFBgAAAAAGAAYAWQEAAHYFA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20</w:t>
                              </w:r>
                            </w:p>
                          </w:txbxContent>
                        </v:textbox>
                      </v:shape>
                      <v:shape id="自选图形 62" o:spid="_x0000_s1026" o:spt="38" type="#_x0000_t38" style="position:absolute;left:2162810;top:1759585;flip:y;height:123190;width:302260;" filled="f" stroked="t" coordsize="21600,21600" o:gfxdata="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vai4XVAAAABQEAAA8AAAAAAAAAAQAgAAAAIgAAAGRycy9kb3ducmV2LnhtbFBLAQIUABQAAAAI&#10;AIdO4kB00BMdKQIAAC4EAAAOAAAAAAAAAAEAIAAAACQBAABkcnMvZTJvRG9jLnhtbFBLBQYAAAAA&#10;BgAGAFkBAAC/BQAAAAA=&#10;" adj="10845">
                        <v:fill on="f" focussize="0,0"/>
                        <v:stroke color="#000000" joinstyle="round" endarrow="block"/>
                        <v:imagedata o:title=""/>
                        <o:lock v:ext="edit" aspectratio="f"/>
                      </v:shape>
                      <v:shape id="自选图形 63" o:spid="_x0000_s1026" o:spt="109" type="#_x0000_t109" style="position:absolute;left:2322195;top:1593850;height:330200;width:495300;"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HXMEdQAAAAFAQAADwAA&#10;AAAAAAABACAAAAAiAAAAZHJzL2Rvd25yZXYueG1sUEsBAhQAFAAAAAgAh07iQADef6HhAQAAkwMA&#10;AA4AAAAAAAAAAQAgAAAAIwEAAGRycy9lMm9Eb2MueG1sUEsFBgAAAAAGAAYAWQEAAHYFA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20</w:t>
                              </w:r>
                            </w:p>
                          </w:txbxContent>
                        </v:textbox>
                      </v:shape>
                      <v:line id="直线 51" o:spid="_x0000_s1026" o:spt="20" style="position:absolute;left:4349750;top:1419225;flip:y;height:288290;width:0;" filled="f" stroked="t" coordsize="21600,21600" o:gfxdata="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pXt41QAAAAUBAAAPAAAAAAAAAAEAIAAAACIAAABkcnMv&#10;ZG93bnJldi54bWxQSwECFAAUAAAACACHTuJADkqjrwYCAAD2AwAADgAAAAAAAAABACAAAAAkAQAA&#10;ZHJzL2Uyb0RvYy54bWxQSwUGAAAAAAYABgBZAQAAnAUAAAAA&#10;">
                        <v:fill on="f" focussize="0,0"/>
                        <v:stroke color="#000000" joinstyle="round" startarrow="block"/>
                        <v:imagedata o:title=""/>
                        <o:lock v:ext="edit" aspectratio="f"/>
                      </v:line>
                      <v:shape id="自选图形 52" o:spid="_x0000_s1026" o:spt="109" type="#_x0000_t109" style="position:absolute;left:3666490;top:1708150;height:314325;width:1323340;" filled="f" stroked="t" coordsize="21600,21600" o:gfxdata="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gcH2NUAAAAFAQAADwAAAAAAAAABACAAAAAiAAAAZHJzL2Rv&#10;d25yZXYueG1sUEsBAhQAFAAAAAgAh07iQGVGhwI9AgAAUwQAAA4AAAAAAAAAAQAgAAAAJAEAAGRy&#10;cy9lMm9Eb2MueG1sUEsFBgAAAAAGAAYAWQEAANMFAAAAAA==&#10;">
                        <v:fill on="f" focussize="0,0"/>
                        <v:stroke color="#000000" joinstyle="miter"/>
                        <v:imagedata o:title=""/>
                        <o:lock v:ext="edit" aspectratio="f"/>
                        <v:textbox>
                          <w:txbxContent>
                            <w:p>
                              <w:pPr>
                                <w:rPr>
                                  <w:rFonts w:hint="default" w:eastAsia="宋体"/>
                                  <w:sz w:val="21"/>
                                  <w:szCs w:val="21"/>
                                  <w:lang w:val="en-US" w:eastAsia="zh-CN"/>
                                </w:rPr>
                              </w:pPr>
                              <w:r>
                                <w:rPr>
                                  <w:rFonts w:hint="eastAsia" w:eastAsia="宋体"/>
                                  <w:sz w:val="21"/>
                                  <w:szCs w:val="21"/>
                                  <w:lang w:val="en-US" w:eastAsia="zh-CN"/>
                                </w:rPr>
                                <w:t>花垣县污水处理厂</w:t>
                              </w:r>
                            </w:p>
                          </w:txbxContent>
                        </v:textbox>
                      </v:shape>
                      <v:shape id="自选图形 58" o:spid="_x0000_s1026" o:spt="109" type="#_x0000_t109" style="position:absolute;left:4291330;top:1403350;height:330200;width:736600;" filled="f" stroked="f" coordsize="21600,21600" o:gfxdata="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EdcwR1AAAAAUBAAAPAAAA&#10;AAAAAAEAIAAAACIAAABkcnMvZG93bnJldi54bWxQSwECFAAUAAAACACHTuJACPddZOABAACTAwAA&#10;DgAAAAAAAAABACAAAAAjAQAAZHJzL2Uyb0RvYy54bWxQSwUGAAAAAAYABgBZAQAAdQUAAAAA&#10;">
                        <v:fill on="f" focussize="0,0"/>
                        <v:stroke on="f"/>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3927.4</w:t>
                              </w:r>
                            </w:p>
                          </w:txbxContent>
                        </v:textbox>
                      </v:shape>
                      <w10:wrap type="none"/>
                      <w10:anchorlock/>
                    </v:group>
                  </w:pict>
                </mc:Fallback>
              </mc:AlternateContent>
            </w:r>
          </w:p>
          <w:p>
            <w:pPr>
              <w:pStyle w:val="8"/>
              <w:rPr>
                <w:u w:val="none"/>
              </w:rPr>
            </w:pPr>
            <w:r>
              <w:rPr>
                <w:rFonts w:hint="eastAsia"/>
                <w:u w:val="none"/>
              </w:rPr>
              <w:t xml:space="preserve">图2- </w:t>
            </w:r>
            <w:r>
              <w:rPr>
                <w:u w:val="none"/>
              </w:rPr>
              <w:fldChar w:fldCharType="begin"/>
            </w:r>
            <w:r>
              <w:rPr>
                <w:u w:val="none"/>
              </w:rPr>
              <w:instrText xml:space="preserve"> </w:instrText>
            </w:r>
            <w:r>
              <w:rPr>
                <w:rFonts w:hint="eastAsia"/>
                <w:u w:val="none"/>
              </w:rPr>
              <w:instrText xml:space="preserve">SEQ 图2- \* ARABIC</w:instrText>
            </w:r>
            <w:r>
              <w:rPr>
                <w:u w:val="none"/>
              </w:rPr>
              <w:instrText xml:space="preserve"> </w:instrText>
            </w:r>
            <w:r>
              <w:rPr>
                <w:u w:val="none"/>
              </w:rPr>
              <w:fldChar w:fldCharType="separate"/>
            </w:r>
            <w:r>
              <w:rPr>
                <w:u w:val="none"/>
              </w:rPr>
              <w:t>1</w:t>
            </w:r>
            <w:r>
              <w:rPr>
                <w:u w:val="none"/>
              </w:rPr>
              <w:fldChar w:fldCharType="end"/>
            </w:r>
            <w:r>
              <w:rPr>
                <w:rFonts w:hint="eastAsia"/>
                <w:u w:val="none"/>
              </w:rPr>
              <w:t>项目水平衡图</w:t>
            </w:r>
            <w:r>
              <w:rPr>
                <w:u w:val="none"/>
              </w:rPr>
              <w:t xml:space="preserve"> （单位：m</w:t>
            </w:r>
            <w:r>
              <w:rPr>
                <w:u w:val="none"/>
                <w:vertAlign w:val="superscript"/>
              </w:rPr>
              <w:t>3</w:t>
            </w:r>
            <w:r>
              <w:rPr>
                <w:u w:val="none"/>
              </w:rPr>
              <w:t>/</w:t>
            </w:r>
            <w:r>
              <w:rPr>
                <w:rFonts w:hint="eastAsia"/>
                <w:u w:val="none"/>
                <w:lang w:val="en-US" w:eastAsia="zh-CN"/>
              </w:rPr>
              <w:t>a</w:t>
            </w:r>
            <w:r>
              <w:rPr>
                <w:u w:val="none"/>
              </w:rPr>
              <w:t>）</w:t>
            </w:r>
          </w:p>
          <w:p>
            <w:pPr>
              <w:pStyle w:val="161"/>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w:t>
            </w:r>
            <w:r>
              <w:rPr>
                <w:rFonts w:hint="default" w:ascii="Times New Roman" w:hAnsi="Times New Roman" w:cs="Times New Roman"/>
                <w:b w:val="0"/>
                <w:bCs/>
                <w:lang w:val="en-US" w:eastAsia="zh-CN"/>
              </w:rPr>
              <w:t>供电</w:t>
            </w:r>
          </w:p>
          <w:p>
            <w:pPr>
              <w:pStyle w:val="98"/>
              <w:ind w:firstLine="480"/>
              <w:rPr>
                <w:sz w:val="24"/>
                <w:szCs w:val="24"/>
              </w:rPr>
            </w:pPr>
            <w:bookmarkStart w:id="10" w:name="_Toc440388664"/>
            <w:r>
              <w:rPr>
                <w:rFonts w:hint="eastAsia"/>
                <w:sz w:val="24"/>
                <w:szCs w:val="24"/>
                <w:lang w:val="en-US" w:eastAsia="zh-CN"/>
              </w:rPr>
              <w:t>本</w:t>
            </w:r>
            <w:r>
              <w:rPr>
                <w:sz w:val="24"/>
                <w:szCs w:val="24"/>
              </w:rPr>
              <w:t>项目</w:t>
            </w:r>
            <w:r>
              <w:rPr>
                <w:rFonts w:hint="eastAsia"/>
                <w:sz w:val="24"/>
                <w:szCs w:val="24"/>
                <w:lang w:val="en-US" w:eastAsia="zh-CN"/>
              </w:rPr>
              <w:t>由市政供电</w:t>
            </w:r>
            <w:r>
              <w:rPr>
                <w:sz w:val="24"/>
                <w:szCs w:val="24"/>
              </w:rPr>
              <w:t>，项目年用电量约为</w:t>
            </w:r>
            <w:r>
              <w:rPr>
                <w:rFonts w:hint="eastAsia"/>
                <w:sz w:val="24"/>
                <w:szCs w:val="24"/>
                <w:lang w:val="en-US" w:eastAsia="zh-CN"/>
              </w:rPr>
              <w:t>6</w:t>
            </w:r>
            <w:r>
              <w:rPr>
                <w:sz w:val="24"/>
                <w:szCs w:val="24"/>
              </w:rPr>
              <w:t>万kWh</w:t>
            </w:r>
            <w:r>
              <w:rPr>
                <w:rFonts w:hint="eastAsia"/>
                <w:sz w:val="24"/>
                <w:szCs w:val="24"/>
                <w:lang w:eastAsia="zh-CN"/>
              </w:rPr>
              <w:t>，</w:t>
            </w:r>
            <w:r>
              <w:rPr>
                <w:sz w:val="24"/>
                <w:szCs w:val="24"/>
              </w:rPr>
              <w:t>可满足项目用电需求。</w:t>
            </w:r>
          </w:p>
          <w:p>
            <w:pPr>
              <w:pStyle w:val="161"/>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（4）供热及制冷</w:t>
            </w:r>
          </w:p>
          <w:p>
            <w:pPr>
              <w:pStyle w:val="98"/>
              <w:ind w:firstLine="480"/>
              <w:rPr>
                <w:sz w:val="24"/>
                <w:szCs w:val="24"/>
              </w:rPr>
            </w:pPr>
            <w:r>
              <w:rPr>
                <w:rFonts w:hint="eastAsia"/>
                <w:sz w:val="24"/>
                <w:szCs w:val="24"/>
                <w:lang w:val="en-US" w:eastAsia="zh-CN"/>
              </w:rPr>
              <w:t>本</w:t>
            </w:r>
            <w:r>
              <w:rPr>
                <w:sz w:val="24"/>
                <w:szCs w:val="24"/>
              </w:rPr>
              <w:t>项目不设置中央空调系统，诊室、病房、办公室等均采用分体式空调通风供暖。</w:t>
            </w:r>
          </w:p>
          <w:bookmarkEnd w:id="10"/>
          <w:p>
            <w:pPr>
              <w:pStyle w:val="161"/>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7</w:t>
            </w:r>
            <w:r>
              <w:rPr>
                <w:rFonts w:hint="default" w:ascii="Times New Roman" w:hAnsi="Times New Roman" w:cs="Times New Roman"/>
                <w:u w:val="none"/>
                <w:lang w:val="en-US" w:eastAsia="zh-CN"/>
              </w:rPr>
              <w:t>、劳动定员和工作制度</w:t>
            </w:r>
          </w:p>
          <w:p>
            <w:pPr>
              <w:widowControl w:val="0"/>
              <w:spacing w:line="360" w:lineRule="auto"/>
              <w:ind w:firstLine="480" w:firstLineChars="200"/>
              <w:jc w:val="left"/>
              <w:rPr>
                <w:rFonts w:hint="eastAsia" w:ascii="Times New Roman" w:hAnsi="Times New Roman" w:eastAsia="宋体" w:cs="Times New Roman"/>
                <w:kern w:val="2"/>
                <w:sz w:val="24"/>
                <w:lang w:eastAsia="zh-CN"/>
              </w:rPr>
            </w:pPr>
            <w:r>
              <w:rPr>
                <w:rFonts w:hint="eastAsia" w:ascii="Times New Roman" w:hAnsi="Times New Roman" w:eastAsia="宋体" w:cs="Times New Roman"/>
                <w:kern w:val="2"/>
                <w:sz w:val="24"/>
                <w:lang w:val="en-US" w:eastAsia="zh-CN"/>
              </w:rPr>
              <w:t>劳动定员：</w:t>
            </w:r>
            <w:r>
              <w:rPr>
                <w:rFonts w:ascii="Times New Roman" w:hAnsi="Times New Roman" w:eastAsia="宋体" w:cs="Times New Roman"/>
                <w:kern w:val="2"/>
                <w:sz w:val="24"/>
              </w:rPr>
              <w:t>本项目劳动定员</w:t>
            </w:r>
            <w:r>
              <w:rPr>
                <w:rFonts w:hint="eastAsia" w:cs="Times New Roman"/>
                <w:kern w:val="2"/>
                <w:sz w:val="24"/>
                <w:lang w:val="en-US" w:eastAsia="zh-CN"/>
              </w:rPr>
              <w:t>10</w:t>
            </w:r>
            <w:r>
              <w:rPr>
                <w:rFonts w:ascii="Times New Roman" w:hAnsi="Times New Roman" w:eastAsia="宋体" w:cs="Times New Roman"/>
                <w:kern w:val="2"/>
                <w:sz w:val="24"/>
              </w:rPr>
              <w:t>人</w:t>
            </w:r>
            <w:r>
              <w:rPr>
                <w:rFonts w:hint="eastAsia" w:ascii="Times New Roman" w:hAnsi="Times New Roman" w:eastAsia="宋体" w:cs="Times New Roman"/>
                <w:kern w:val="2"/>
                <w:sz w:val="24"/>
                <w:lang w:eastAsia="zh-CN"/>
              </w:rPr>
              <w:t>。</w:t>
            </w:r>
          </w:p>
          <w:p>
            <w:pPr>
              <w:widowControl w:val="0"/>
              <w:spacing w:line="360" w:lineRule="auto"/>
              <w:ind w:firstLine="480" w:firstLineChars="200"/>
              <w:jc w:val="left"/>
              <w:rPr>
                <w:sz w:val="24"/>
                <w:szCs w:val="24"/>
                <w:u w:val="none"/>
              </w:rPr>
            </w:pPr>
            <w:r>
              <w:rPr>
                <w:rFonts w:hint="eastAsia" w:ascii="Times New Roman" w:hAnsi="Times New Roman" w:eastAsia="宋体" w:cs="Times New Roman"/>
                <w:kern w:val="2"/>
                <w:sz w:val="24"/>
                <w:lang w:val="en-US" w:eastAsia="zh-CN"/>
              </w:rPr>
              <w:t>工作制度：全年365天营运，实行三班制，每班8小时</w:t>
            </w:r>
            <w:r>
              <w:rPr>
                <w:rFonts w:ascii="Times New Roman" w:hAnsi="Times New Roman" w:eastAsia="宋体" w:cs="Times New Roman"/>
                <w:kern w:val="2"/>
                <w:sz w:val="24"/>
              </w:rPr>
              <w:t>。</w:t>
            </w:r>
            <w:r>
              <w:rPr>
                <w:rFonts w:hint="eastAsia" w:ascii="Times New Roman" w:hAnsi="Times New Roman" w:eastAsia="宋体" w:cs="Times New Roman"/>
                <w:kern w:val="2"/>
                <w:sz w:val="24"/>
                <w:lang w:val="en-US" w:eastAsia="zh-CN"/>
              </w:rPr>
              <w:t>院区</w:t>
            </w:r>
            <w:r>
              <w:rPr>
                <w:sz w:val="24"/>
                <w:szCs w:val="24"/>
                <w:u w:val="none"/>
              </w:rPr>
              <w:t>内不</w:t>
            </w:r>
            <w:r>
              <w:rPr>
                <w:rFonts w:hint="eastAsia"/>
                <w:sz w:val="24"/>
                <w:szCs w:val="24"/>
                <w:u w:val="none"/>
                <w:lang w:val="en-US" w:eastAsia="zh-CN"/>
              </w:rPr>
              <w:t>设食堂</w:t>
            </w:r>
            <w:r>
              <w:rPr>
                <w:sz w:val="24"/>
                <w:szCs w:val="24"/>
                <w:u w:val="none"/>
              </w:rPr>
              <w:t>。</w:t>
            </w:r>
          </w:p>
          <w:p>
            <w:pPr>
              <w:pStyle w:val="161"/>
              <w:rPr>
                <w:rFonts w:hint="default" w:ascii="Times New Roman" w:hAnsi="Times New Roman" w:cs="Times New Roman"/>
                <w:lang w:val="en-US" w:eastAsia="zh-CN"/>
              </w:rPr>
            </w:pPr>
            <w:r>
              <w:rPr>
                <w:rFonts w:hint="eastAsia" w:ascii="Times New Roman" w:hAnsi="Times New Roman" w:cs="Times New Roman"/>
                <w:lang w:val="en-US" w:eastAsia="zh-CN"/>
              </w:rPr>
              <w:t>8</w:t>
            </w:r>
            <w:r>
              <w:rPr>
                <w:rFonts w:hint="default" w:ascii="Times New Roman" w:hAnsi="Times New Roman" w:cs="Times New Roman"/>
                <w:lang w:val="en-US" w:eastAsia="zh-CN"/>
              </w:rPr>
              <w:t>、项目总平面布置</w:t>
            </w:r>
          </w:p>
          <w:p>
            <w:pPr>
              <w:pStyle w:val="98"/>
              <w:ind w:firstLine="480"/>
              <w:rPr>
                <w:rFonts w:hint="eastAsia"/>
                <w:color w:val="auto"/>
                <w:sz w:val="24"/>
                <w:szCs w:val="24"/>
                <w:u w:val="none"/>
                <w:lang w:val="en-US" w:eastAsia="zh-CN"/>
              </w:rPr>
            </w:pPr>
            <w:r>
              <w:rPr>
                <w:rFonts w:hint="eastAsia"/>
                <w:color w:val="auto"/>
                <w:sz w:val="24"/>
                <w:szCs w:val="24"/>
                <w:u w:val="none"/>
                <w:lang w:val="en-US" w:eastAsia="zh-CN"/>
              </w:rPr>
              <w:t>本项目位于花垣县城北政务中心北侧旁，主入口位于西侧。</w:t>
            </w:r>
          </w:p>
          <w:p>
            <w:pPr>
              <w:pStyle w:val="98"/>
              <w:ind w:firstLine="480"/>
              <w:rPr>
                <w:color w:val="auto"/>
                <w:sz w:val="24"/>
                <w:szCs w:val="24"/>
                <w:u w:val="none"/>
              </w:rPr>
            </w:pPr>
            <w:r>
              <w:rPr>
                <w:rFonts w:hint="eastAsia"/>
                <w:color w:val="auto"/>
                <w:sz w:val="24"/>
                <w:szCs w:val="24"/>
                <w:u w:val="none"/>
                <w:lang w:val="en-US" w:eastAsia="zh-CN"/>
              </w:rPr>
              <w:t>院区平面呈矩形布置，主入口在厂区西侧，西侧为精神卫生楼，东侧为室外活动场；院区一体化污水处理站位于院区东北侧，医疗废物暂存间依托于花垣县疾控中心现有医疗废物暂存间。精神卫生楼共5F，其中1F设置诊疗室、药房、库房、值班室等；2F—4F楼设置有病房、重症室、抢救室、处置室、接待室、餐厅、库房及卫生间等；5F为会议室、专家会诊住宿间、雨棚房等。项目平面布置较为合理。</w:t>
            </w:r>
            <w:r>
              <w:rPr>
                <w:color w:val="auto"/>
                <w:sz w:val="24"/>
                <w:szCs w:val="24"/>
                <w:u w:val="none"/>
              </w:rPr>
              <w:t>项目总平面布置图详见附图</w:t>
            </w:r>
            <w:r>
              <w:rPr>
                <w:rFonts w:hint="eastAsia"/>
                <w:color w:val="auto"/>
                <w:sz w:val="24"/>
                <w:szCs w:val="24"/>
                <w:u w:val="none"/>
                <w:lang w:val="en-US" w:eastAsia="zh-CN"/>
              </w:rPr>
              <w:t>2，精神卫生楼详细布置图详见附图2-1~5</w:t>
            </w:r>
            <w:r>
              <w:rPr>
                <w:rFonts w:hint="default"/>
                <w:color w:val="auto"/>
                <w:sz w:val="24"/>
                <w:szCs w:val="24"/>
                <w:u w:val="none"/>
              </w:rPr>
              <w:t>。</w:t>
            </w:r>
          </w:p>
          <w:p>
            <w:pPr>
              <w:pStyle w:val="161"/>
              <w:rPr>
                <w:rFonts w:hint="default" w:ascii="Times New Roman" w:hAnsi="Times New Roman" w:cs="Times New Roman"/>
                <w:lang w:val="en-US" w:eastAsia="zh-CN"/>
              </w:rPr>
            </w:pPr>
            <w:r>
              <w:rPr>
                <w:rFonts w:hint="eastAsia" w:ascii="Times New Roman" w:hAnsi="Times New Roman" w:cs="Times New Roman"/>
                <w:lang w:val="en-US" w:eastAsia="zh-CN"/>
              </w:rPr>
              <w:t>9</w:t>
            </w:r>
            <w:r>
              <w:rPr>
                <w:rFonts w:hint="default" w:ascii="Times New Roman" w:hAnsi="Times New Roman" w:cs="Times New Roman"/>
                <w:lang w:val="en-US" w:eastAsia="zh-CN"/>
              </w:rPr>
              <w:t>、</w:t>
            </w:r>
            <w:r>
              <w:rPr>
                <w:rFonts w:hint="eastAsia" w:ascii="Times New Roman" w:hAnsi="Times New Roman" w:cs="Times New Roman"/>
                <w:lang w:val="en-US" w:eastAsia="zh-CN"/>
              </w:rPr>
              <w:t>依托工程及可行性分析</w:t>
            </w:r>
          </w:p>
          <w:p>
            <w:pPr>
              <w:pStyle w:val="98"/>
              <w:ind w:firstLine="480"/>
              <w:rPr>
                <w:rFonts w:hint="eastAsia"/>
                <w:sz w:val="24"/>
                <w:szCs w:val="24"/>
                <w:u w:val="none"/>
                <w:lang w:val="en-US" w:eastAsia="zh-CN"/>
              </w:rPr>
            </w:pPr>
            <w:r>
              <w:rPr>
                <w:rFonts w:hint="eastAsia"/>
                <w:sz w:val="24"/>
                <w:szCs w:val="24"/>
                <w:u w:val="none"/>
                <w:lang w:val="en-US" w:eastAsia="zh-CN"/>
              </w:rPr>
              <w:t>本项目为花垣县人民医院精神科项目，利用位于湘西自治州花垣县花垣镇城北政务中心北侧旁的原花垣县妇幼保健计划生育服务中心综合楼（已搬迁，综合楼现处于闲置状态）进行建设</w:t>
            </w:r>
            <w:r>
              <w:rPr>
                <w:sz w:val="24"/>
                <w:szCs w:val="24"/>
                <w:u w:val="none"/>
              </w:rPr>
              <w:t>。</w:t>
            </w:r>
            <w:r>
              <w:rPr>
                <w:rFonts w:hint="eastAsia"/>
                <w:sz w:val="24"/>
                <w:szCs w:val="24"/>
                <w:u w:val="none"/>
                <w:lang w:val="en-US" w:eastAsia="zh-CN"/>
              </w:rPr>
              <w:t>本项目东侧紧邻花垣县疾控中心。</w:t>
            </w:r>
          </w:p>
          <w:p>
            <w:pPr>
              <w:pStyle w:val="98"/>
              <w:ind w:firstLine="480"/>
              <w:rPr>
                <w:rFonts w:hint="default"/>
                <w:sz w:val="24"/>
                <w:szCs w:val="24"/>
                <w:u w:val="none"/>
                <w:lang w:val="en-US" w:eastAsia="zh-CN"/>
              </w:rPr>
            </w:pPr>
            <w:r>
              <w:rPr>
                <w:rFonts w:hint="eastAsia"/>
                <w:b/>
                <w:bCs/>
                <w:sz w:val="24"/>
                <w:szCs w:val="24"/>
                <w:u w:val="none"/>
                <w:lang w:val="en-US" w:eastAsia="zh-CN"/>
              </w:rPr>
              <w:t>花垣县疾控中心</w:t>
            </w:r>
            <w:r>
              <w:rPr>
                <w:rFonts w:hint="eastAsia"/>
                <w:sz w:val="24"/>
                <w:szCs w:val="24"/>
                <w:u w:val="none"/>
                <w:lang w:val="en-US" w:eastAsia="zh-CN"/>
              </w:rPr>
              <w:t>：花垣县疾控中心现有项目《</w:t>
            </w:r>
            <w:r>
              <w:rPr>
                <w:rFonts w:ascii="宋体" w:hAnsi="宋体" w:eastAsia="宋体" w:cs="宋体"/>
                <w:spacing w:val="-1"/>
                <w:sz w:val="24"/>
                <w:szCs w:val="24"/>
              </w:rPr>
              <w:t>花垣县疾控中心业务楼迁建项目</w:t>
            </w:r>
            <w:r>
              <w:rPr>
                <w:rFonts w:hint="eastAsia"/>
                <w:sz w:val="24"/>
                <w:szCs w:val="24"/>
                <w:u w:val="none"/>
                <w:lang w:val="en-US" w:eastAsia="zh-CN"/>
              </w:rPr>
              <w:t>》位于花垣县花垣镇城北政务中心后面，总占地面2250m</w:t>
            </w:r>
            <w:r>
              <w:rPr>
                <w:rFonts w:hint="eastAsia"/>
                <w:sz w:val="24"/>
                <w:szCs w:val="24"/>
                <w:u w:val="none"/>
                <w:vertAlign w:val="superscript"/>
                <w:lang w:val="en-US" w:eastAsia="zh-CN"/>
              </w:rPr>
              <w:t>2</w:t>
            </w:r>
            <w:r>
              <w:rPr>
                <w:rFonts w:hint="eastAsia"/>
                <w:sz w:val="24"/>
                <w:szCs w:val="24"/>
                <w:u w:val="none"/>
                <w:lang w:val="en-US" w:eastAsia="zh-CN"/>
              </w:rPr>
              <w:t>，建设1栋建筑面积3333.38平方米的疾控中心大楼，包括生物、理化实验室，行政及后勤辅助用房，以及配套建设给排水、消防、道路、供电、照明、绿化等附属设施。主要设置微生物实验室、微生物检验科、理化实验室、Pcr实验室、办公室等。于2023年6月委托长沙博大环保科技有限公司对花垣县疾控中心业务楼迁建项目进行了环境影响评价，并于2023年9月15日取得环评批复（州环评〔2023〕21号），2024年1月完成验收。</w:t>
            </w:r>
          </w:p>
          <w:p>
            <w:pPr>
              <w:pStyle w:val="98"/>
              <w:ind w:firstLine="480"/>
              <w:rPr>
                <w:rFonts w:hint="default"/>
                <w:sz w:val="24"/>
                <w:szCs w:val="24"/>
                <w:u w:val="none"/>
                <w:lang w:val="en-US" w:eastAsia="zh-CN"/>
              </w:rPr>
            </w:pPr>
            <w:r>
              <w:rPr>
                <w:rFonts w:hint="eastAsia"/>
                <w:sz w:val="24"/>
                <w:szCs w:val="24"/>
                <w:u w:val="none"/>
                <w:lang w:val="en-US" w:eastAsia="zh-CN"/>
              </w:rPr>
              <w:t>本项目主要依托工程为：</w:t>
            </w:r>
            <w:r>
              <w:rPr>
                <w:rFonts w:hint="eastAsia"/>
                <w:sz w:val="24"/>
                <w:szCs w:val="24"/>
                <w:u w:val="none"/>
                <w:lang w:val="en-US" w:eastAsia="zh-CN"/>
              </w:rPr>
              <w:fldChar w:fldCharType="begin"/>
            </w:r>
            <w:r>
              <w:rPr>
                <w:rFonts w:hint="eastAsia"/>
                <w:sz w:val="24"/>
                <w:szCs w:val="24"/>
                <w:u w:val="none"/>
                <w:lang w:val="en-US" w:eastAsia="zh-CN"/>
              </w:rPr>
              <w:instrText xml:space="preserve"> = 1 \* GB3 \* MERGEFORMAT </w:instrText>
            </w:r>
            <w:r>
              <w:rPr>
                <w:rFonts w:hint="eastAsia"/>
                <w:sz w:val="24"/>
                <w:szCs w:val="24"/>
                <w:u w:val="none"/>
                <w:lang w:val="en-US" w:eastAsia="zh-CN"/>
              </w:rPr>
              <w:fldChar w:fldCharType="separate"/>
            </w:r>
            <w:r>
              <w:rPr>
                <w:sz w:val="24"/>
                <w:szCs w:val="24"/>
              </w:rPr>
              <w:t>①</w:t>
            </w:r>
            <w:r>
              <w:rPr>
                <w:rFonts w:hint="eastAsia"/>
                <w:sz w:val="24"/>
                <w:szCs w:val="24"/>
                <w:u w:val="none"/>
                <w:lang w:val="en-US" w:eastAsia="zh-CN"/>
              </w:rPr>
              <w:fldChar w:fldCharType="end"/>
            </w:r>
            <w:r>
              <w:rPr>
                <w:rFonts w:hint="eastAsia"/>
                <w:sz w:val="24"/>
                <w:szCs w:val="24"/>
                <w:u w:val="none"/>
                <w:lang w:val="en-US" w:eastAsia="zh-CN"/>
              </w:rPr>
              <w:t>给水：依托原花垣县妇幼保健计划生育服务中心综合楼现有给水管道接入；</w:t>
            </w:r>
            <w:r>
              <w:rPr>
                <w:rFonts w:hint="eastAsia"/>
                <w:sz w:val="24"/>
                <w:szCs w:val="24"/>
                <w:u w:val="none"/>
                <w:lang w:val="en-US" w:eastAsia="zh-CN"/>
              </w:rPr>
              <w:fldChar w:fldCharType="begin"/>
            </w:r>
            <w:r>
              <w:rPr>
                <w:rFonts w:hint="eastAsia"/>
                <w:sz w:val="24"/>
                <w:szCs w:val="24"/>
                <w:u w:val="none"/>
                <w:lang w:val="en-US" w:eastAsia="zh-CN"/>
              </w:rPr>
              <w:instrText xml:space="preserve"> = 2 \* GB3 \* MERGEFORMAT </w:instrText>
            </w:r>
            <w:r>
              <w:rPr>
                <w:rFonts w:hint="eastAsia"/>
                <w:sz w:val="24"/>
                <w:szCs w:val="24"/>
                <w:u w:val="none"/>
                <w:lang w:val="en-US" w:eastAsia="zh-CN"/>
              </w:rPr>
              <w:fldChar w:fldCharType="separate"/>
            </w:r>
            <w:r>
              <w:rPr>
                <w:sz w:val="24"/>
                <w:szCs w:val="24"/>
              </w:rPr>
              <w:t>②</w:t>
            </w:r>
            <w:r>
              <w:rPr>
                <w:rFonts w:hint="eastAsia"/>
                <w:sz w:val="24"/>
                <w:szCs w:val="24"/>
                <w:u w:val="none"/>
                <w:lang w:val="en-US" w:eastAsia="zh-CN"/>
              </w:rPr>
              <w:fldChar w:fldCharType="end"/>
            </w:r>
            <w:r>
              <w:rPr>
                <w:rFonts w:hint="eastAsia"/>
                <w:sz w:val="24"/>
                <w:szCs w:val="24"/>
                <w:u w:val="none"/>
                <w:lang w:val="en-US" w:eastAsia="zh-CN"/>
              </w:rPr>
              <w:t>排水：医疗废水及生活污水依托原花垣县妇幼保健计划生育服务中心综合楼现有排污管道、化粪池进行预处理；</w:t>
            </w:r>
            <w:r>
              <w:rPr>
                <w:rFonts w:hint="eastAsia"/>
                <w:sz w:val="24"/>
                <w:szCs w:val="24"/>
                <w:u w:val="none"/>
                <w:lang w:val="en-US" w:eastAsia="zh-CN"/>
              </w:rPr>
              <w:fldChar w:fldCharType="begin"/>
            </w:r>
            <w:r>
              <w:rPr>
                <w:rFonts w:hint="eastAsia"/>
                <w:sz w:val="24"/>
                <w:szCs w:val="24"/>
                <w:u w:val="none"/>
                <w:lang w:val="en-US" w:eastAsia="zh-CN"/>
              </w:rPr>
              <w:instrText xml:space="preserve"> = 3 \* GB3 \* MERGEFORMAT </w:instrText>
            </w:r>
            <w:r>
              <w:rPr>
                <w:rFonts w:hint="eastAsia"/>
                <w:sz w:val="24"/>
                <w:szCs w:val="24"/>
                <w:u w:val="none"/>
                <w:lang w:val="en-US" w:eastAsia="zh-CN"/>
              </w:rPr>
              <w:fldChar w:fldCharType="separate"/>
            </w:r>
            <w:r>
              <w:rPr>
                <w:sz w:val="24"/>
                <w:szCs w:val="24"/>
              </w:rPr>
              <w:t>③</w:t>
            </w:r>
            <w:r>
              <w:rPr>
                <w:rFonts w:hint="eastAsia"/>
                <w:sz w:val="24"/>
                <w:szCs w:val="24"/>
                <w:u w:val="none"/>
                <w:lang w:val="en-US" w:eastAsia="zh-CN"/>
              </w:rPr>
              <w:fldChar w:fldCharType="end"/>
            </w:r>
            <w:r>
              <w:rPr>
                <w:rFonts w:hint="eastAsia"/>
                <w:sz w:val="24"/>
                <w:szCs w:val="24"/>
                <w:u w:val="none"/>
                <w:lang w:val="en-US" w:eastAsia="zh-CN"/>
              </w:rPr>
              <w:t>供电：用电依托原花垣县妇幼保健计划生育服务中心综合楼现有电缆敷设；</w:t>
            </w:r>
            <w:r>
              <w:rPr>
                <w:rFonts w:hint="eastAsia"/>
                <w:sz w:val="24"/>
                <w:szCs w:val="24"/>
                <w:u w:val="none"/>
                <w:lang w:val="en-US" w:eastAsia="zh-CN"/>
              </w:rPr>
              <w:fldChar w:fldCharType="begin"/>
            </w:r>
            <w:r>
              <w:rPr>
                <w:rFonts w:hint="eastAsia"/>
                <w:sz w:val="24"/>
                <w:szCs w:val="24"/>
                <w:u w:val="none"/>
                <w:lang w:val="en-US" w:eastAsia="zh-CN"/>
              </w:rPr>
              <w:instrText xml:space="preserve"> = 4 \* GB3 \* MERGEFORMAT </w:instrText>
            </w:r>
            <w:r>
              <w:rPr>
                <w:rFonts w:hint="eastAsia"/>
                <w:sz w:val="24"/>
                <w:szCs w:val="24"/>
                <w:u w:val="none"/>
                <w:lang w:val="en-US" w:eastAsia="zh-CN"/>
              </w:rPr>
              <w:fldChar w:fldCharType="separate"/>
            </w:r>
            <w:r>
              <w:rPr>
                <w:sz w:val="24"/>
                <w:szCs w:val="24"/>
              </w:rPr>
              <w:t>④</w:t>
            </w:r>
            <w:r>
              <w:rPr>
                <w:rFonts w:hint="eastAsia"/>
                <w:sz w:val="24"/>
                <w:szCs w:val="24"/>
                <w:u w:val="none"/>
                <w:lang w:val="en-US" w:eastAsia="zh-CN"/>
              </w:rPr>
              <w:fldChar w:fldCharType="end"/>
            </w:r>
            <w:r>
              <w:rPr>
                <w:rFonts w:hint="eastAsia"/>
                <w:sz w:val="24"/>
                <w:szCs w:val="24"/>
                <w:u w:val="none"/>
                <w:lang w:val="en-US" w:eastAsia="zh-CN"/>
              </w:rPr>
              <w:t>一体化污水处理站：医疗废水及医务人员生活污水依托经化粪池预处理后依托花垣县疾控中心现有一体化污水处理设施处理达标后进市政污水管网；</w:t>
            </w:r>
            <w:r>
              <w:rPr>
                <w:rFonts w:hint="eastAsia"/>
                <w:sz w:val="24"/>
                <w:szCs w:val="24"/>
                <w:u w:val="none"/>
                <w:lang w:val="en-US" w:eastAsia="zh-CN"/>
              </w:rPr>
              <w:fldChar w:fldCharType="begin"/>
            </w:r>
            <w:r>
              <w:rPr>
                <w:rFonts w:hint="eastAsia"/>
                <w:sz w:val="24"/>
                <w:szCs w:val="24"/>
                <w:u w:val="none"/>
                <w:lang w:val="en-US" w:eastAsia="zh-CN"/>
              </w:rPr>
              <w:instrText xml:space="preserve"> = 5 \* GB3 \* MERGEFORMAT </w:instrText>
            </w:r>
            <w:r>
              <w:rPr>
                <w:rFonts w:hint="eastAsia"/>
                <w:sz w:val="24"/>
                <w:szCs w:val="24"/>
                <w:u w:val="none"/>
                <w:lang w:val="en-US" w:eastAsia="zh-CN"/>
              </w:rPr>
              <w:fldChar w:fldCharType="separate"/>
            </w:r>
            <w:r>
              <w:rPr>
                <w:sz w:val="24"/>
                <w:szCs w:val="24"/>
              </w:rPr>
              <w:t>⑤</w:t>
            </w:r>
            <w:r>
              <w:rPr>
                <w:rFonts w:hint="eastAsia"/>
                <w:sz w:val="24"/>
                <w:szCs w:val="24"/>
                <w:u w:val="none"/>
                <w:lang w:val="en-US" w:eastAsia="zh-CN"/>
              </w:rPr>
              <w:fldChar w:fldCharType="end"/>
            </w:r>
            <w:r>
              <w:rPr>
                <w:rFonts w:hint="eastAsia"/>
                <w:sz w:val="24"/>
                <w:szCs w:val="24"/>
                <w:u w:val="none"/>
                <w:lang w:val="en-US" w:eastAsia="zh-CN"/>
              </w:rPr>
              <w:t>洗衣房：依托于花垣县人民医院现有洗衣房，不在本项目精神卫生科内设置洗衣房；</w:t>
            </w:r>
            <w:r>
              <w:rPr>
                <w:rFonts w:hint="eastAsia"/>
                <w:sz w:val="24"/>
                <w:szCs w:val="24"/>
                <w:u w:val="none"/>
                <w:lang w:val="en-US" w:eastAsia="zh-CN"/>
              </w:rPr>
              <w:fldChar w:fldCharType="begin"/>
            </w:r>
            <w:r>
              <w:rPr>
                <w:rFonts w:hint="eastAsia"/>
                <w:sz w:val="24"/>
                <w:szCs w:val="24"/>
                <w:u w:val="none"/>
                <w:lang w:val="en-US" w:eastAsia="zh-CN"/>
              </w:rPr>
              <w:instrText xml:space="preserve"> = 6 \* GB3 \* MERGEFORMAT </w:instrText>
            </w:r>
            <w:r>
              <w:rPr>
                <w:rFonts w:hint="eastAsia"/>
                <w:sz w:val="24"/>
                <w:szCs w:val="24"/>
                <w:u w:val="none"/>
                <w:lang w:val="en-US" w:eastAsia="zh-CN"/>
              </w:rPr>
              <w:fldChar w:fldCharType="separate"/>
            </w:r>
            <w:r>
              <w:rPr>
                <w:sz w:val="24"/>
                <w:szCs w:val="24"/>
              </w:rPr>
              <w:t>⑥</w:t>
            </w:r>
            <w:r>
              <w:rPr>
                <w:rFonts w:hint="eastAsia"/>
                <w:sz w:val="24"/>
                <w:szCs w:val="24"/>
                <w:u w:val="none"/>
                <w:lang w:val="en-US" w:eastAsia="zh-CN"/>
              </w:rPr>
              <w:fldChar w:fldCharType="end"/>
            </w:r>
            <w:r>
              <w:rPr>
                <w:rFonts w:hint="eastAsia"/>
                <w:sz w:val="24"/>
                <w:szCs w:val="24"/>
                <w:u w:val="none"/>
                <w:lang w:val="en-US" w:eastAsia="zh-CN"/>
              </w:rPr>
              <w:t>医疗废物暂存间：医疗废物，化粪池污泥及废药物、药品依托于花垣县疾控中心现有医废暂存间（63m</w:t>
            </w:r>
            <w:r>
              <w:rPr>
                <w:rFonts w:hint="eastAsia"/>
                <w:sz w:val="24"/>
                <w:szCs w:val="24"/>
                <w:u w:val="none"/>
                <w:vertAlign w:val="superscript"/>
                <w:lang w:val="en-US" w:eastAsia="zh-CN"/>
              </w:rPr>
              <w:t>2</w:t>
            </w:r>
            <w:r>
              <w:rPr>
                <w:rFonts w:hint="eastAsia"/>
                <w:sz w:val="24"/>
                <w:szCs w:val="24"/>
                <w:u w:val="none"/>
                <w:lang w:val="en-US" w:eastAsia="zh-CN"/>
              </w:rPr>
              <w:t>）暂存。依托工程可行性分析见下表。</w:t>
            </w:r>
          </w:p>
          <w:p>
            <w:pPr>
              <w:widowControl/>
              <w:spacing w:line="360" w:lineRule="auto"/>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表</w:t>
            </w:r>
            <w:r>
              <w:rPr>
                <w:rFonts w:hint="eastAsia" w:ascii="Times New Roman" w:hAnsi="Times New Roman" w:eastAsia="宋体" w:cs="Times New Roman"/>
                <w:b/>
                <w:bCs/>
                <w:color w:val="auto"/>
                <w:sz w:val="21"/>
                <w:szCs w:val="21"/>
                <w:u w:val="none"/>
                <w:lang w:val="en-US" w:eastAsia="zh-CN"/>
              </w:rPr>
              <w:t>2-8</w:t>
            </w:r>
            <w:r>
              <w:rPr>
                <w:rFonts w:hint="eastAsia" w:cs="Times New Roman"/>
                <w:b/>
                <w:bCs/>
                <w:color w:val="auto"/>
                <w:sz w:val="21"/>
                <w:szCs w:val="21"/>
                <w:u w:val="none"/>
                <w:lang w:val="en-US" w:eastAsia="zh-CN"/>
              </w:rPr>
              <w:t xml:space="preserve"> </w:t>
            </w:r>
            <w:r>
              <w:rPr>
                <w:rFonts w:hint="eastAsia" w:ascii="Times New Roman" w:hAnsi="Times New Roman" w:eastAsia="宋体" w:cs="Times New Roman"/>
                <w:b/>
                <w:bCs/>
                <w:color w:val="auto"/>
                <w:sz w:val="21"/>
                <w:szCs w:val="21"/>
                <w:u w:val="none"/>
                <w:lang w:val="en-US" w:eastAsia="zh-CN"/>
              </w:rPr>
              <w:t xml:space="preserve"> </w:t>
            </w:r>
            <w:r>
              <w:rPr>
                <w:rFonts w:hint="default" w:ascii="Times New Roman" w:hAnsi="Times New Roman" w:eastAsia="宋体" w:cs="Times New Roman"/>
                <w:b/>
                <w:bCs/>
                <w:color w:val="auto"/>
                <w:sz w:val="21"/>
                <w:szCs w:val="21"/>
                <w:u w:val="none"/>
                <w:lang w:val="en-US" w:eastAsia="zh-CN"/>
              </w:rPr>
              <w:t>本项目</w:t>
            </w:r>
            <w:r>
              <w:rPr>
                <w:rFonts w:hint="eastAsia" w:ascii="Times New Roman" w:hAnsi="Times New Roman" w:eastAsia="宋体" w:cs="Times New Roman"/>
                <w:b/>
                <w:bCs/>
                <w:color w:val="auto"/>
                <w:sz w:val="21"/>
                <w:szCs w:val="21"/>
                <w:u w:val="none"/>
                <w:lang w:val="en-US" w:eastAsia="zh-CN"/>
              </w:rPr>
              <w:t>依托</w:t>
            </w:r>
            <w:r>
              <w:rPr>
                <w:rFonts w:hint="eastAsia" w:cs="Times New Roman"/>
                <w:b/>
                <w:bCs/>
                <w:color w:val="auto"/>
                <w:sz w:val="21"/>
                <w:szCs w:val="21"/>
                <w:u w:val="none"/>
                <w:lang w:val="en-US" w:eastAsia="zh-CN"/>
              </w:rPr>
              <w:t>工程依托</w:t>
            </w:r>
            <w:r>
              <w:rPr>
                <w:rFonts w:hint="eastAsia" w:ascii="Times New Roman" w:hAnsi="Times New Roman" w:eastAsia="宋体" w:cs="Times New Roman"/>
                <w:b/>
                <w:bCs/>
                <w:color w:val="auto"/>
                <w:sz w:val="21"/>
                <w:szCs w:val="21"/>
                <w:u w:val="none"/>
                <w:lang w:val="en-US" w:eastAsia="zh-CN"/>
              </w:rPr>
              <w:t>可行性分析表</w:t>
            </w:r>
          </w:p>
          <w:tbl>
            <w:tblPr>
              <w:tblStyle w:val="34"/>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685"/>
              <w:gridCol w:w="1776"/>
              <w:gridCol w:w="1997"/>
              <w:gridCol w:w="2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0" w:type="dxa"/>
                  <w:gridSpan w:val="2"/>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工程内容</w:t>
                  </w:r>
                </w:p>
              </w:tc>
              <w:tc>
                <w:tcPr>
                  <w:tcW w:w="1776"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w:t>
                  </w:r>
                </w:p>
              </w:tc>
              <w:tc>
                <w:tcPr>
                  <w:tcW w:w="1997" w:type="dxa"/>
                  <w:noWrap w:val="0"/>
                  <w:vAlign w:val="center"/>
                </w:tcPr>
                <w:p>
                  <w:pPr>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依托</w:t>
                  </w:r>
                  <w:r>
                    <w:rPr>
                      <w:rFonts w:hint="eastAsia" w:ascii="Times New Roman" w:hAnsi="Times New Roman" w:cs="Times New Roman"/>
                      <w:color w:val="auto"/>
                      <w:sz w:val="21"/>
                      <w:szCs w:val="21"/>
                      <w:u w:val="none"/>
                      <w:lang w:val="en-US" w:eastAsia="zh-CN"/>
                    </w:rPr>
                    <w:t>源</w:t>
                  </w:r>
                </w:p>
              </w:tc>
              <w:tc>
                <w:tcPr>
                  <w:tcW w:w="2849" w:type="dxa"/>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依托可行性分析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85" w:type="dxa"/>
                  <w:vMerge w:val="restart"/>
                  <w:noWrap w:val="0"/>
                  <w:vAlign w:val="center"/>
                </w:tcPr>
                <w:p>
                  <w:pPr>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公用工程</w:t>
                  </w:r>
                </w:p>
              </w:tc>
              <w:tc>
                <w:tcPr>
                  <w:tcW w:w="685" w:type="dxa"/>
                  <w:noWrap w:val="0"/>
                  <w:vAlign w:val="center"/>
                </w:tcPr>
                <w:p>
                  <w:pPr>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给水</w:t>
                  </w:r>
                </w:p>
              </w:tc>
              <w:tc>
                <w:tcPr>
                  <w:tcW w:w="1776" w:type="dxa"/>
                  <w:noWrap w:val="0"/>
                  <w:vAlign w:val="center"/>
                </w:tcPr>
                <w:p>
                  <w:pPr>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利用原花垣县妇幼保健计划生育服务中心综合楼现有给水管道接入</w:t>
                  </w:r>
                </w:p>
              </w:tc>
              <w:tc>
                <w:tcPr>
                  <w:tcW w:w="1997" w:type="dxa"/>
                  <w:noWrap w:val="0"/>
                  <w:vAlign w:val="center"/>
                </w:tcPr>
                <w:p>
                  <w:pPr>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花垣县妇幼保健计划生育服务中心综合楼现有给水管道</w:t>
                  </w:r>
                </w:p>
              </w:tc>
              <w:tc>
                <w:tcPr>
                  <w:tcW w:w="2849" w:type="dxa"/>
                  <w:vMerge w:val="restart"/>
                  <w:noWrap w:val="0"/>
                  <w:vAlign w:val="center"/>
                </w:tcPr>
                <w:p>
                  <w:pPr>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本项目利用</w:t>
                  </w:r>
                  <w:r>
                    <w:rPr>
                      <w:rFonts w:hint="default" w:ascii="Times New Roman" w:hAnsi="Times New Roman" w:cs="Times New Roman"/>
                      <w:color w:val="auto"/>
                      <w:sz w:val="21"/>
                      <w:szCs w:val="21"/>
                      <w:u w:val="none"/>
                      <w:lang w:val="en-US" w:eastAsia="zh-CN"/>
                    </w:rPr>
                    <w:t>位于湘西自治州花垣县花垣镇城北政务中心北侧旁的原花垣县妇幼保健计划生育服务中心综合楼</w:t>
                  </w:r>
                  <w:r>
                    <w:rPr>
                      <w:rFonts w:hint="eastAsia" w:ascii="Times New Roman" w:hAnsi="Times New Roman" w:cs="Times New Roman"/>
                      <w:color w:val="auto"/>
                      <w:sz w:val="21"/>
                      <w:szCs w:val="21"/>
                      <w:u w:val="none"/>
                      <w:lang w:val="en-US" w:eastAsia="zh-CN"/>
                    </w:rPr>
                    <w:t>进行装饰装修，建设“花垣县人民医院精神科项目”。</w:t>
                  </w:r>
                  <w:r>
                    <w:rPr>
                      <w:rFonts w:hint="default" w:ascii="Times New Roman" w:hAnsi="Times New Roman" w:cs="Times New Roman"/>
                      <w:color w:val="auto"/>
                      <w:sz w:val="21"/>
                      <w:szCs w:val="21"/>
                      <w:u w:val="none"/>
                      <w:lang w:val="en-US" w:eastAsia="zh-CN"/>
                    </w:rPr>
                    <w:t>花垣县妇幼保健计划生育服务中心</w:t>
                  </w:r>
                  <w:r>
                    <w:rPr>
                      <w:rFonts w:hint="eastAsia" w:ascii="Times New Roman" w:hAnsi="Times New Roman" w:cs="Times New Roman"/>
                      <w:color w:val="auto"/>
                      <w:sz w:val="21"/>
                      <w:szCs w:val="21"/>
                      <w:u w:val="none"/>
                      <w:lang w:val="en-US" w:eastAsia="zh-CN"/>
                    </w:rPr>
                    <w:t>已搬迁，现综合楼为闲置状态，给排水及用电已铺设完善，本项目原花垣县妇幼保健计划生育服务中心综合楼现有给排水管道及电缆敷设可行。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85" w:type="dxa"/>
                  <w:vMerge w:val="continue"/>
                  <w:noWrap w:val="0"/>
                  <w:vAlign w:val="center"/>
                </w:tcPr>
                <w:p>
                  <w:pPr>
                    <w:jc w:val="center"/>
                    <w:rPr>
                      <w:u w:val="none"/>
                    </w:rPr>
                  </w:pPr>
                </w:p>
              </w:tc>
              <w:tc>
                <w:tcPr>
                  <w:tcW w:w="685" w:type="dxa"/>
                  <w:noWrap w:val="0"/>
                  <w:vAlign w:val="center"/>
                </w:tcPr>
                <w:p>
                  <w:pPr>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排水</w:t>
                  </w:r>
                </w:p>
              </w:tc>
              <w:tc>
                <w:tcPr>
                  <w:tcW w:w="1776" w:type="dxa"/>
                  <w:noWrap w:val="0"/>
                  <w:vAlign w:val="center"/>
                </w:tcPr>
                <w:p>
                  <w:pPr>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医疗废水及生活污水利用原花垣县妇幼保健计划生育服务中心综合楼现有排污管道、化粪池进行预处理</w:t>
                  </w:r>
                </w:p>
              </w:tc>
              <w:tc>
                <w:tcPr>
                  <w:tcW w:w="1997" w:type="dxa"/>
                  <w:noWrap w:val="0"/>
                  <w:vAlign w:val="center"/>
                </w:tcPr>
                <w:p>
                  <w:pPr>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花垣县妇幼保健计划生育服务中心综合楼现有排污管、化粪池</w:t>
                  </w:r>
                </w:p>
              </w:tc>
              <w:tc>
                <w:tcPr>
                  <w:tcW w:w="2849" w:type="dxa"/>
                  <w:vMerge w:val="continue"/>
                  <w:noWrap w:val="0"/>
                  <w:vAlign w:val="center"/>
                </w:tcPr>
                <w:p>
                  <w:pPr>
                    <w:jc w:val="center"/>
                    <w:rPr>
                      <w:rFonts w:hint="eastAsia" w:ascii="Times New Roman" w:hAnsi="Times New Roman" w:cs="Times New Roman"/>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85" w:type="dxa"/>
                  <w:vMerge w:val="continue"/>
                  <w:noWrap w:val="0"/>
                  <w:vAlign w:val="center"/>
                </w:tcPr>
                <w:p>
                  <w:pPr>
                    <w:jc w:val="center"/>
                    <w:rPr>
                      <w:rFonts w:hint="eastAsia" w:ascii="Times New Roman" w:hAnsi="Times New Roman" w:cs="Times New Roman"/>
                      <w:color w:val="auto"/>
                      <w:sz w:val="21"/>
                      <w:szCs w:val="21"/>
                      <w:u w:val="none"/>
                      <w:lang w:val="en-US" w:eastAsia="zh-CN"/>
                    </w:rPr>
                  </w:pPr>
                </w:p>
              </w:tc>
              <w:tc>
                <w:tcPr>
                  <w:tcW w:w="685" w:type="dxa"/>
                  <w:noWrap w:val="0"/>
                  <w:vAlign w:val="center"/>
                </w:tcPr>
                <w:p>
                  <w:pPr>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用电</w:t>
                  </w:r>
                </w:p>
              </w:tc>
              <w:tc>
                <w:tcPr>
                  <w:tcW w:w="1776" w:type="dxa"/>
                  <w:noWrap w:val="0"/>
                  <w:vAlign w:val="center"/>
                </w:tcPr>
                <w:p>
                  <w:pPr>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用电依托原花垣县妇幼保健计划生育服务中心综合楼现有电缆敷设</w:t>
                  </w:r>
                </w:p>
              </w:tc>
              <w:tc>
                <w:tcPr>
                  <w:tcW w:w="1997" w:type="dxa"/>
                  <w:noWrap w:val="0"/>
                  <w:vAlign w:val="center"/>
                </w:tcPr>
                <w:p>
                  <w:pPr>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花垣县妇幼保健计划生育服务中心综合楼现有电缆敷设</w:t>
                  </w:r>
                </w:p>
              </w:tc>
              <w:tc>
                <w:tcPr>
                  <w:tcW w:w="2849" w:type="dxa"/>
                  <w:vMerge w:val="continue"/>
                  <w:noWrap w:val="0"/>
                  <w:vAlign w:val="center"/>
                </w:tcPr>
                <w:p>
                  <w:pPr>
                    <w:jc w:val="center"/>
                    <w:rPr>
                      <w:rFonts w:hint="eastAsia" w:ascii="Times New Roman" w:hAnsi="Times New Roman" w:cs="Times New Roman"/>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0" w:type="dxa"/>
                  <w:gridSpan w:val="2"/>
                  <w:noWrap w:val="0"/>
                  <w:vAlign w:val="center"/>
                </w:tcPr>
                <w:p>
                  <w:pPr>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一体化污水处理站</w:t>
                  </w:r>
                </w:p>
              </w:tc>
              <w:tc>
                <w:tcPr>
                  <w:tcW w:w="1776" w:type="dxa"/>
                  <w:noWrap w:val="0"/>
                  <w:vAlign w:val="center"/>
                </w:tcPr>
                <w:p>
                  <w:pPr>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医疗废水及医务人员生活污水依托经化粪池预处理后依托花垣县疾控中心现有一体化污水处理设施处理达标后进市政污水管网</w:t>
                  </w:r>
                </w:p>
              </w:tc>
              <w:tc>
                <w:tcPr>
                  <w:tcW w:w="1997" w:type="dxa"/>
                  <w:noWrap w:val="0"/>
                  <w:vAlign w:val="center"/>
                </w:tcPr>
                <w:p>
                  <w:pPr>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花垣县疾控中心现有一体化污水处理设施</w:t>
                  </w:r>
                </w:p>
              </w:tc>
              <w:tc>
                <w:tcPr>
                  <w:tcW w:w="2849" w:type="dxa"/>
                  <w:noWrap w:val="0"/>
                  <w:vAlign w:val="center"/>
                </w:tcPr>
                <w:p>
                  <w:pPr>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根据《花垣县疾控中心业务楼迁建项目环评报告书》（报批版），花垣疾控中心污水处理站设计处理能力为15t/d，花垣疾控中心排入污水处理站环评废水量为2.635t/d，污水处理站余量为12.365t/d。根据前文给排水分析，本项目废水产生量为10.76t/d，则排入一体化污水处理站的废水总量为：10.76+2.635=13.395t/a，不超过污水处理站处理能力(15t/d)，剩余处理量为1.605t/d，满足设计容量10%的余量(1.5t/d)要求，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0" w:type="dxa"/>
                  <w:gridSpan w:val="2"/>
                  <w:noWrap w:val="0"/>
                  <w:vAlign w:val="center"/>
                </w:tcPr>
                <w:p>
                  <w:pPr>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洗衣房</w:t>
                  </w:r>
                </w:p>
              </w:tc>
              <w:tc>
                <w:tcPr>
                  <w:tcW w:w="1776" w:type="dxa"/>
                  <w:noWrap w:val="0"/>
                  <w:vAlign w:val="center"/>
                </w:tcPr>
                <w:p>
                  <w:pPr>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本项目精神卫生楼内不设置洗衣房，依托花垣县人民医院现有洗衣房</w:t>
                  </w:r>
                </w:p>
              </w:tc>
              <w:tc>
                <w:tcPr>
                  <w:tcW w:w="1997" w:type="dxa"/>
                  <w:noWrap w:val="0"/>
                  <w:vAlign w:val="center"/>
                </w:tcPr>
                <w:p>
                  <w:pPr>
                    <w:jc w:val="center"/>
                    <w:rPr>
                      <w:rFonts w:hint="eastAsia"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花垣县人民医院现有洗衣房</w:t>
                  </w:r>
                </w:p>
              </w:tc>
              <w:tc>
                <w:tcPr>
                  <w:tcW w:w="2849" w:type="dxa"/>
                  <w:noWrap w:val="0"/>
                  <w:vAlign w:val="center"/>
                </w:tcPr>
                <w:p>
                  <w:pPr>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本项目为花垣县人民医院精神科项目，精神卫生楼内不设置洗衣房，可依托花垣县人民医院现有洗衣房清洗被褥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0" w:type="dxa"/>
                  <w:gridSpan w:val="2"/>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医疗废物暂存间</w:t>
                  </w:r>
                </w:p>
              </w:tc>
              <w:tc>
                <w:tcPr>
                  <w:tcW w:w="1776" w:type="dxa"/>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本项目医疗废物</w:t>
                  </w:r>
                  <w:r>
                    <w:rPr>
                      <w:rFonts w:hint="eastAsia" w:cs="Times New Roman"/>
                      <w:color w:val="auto"/>
                      <w:sz w:val="21"/>
                      <w:szCs w:val="21"/>
                      <w:u w:val="none"/>
                      <w:lang w:val="en-US" w:eastAsia="zh-CN"/>
                    </w:rPr>
                    <w:t>，</w:t>
                  </w:r>
                  <w:r>
                    <w:rPr>
                      <w:rFonts w:hint="eastAsia" w:ascii="Times New Roman" w:hAnsi="Times New Roman" w:cs="Times New Roman"/>
                      <w:color w:val="auto"/>
                      <w:sz w:val="21"/>
                      <w:szCs w:val="21"/>
                      <w:u w:val="none"/>
                      <w:lang w:val="en-US" w:eastAsia="zh-CN"/>
                    </w:rPr>
                    <w:t>化粪池污泥及</w:t>
                  </w:r>
                  <w:r>
                    <w:rPr>
                      <w:rFonts w:hint="eastAsia" w:cs="Times New Roman"/>
                      <w:color w:val="auto"/>
                      <w:sz w:val="21"/>
                      <w:szCs w:val="21"/>
                      <w:u w:val="none"/>
                      <w:lang w:val="en-US" w:eastAsia="zh-CN"/>
                    </w:rPr>
                    <w:t>废药物、药品</w:t>
                  </w:r>
                  <w:r>
                    <w:rPr>
                      <w:rFonts w:hint="eastAsia" w:ascii="Times New Roman" w:hAnsi="Times New Roman" w:cs="Times New Roman"/>
                      <w:color w:val="auto"/>
                      <w:sz w:val="21"/>
                      <w:szCs w:val="21"/>
                      <w:u w:val="none"/>
                      <w:lang w:val="en-US" w:eastAsia="zh-CN"/>
                    </w:rPr>
                    <w:t>依托于花垣县疾控中心现有医废暂存间（63m</w:t>
                  </w:r>
                  <w:r>
                    <w:rPr>
                      <w:rFonts w:hint="eastAsia" w:ascii="Times New Roman" w:hAnsi="Times New Roman" w:cs="Times New Roman"/>
                      <w:color w:val="auto"/>
                      <w:sz w:val="21"/>
                      <w:szCs w:val="21"/>
                      <w:u w:val="none"/>
                      <w:vertAlign w:val="superscript"/>
                      <w:lang w:val="en-US" w:eastAsia="zh-CN"/>
                    </w:rPr>
                    <w:t>2</w:t>
                  </w:r>
                  <w:r>
                    <w:rPr>
                      <w:rFonts w:hint="eastAsia" w:ascii="Times New Roman" w:hAnsi="Times New Roman" w:cs="Times New Roman"/>
                      <w:color w:val="auto"/>
                      <w:sz w:val="21"/>
                      <w:szCs w:val="21"/>
                      <w:u w:val="none"/>
                      <w:lang w:val="en-US" w:eastAsia="zh-CN"/>
                    </w:rPr>
                    <w:t>）</w:t>
                  </w:r>
                </w:p>
              </w:tc>
              <w:tc>
                <w:tcPr>
                  <w:tcW w:w="1997" w:type="dxa"/>
                  <w:noWrap w:val="0"/>
                  <w:vAlign w:val="center"/>
                </w:tcPr>
                <w:p>
                  <w:pPr>
                    <w:jc w:val="center"/>
                    <w:rPr>
                      <w:rFonts w:hint="default" w:ascii="Times New Roman" w:hAnsi="Times New Roman" w:cs="Times New Roman"/>
                      <w:color w:val="auto"/>
                      <w:sz w:val="21"/>
                      <w:szCs w:val="21"/>
                      <w:u w:val="none"/>
                      <w:lang w:val="en-US"/>
                    </w:rPr>
                  </w:pPr>
                  <w:r>
                    <w:rPr>
                      <w:rFonts w:hint="eastAsia" w:ascii="Times New Roman" w:hAnsi="Times New Roman" w:cs="Times New Roman"/>
                      <w:color w:val="auto"/>
                      <w:sz w:val="21"/>
                      <w:szCs w:val="21"/>
                      <w:u w:val="none"/>
                      <w:lang w:val="en-US" w:eastAsia="zh-CN"/>
                    </w:rPr>
                    <w:t>花垣县疾控中心在现有医疗废物暂存间内无偿提供20m</w:t>
                  </w:r>
                  <w:r>
                    <w:rPr>
                      <w:rFonts w:hint="eastAsia" w:ascii="Times New Roman" w:hAnsi="Times New Roman" w:cs="Times New Roman"/>
                      <w:color w:val="auto"/>
                      <w:sz w:val="21"/>
                      <w:szCs w:val="21"/>
                      <w:u w:val="none"/>
                      <w:vertAlign w:val="superscript"/>
                      <w:lang w:val="en-US" w:eastAsia="zh-CN"/>
                    </w:rPr>
                    <w:t>2</w:t>
                  </w:r>
                  <w:r>
                    <w:rPr>
                      <w:rFonts w:hint="eastAsia" w:ascii="Times New Roman" w:hAnsi="Times New Roman" w:cs="Times New Roman"/>
                      <w:color w:val="auto"/>
                      <w:sz w:val="21"/>
                      <w:szCs w:val="21"/>
                      <w:u w:val="none"/>
                      <w:lang w:val="en-US" w:eastAsia="zh-CN"/>
                    </w:rPr>
                    <w:t>用于本项目医疗废物的暂存</w:t>
                  </w:r>
                </w:p>
              </w:tc>
              <w:tc>
                <w:tcPr>
                  <w:tcW w:w="2849" w:type="dxa"/>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花垣县疾控中心位于本项目东侧，现有医疗废物暂存间（63m</w:t>
                  </w:r>
                  <w:r>
                    <w:rPr>
                      <w:rFonts w:hint="eastAsia" w:ascii="Times New Roman" w:hAnsi="Times New Roman" w:cs="Times New Roman"/>
                      <w:color w:val="auto"/>
                      <w:sz w:val="21"/>
                      <w:szCs w:val="21"/>
                      <w:u w:val="none"/>
                      <w:vertAlign w:val="superscript"/>
                      <w:lang w:val="en-US" w:eastAsia="zh-CN"/>
                    </w:rPr>
                    <w:t>2</w:t>
                  </w:r>
                  <w:r>
                    <w:rPr>
                      <w:rFonts w:hint="eastAsia" w:ascii="Times New Roman" w:hAnsi="Times New Roman" w:cs="Times New Roman"/>
                      <w:color w:val="auto"/>
                      <w:sz w:val="21"/>
                      <w:szCs w:val="21"/>
                      <w:u w:val="none"/>
                      <w:lang w:val="en-US" w:eastAsia="zh-CN"/>
                    </w:rPr>
                    <w:t>），医疗废物</w:t>
                  </w:r>
                  <w:r>
                    <w:rPr>
                      <w:rFonts w:hint="eastAsia" w:cs="Times New Roman"/>
                      <w:color w:val="auto"/>
                      <w:sz w:val="21"/>
                      <w:szCs w:val="21"/>
                      <w:u w:val="none"/>
                      <w:lang w:val="en-US" w:eastAsia="zh-CN"/>
                    </w:rPr>
                    <w:t>由</w:t>
                  </w:r>
                  <w:r>
                    <w:rPr>
                      <w:rFonts w:hint="eastAsia" w:ascii="Times New Roman" w:hAnsi="Times New Roman" w:cs="Times New Roman"/>
                      <w:color w:val="auto"/>
                      <w:sz w:val="21"/>
                      <w:szCs w:val="21"/>
                      <w:u w:val="none"/>
                      <w:lang w:val="en-US" w:eastAsia="zh-CN"/>
                    </w:rPr>
                    <w:t>湘西自治州宇明环保科技有限公司两天一转运</w:t>
                  </w:r>
                  <w:r>
                    <w:rPr>
                      <w:rFonts w:hint="eastAsia" w:cs="Times New Roman"/>
                      <w:color w:val="auto"/>
                      <w:sz w:val="21"/>
                      <w:szCs w:val="21"/>
                      <w:u w:val="none"/>
                      <w:lang w:val="en-US" w:eastAsia="zh-CN"/>
                    </w:rPr>
                    <w:t>。</w:t>
                  </w:r>
                  <w:r>
                    <w:rPr>
                      <w:rFonts w:hint="eastAsia" w:ascii="Times New Roman" w:hAnsi="Times New Roman" w:cs="Times New Roman"/>
                      <w:color w:val="auto"/>
                      <w:sz w:val="21"/>
                      <w:szCs w:val="21"/>
                      <w:u w:val="none"/>
                      <w:lang w:val="en-US" w:eastAsia="zh-CN"/>
                    </w:rPr>
                    <w:t>医疗废物暂存间位于花垣县疾控中心厂区西南侧，距本项目综合楼为15m且设置有专用运输通道，依托可行。</w:t>
                  </w:r>
                </w:p>
              </w:tc>
            </w:tr>
          </w:tbl>
          <w:p>
            <w:pPr>
              <w:pStyle w:val="98"/>
              <w:ind w:firstLine="480"/>
              <w:rPr>
                <w:rFonts w:hint="default"/>
                <w:sz w:val="24"/>
                <w:szCs w:val="24"/>
                <w:u w:val="none"/>
                <w:lang w:val="en-US" w:eastAsia="zh-CN"/>
              </w:rPr>
            </w:pPr>
            <w:r>
              <w:rPr>
                <w:rFonts w:hint="eastAsia"/>
                <w:color w:val="auto"/>
                <w:sz w:val="24"/>
                <w:szCs w:val="24"/>
                <w:u w:val="none"/>
                <w:lang w:val="en-US" w:eastAsia="zh-CN"/>
              </w:rPr>
              <w:t>综上，本项目依托工程可行。项目医疗废物转运应综合考虑厂区的实际情况确定转运路线，尽量避开办公区和生活区；危险废物转运作业应采用专用的工具及容器，避免跑、冒、滴、漏的产生；危险废物转运结束后，应对转运路线进行检查和清理，确保无危险废物遗失在转运路线上，并对转运工具进行清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6" w:hRule="atLeast"/>
          <w:jc w:val="center"/>
        </w:trPr>
        <w:tc>
          <w:tcPr>
            <w:tcW w:w="926" w:type="dxa"/>
            <w:noWrap w:val="0"/>
            <w:vAlign w:val="center"/>
          </w:tcPr>
          <w:p>
            <w:pPr>
              <w:rPr>
                <w:sz w:val="21"/>
                <w:szCs w:val="21"/>
              </w:rPr>
            </w:pPr>
            <w:r>
              <w:rPr>
                <w:b/>
                <w:bCs/>
              </w:rPr>
              <w:t>工艺流程和产排污环节</w:t>
            </w:r>
          </w:p>
        </w:tc>
        <w:tc>
          <w:tcPr>
            <w:tcW w:w="8134" w:type="dxa"/>
            <w:noWrap w:val="0"/>
            <w:vAlign w:val="top"/>
          </w:tcPr>
          <w:p>
            <w:pPr>
              <w:pStyle w:val="98"/>
              <w:ind w:left="0" w:leftChars="0" w:firstLine="0" w:firstLineChars="0"/>
              <w:rPr>
                <w:b/>
                <w:bCs/>
                <w:sz w:val="24"/>
                <w:szCs w:val="24"/>
              </w:rPr>
            </w:pPr>
            <w:r>
              <w:rPr>
                <w:b/>
                <w:bCs/>
                <w:sz w:val="24"/>
                <w:szCs w:val="24"/>
              </w:rPr>
              <w:t>工艺流程简述：</w:t>
            </w:r>
          </w:p>
          <w:p>
            <w:pPr>
              <w:pStyle w:val="98"/>
              <w:ind w:firstLine="480"/>
              <w:rPr>
                <w:rFonts w:hint="eastAsia"/>
                <w:b/>
                <w:bCs/>
                <w:sz w:val="24"/>
                <w:szCs w:val="24"/>
              </w:rPr>
            </w:pPr>
            <w:r>
              <w:rPr>
                <w:rFonts w:hint="eastAsia"/>
                <w:b/>
                <w:bCs/>
                <w:sz w:val="24"/>
                <w:szCs w:val="24"/>
              </w:rPr>
              <w:t>1、施工期</w:t>
            </w:r>
          </w:p>
          <w:p>
            <w:pPr>
              <w:pStyle w:val="98"/>
              <w:ind w:firstLine="480"/>
              <w:rPr>
                <w:sz w:val="24"/>
                <w:szCs w:val="24"/>
              </w:rPr>
            </w:pPr>
            <w:r>
              <w:rPr>
                <w:rFonts w:hint="eastAsia"/>
                <w:sz w:val="24"/>
                <w:szCs w:val="24"/>
              </w:rPr>
              <w:t>本项目</w:t>
            </w:r>
            <w:r>
              <w:rPr>
                <w:rFonts w:hint="eastAsia"/>
                <w:sz w:val="24"/>
                <w:szCs w:val="24"/>
                <w:lang w:val="en-US" w:eastAsia="zh-CN"/>
              </w:rPr>
              <w:t>利用花垣县妇幼保健计划生育服务中心综合楼进行装饰装修</w:t>
            </w:r>
            <w:r>
              <w:rPr>
                <w:rFonts w:hint="eastAsia"/>
                <w:sz w:val="24"/>
                <w:szCs w:val="24"/>
              </w:rPr>
              <w:t>，无需动土开挖，施工期仅为</w:t>
            </w:r>
            <w:r>
              <w:rPr>
                <w:rFonts w:hint="eastAsia"/>
                <w:sz w:val="24"/>
                <w:szCs w:val="24"/>
                <w:lang w:val="en-US" w:eastAsia="zh-CN"/>
              </w:rPr>
              <w:t>综合楼的装饰装修、</w:t>
            </w:r>
            <w:r>
              <w:rPr>
                <w:rFonts w:hint="eastAsia"/>
                <w:sz w:val="24"/>
                <w:szCs w:val="24"/>
              </w:rPr>
              <w:t>设备的运输安装</w:t>
            </w:r>
            <w:r>
              <w:rPr>
                <w:rFonts w:hint="eastAsia"/>
                <w:sz w:val="24"/>
                <w:szCs w:val="24"/>
                <w:lang w:val="en-US" w:eastAsia="zh-CN"/>
              </w:rPr>
              <w:t>等</w:t>
            </w:r>
            <w:r>
              <w:rPr>
                <w:rFonts w:hint="eastAsia"/>
                <w:sz w:val="24"/>
                <w:szCs w:val="24"/>
              </w:rPr>
              <w:t>，大气污染为少量运输扬尘、汽车尾气，对周边大气环境影响较小；施工时间为昼间，夜间不施工，对周边声环境无不良影响。</w:t>
            </w:r>
          </w:p>
          <w:p>
            <w:pPr>
              <w:pStyle w:val="98"/>
              <w:ind w:firstLine="480"/>
              <w:rPr>
                <w:rFonts w:hint="default" w:eastAsia="宋体"/>
                <w:b/>
                <w:bCs/>
                <w:sz w:val="24"/>
                <w:szCs w:val="24"/>
                <w:lang w:val="en-US" w:eastAsia="zh-CN"/>
              </w:rPr>
            </w:pPr>
            <w:r>
              <w:rPr>
                <w:rFonts w:hint="eastAsia"/>
                <w:b/>
                <w:bCs/>
                <w:sz w:val="24"/>
                <w:szCs w:val="24"/>
              </w:rPr>
              <w:t>2</w:t>
            </w:r>
            <w:r>
              <w:rPr>
                <w:b/>
                <w:bCs/>
                <w:sz w:val="24"/>
                <w:szCs w:val="24"/>
              </w:rPr>
              <w:t>、营运期</w:t>
            </w:r>
            <w:r>
              <w:rPr>
                <w:rFonts w:hint="eastAsia"/>
                <w:b/>
                <w:bCs/>
                <w:sz w:val="24"/>
                <w:szCs w:val="24"/>
                <w:lang w:val="en-US" w:eastAsia="zh-CN"/>
              </w:rPr>
              <w:t>工艺流程及产污环节</w:t>
            </w:r>
          </w:p>
          <w:p>
            <w:pPr>
              <w:pStyle w:val="98"/>
              <w:ind w:firstLine="480"/>
              <w:rPr>
                <w:rFonts w:hint="eastAsia"/>
                <w:sz w:val="24"/>
                <w:szCs w:val="24"/>
              </w:rPr>
            </w:pPr>
            <w:r>
              <w:rPr>
                <w:rFonts w:hint="eastAsia"/>
                <w:sz w:val="24"/>
                <w:szCs w:val="24"/>
              </w:rPr>
              <w:t>本项目运营期的主要污染因素是废气、废水、噪声、固体废弃物等污染因素。运营期产污环节图见图2-</w:t>
            </w:r>
            <w:r>
              <w:rPr>
                <w:rFonts w:hint="eastAsia"/>
                <w:sz w:val="24"/>
                <w:szCs w:val="24"/>
                <w:lang w:val="en-US" w:eastAsia="zh-CN"/>
              </w:rPr>
              <w:t>2</w:t>
            </w:r>
            <w:r>
              <w:rPr>
                <w:rFonts w:hint="eastAsia"/>
                <w:sz w:val="24"/>
                <w:szCs w:val="24"/>
              </w:rPr>
              <w:t>。</w:t>
            </w:r>
          </w:p>
          <w:p>
            <w:pPr>
              <w:pStyle w:val="98"/>
              <w:ind w:left="0" w:leftChars="0" w:firstLine="0" w:firstLineChars="0"/>
              <w:jc w:val="center"/>
              <w:rPr>
                <w:rFonts w:hint="eastAsia"/>
                <w:sz w:val="24"/>
                <w:szCs w:val="24"/>
              </w:rPr>
            </w:pPr>
            <w:r>
              <w:drawing>
                <wp:inline distT="0" distB="0" distL="114300" distR="114300">
                  <wp:extent cx="5024755" cy="3228975"/>
                  <wp:effectExtent l="0" t="0" r="0"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16"/>
                          <a:srcRect t="3115" b="9858"/>
                          <a:stretch>
                            <a:fillRect/>
                          </a:stretch>
                        </pic:blipFill>
                        <pic:spPr>
                          <a:xfrm>
                            <a:off x="0" y="0"/>
                            <a:ext cx="5024755" cy="3228975"/>
                          </a:xfrm>
                          <a:prstGeom prst="rect">
                            <a:avLst/>
                          </a:prstGeom>
                          <a:noFill/>
                          <a:ln>
                            <a:noFill/>
                          </a:ln>
                        </pic:spPr>
                      </pic:pic>
                    </a:graphicData>
                  </a:graphic>
                </wp:inline>
              </w:drawing>
            </w:r>
          </w:p>
          <w:p>
            <w:pPr>
              <w:pStyle w:val="98"/>
              <w:ind w:firstLine="480"/>
              <w:jc w:val="center"/>
              <w:rPr>
                <w:rFonts w:hint="eastAsia"/>
                <w:b/>
                <w:bCs/>
                <w:sz w:val="21"/>
                <w:szCs w:val="21"/>
              </w:rPr>
            </w:pPr>
            <w:r>
              <w:rPr>
                <w:rFonts w:hint="eastAsia"/>
                <w:b/>
                <w:bCs/>
                <w:sz w:val="21"/>
                <w:szCs w:val="21"/>
              </w:rPr>
              <w:t>图2-</w:t>
            </w:r>
            <w:r>
              <w:rPr>
                <w:rFonts w:hint="eastAsia"/>
                <w:b/>
                <w:bCs/>
                <w:sz w:val="21"/>
                <w:szCs w:val="21"/>
                <w:lang w:val="en-US" w:eastAsia="zh-CN"/>
              </w:rPr>
              <w:t>2</w:t>
            </w:r>
            <w:r>
              <w:rPr>
                <w:rFonts w:hint="eastAsia"/>
                <w:b/>
                <w:bCs/>
                <w:sz w:val="21"/>
                <w:szCs w:val="21"/>
              </w:rPr>
              <w:t xml:space="preserve">  工艺流程图及产污节点图</w:t>
            </w:r>
          </w:p>
          <w:p>
            <w:pPr>
              <w:keepNext w:val="0"/>
              <w:keepLines w:val="0"/>
              <w:pageBreakBefore w:val="0"/>
              <w:widowControl/>
              <w:tabs>
                <w:tab w:val="left" w:pos="63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u w:val="none"/>
                <w:lang w:eastAsia="zh-CN"/>
              </w:rPr>
            </w:pPr>
            <w:r>
              <w:rPr>
                <w:rFonts w:hint="eastAsia" w:ascii="Times New Roman" w:hAnsi="Times New Roman" w:eastAsia="宋体" w:cs="Times New Roman"/>
                <w:color w:val="auto"/>
                <w:kern w:val="2"/>
                <w:sz w:val="24"/>
                <w:u w:val="none"/>
                <w:lang w:eastAsia="zh-CN"/>
              </w:rPr>
              <w:t>本项目医疗诊治过程中主要产生废水、医疗废物和设备噪声；行政管理和医护人员办公生活产生的生活污水、生活垃圾；</w:t>
            </w:r>
            <w:r>
              <w:rPr>
                <w:rFonts w:hint="eastAsia" w:cs="Times New Roman"/>
                <w:color w:val="auto"/>
                <w:kern w:val="2"/>
                <w:sz w:val="24"/>
                <w:u w:val="none"/>
                <w:lang w:val="en-US" w:eastAsia="zh-CN"/>
              </w:rPr>
              <w:t>依托花垣县疾控中心现有</w:t>
            </w:r>
            <w:r>
              <w:rPr>
                <w:rFonts w:hint="eastAsia" w:ascii="Times New Roman" w:hAnsi="Times New Roman" w:eastAsia="宋体" w:cs="Times New Roman"/>
                <w:color w:val="auto"/>
                <w:kern w:val="2"/>
                <w:sz w:val="24"/>
                <w:u w:val="none"/>
                <w:lang w:val="en-US" w:eastAsia="zh-CN"/>
              </w:rPr>
              <w:t>一体化</w:t>
            </w:r>
            <w:r>
              <w:rPr>
                <w:rFonts w:hint="eastAsia" w:ascii="Times New Roman" w:hAnsi="Times New Roman" w:eastAsia="宋体" w:cs="Times New Roman"/>
                <w:color w:val="auto"/>
                <w:kern w:val="2"/>
                <w:sz w:val="24"/>
                <w:u w:val="none"/>
                <w:lang w:eastAsia="zh-CN"/>
              </w:rPr>
              <w:t>污水处理设施对医院产生的医疗废水进行处理；此外，项目还有配套设施、空调</w:t>
            </w:r>
            <w:r>
              <w:rPr>
                <w:rFonts w:hint="eastAsia" w:cs="Times New Roman"/>
                <w:color w:val="auto"/>
                <w:kern w:val="2"/>
                <w:sz w:val="24"/>
                <w:u w:val="none"/>
                <w:lang w:val="en-US" w:eastAsia="zh-CN"/>
              </w:rPr>
              <w:t>外机</w:t>
            </w:r>
            <w:r>
              <w:rPr>
                <w:rFonts w:hint="eastAsia" w:ascii="Times New Roman" w:hAnsi="Times New Roman" w:eastAsia="宋体" w:cs="Times New Roman"/>
                <w:color w:val="auto"/>
                <w:kern w:val="2"/>
                <w:sz w:val="24"/>
                <w:u w:val="none"/>
                <w:lang w:eastAsia="zh-CN"/>
              </w:rPr>
              <w:t>和</w:t>
            </w:r>
            <w:r>
              <w:rPr>
                <w:rFonts w:hint="eastAsia" w:cs="Times New Roman"/>
                <w:color w:val="auto"/>
                <w:kern w:val="2"/>
                <w:sz w:val="24"/>
                <w:u w:val="none"/>
                <w:lang w:val="en-US" w:eastAsia="zh-CN"/>
              </w:rPr>
              <w:t>配电</w:t>
            </w:r>
            <w:r>
              <w:rPr>
                <w:rFonts w:hint="eastAsia" w:ascii="Times New Roman" w:hAnsi="Times New Roman" w:eastAsia="宋体" w:cs="Times New Roman"/>
                <w:color w:val="auto"/>
                <w:kern w:val="2"/>
                <w:sz w:val="24"/>
                <w:u w:val="none"/>
                <w:lang w:eastAsia="zh-CN"/>
              </w:rPr>
              <w:t>设备噪声等。</w:t>
            </w:r>
          </w:p>
          <w:p>
            <w:pPr>
              <w:pStyle w:val="98"/>
              <w:numPr>
                <w:ilvl w:val="0"/>
                <w:numId w:val="0"/>
              </w:numPr>
              <w:ind w:firstLine="482" w:firstLineChars="200"/>
              <w:rPr>
                <w:rFonts w:hint="eastAsia"/>
                <w:b/>
                <w:bCs/>
                <w:sz w:val="24"/>
                <w:szCs w:val="24"/>
                <w:u w:val="none"/>
                <w:lang w:val="en-US" w:eastAsia="zh-CN"/>
              </w:rPr>
            </w:pPr>
            <w:r>
              <w:rPr>
                <w:rFonts w:hint="eastAsia" w:cs="Times New Roman"/>
                <w:b/>
                <w:bCs/>
                <w:kern w:val="2"/>
                <w:sz w:val="24"/>
                <w:szCs w:val="24"/>
                <w:u w:val="none"/>
                <w:lang w:val="en-US" w:eastAsia="zh-CN" w:bidi="ar-SA"/>
              </w:rPr>
              <w:t>3</w:t>
            </w:r>
            <w:r>
              <w:rPr>
                <w:rFonts w:hint="eastAsia" w:ascii="Times New Roman" w:hAnsi="Times New Roman" w:eastAsia="宋体" w:cs="Times New Roman"/>
                <w:b/>
                <w:bCs/>
                <w:kern w:val="2"/>
                <w:sz w:val="24"/>
                <w:szCs w:val="24"/>
                <w:u w:val="none"/>
                <w:lang w:val="en-US" w:eastAsia="zh-CN" w:bidi="ar-SA"/>
              </w:rPr>
              <w:t>、</w:t>
            </w:r>
            <w:r>
              <w:rPr>
                <w:rFonts w:hint="eastAsia"/>
                <w:b/>
                <w:bCs/>
                <w:sz w:val="24"/>
                <w:szCs w:val="24"/>
                <w:u w:val="none"/>
                <w:lang w:val="en-US" w:eastAsia="zh-CN"/>
              </w:rPr>
              <w:t>依托一体化污水处理设施工艺流程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u w:val="none"/>
                <w:lang w:val="en-US" w:eastAsia="zh-CN"/>
              </w:rPr>
            </w:pPr>
            <w:r>
              <w:rPr>
                <w:rFonts w:hint="eastAsia"/>
                <w:u w:val="none"/>
                <w:lang w:val="en-US" w:eastAsia="zh-CN"/>
              </w:rPr>
              <w:t>本项目病房废水及生活污水经精神卫生楼现有污水管道进入楼下现有化粪池，由泵提升至花垣县疾控中心现有污水一体化设备；先在AO池进行生化处理；再进入沉淀池处理，期间加入PAC、PAM药剂加速污泥沉淀；最后进入消毒池，通过投加次氯酸钠溶液进行消毒（</w:t>
            </w:r>
            <w:r>
              <w:rPr>
                <w:rFonts w:hint="eastAsia"/>
                <w:b/>
                <w:bCs/>
                <w:u w:val="none"/>
                <w:lang w:val="en-US" w:eastAsia="zh-CN"/>
              </w:rPr>
              <w:t>消毒原理</w:t>
            </w:r>
            <w:r>
              <w:rPr>
                <w:rFonts w:hint="eastAsia"/>
                <w:u w:val="none"/>
                <w:lang w:val="en-US" w:eastAsia="zh-CN"/>
              </w:rPr>
              <w:t>：次氯酸钠在水中溶解时会产生次氯酸，次氯酸与有机物、细菌等进行反应时，会发生氧化作用，起到杀菌消毒的效果，正常操作下，不会发生氯气的生成）；消毒后的污水进入市政管网，再进入花垣县城市生活污水处理厂处理。</w:t>
            </w:r>
          </w:p>
          <w:p>
            <w:pPr>
              <w:pStyle w:val="33"/>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u w:val="none"/>
                <w:lang w:val="en-US" w:eastAsia="zh-CN"/>
              </w:rPr>
            </w:pPr>
            <w:r>
              <w:rPr>
                <w:rFonts w:hint="eastAsia"/>
                <w:u w:val="none"/>
                <w:lang w:val="en-US" w:eastAsia="zh-CN"/>
              </w:rPr>
              <w:t>依托一体化污水处理设施工艺流程详见下图2-3。</w:t>
            </w:r>
          </w:p>
          <w:p>
            <w:pPr>
              <w:pStyle w:val="98"/>
              <w:numPr>
                <w:ilvl w:val="0"/>
                <w:numId w:val="0"/>
              </w:numPr>
              <w:rPr>
                <w:rFonts w:hint="default"/>
                <w:b/>
                <w:bCs/>
                <w:sz w:val="24"/>
                <w:szCs w:val="24"/>
                <w:lang w:val="en-US" w:eastAsia="zh-CN"/>
              </w:rPr>
            </w:pPr>
          </w:p>
          <w:p>
            <w:pPr>
              <w:keepNext w:val="0"/>
              <w:keepLines w:val="0"/>
              <w:pageBreakBefore w:val="0"/>
              <w:widowControl/>
              <w:tabs>
                <w:tab w:val="left" w:pos="630"/>
              </w:tabs>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2"/>
                <w:sz w:val="24"/>
                <w:u w:val="none"/>
                <w:lang w:eastAsia="zh-CN"/>
              </w:rPr>
            </w:pPr>
            <w:r>
              <w:drawing>
                <wp:inline distT="0" distB="0" distL="114300" distR="114300">
                  <wp:extent cx="4800600" cy="4819650"/>
                  <wp:effectExtent l="0" t="0" r="0" b="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7"/>
                          <a:stretch>
                            <a:fillRect/>
                          </a:stretch>
                        </pic:blipFill>
                        <pic:spPr>
                          <a:xfrm>
                            <a:off x="0" y="0"/>
                            <a:ext cx="4800600" cy="4819650"/>
                          </a:xfrm>
                          <a:prstGeom prst="rect">
                            <a:avLst/>
                          </a:prstGeom>
                          <a:noFill/>
                          <a:ln>
                            <a:noFill/>
                          </a:ln>
                        </pic:spPr>
                      </pic:pic>
                    </a:graphicData>
                  </a:graphic>
                </wp:inline>
              </w:drawing>
            </w:r>
          </w:p>
          <w:p>
            <w:pPr>
              <w:pStyle w:val="98"/>
              <w:ind w:firstLine="480"/>
              <w:jc w:val="center"/>
              <w:rPr>
                <w:rFonts w:hint="default" w:eastAsia="宋体"/>
                <w:b/>
                <w:bCs/>
                <w:sz w:val="21"/>
                <w:szCs w:val="21"/>
                <w:u w:val="none"/>
                <w:lang w:val="en-US" w:eastAsia="zh-CN"/>
              </w:rPr>
            </w:pPr>
            <w:r>
              <w:rPr>
                <w:rFonts w:hint="eastAsia"/>
                <w:b/>
                <w:bCs/>
                <w:sz w:val="21"/>
                <w:szCs w:val="21"/>
                <w:u w:val="none"/>
              </w:rPr>
              <w:t>图2-</w:t>
            </w:r>
            <w:r>
              <w:rPr>
                <w:rFonts w:hint="eastAsia"/>
                <w:b/>
                <w:bCs/>
                <w:sz w:val="21"/>
                <w:szCs w:val="21"/>
                <w:u w:val="none"/>
                <w:lang w:val="en-US" w:eastAsia="zh-CN"/>
              </w:rPr>
              <w:t>3</w:t>
            </w:r>
            <w:r>
              <w:rPr>
                <w:rFonts w:hint="eastAsia"/>
                <w:b/>
                <w:bCs/>
                <w:sz w:val="21"/>
                <w:szCs w:val="21"/>
                <w:u w:val="none"/>
              </w:rPr>
              <w:t xml:space="preserve">  </w:t>
            </w:r>
            <w:r>
              <w:rPr>
                <w:rFonts w:hint="eastAsia"/>
                <w:b/>
                <w:bCs/>
                <w:sz w:val="21"/>
                <w:szCs w:val="21"/>
                <w:u w:val="none"/>
                <w:lang w:val="en-US" w:eastAsia="zh-CN"/>
              </w:rPr>
              <w:t>依托花垣县疾控中心一体化污水处理设施工艺流程图</w:t>
            </w:r>
          </w:p>
          <w:p>
            <w:pPr>
              <w:keepNext w:val="0"/>
              <w:keepLines w:val="0"/>
              <w:pageBreakBefore w:val="0"/>
              <w:widowControl/>
              <w:tabs>
                <w:tab w:val="left" w:pos="63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000000"/>
                <w:sz w:val="24"/>
                <w:u w:val="none"/>
              </w:rPr>
            </w:pPr>
            <w:r>
              <w:rPr>
                <w:rFonts w:hint="eastAsia" w:cs="Times New Roman"/>
                <w:color w:val="000000"/>
                <w:kern w:val="2"/>
                <w:sz w:val="24"/>
                <w:u w:val="none" w:color="auto"/>
                <w:lang w:val="en-US" w:eastAsia="zh-CN"/>
              </w:rPr>
              <w:t>本项目废水处理依托花垣县疾控中心现有一体化污水处理站进行处理，医疗废物依托花垣县疾控中心现有医疗废物暂存间进行暂存</w:t>
            </w:r>
            <w:r>
              <w:rPr>
                <w:rFonts w:ascii="Times New Roman" w:hAnsi="Times New Roman" w:eastAsia="宋体" w:cs="Times New Roman"/>
                <w:color w:val="000000"/>
                <w:kern w:val="2"/>
                <w:sz w:val="24"/>
                <w:u w:val="none" w:color="auto"/>
              </w:rPr>
              <w:t>。</w:t>
            </w:r>
            <w:r>
              <w:rPr>
                <w:rFonts w:hint="eastAsia" w:ascii="Times New Roman" w:hAnsi="Times New Roman" w:eastAsia="宋体" w:cs="Times New Roman"/>
                <w:color w:val="auto"/>
                <w:kern w:val="2"/>
                <w:sz w:val="24"/>
                <w:u w:val="none"/>
                <w:lang w:eastAsia="zh-CN"/>
              </w:rPr>
              <w:t>本项目</w:t>
            </w:r>
            <w:r>
              <w:rPr>
                <w:rFonts w:hint="eastAsia" w:cs="Times New Roman"/>
                <w:color w:val="auto"/>
                <w:kern w:val="2"/>
                <w:sz w:val="24"/>
                <w:u w:val="none"/>
                <w:lang w:val="en-US" w:eastAsia="zh-CN"/>
              </w:rPr>
              <w:t>不涉及污水处理站臭气、污泥产生，</w:t>
            </w:r>
            <w:r>
              <w:rPr>
                <w:rFonts w:hint="eastAsia" w:ascii="Times New Roman" w:hAnsi="Times New Roman" w:eastAsia="宋体" w:cs="Times New Roman"/>
                <w:color w:val="auto"/>
                <w:kern w:val="2"/>
                <w:sz w:val="24"/>
                <w:u w:val="none"/>
                <w:lang w:eastAsia="zh-CN"/>
              </w:rPr>
              <w:t>营运过程中产污环节见下表</w:t>
            </w:r>
            <w:r>
              <w:rPr>
                <w:rFonts w:hint="default" w:ascii="Times New Roman" w:hAnsi="Times New Roman" w:eastAsia="宋体" w:cs="Times New Roman"/>
                <w:color w:val="000000"/>
                <w:spacing w:val="18"/>
                <w:sz w:val="24"/>
                <w:szCs w:val="24"/>
                <w:u w:val="none"/>
                <w:lang w:val="en-US" w:eastAsia="zh-CN"/>
              </w:rPr>
              <w:t>：</w:t>
            </w:r>
          </w:p>
          <w:p>
            <w:pPr>
              <w:tabs>
                <w:tab w:val="left" w:pos="630"/>
              </w:tabs>
              <w:jc w:val="center"/>
              <w:rPr>
                <w:rFonts w:hint="default" w:ascii="Times New Roman" w:hAnsi="Times New Roman" w:eastAsia="宋体" w:cs="Times New Roman"/>
                <w:b/>
                <w:color w:val="000000"/>
                <w:sz w:val="21"/>
                <w:szCs w:val="21"/>
                <w:u w:val="none"/>
              </w:rPr>
            </w:pPr>
            <w:bookmarkStart w:id="11" w:name="_Ref4967023"/>
            <w:r>
              <w:rPr>
                <w:rFonts w:hint="default" w:ascii="Times New Roman" w:hAnsi="Times New Roman" w:eastAsia="宋体" w:cs="Times New Roman"/>
                <w:b/>
                <w:color w:val="000000"/>
                <w:sz w:val="21"/>
                <w:szCs w:val="21"/>
                <w:u w:val="none"/>
              </w:rPr>
              <w:t>表2-</w:t>
            </w:r>
            <w:r>
              <w:rPr>
                <w:rFonts w:hint="eastAsia" w:ascii="Times New Roman" w:hAnsi="Times New Roman" w:eastAsia="宋体" w:cs="Times New Roman"/>
                <w:b/>
                <w:color w:val="000000"/>
                <w:sz w:val="21"/>
                <w:szCs w:val="21"/>
                <w:u w:val="none"/>
                <w:lang w:val="en-US" w:eastAsia="zh-CN"/>
              </w:rPr>
              <w:t>8</w:t>
            </w:r>
            <w:r>
              <w:rPr>
                <w:rFonts w:hint="default" w:ascii="Times New Roman" w:hAnsi="Times New Roman" w:eastAsia="宋体" w:cs="Times New Roman"/>
                <w:b/>
                <w:color w:val="000000"/>
                <w:sz w:val="21"/>
                <w:szCs w:val="21"/>
                <w:u w:val="none"/>
              </w:rPr>
              <w:t xml:space="preserve">  主要污染工序一览表</w:t>
            </w:r>
            <w:bookmarkEnd w:id="11"/>
          </w:p>
          <w:tbl>
            <w:tblPr>
              <w:tblStyle w:val="34"/>
              <w:tblW w:w="49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7"/>
              <w:gridCol w:w="556"/>
              <w:gridCol w:w="1508"/>
              <w:gridCol w:w="1497"/>
              <w:gridCol w:w="2165"/>
              <w:gridCol w:w="15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exact"/>
                <w:jc w:val="center"/>
              </w:trPr>
              <w:tc>
                <w:tcPr>
                  <w:tcW w:w="587" w:type="dxa"/>
                  <w:noWrap w:val="0"/>
                  <w:vAlign w:val="center"/>
                </w:tcPr>
                <w:p>
                  <w:pPr>
                    <w:contextualSpacing/>
                    <w:jc w:val="center"/>
                    <w:rPr>
                      <w:color w:val="auto"/>
                      <w:sz w:val="21"/>
                      <w:szCs w:val="21"/>
                    </w:rPr>
                  </w:pPr>
                  <w:r>
                    <w:rPr>
                      <w:color w:val="auto"/>
                      <w:sz w:val="21"/>
                      <w:szCs w:val="21"/>
                    </w:rPr>
                    <w:t>类别</w:t>
                  </w:r>
                </w:p>
              </w:tc>
              <w:tc>
                <w:tcPr>
                  <w:tcW w:w="556" w:type="dxa"/>
                  <w:noWrap w:val="0"/>
                  <w:vAlign w:val="center"/>
                </w:tcPr>
                <w:p>
                  <w:pPr>
                    <w:contextualSpacing/>
                    <w:jc w:val="center"/>
                    <w:rPr>
                      <w:color w:val="auto"/>
                      <w:sz w:val="21"/>
                      <w:szCs w:val="21"/>
                    </w:rPr>
                  </w:pPr>
                  <w:r>
                    <w:rPr>
                      <w:color w:val="auto"/>
                      <w:sz w:val="21"/>
                      <w:szCs w:val="21"/>
                    </w:rPr>
                    <w:t>编号</w:t>
                  </w:r>
                </w:p>
              </w:tc>
              <w:tc>
                <w:tcPr>
                  <w:tcW w:w="1508" w:type="dxa"/>
                  <w:noWrap w:val="0"/>
                  <w:vAlign w:val="center"/>
                </w:tcPr>
                <w:p>
                  <w:pPr>
                    <w:contextualSpacing/>
                    <w:jc w:val="center"/>
                    <w:rPr>
                      <w:color w:val="auto"/>
                      <w:sz w:val="21"/>
                      <w:szCs w:val="21"/>
                    </w:rPr>
                  </w:pPr>
                  <w:r>
                    <w:rPr>
                      <w:color w:val="auto"/>
                      <w:sz w:val="21"/>
                      <w:szCs w:val="21"/>
                    </w:rPr>
                    <w:t>主要生产单元</w:t>
                  </w:r>
                </w:p>
                <w:p>
                  <w:pPr>
                    <w:contextualSpacing/>
                    <w:jc w:val="center"/>
                    <w:rPr>
                      <w:color w:val="auto"/>
                      <w:sz w:val="21"/>
                      <w:szCs w:val="21"/>
                    </w:rPr>
                  </w:pPr>
                  <w:r>
                    <w:rPr>
                      <w:color w:val="auto"/>
                      <w:sz w:val="21"/>
                      <w:szCs w:val="21"/>
                    </w:rPr>
                    <w:t>名称</w:t>
                  </w:r>
                </w:p>
              </w:tc>
              <w:tc>
                <w:tcPr>
                  <w:tcW w:w="1497" w:type="dxa"/>
                  <w:noWrap w:val="0"/>
                  <w:vAlign w:val="center"/>
                </w:tcPr>
                <w:p>
                  <w:pPr>
                    <w:contextualSpacing/>
                    <w:jc w:val="center"/>
                    <w:rPr>
                      <w:color w:val="auto"/>
                      <w:sz w:val="21"/>
                      <w:szCs w:val="21"/>
                    </w:rPr>
                  </w:pPr>
                  <w:r>
                    <w:rPr>
                      <w:color w:val="auto"/>
                      <w:sz w:val="21"/>
                      <w:szCs w:val="21"/>
                    </w:rPr>
                    <w:t>产污环节</w:t>
                  </w:r>
                </w:p>
              </w:tc>
              <w:tc>
                <w:tcPr>
                  <w:tcW w:w="2165" w:type="dxa"/>
                  <w:noWrap w:val="0"/>
                  <w:vAlign w:val="center"/>
                </w:tcPr>
                <w:p>
                  <w:pPr>
                    <w:contextualSpacing/>
                    <w:jc w:val="center"/>
                    <w:rPr>
                      <w:color w:val="auto"/>
                      <w:sz w:val="21"/>
                      <w:szCs w:val="21"/>
                    </w:rPr>
                  </w:pPr>
                  <w:r>
                    <w:rPr>
                      <w:color w:val="auto"/>
                      <w:sz w:val="21"/>
                      <w:szCs w:val="21"/>
                    </w:rPr>
                    <w:t>主要污染物</w:t>
                  </w:r>
                </w:p>
              </w:tc>
              <w:tc>
                <w:tcPr>
                  <w:tcW w:w="1579" w:type="dxa"/>
                  <w:noWrap w:val="0"/>
                  <w:vAlign w:val="center"/>
                </w:tcPr>
                <w:p>
                  <w:pPr>
                    <w:contextualSpacing/>
                    <w:jc w:val="center"/>
                    <w:rPr>
                      <w:rFonts w:hint="default" w:eastAsia="宋体"/>
                      <w:color w:val="auto"/>
                      <w:sz w:val="21"/>
                      <w:szCs w:val="21"/>
                      <w:lang w:val="en-US" w:eastAsia="zh-CN"/>
                    </w:rPr>
                  </w:pPr>
                  <w:r>
                    <w:rPr>
                      <w:rFonts w:hint="eastAsia"/>
                      <w:color w:val="auto"/>
                      <w:sz w:val="21"/>
                      <w:szCs w:val="21"/>
                      <w:u w:val="single"/>
                      <w:lang w:val="en-US" w:eastAsia="zh-CN"/>
                    </w:rPr>
                    <w:t>其他污染物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7" w:hRule="exact"/>
                <w:jc w:val="center"/>
              </w:trPr>
              <w:tc>
                <w:tcPr>
                  <w:tcW w:w="587" w:type="dxa"/>
                  <w:vMerge w:val="restart"/>
                  <w:noWrap w:val="0"/>
                  <w:vAlign w:val="center"/>
                </w:tcPr>
                <w:p>
                  <w:pPr>
                    <w:jc w:val="center"/>
                    <w:rPr>
                      <w:color w:val="auto"/>
                      <w:sz w:val="21"/>
                      <w:szCs w:val="21"/>
                    </w:rPr>
                  </w:pPr>
                  <w:r>
                    <w:rPr>
                      <w:color w:val="auto"/>
                      <w:sz w:val="21"/>
                      <w:szCs w:val="21"/>
                    </w:rPr>
                    <w:t>废水</w:t>
                  </w:r>
                </w:p>
              </w:tc>
              <w:tc>
                <w:tcPr>
                  <w:tcW w:w="556" w:type="dxa"/>
                  <w:noWrap w:val="0"/>
                  <w:vAlign w:val="center"/>
                </w:tcPr>
                <w:p>
                  <w:pPr>
                    <w:jc w:val="center"/>
                    <w:rPr>
                      <w:color w:val="auto"/>
                      <w:sz w:val="21"/>
                      <w:szCs w:val="21"/>
                    </w:rPr>
                  </w:pPr>
                  <w:r>
                    <w:rPr>
                      <w:color w:val="auto"/>
                      <w:sz w:val="21"/>
                      <w:szCs w:val="21"/>
                    </w:rPr>
                    <w:t>W1</w:t>
                  </w:r>
                </w:p>
              </w:tc>
              <w:tc>
                <w:tcPr>
                  <w:tcW w:w="1508" w:type="dxa"/>
                  <w:noWrap w:val="0"/>
                  <w:vAlign w:val="center"/>
                </w:tcPr>
                <w:p>
                  <w:pPr>
                    <w:jc w:val="center"/>
                    <w:rPr>
                      <w:rFonts w:hint="eastAsia" w:eastAsia="宋体"/>
                      <w:color w:val="auto"/>
                      <w:sz w:val="21"/>
                      <w:szCs w:val="21"/>
                      <w:lang w:eastAsia="zh-CN"/>
                    </w:rPr>
                  </w:pPr>
                  <w:r>
                    <w:rPr>
                      <w:rFonts w:hint="eastAsia"/>
                      <w:color w:val="auto"/>
                      <w:sz w:val="21"/>
                      <w:szCs w:val="21"/>
                    </w:rPr>
                    <w:t>医疗废水</w:t>
                  </w:r>
                  <w:r>
                    <w:rPr>
                      <w:rFonts w:hint="eastAsia"/>
                      <w:color w:val="auto"/>
                      <w:sz w:val="21"/>
                      <w:szCs w:val="21"/>
                      <w:lang w:eastAsia="zh-CN"/>
                    </w:rPr>
                    <w:t>（</w:t>
                  </w:r>
                  <w:r>
                    <w:rPr>
                      <w:rFonts w:hint="eastAsia"/>
                      <w:color w:val="auto"/>
                      <w:sz w:val="21"/>
                      <w:szCs w:val="21"/>
                      <w:lang w:val="en-US" w:eastAsia="zh-CN"/>
                    </w:rPr>
                    <w:t>病房废水</w:t>
                  </w:r>
                  <w:r>
                    <w:rPr>
                      <w:rFonts w:hint="eastAsia"/>
                      <w:color w:val="auto"/>
                      <w:sz w:val="21"/>
                      <w:szCs w:val="21"/>
                      <w:lang w:eastAsia="zh-CN"/>
                    </w:rPr>
                    <w:t>）</w:t>
                  </w:r>
                </w:p>
              </w:tc>
              <w:tc>
                <w:tcPr>
                  <w:tcW w:w="1497" w:type="dxa"/>
                  <w:noWrap w:val="0"/>
                  <w:vAlign w:val="center"/>
                </w:tcPr>
                <w:p>
                  <w:pPr>
                    <w:jc w:val="center"/>
                    <w:rPr>
                      <w:rFonts w:hint="eastAsia" w:eastAsia="宋体"/>
                      <w:color w:val="auto"/>
                      <w:sz w:val="21"/>
                      <w:szCs w:val="21"/>
                      <w:lang w:val="en-US" w:eastAsia="zh-CN"/>
                    </w:rPr>
                  </w:pPr>
                  <w:r>
                    <w:rPr>
                      <w:rFonts w:hint="eastAsia"/>
                      <w:color w:val="auto"/>
                      <w:sz w:val="21"/>
                      <w:szCs w:val="21"/>
                      <w:lang w:val="en-US" w:eastAsia="zh-CN"/>
                    </w:rPr>
                    <w:t>病人</w:t>
                  </w:r>
                  <w:r>
                    <w:rPr>
                      <w:rFonts w:hint="eastAsia"/>
                      <w:color w:val="auto"/>
                      <w:sz w:val="21"/>
                      <w:szCs w:val="21"/>
                    </w:rPr>
                    <w:t>诊疗</w:t>
                  </w:r>
                  <w:r>
                    <w:rPr>
                      <w:rFonts w:hint="eastAsia"/>
                      <w:color w:val="auto"/>
                      <w:sz w:val="21"/>
                      <w:szCs w:val="21"/>
                      <w:lang w:val="en-US" w:eastAsia="zh-CN"/>
                    </w:rPr>
                    <w:t>护理</w:t>
                  </w:r>
                </w:p>
              </w:tc>
              <w:tc>
                <w:tcPr>
                  <w:tcW w:w="2165" w:type="dxa"/>
                  <w:noWrap w:val="0"/>
                  <w:vAlign w:val="center"/>
                </w:tcPr>
                <w:p>
                  <w:pPr>
                    <w:jc w:val="center"/>
                    <w:rPr>
                      <w:rFonts w:hint="eastAsia"/>
                      <w:b/>
                      <w:bCs/>
                      <w:color w:val="auto"/>
                      <w:sz w:val="21"/>
                      <w:szCs w:val="21"/>
                    </w:rPr>
                  </w:pPr>
                  <w:r>
                    <w:rPr>
                      <w:rFonts w:hint="eastAsia"/>
                      <w:color w:val="auto"/>
                      <w:sz w:val="21"/>
                      <w:szCs w:val="21"/>
                    </w:rPr>
                    <w:t>CODcr、BOD</w:t>
                  </w:r>
                  <w:r>
                    <w:rPr>
                      <w:rFonts w:hint="eastAsia"/>
                      <w:color w:val="auto"/>
                      <w:sz w:val="21"/>
                      <w:szCs w:val="21"/>
                      <w:vertAlign w:val="subscript"/>
                    </w:rPr>
                    <w:t>5</w:t>
                  </w:r>
                  <w:r>
                    <w:rPr>
                      <w:rFonts w:hint="eastAsia"/>
                      <w:color w:val="auto"/>
                      <w:sz w:val="21"/>
                      <w:szCs w:val="21"/>
                    </w:rPr>
                    <w:t>、SS、NH</w:t>
                  </w:r>
                  <w:r>
                    <w:rPr>
                      <w:rFonts w:hint="eastAsia"/>
                      <w:color w:val="auto"/>
                      <w:sz w:val="21"/>
                      <w:szCs w:val="21"/>
                      <w:vertAlign w:val="subscript"/>
                    </w:rPr>
                    <w:t>3</w:t>
                  </w:r>
                  <w:r>
                    <w:rPr>
                      <w:rFonts w:hint="eastAsia"/>
                      <w:color w:val="auto"/>
                      <w:sz w:val="21"/>
                      <w:szCs w:val="21"/>
                    </w:rPr>
                    <w:t>-N、粪大肠菌群</w:t>
                  </w:r>
                  <w:r>
                    <w:rPr>
                      <w:rFonts w:hint="eastAsia"/>
                      <w:color w:val="auto"/>
                      <w:sz w:val="21"/>
                      <w:szCs w:val="21"/>
                      <w:lang w:eastAsia="zh-CN"/>
                    </w:rPr>
                    <w:t>数</w:t>
                  </w:r>
                </w:p>
              </w:tc>
              <w:tc>
                <w:tcPr>
                  <w:tcW w:w="1579" w:type="dxa"/>
                  <w:noWrap w:val="0"/>
                  <w:vAlign w:val="center"/>
                </w:tcPr>
                <w:p>
                  <w:pPr>
                    <w:jc w:val="center"/>
                    <w:rPr>
                      <w:rFonts w:hint="eastAsia"/>
                      <w:color w:val="auto"/>
                      <w:sz w:val="21"/>
                      <w:szCs w:val="21"/>
                      <w:u w:val="single"/>
                      <w:lang w:val="en-US" w:eastAsia="zh-CN"/>
                    </w:rPr>
                  </w:pPr>
                  <w:r>
                    <w:rPr>
                      <w:rFonts w:hint="eastAsia"/>
                      <w:color w:val="auto"/>
                      <w:sz w:val="21"/>
                      <w:szCs w:val="21"/>
                      <w:u w:val="single"/>
                      <w:lang w:val="en-US" w:eastAsia="zh-CN"/>
                    </w:rPr>
                    <w:t>pH、动植物油、总余氯、阴离子表面活性剂、挥发酚、</w:t>
                  </w:r>
                </w:p>
                <w:p>
                  <w:pPr>
                    <w:jc w:val="center"/>
                    <w:rPr>
                      <w:rFonts w:hint="default" w:eastAsia="宋体"/>
                      <w:color w:val="auto"/>
                      <w:sz w:val="21"/>
                      <w:szCs w:val="21"/>
                      <w:u w:val="single"/>
                      <w:lang w:val="en-US" w:eastAsia="zh-CN"/>
                    </w:rPr>
                  </w:pPr>
                  <w:r>
                    <w:rPr>
                      <w:rFonts w:hint="eastAsia"/>
                      <w:color w:val="auto"/>
                      <w:sz w:val="21"/>
                      <w:szCs w:val="21"/>
                      <w:u w:val="single"/>
                      <w:lang w:val="en-US" w:eastAsia="zh-CN"/>
                    </w:rPr>
                    <w:t>总氰化物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exact"/>
                <w:jc w:val="center"/>
              </w:trPr>
              <w:tc>
                <w:tcPr>
                  <w:tcW w:w="587" w:type="dxa"/>
                  <w:vMerge w:val="continue"/>
                  <w:noWrap w:val="0"/>
                  <w:vAlign w:val="center"/>
                </w:tcPr>
                <w:p>
                  <w:pPr>
                    <w:jc w:val="center"/>
                    <w:rPr>
                      <w:color w:val="auto"/>
                      <w:sz w:val="21"/>
                      <w:szCs w:val="21"/>
                    </w:rPr>
                  </w:pPr>
                </w:p>
              </w:tc>
              <w:tc>
                <w:tcPr>
                  <w:tcW w:w="556" w:type="dxa"/>
                  <w:noWrap w:val="0"/>
                  <w:vAlign w:val="center"/>
                </w:tcPr>
                <w:p>
                  <w:pPr>
                    <w:jc w:val="center"/>
                    <w:rPr>
                      <w:color w:val="auto"/>
                      <w:sz w:val="21"/>
                      <w:szCs w:val="21"/>
                    </w:rPr>
                  </w:pPr>
                  <w:r>
                    <w:rPr>
                      <w:color w:val="auto"/>
                      <w:sz w:val="21"/>
                      <w:szCs w:val="21"/>
                    </w:rPr>
                    <w:t>W2</w:t>
                  </w:r>
                </w:p>
              </w:tc>
              <w:tc>
                <w:tcPr>
                  <w:tcW w:w="1508" w:type="dxa"/>
                  <w:noWrap w:val="0"/>
                  <w:vAlign w:val="center"/>
                </w:tcPr>
                <w:p>
                  <w:pPr>
                    <w:jc w:val="center"/>
                    <w:rPr>
                      <w:rFonts w:hint="eastAsia"/>
                      <w:color w:val="auto"/>
                      <w:sz w:val="21"/>
                      <w:szCs w:val="21"/>
                    </w:rPr>
                  </w:pPr>
                  <w:r>
                    <w:rPr>
                      <w:rFonts w:hint="eastAsia"/>
                      <w:color w:val="auto"/>
                      <w:sz w:val="21"/>
                      <w:szCs w:val="21"/>
                    </w:rPr>
                    <w:t>生活污水</w:t>
                  </w:r>
                </w:p>
              </w:tc>
              <w:tc>
                <w:tcPr>
                  <w:tcW w:w="1497" w:type="dxa"/>
                  <w:noWrap w:val="0"/>
                  <w:vAlign w:val="center"/>
                </w:tcPr>
                <w:p>
                  <w:pPr>
                    <w:jc w:val="center"/>
                    <w:rPr>
                      <w:rFonts w:hint="eastAsia"/>
                      <w:color w:val="auto"/>
                      <w:sz w:val="21"/>
                      <w:szCs w:val="21"/>
                    </w:rPr>
                  </w:pPr>
                  <w:r>
                    <w:rPr>
                      <w:rFonts w:hint="eastAsia"/>
                      <w:color w:val="auto"/>
                      <w:sz w:val="21"/>
                      <w:szCs w:val="21"/>
                      <w:lang w:val="en-US" w:eastAsia="zh-CN"/>
                    </w:rPr>
                    <w:t>医务人员</w:t>
                  </w:r>
                  <w:r>
                    <w:rPr>
                      <w:rFonts w:hint="eastAsia"/>
                      <w:color w:val="auto"/>
                      <w:sz w:val="21"/>
                      <w:szCs w:val="21"/>
                    </w:rPr>
                    <w:t>生活</w:t>
                  </w:r>
                </w:p>
              </w:tc>
              <w:tc>
                <w:tcPr>
                  <w:tcW w:w="2165" w:type="dxa"/>
                  <w:noWrap w:val="0"/>
                  <w:vAlign w:val="center"/>
                </w:tcPr>
                <w:p>
                  <w:pPr>
                    <w:jc w:val="center"/>
                    <w:rPr>
                      <w:color w:val="auto"/>
                      <w:sz w:val="21"/>
                      <w:szCs w:val="21"/>
                    </w:rPr>
                  </w:pPr>
                  <w:r>
                    <w:rPr>
                      <w:rFonts w:hint="eastAsia"/>
                      <w:color w:val="auto"/>
                      <w:sz w:val="21"/>
                      <w:szCs w:val="21"/>
                    </w:rPr>
                    <w:t>CODcr、BOD</w:t>
                  </w:r>
                  <w:r>
                    <w:rPr>
                      <w:rFonts w:hint="eastAsia"/>
                      <w:color w:val="auto"/>
                      <w:sz w:val="21"/>
                      <w:szCs w:val="21"/>
                      <w:vertAlign w:val="subscript"/>
                    </w:rPr>
                    <w:t>5</w:t>
                  </w:r>
                  <w:r>
                    <w:rPr>
                      <w:rFonts w:hint="eastAsia"/>
                      <w:color w:val="auto"/>
                      <w:sz w:val="21"/>
                      <w:szCs w:val="21"/>
                    </w:rPr>
                    <w:t>、SS、NH</w:t>
                  </w:r>
                  <w:r>
                    <w:rPr>
                      <w:rFonts w:hint="eastAsia"/>
                      <w:color w:val="auto"/>
                      <w:sz w:val="21"/>
                      <w:szCs w:val="21"/>
                      <w:vertAlign w:val="subscript"/>
                    </w:rPr>
                    <w:t>3</w:t>
                  </w:r>
                  <w:r>
                    <w:rPr>
                      <w:rFonts w:hint="eastAsia"/>
                      <w:color w:val="auto"/>
                      <w:sz w:val="21"/>
                      <w:szCs w:val="21"/>
                    </w:rPr>
                    <w:t>-N</w:t>
                  </w:r>
                </w:p>
              </w:tc>
              <w:tc>
                <w:tcPr>
                  <w:tcW w:w="1579" w:type="dxa"/>
                  <w:noWrap w:val="0"/>
                  <w:vAlign w:val="center"/>
                </w:tcPr>
                <w:p>
                  <w:pPr>
                    <w:jc w:val="center"/>
                    <w:rPr>
                      <w:rFonts w:hint="default"/>
                      <w:color w:val="auto"/>
                      <w:sz w:val="21"/>
                      <w:szCs w:val="21"/>
                      <w:u w:val="single"/>
                      <w:lang w:val="en-US"/>
                    </w:rPr>
                  </w:pPr>
                  <w:r>
                    <w:rPr>
                      <w:rFonts w:hint="eastAsia"/>
                      <w:color w:val="auto"/>
                      <w:sz w:val="21"/>
                      <w:szCs w:val="21"/>
                      <w:u w:val="single"/>
                      <w:lang w:val="en-US" w:eastAsia="zh-CN"/>
                    </w:rPr>
                    <w:t>pH、动植物油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exact"/>
                <w:jc w:val="center"/>
              </w:trPr>
              <w:tc>
                <w:tcPr>
                  <w:tcW w:w="587" w:type="dxa"/>
                  <w:noWrap w:val="0"/>
                  <w:vAlign w:val="center"/>
                </w:tcPr>
                <w:p>
                  <w:pPr>
                    <w:jc w:val="center"/>
                    <w:rPr>
                      <w:color w:val="auto"/>
                      <w:sz w:val="21"/>
                      <w:szCs w:val="21"/>
                    </w:rPr>
                  </w:pPr>
                  <w:r>
                    <w:rPr>
                      <w:rFonts w:hint="eastAsia"/>
                      <w:color w:val="auto"/>
                      <w:sz w:val="21"/>
                      <w:szCs w:val="21"/>
                    </w:rPr>
                    <w:t>噪声</w:t>
                  </w:r>
                </w:p>
              </w:tc>
              <w:tc>
                <w:tcPr>
                  <w:tcW w:w="556" w:type="dxa"/>
                  <w:noWrap w:val="0"/>
                  <w:vAlign w:val="center"/>
                </w:tcPr>
                <w:p>
                  <w:pPr>
                    <w:jc w:val="center"/>
                    <w:rPr>
                      <w:color w:val="auto"/>
                      <w:sz w:val="21"/>
                      <w:szCs w:val="21"/>
                    </w:rPr>
                  </w:pPr>
                  <w:r>
                    <w:rPr>
                      <w:rFonts w:hint="eastAsia"/>
                      <w:color w:val="auto"/>
                      <w:sz w:val="21"/>
                      <w:szCs w:val="21"/>
                    </w:rPr>
                    <w:t>N</w:t>
                  </w:r>
                </w:p>
              </w:tc>
              <w:tc>
                <w:tcPr>
                  <w:tcW w:w="1508" w:type="dxa"/>
                  <w:noWrap w:val="0"/>
                  <w:vAlign w:val="center"/>
                </w:tcPr>
                <w:p>
                  <w:pPr>
                    <w:jc w:val="center"/>
                    <w:rPr>
                      <w:rFonts w:hint="eastAsia"/>
                      <w:color w:val="auto"/>
                      <w:sz w:val="21"/>
                      <w:szCs w:val="21"/>
                    </w:rPr>
                  </w:pPr>
                  <w:r>
                    <w:rPr>
                      <w:rFonts w:hint="eastAsia"/>
                      <w:color w:val="auto"/>
                      <w:sz w:val="21"/>
                      <w:szCs w:val="21"/>
                    </w:rPr>
                    <w:t>机械设备</w:t>
                  </w:r>
                </w:p>
              </w:tc>
              <w:tc>
                <w:tcPr>
                  <w:tcW w:w="1497" w:type="dxa"/>
                  <w:noWrap w:val="0"/>
                  <w:vAlign w:val="center"/>
                </w:tcPr>
                <w:p>
                  <w:pPr>
                    <w:jc w:val="center"/>
                    <w:rPr>
                      <w:rFonts w:hint="eastAsia"/>
                      <w:color w:val="auto"/>
                      <w:sz w:val="21"/>
                      <w:szCs w:val="21"/>
                    </w:rPr>
                  </w:pPr>
                  <w:r>
                    <w:rPr>
                      <w:rFonts w:hint="eastAsia"/>
                      <w:color w:val="auto"/>
                      <w:sz w:val="21"/>
                      <w:szCs w:val="21"/>
                    </w:rPr>
                    <w:t>空调机组、</w:t>
                  </w:r>
                  <w:r>
                    <w:rPr>
                      <w:rFonts w:hint="eastAsia"/>
                      <w:color w:val="auto"/>
                      <w:sz w:val="21"/>
                      <w:szCs w:val="21"/>
                      <w:lang w:val="en-US" w:eastAsia="zh-CN"/>
                    </w:rPr>
                    <w:t>配电设备</w:t>
                  </w:r>
                  <w:r>
                    <w:rPr>
                      <w:rFonts w:hint="eastAsia" w:ascii="宋体" w:hAnsi="宋体" w:cs="宋体"/>
                      <w:color w:val="auto"/>
                      <w:kern w:val="0"/>
                      <w:sz w:val="21"/>
                      <w:szCs w:val="21"/>
                      <w:lang w:bidi="ar"/>
                    </w:rPr>
                    <w:t>等</w:t>
                  </w:r>
                </w:p>
              </w:tc>
              <w:tc>
                <w:tcPr>
                  <w:tcW w:w="2165" w:type="dxa"/>
                  <w:noWrap w:val="0"/>
                  <w:vAlign w:val="center"/>
                </w:tcPr>
                <w:p>
                  <w:pPr>
                    <w:jc w:val="center"/>
                    <w:rPr>
                      <w:color w:val="auto"/>
                      <w:sz w:val="21"/>
                      <w:szCs w:val="21"/>
                    </w:rPr>
                  </w:pPr>
                  <w:r>
                    <w:rPr>
                      <w:color w:val="auto"/>
                      <w:sz w:val="21"/>
                      <w:szCs w:val="21"/>
                    </w:rPr>
                    <w:t>等效连续A声级</w:t>
                  </w:r>
                </w:p>
              </w:tc>
              <w:tc>
                <w:tcPr>
                  <w:tcW w:w="1579" w:type="dxa"/>
                  <w:noWrap w:val="0"/>
                  <w:vAlign w:val="center"/>
                </w:tcPr>
                <w:p>
                  <w:pPr>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exact"/>
                <w:jc w:val="center"/>
              </w:trPr>
              <w:tc>
                <w:tcPr>
                  <w:tcW w:w="587" w:type="dxa"/>
                  <w:vMerge w:val="restart"/>
                  <w:noWrap w:val="0"/>
                  <w:vAlign w:val="center"/>
                </w:tcPr>
                <w:p>
                  <w:pPr>
                    <w:jc w:val="center"/>
                    <w:rPr>
                      <w:color w:val="auto"/>
                      <w:sz w:val="21"/>
                      <w:szCs w:val="21"/>
                    </w:rPr>
                  </w:pPr>
                  <w:r>
                    <w:rPr>
                      <w:color w:val="auto"/>
                      <w:sz w:val="21"/>
                      <w:szCs w:val="21"/>
                    </w:rPr>
                    <w:t>固废</w:t>
                  </w:r>
                </w:p>
              </w:tc>
              <w:tc>
                <w:tcPr>
                  <w:tcW w:w="556" w:type="dxa"/>
                  <w:noWrap w:val="0"/>
                  <w:vAlign w:val="center"/>
                </w:tcPr>
                <w:p>
                  <w:pPr>
                    <w:jc w:val="center"/>
                    <w:rPr>
                      <w:color w:val="auto"/>
                      <w:sz w:val="21"/>
                      <w:szCs w:val="21"/>
                    </w:rPr>
                  </w:pPr>
                  <w:r>
                    <w:rPr>
                      <w:color w:val="auto"/>
                      <w:sz w:val="21"/>
                      <w:szCs w:val="21"/>
                    </w:rPr>
                    <w:t>S1</w:t>
                  </w:r>
                </w:p>
              </w:tc>
              <w:tc>
                <w:tcPr>
                  <w:tcW w:w="1508" w:type="dxa"/>
                  <w:noWrap w:val="0"/>
                  <w:vAlign w:val="center"/>
                </w:tcPr>
                <w:p>
                  <w:pPr>
                    <w:jc w:val="center"/>
                    <w:rPr>
                      <w:color w:val="auto"/>
                      <w:sz w:val="21"/>
                      <w:szCs w:val="21"/>
                    </w:rPr>
                  </w:pPr>
                  <w:r>
                    <w:rPr>
                      <w:rFonts w:hint="eastAsia"/>
                      <w:color w:val="auto"/>
                      <w:sz w:val="21"/>
                      <w:szCs w:val="21"/>
                    </w:rPr>
                    <w:t>医疗废物</w:t>
                  </w:r>
                </w:p>
              </w:tc>
              <w:tc>
                <w:tcPr>
                  <w:tcW w:w="1497" w:type="dxa"/>
                  <w:noWrap w:val="0"/>
                  <w:vAlign w:val="center"/>
                </w:tcPr>
                <w:p>
                  <w:pPr>
                    <w:jc w:val="center"/>
                    <w:rPr>
                      <w:color w:val="auto"/>
                      <w:sz w:val="21"/>
                      <w:szCs w:val="21"/>
                    </w:rPr>
                  </w:pPr>
                  <w:r>
                    <w:rPr>
                      <w:rFonts w:hint="eastAsia"/>
                      <w:color w:val="auto"/>
                      <w:sz w:val="21"/>
                      <w:szCs w:val="21"/>
                    </w:rPr>
                    <w:t>医疗过程</w:t>
                  </w:r>
                </w:p>
              </w:tc>
              <w:tc>
                <w:tcPr>
                  <w:tcW w:w="2165" w:type="dxa"/>
                  <w:noWrap w:val="0"/>
                  <w:vAlign w:val="center"/>
                </w:tcPr>
                <w:p>
                  <w:pPr>
                    <w:jc w:val="center"/>
                    <w:rPr>
                      <w:color w:val="auto"/>
                      <w:sz w:val="21"/>
                      <w:szCs w:val="21"/>
                    </w:rPr>
                  </w:pPr>
                  <w:r>
                    <w:rPr>
                      <w:rFonts w:hint="eastAsia"/>
                      <w:color w:val="auto"/>
                      <w:sz w:val="21"/>
                      <w:szCs w:val="21"/>
                    </w:rPr>
                    <w:t>一次性医疗器具、护理过程产生的病理废弃物等</w:t>
                  </w:r>
                </w:p>
              </w:tc>
              <w:tc>
                <w:tcPr>
                  <w:tcW w:w="1579" w:type="dxa"/>
                  <w:noWrap w:val="0"/>
                  <w:vAlign w:val="center"/>
                </w:tcPr>
                <w:p>
                  <w:pPr>
                    <w:jc w:val="center"/>
                    <w:rPr>
                      <w:rFonts w:hint="eastAsia"/>
                      <w:color w:val="auto"/>
                      <w:sz w:val="21"/>
                      <w:szCs w:val="21"/>
                    </w:rPr>
                  </w:pPr>
                  <w:r>
                    <w:rPr>
                      <w:rFonts w:hint="eastAsia"/>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587" w:type="dxa"/>
                  <w:vMerge w:val="continue"/>
                  <w:noWrap w:val="0"/>
                  <w:vAlign w:val="center"/>
                </w:tcPr>
                <w:p>
                  <w:pPr>
                    <w:jc w:val="center"/>
                    <w:rPr>
                      <w:color w:val="auto"/>
                      <w:sz w:val="21"/>
                      <w:szCs w:val="21"/>
                    </w:rPr>
                  </w:pPr>
                </w:p>
              </w:tc>
              <w:tc>
                <w:tcPr>
                  <w:tcW w:w="556" w:type="dxa"/>
                  <w:noWrap w:val="0"/>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S2</w:t>
                  </w:r>
                </w:p>
              </w:tc>
              <w:tc>
                <w:tcPr>
                  <w:tcW w:w="1508" w:type="dxa"/>
                  <w:noWrap w:val="0"/>
                  <w:vAlign w:val="center"/>
                </w:tcPr>
                <w:p>
                  <w:pPr>
                    <w:jc w:val="center"/>
                    <w:rPr>
                      <w:rFonts w:hint="default"/>
                      <w:color w:val="auto"/>
                      <w:sz w:val="21"/>
                      <w:szCs w:val="21"/>
                      <w:u w:val="single"/>
                      <w:lang w:val="en-US" w:eastAsia="zh-CN"/>
                    </w:rPr>
                  </w:pPr>
                  <w:r>
                    <w:rPr>
                      <w:rFonts w:hint="eastAsia"/>
                      <w:color w:val="auto"/>
                      <w:sz w:val="21"/>
                      <w:szCs w:val="21"/>
                      <w:u w:val="single"/>
                      <w:lang w:val="en-US" w:eastAsia="zh-CN"/>
                    </w:rPr>
                    <w:t>药房</w:t>
                  </w:r>
                </w:p>
              </w:tc>
              <w:tc>
                <w:tcPr>
                  <w:tcW w:w="1497" w:type="dxa"/>
                  <w:noWrap w:val="0"/>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医疗过程</w:t>
                  </w:r>
                </w:p>
              </w:tc>
              <w:tc>
                <w:tcPr>
                  <w:tcW w:w="2165" w:type="dxa"/>
                  <w:noWrap w:val="0"/>
                  <w:vAlign w:val="center"/>
                </w:tcPr>
                <w:p>
                  <w:pPr>
                    <w:jc w:val="center"/>
                    <w:rPr>
                      <w:rFonts w:hint="eastAsia"/>
                      <w:color w:val="auto"/>
                      <w:sz w:val="21"/>
                      <w:szCs w:val="21"/>
                      <w:u w:val="single"/>
                    </w:rPr>
                  </w:pPr>
                  <w:r>
                    <w:rPr>
                      <w:rFonts w:hint="eastAsia"/>
                      <w:color w:val="auto"/>
                      <w:sz w:val="21"/>
                      <w:szCs w:val="21"/>
                      <w:u w:val="single"/>
                      <w:lang w:val="en-US" w:eastAsia="zh-CN"/>
                    </w:rPr>
                    <w:t>废药物药品</w:t>
                  </w:r>
                </w:p>
              </w:tc>
              <w:tc>
                <w:tcPr>
                  <w:tcW w:w="1579" w:type="dxa"/>
                  <w:noWrap w:val="0"/>
                  <w:vAlign w:val="center"/>
                </w:tcPr>
                <w:p>
                  <w:pPr>
                    <w:jc w:val="center"/>
                    <w:rPr>
                      <w:rFonts w:hint="eastAsia"/>
                      <w:color w:val="auto"/>
                      <w:sz w:val="21"/>
                      <w:szCs w:val="21"/>
                      <w:lang w:val="en-US" w:eastAsia="zh-CN"/>
                    </w:rPr>
                  </w:pPr>
                  <w:r>
                    <w:rPr>
                      <w:rFonts w:hint="eastAsia"/>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587" w:type="dxa"/>
                  <w:vMerge w:val="continue"/>
                  <w:noWrap w:val="0"/>
                  <w:vAlign w:val="center"/>
                </w:tcPr>
                <w:p>
                  <w:pPr>
                    <w:jc w:val="center"/>
                    <w:rPr>
                      <w:color w:val="auto"/>
                      <w:sz w:val="21"/>
                      <w:szCs w:val="21"/>
                    </w:rPr>
                  </w:pPr>
                </w:p>
              </w:tc>
              <w:tc>
                <w:tcPr>
                  <w:tcW w:w="556" w:type="dxa"/>
                  <w:noWrap w:val="0"/>
                  <w:vAlign w:val="center"/>
                </w:tcPr>
                <w:p>
                  <w:pPr>
                    <w:jc w:val="center"/>
                    <w:rPr>
                      <w:rFonts w:hint="eastAsia" w:eastAsia="宋体"/>
                      <w:color w:val="auto"/>
                      <w:sz w:val="21"/>
                      <w:szCs w:val="21"/>
                      <w:lang w:val="en-US" w:eastAsia="zh-CN"/>
                    </w:rPr>
                  </w:pPr>
                  <w:r>
                    <w:rPr>
                      <w:color w:val="auto"/>
                      <w:sz w:val="21"/>
                      <w:szCs w:val="21"/>
                    </w:rPr>
                    <w:t>S</w:t>
                  </w:r>
                  <w:r>
                    <w:rPr>
                      <w:rFonts w:hint="eastAsia"/>
                      <w:color w:val="auto"/>
                      <w:sz w:val="21"/>
                      <w:szCs w:val="21"/>
                      <w:lang w:val="en-US" w:eastAsia="zh-CN"/>
                    </w:rPr>
                    <w:t>3</w:t>
                  </w:r>
                </w:p>
              </w:tc>
              <w:tc>
                <w:tcPr>
                  <w:tcW w:w="1508"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化粪池</w:t>
                  </w:r>
                </w:p>
              </w:tc>
              <w:tc>
                <w:tcPr>
                  <w:tcW w:w="1497" w:type="dxa"/>
                  <w:noWrap w:val="0"/>
                  <w:vAlign w:val="center"/>
                </w:tcPr>
                <w:p>
                  <w:pPr>
                    <w:jc w:val="center"/>
                    <w:rPr>
                      <w:rFonts w:hint="eastAsia" w:eastAsia="宋体"/>
                      <w:color w:val="auto"/>
                      <w:sz w:val="21"/>
                      <w:szCs w:val="21"/>
                      <w:lang w:val="en-US" w:eastAsia="zh-CN"/>
                    </w:rPr>
                  </w:pPr>
                  <w:r>
                    <w:rPr>
                      <w:rFonts w:hint="eastAsia"/>
                      <w:color w:val="auto"/>
                      <w:sz w:val="21"/>
                      <w:szCs w:val="21"/>
                    </w:rPr>
                    <w:t>污水</w:t>
                  </w:r>
                  <w:r>
                    <w:rPr>
                      <w:rFonts w:hint="eastAsia"/>
                      <w:color w:val="auto"/>
                      <w:sz w:val="21"/>
                      <w:szCs w:val="21"/>
                      <w:lang w:val="en-US" w:eastAsia="zh-CN"/>
                    </w:rPr>
                    <w:t>预处理</w:t>
                  </w:r>
                </w:p>
              </w:tc>
              <w:tc>
                <w:tcPr>
                  <w:tcW w:w="2165" w:type="dxa"/>
                  <w:noWrap w:val="0"/>
                  <w:vAlign w:val="center"/>
                </w:tcPr>
                <w:p>
                  <w:pPr>
                    <w:jc w:val="center"/>
                    <w:rPr>
                      <w:rFonts w:hint="default" w:eastAsia="宋体"/>
                      <w:color w:val="auto"/>
                      <w:sz w:val="21"/>
                      <w:szCs w:val="21"/>
                      <w:lang w:val="en-US" w:eastAsia="zh-CN"/>
                    </w:rPr>
                  </w:pPr>
                  <w:r>
                    <w:rPr>
                      <w:rFonts w:hint="eastAsia"/>
                      <w:color w:val="auto"/>
                      <w:sz w:val="21"/>
                      <w:szCs w:val="21"/>
                    </w:rPr>
                    <w:t>污泥</w:t>
                  </w:r>
                </w:p>
              </w:tc>
              <w:tc>
                <w:tcPr>
                  <w:tcW w:w="1579" w:type="dxa"/>
                  <w:noWrap w:val="0"/>
                  <w:vAlign w:val="center"/>
                </w:tcPr>
                <w:p>
                  <w:pPr>
                    <w:jc w:val="center"/>
                    <w:rPr>
                      <w:rFonts w:hint="eastAsia"/>
                      <w:color w:val="auto"/>
                      <w:sz w:val="21"/>
                      <w:szCs w:val="21"/>
                    </w:rPr>
                  </w:pPr>
                  <w:r>
                    <w:rPr>
                      <w:rFonts w:hint="eastAsia"/>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587" w:type="dxa"/>
                  <w:vMerge w:val="continue"/>
                  <w:noWrap w:val="0"/>
                  <w:vAlign w:val="center"/>
                </w:tcPr>
                <w:p>
                  <w:pPr>
                    <w:jc w:val="center"/>
                    <w:rPr>
                      <w:color w:val="auto"/>
                      <w:sz w:val="21"/>
                      <w:szCs w:val="21"/>
                    </w:rPr>
                  </w:pPr>
                </w:p>
              </w:tc>
              <w:tc>
                <w:tcPr>
                  <w:tcW w:w="556" w:type="dxa"/>
                  <w:noWrap w:val="0"/>
                  <w:vAlign w:val="center"/>
                </w:tcPr>
                <w:p>
                  <w:pPr>
                    <w:jc w:val="center"/>
                    <w:rPr>
                      <w:rFonts w:hint="eastAsia" w:eastAsia="宋体"/>
                      <w:color w:val="auto"/>
                      <w:sz w:val="21"/>
                      <w:szCs w:val="21"/>
                      <w:lang w:val="en-US" w:eastAsia="zh-CN"/>
                    </w:rPr>
                  </w:pPr>
                  <w:r>
                    <w:rPr>
                      <w:rFonts w:hint="eastAsia"/>
                      <w:color w:val="auto"/>
                      <w:sz w:val="21"/>
                      <w:szCs w:val="21"/>
                    </w:rPr>
                    <w:t>S</w:t>
                  </w:r>
                  <w:r>
                    <w:rPr>
                      <w:rFonts w:hint="eastAsia"/>
                      <w:color w:val="auto"/>
                      <w:sz w:val="21"/>
                      <w:szCs w:val="21"/>
                      <w:lang w:val="en-US" w:eastAsia="zh-CN"/>
                    </w:rPr>
                    <w:t>4</w:t>
                  </w:r>
                </w:p>
              </w:tc>
              <w:tc>
                <w:tcPr>
                  <w:tcW w:w="1508" w:type="dxa"/>
                  <w:noWrap w:val="0"/>
                  <w:vAlign w:val="center"/>
                </w:tcPr>
                <w:p>
                  <w:pPr>
                    <w:contextualSpacing/>
                    <w:jc w:val="center"/>
                    <w:rPr>
                      <w:color w:val="auto"/>
                      <w:sz w:val="21"/>
                      <w:szCs w:val="21"/>
                    </w:rPr>
                  </w:pPr>
                  <w:r>
                    <w:rPr>
                      <w:rFonts w:hint="eastAsia"/>
                      <w:color w:val="auto"/>
                      <w:sz w:val="21"/>
                      <w:szCs w:val="21"/>
                      <w:lang w:val="en-US" w:eastAsia="zh-CN"/>
                    </w:rPr>
                    <w:t>医务人员</w:t>
                  </w:r>
                  <w:r>
                    <w:rPr>
                      <w:rFonts w:hint="eastAsia"/>
                      <w:color w:val="auto"/>
                      <w:sz w:val="21"/>
                      <w:szCs w:val="21"/>
                    </w:rPr>
                    <w:t>、病人生活</w:t>
                  </w:r>
                </w:p>
              </w:tc>
              <w:tc>
                <w:tcPr>
                  <w:tcW w:w="1497" w:type="dxa"/>
                  <w:noWrap w:val="0"/>
                  <w:vAlign w:val="center"/>
                </w:tcPr>
                <w:p>
                  <w:pPr>
                    <w:contextualSpacing/>
                    <w:jc w:val="center"/>
                    <w:rPr>
                      <w:color w:val="auto"/>
                      <w:sz w:val="21"/>
                      <w:szCs w:val="21"/>
                    </w:rPr>
                  </w:pPr>
                  <w:r>
                    <w:rPr>
                      <w:rFonts w:hint="eastAsia"/>
                      <w:color w:val="auto"/>
                      <w:sz w:val="21"/>
                      <w:szCs w:val="21"/>
                      <w:lang w:val="en-US" w:eastAsia="zh-CN"/>
                    </w:rPr>
                    <w:t>医务人员</w:t>
                  </w:r>
                  <w:r>
                    <w:rPr>
                      <w:rFonts w:hint="eastAsia"/>
                      <w:color w:val="auto"/>
                      <w:sz w:val="21"/>
                      <w:szCs w:val="21"/>
                    </w:rPr>
                    <w:t>、病人生活</w:t>
                  </w:r>
                </w:p>
              </w:tc>
              <w:tc>
                <w:tcPr>
                  <w:tcW w:w="2165" w:type="dxa"/>
                  <w:noWrap w:val="0"/>
                  <w:vAlign w:val="center"/>
                </w:tcPr>
                <w:p>
                  <w:pPr>
                    <w:jc w:val="center"/>
                    <w:rPr>
                      <w:color w:val="auto"/>
                      <w:sz w:val="21"/>
                      <w:szCs w:val="21"/>
                    </w:rPr>
                  </w:pPr>
                  <w:r>
                    <w:rPr>
                      <w:rFonts w:hint="eastAsia" w:cs="Calibri"/>
                      <w:color w:val="auto"/>
                      <w:sz w:val="21"/>
                      <w:szCs w:val="21"/>
                    </w:rPr>
                    <w:t>生活垃圾</w:t>
                  </w:r>
                </w:p>
              </w:tc>
              <w:tc>
                <w:tcPr>
                  <w:tcW w:w="1579" w:type="dxa"/>
                  <w:noWrap w:val="0"/>
                  <w:vAlign w:val="center"/>
                </w:tcPr>
                <w:p>
                  <w:pPr>
                    <w:jc w:val="center"/>
                    <w:rPr>
                      <w:rFonts w:hint="eastAsia" w:cs="Calibri"/>
                      <w:color w:val="auto"/>
                      <w:sz w:val="21"/>
                      <w:szCs w:val="21"/>
                    </w:rPr>
                  </w:pPr>
                  <w:r>
                    <w:rPr>
                      <w:rFonts w:hint="eastAsia"/>
                      <w:color w:val="auto"/>
                      <w:sz w:val="21"/>
                      <w:szCs w:val="21"/>
                      <w:lang w:val="en-US" w:eastAsia="zh-CN"/>
                    </w:rPr>
                    <w:t>/</w:t>
                  </w:r>
                </w:p>
              </w:tc>
            </w:tr>
          </w:tbl>
          <w:p>
            <w:pPr>
              <w:widowControl w:val="0"/>
              <w:wordWrap w:val="0"/>
              <w:topLinePunct/>
              <w:spacing w:line="360" w:lineRule="auto"/>
              <w:jc w:val="both"/>
              <w:rPr>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25" w:hRule="atLeast"/>
          <w:jc w:val="center"/>
        </w:trPr>
        <w:tc>
          <w:tcPr>
            <w:tcW w:w="926" w:type="dxa"/>
            <w:noWrap w:val="0"/>
            <w:vAlign w:val="center"/>
          </w:tcPr>
          <w:p>
            <w:pPr>
              <w:rPr>
                <w:sz w:val="21"/>
                <w:szCs w:val="21"/>
              </w:rPr>
            </w:pPr>
            <w:r>
              <w:rPr>
                <w:b/>
                <w:bCs/>
              </w:rPr>
              <w:t>与项目有关的原有环境污染问题</w:t>
            </w:r>
          </w:p>
        </w:tc>
        <w:tc>
          <w:tcPr>
            <w:tcW w:w="8134" w:type="dxa"/>
            <w:noWrap w:val="0"/>
            <w:vAlign w:val="top"/>
          </w:tcPr>
          <w:p>
            <w:pPr>
              <w:pStyle w:val="129"/>
              <w:spacing w:line="360" w:lineRule="auto"/>
              <w:rPr>
                <w:rFonts w:hint="eastAsia" w:ascii="Times New Roman" w:hAnsi="Times New Roman" w:cs="Times New Roman"/>
                <w:u w:val="single"/>
              </w:rPr>
            </w:pPr>
            <w:r>
              <w:rPr>
                <w:rFonts w:ascii="Times New Roman" w:hAnsi="Times New Roman" w:cs="Times New Roman"/>
                <w:u w:val="none"/>
              </w:rPr>
              <w:t>项目</w:t>
            </w:r>
            <w:r>
              <w:rPr>
                <w:rFonts w:hint="eastAsia" w:ascii="Times New Roman" w:hAnsi="Times New Roman" w:cs="Times New Roman"/>
                <w:u w:val="none"/>
                <w:lang w:val="en-US" w:eastAsia="zh-CN"/>
              </w:rPr>
              <w:t>利用</w:t>
            </w:r>
            <w:r>
              <w:rPr>
                <w:rFonts w:hint="eastAsia" w:cs="Times New Roman"/>
                <w:u w:val="none" w:color="auto"/>
                <w:lang w:val="en-US" w:eastAsia="zh-CN"/>
              </w:rPr>
              <w:t>花垣县妇幼保健计划生育服务中心综合楼进行装饰装修</w:t>
            </w:r>
            <w:r>
              <w:rPr>
                <w:rFonts w:ascii="Times New Roman" w:hAnsi="Times New Roman" w:cs="Times New Roman"/>
                <w:u w:val="none"/>
              </w:rPr>
              <w:t>，</w:t>
            </w:r>
            <w:r>
              <w:rPr>
                <w:rFonts w:hint="eastAsia" w:cs="Times New Roman"/>
                <w:u w:val="none" w:color="auto"/>
                <w:lang w:val="en-US" w:eastAsia="zh-CN"/>
              </w:rPr>
              <w:t>花垣县妇幼保健计划生育服务中心已搬迁，</w:t>
            </w:r>
            <w:r>
              <w:rPr>
                <w:rFonts w:ascii="Times New Roman" w:hAnsi="Times New Roman" w:cs="Times New Roman"/>
                <w:color w:val="000000"/>
                <w:u w:val="none"/>
              </w:rPr>
              <w:t>目前</w:t>
            </w:r>
            <w:r>
              <w:rPr>
                <w:rFonts w:ascii="Times New Roman" w:hAnsi="Times New Roman" w:cs="Times New Roman"/>
                <w:color w:val="000000"/>
                <w:szCs w:val="24"/>
                <w:u w:val="none"/>
              </w:rPr>
              <w:t>为</w:t>
            </w:r>
            <w:r>
              <w:rPr>
                <w:rFonts w:hint="eastAsia" w:ascii="Times New Roman" w:hAnsi="Times New Roman" w:cs="Times New Roman"/>
                <w:color w:val="000000"/>
                <w:szCs w:val="24"/>
                <w:u w:val="none"/>
                <w:lang w:val="en-US" w:eastAsia="zh-CN"/>
              </w:rPr>
              <w:t>闲置综合楼</w:t>
            </w:r>
            <w:r>
              <w:rPr>
                <w:rFonts w:ascii="Times New Roman" w:hAnsi="Times New Roman" w:cs="Times New Roman"/>
                <w:color w:val="000000"/>
                <w:szCs w:val="24"/>
                <w:u w:val="none"/>
              </w:rPr>
              <w:t>，厂房内不存在原有环境问题。</w:t>
            </w:r>
            <w:r>
              <w:rPr>
                <w:rFonts w:ascii="Times New Roman" w:hAnsi="Times New Roman" w:cs="Times New Roman"/>
                <w:color w:val="000000"/>
                <w:u w:val="none"/>
              </w:rPr>
              <w:t>项目周边主要为居民</w:t>
            </w:r>
            <w:r>
              <w:rPr>
                <w:rFonts w:hint="eastAsia" w:ascii="Times New Roman" w:hAnsi="Times New Roman" w:cs="Times New Roman"/>
                <w:color w:val="000000"/>
                <w:u w:val="none"/>
                <w:lang w:val="en-US" w:eastAsia="zh-CN"/>
              </w:rPr>
              <w:t>点</w:t>
            </w:r>
            <w:r>
              <w:rPr>
                <w:rFonts w:ascii="Times New Roman" w:hAnsi="Times New Roman" w:cs="Times New Roman"/>
                <w:color w:val="000000"/>
                <w:u w:val="none"/>
              </w:rPr>
              <w:t>，主要大气污染因子为</w:t>
            </w:r>
            <w:r>
              <w:rPr>
                <w:rFonts w:hint="eastAsia" w:ascii="Times New Roman" w:hAnsi="Times New Roman" w:cs="Times New Roman"/>
                <w:color w:val="000000"/>
                <w:u w:val="none"/>
                <w:lang w:val="en-US" w:eastAsia="zh-CN"/>
              </w:rPr>
              <w:t>臭气浓度</w:t>
            </w:r>
            <w:r>
              <w:rPr>
                <w:rFonts w:ascii="Times New Roman" w:hAnsi="Times New Roman" w:cs="Times New Roman"/>
                <w:u w:val="none"/>
              </w:rPr>
              <w:t>，在项目污染物达标排放的前提下，项目生产对其周边居民区的影响不明显，且项目所在地块周边企业与本建设项目不冲突。</w:t>
            </w:r>
          </w:p>
        </w:tc>
      </w:tr>
    </w:tbl>
    <w:p>
      <w:pPr>
        <w:pStyle w:val="30"/>
        <w:ind w:firstLine="720"/>
        <w:jc w:val="center"/>
        <w:rPr>
          <w:rFonts w:ascii="Times New Roman" w:hAnsi="Times New Roman"/>
          <w:snapToGrid w:val="0"/>
          <w:sz w:val="36"/>
          <w:szCs w:val="36"/>
        </w:rPr>
        <w:sectPr>
          <w:pgSz w:w="11906" w:h="16838"/>
          <w:pgMar w:top="1134" w:right="1531" w:bottom="1134" w:left="1531" w:header="851" w:footer="850" w:gutter="0"/>
          <w:cols w:space="720" w:num="1"/>
          <w:docGrid w:linePitch="312" w:charSpace="0"/>
        </w:sectPr>
      </w:pPr>
    </w:p>
    <w:p>
      <w:pPr>
        <w:pStyle w:val="25"/>
        <w:rPr>
          <w:snapToGrid w:val="0"/>
        </w:rPr>
      </w:pPr>
      <w:bookmarkStart w:id="12" w:name="_Toc17848"/>
      <w:bookmarkStart w:id="13" w:name="_Toc142759961"/>
      <w:r>
        <w:rPr>
          <w:snapToGrid w:val="0"/>
        </w:rPr>
        <w:t>三、区域环境质量现状、环境保护目标及评价标准</w:t>
      </w:r>
      <w:bookmarkEnd w:id="12"/>
      <w:bookmarkEnd w:id="13"/>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00"/>
        <w:gridCol w:w="819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161" w:hRule="atLeast"/>
          <w:jc w:val="center"/>
        </w:trPr>
        <w:tc>
          <w:tcPr>
            <w:tcW w:w="800" w:type="dxa"/>
            <w:noWrap w:val="0"/>
            <w:vAlign w:val="center"/>
          </w:tcPr>
          <w:p>
            <w:pPr>
              <w:rPr>
                <w:b/>
                <w:bCs/>
              </w:rPr>
            </w:pPr>
            <w:r>
              <w:rPr>
                <w:b/>
                <w:bCs/>
              </w:rPr>
              <w:t>区域</w:t>
            </w:r>
          </w:p>
          <w:p>
            <w:pPr>
              <w:rPr>
                <w:b/>
                <w:bCs/>
              </w:rPr>
            </w:pPr>
            <w:r>
              <w:rPr>
                <w:b/>
                <w:bCs/>
              </w:rPr>
              <w:t>环境</w:t>
            </w:r>
          </w:p>
          <w:p>
            <w:pPr>
              <w:rPr>
                <w:b/>
                <w:bCs/>
              </w:rPr>
            </w:pPr>
            <w:r>
              <w:rPr>
                <w:b/>
                <w:bCs/>
              </w:rPr>
              <w:t>质量</w:t>
            </w:r>
          </w:p>
          <w:p>
            <w:pPr>
              <w:rPr>
                <w:szCs w:val="21"/>
              </w:rPr>
            </w:pPr>
            <w:r>
              <w:rPr>
                <w:b/>
                <w:bCs/>
              </w:rPr>
              <w:t>现状</w:t>
            </w:r>
          </w:p>
        </w:tc>
        <w:tc>
          <w:tcPr>
            <w:tcW w:w="8190" w:type="dxa"/>
            <w:noWrap w:val="0"/>
            <w:vAlign w:val="center"/>
          </w:tcPr>
          <w:p>
            <w:pPr>
              <w:pStyle w:val="161"/>
              <w:rPr>
                <w:rFonts w:hint="default" w:ascii="Times New Roman" w:hAnsi="Times New Roman" w:cs="Times New Roman"/>
                <w:lang w:val="en-US" w:eastAsia="zh-CN"/>
              </w:rPr>
            </w:pPr>
            <w:r>
              <w:rPr>
                <w:rFonts w:hint="default" w:ascii="Times New Roman" w:hAnsi="Times New Roman" w:cs="Times New Roman"/>
                <w:lang w:val="en-US" w:eastAsia="zh-CN"/>
              </w:rPr>
              <w:t>1、大气环境质量现状</w:t>
            </w:r>
          </w:p>
          <w:p>
            <w:pPr>
              <w:pStyle w:val="98"/>
              <w:ind w:firstLine="480"/>
              <w:rPr>
                <w:rFonts w:hint="default"/>
                <w:b/>
                <w:bCs/>
                <w:sz w:val="24"/>
                <w:szCs w:val="24"/>
                <w:u w:val="none"/>
                <w:lang w:val="en-US"/>
              </w:rPr>
            </w:pPr>
            <w:r>
              <w:rPr>
                <w:rFonts w:hint="default" w:ascii="Times New Roman" w:hAnsi="Times New Roman" w:eastAsia="宋体" w:cs="Times New Roman"/>
                <w:b/>
                <w:bCs/>
                <w:sz w:val="24"/>
                <w:szCs w:val="24"/>
                <w:u w:val="none"/>
                <w:lang w:eastAsia="zh-CN"/>
              </w:rPr>
              <w:t>（</w:t>
            </w:r>
            <w:r>
              <w:rPr>
                <w:rFonts w:hint="default" w:ascii="Times New Roman" w:hAnsi="Times New Roman" w:eastAsia="宋体" w:cs="Times New Roman"/>
                <w:b/>
                <w:bCs/>
                <w:sz w:val="24"/>
                <w:szCs w:val="24"/>
                <w:u w:val="none"/>
                <w:lang w:val="en-US" w:eastAsia="zh-CN"/>
              </w:rPr>
              <w:t>1</w:t>
            </w:r>
            <w:r>
              <w:rPr>
                <w:rFonts w:hint="default" w:ascii="Times New Roman" w:hAnsi="Times New Roman" w:eastAsia="宋体" w:cs="Times New Roman"/>
                <w:b/>
                <w:bCs/>
                <w:sz w:val="24"/>
                <w:szCs w:val="24"/>
                <w:u w:val="none"/>
                <w:lang w:eastAsia="zh-CN"/>
              </w:rPr>
              <w:t>）</w:t>
            </w:r>
            <w:r>
              <w:rPr>
                <w:rFonts w:hint="eastAsia" w:ascii="Times New Roman" w:hAnsi="Times New Roman" w:eastAsia="宋体" w:cs="Times New Roman"/>
                <w:b/>
                <w:bCs/>
                <w:sz w:val="24"/>
                <w:szCs w:val="24"/>
                <w:u w:val="none"/>
                <w:lang w:val="en-US" w:eastAsia="zh-CN"/>
              </w:rPr>
              <w:t>项目所在区域达标判断</w:t>
            </w:r>
          </w:p>
          <w:p>
            <w:pPr>
              <w:pStyle w:val="98"/>
              <w:ind w:firstLine="480"/>
              <w:rPr>
                <w:rFonts w:hint="eastAsia"/>
                <w:sz w:val="24"/>
                <w:szCs w:val="24"/>
              </w:rPr>
            </w:pPr>
            <w:r>
              <w:rPr>
                <w:rFonts w:hint="eastAsia"/>
                <w:sz w:val="24"/>
                <w:szCs w:val="24"/>
              </w:rPr>
              <w:t>根据《建设项目环境影响报告表编制技术指南》（2021年版），常规污染物引用与建设项目距离近的有效数据，包括近3年的规划环境影响评价的监测数据，国家、地方环境空气质量监测网数据或生态环境主管部门公开发布的质量数据等。项目所在地区环境空气质量功能区划为二类区，应执行《环境空气质量标准》（GB3095-2012）中二级标准及2018年修改单。</w:t>
            </w:r>
          </w:p>
          <w:p>
            <w:pPr>
              <w:pStyle w:val="98"/>
              <w:ind w:firstLine="480"/>
              <w:rPr>
                <w:sz w:val="24"/>
                <w:szCs w:val="24"/>
              </w:rPr>
            </w:pPr>
            <w:r>
              <w:rPr>
                <w:rFonts w:hint="eastAsia"/>
                <w:sz w:val="24"/>
                <w:szCs w:val="24"/>
              </w:rPr>
              <w:t>项目位于</w:t>
            </w:r>
            <w:r>
              <w:rPr>
                <w:rFonts w:hint="eastAsia"/>
                <w:sz w:val="24"/>
                <w:szCs w:val="24"/>
                <w:lang w:val="en-US" w:eastAsia="zh-CN"/>
              </w:rPr>
              <w:t>花垣县</w:t>
            </w:r>
            <w:r>
              <w:rPr>
                <w:rFonts w:hint="eastAsia"/>
                <w:sz w:val="24"/>
                <w:szCs w:val="24"/>
              </w:rPr>
              <w:t>，</w:t>
            </w:r>
            <w:r>
              <w:rPr>
                <w:rFonts w:hint="eastAsia"/>
                <w:sz w:val="24"/>
              </w:rPr>
              <w:t>环评引用湘西州生态环境局公布的《环境质量简报》中花垣县2023年度大气常规监测数据进行达标分析。详见下表</w:t>
            </w:r>
            <w:r>
              <w:rPr>
                <w:rFonts w:hint="eastAsia"/>
                <w:sz w:val="24"/>
                <w:szCs w:val="24"/>
              </w:rPr>
              <w:t>。</w:t>
            </w:r>
          </w:p>
          <w:p>
            <w:pPr>
              <w:keepNext w:val="0"/>
              <w:keepLines w:val="0"/>
              <w:pageBreakBefore w:val="0"/>
              <w:widowControl/>
              <w:kinsoku/>
              <w:wordWrap w:val="0"/>
              <w:overflowPunct w:val="0"/>
              <w:topLinePunct w:val="0"/>
              <w:autoSpaceDE w:val="0"/>
              <w:autoSpaceDN w:val="0"/>
              <w:bidi w:val="0"/>
              <w:adjustRightInd w:val="0"/>
              <w:snapToGrid w:val="0"/>
              <w:jc w:val="center"/>
              <w:textAlignment w:val="baseline"/>
              <w:rPr>
                <w:rFonts w:cs="宋体"/>
                <w:b/>
                <w:szCs w:val="21"/>
              </w:rPr>
            </w:pPr>
            <w:r>
              <w:rPr>
                <w:rFonts w:hint="eastAsia" w:cs="宋体"/>
                <w:b/>
                <w:szCs w:val="21"/>
              </w:rPr>
              <w:t>表3.1</w:t>
            </w:r>
            <w:r>
              <w:rPr>
                <w:rFonts w:hint="eastAsia" w:cs="宋体"/>
                <w:b/>
                <w:szCs w:val="21"/>
                <w:lang w:val="en-US" w:eastAsia="zh-CN"/>
              </w:rPr>
              <w:t xml:space="preserve">  </w:t>
            </w:r>
            <w:r>
              <w:rPr>
                <w:rFonts w:hint="eastAsia" w:cs="宋体"/>
                <w:b/>
                <w:szCs w:val="21"/>
              </w:rPr>
              <w:t>花垣县2023</w:t>
            </w:r>
            <w:r>
              <w:rPr>
                <w:rFonts w:cs="宋体"/>
                <w:b/>
                <w:szCs w:val="21"/>
              </w:rPr>
              <w:t>年环境空气年平均浓度及达标分析</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2416"/>
              <w:gridCol w:w="1185"/>
              <w:gridCol w:w="1321"/>
              <w:gridCol w:w="1057"/>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
                      <w:sz w:val="21"/>
                      <w:szCs w:val="21"/>
                    </w:rPr>
                  </w:pPr>
                  <w:r>
                    <w:rPr>
                      <w:b/>
                      <w:sz w:val="21"/>
                      <w:szCs w:val="21"/>
                    </w:rPr>
                    <w:t>污染物</w:t>
                  </w:r>
                </w:p>
              </w:tc>
              <w:tc>
                <w:tcPr>
                  <w:tcW w:w="1515" w:type="pct"/>
                  <w:noWrap w:val="0"/>
                  <w:vAlign w:val="center"/>
                </w:tcPr>
                <w:p>
                  <w:pPr>
                    <w:wordWrap w:val="0"/>
                    <w:snapToGrid w:val="0"/>
                    <w:jc w:val="center"/>
                    <w:rPr>
                      <w:b/>
                      <w:sz w:val="21"/>
                      <w:szCs w:val="21"/>
                    </w:rPr>
                  </w:pPr>
                  <w:r>
                    <w:rPr>
                      <w:b/>
                      <w:sz w:val="21"/>
                      <w:szCs w:val="21"/>
                    </w:rPr>
                    <w:t>年评价指标</w:t>
                  </w:r>
                </w:p>
              </w:tc>
              <w:tc>
                <w:tcPr>
                  <w:tcW w:w="743" w:type="pct"/>
                  <w:noWrap w:val="0"/>
                  <w:vAlign w:val="center"/>
                </w:tcPr>
                <w:p>
                  <w:pPr>
                    <w:wordWrap w:val="0"/>
                    <w:snapToGrid w:val="0"/>
                    <w:jc w:val="center"/>
                    <w:rPr>
                      <w:b/>
                      <w:sz w:val="21"/>
                      <w:szCs w:val="21"/>
                    </w:rPr>
                  </w:pPr>
                  <w:r>
                    <w:rPr>
                      <w:b/>
                      <w:sz w:val="21"/>
                      <w:szCs w:val="21"/>
                    </w:rPr>
                    <w:t>现状浓度/（µg/m</w:t>
                  </w:r>
                  <w:r>
                    <w:rPr>
                      <w:b/>
                      <w:sz w:val="21"/>
                      <w:szCs w:val="21"/>
                      <w:vertAlign w:val="superscript"/>
                    </w:rPr>
                    <w:t>3</w:t>
                  </w:r>
                  <w:r>
                    <w:rPr>
                      <w:b/>
                      <w:sz w:val="21"/>
                      <w:szCs w:val="21"/>
                    </w:rPr>
                    <w:t>）</w:t>
                  </w:r>
                </w:p>
              </w:tc>
              <w:tc>
                <w:tcPr>
                  <w:tcW w:w="829" w:type="pct"/>
                  <w:noWrap w:val="0"/>
                  <w:vAlign w:val="center"/>
                </w:tcPr>
                <w:p>
                  <w:pPr>
                    <w:wordWrap w:val="0"/>
                    <w:snapToGrid w:val="0"/>
                    <w:jc w:val="center"/>
                    <w:rPr>
                      <w:b/>
                      <w:sz w:val="21"/>
                      <w:szCs w:val="21"/>
                    </w:rPr>
                  </w:pPr>
                  <w:r>
                    <w:rPr>
                      <w:b/>
                      <w:sz w:val="21"/>
                      <w:szCs w:val="21"/>
                    </w:rPr>
                    <w:t>标准值/</w:t>
                  </w:r>
                </w:p>
                <w:p>
                  <w:pPr>
                    <w:wordWrap w:val="0"/>
                    <w:snapToGrid w:val="0"/>
                    <w:jc w:val="center"/>
                    <w:rPr>
                      <w:b/>
                      <w:sz w:val="21"/>
                      <w:szCs w:val="21"/>
                    </w:rPr>
                  </w:pPr>
                  <w:r>
                    <w:rPr>
                      <w:b/>
                      <w:sz w:val="21"/>
                      <w:szCs w:val="21"/>
                    </w:rPr>
                    <w:t>（µg/m</w:t>
                  </w:r>
                  <w:r>
                    <w:rPr>
                      <w:b/>
                      <w:sz w:val="21"/>
                      <w:szCs w:val="21"/>
                      <w:vertAlign w:val="superscript"/>
                    </w:rPr>
                    <w:t>3</w:t>
                  </w:r>
                  <w:r>
                    <w:rPr>
                      <w:b/>
                      <w:sz w:val="21"/>
                      <w:szCs w:val="21"/>
                    </w:rPr>
                    <w:t>）</w:t>
                  </w:r>
                </w:p>
              </w:tc>
              <w:tc>
                <w:tcPr>
                  <w:tcW w:w="664" w:type="pct"/>
                  <w:noWrap w:val="0"/>
                  <w:vAlign w:val="center"/>
                </w:tcPr>
                <w:p>
                  <w:pPr>
                    <w:wordWrap w:val="0"/>
                    <w:snapToGrid w:val="0"/>
                    <w:jc w:val="center"/>
                    <w:rPr>
                      <w:b/>
                      <w:sz w:val="21"/>
                      <w:szCs w:val="21"/>
                    </w:rPr>
                  </w:pPr>
                  <w:r>
                    <w:rPr>
                      <w:b/>
                      <w:sz w:val="21"/>
                      <w:szCs w:val="21"/>
                    </w:rPr>
                    <w:t>占标率</w:t>
                  </w:r>
                  <w:r>
                    <w:rPr>
                      <w:rFonts w:hint="eastAsia"/>
                      <w:b/>
                      <w:sz w:val="21"/>
                      <w:szCs w:val="21"/>
                    </w:rPr>
                    <w:t>（%）</w:t>
                  </w:r>
                </w:p>
              </w:tc>
              <w:tc>
                <w:tcPr>
                  <w:tcW w:w="671" w:type="pct"/>
                  <w:noWrap w:val="0"/>
                  <w:vAlign w:val="center"/>
                </w:tcPr>
                <w:p>
                  <w:pPr>
                    <w:wordWrap w:val="0"/>
                    <w:snapToGrid w:val="0"/>
                    <w:jc w:val="center"/>
                    <w:rPr>
                      <w:b/>
                      <w:sz w:val="21"/>
                      <w:szCs w:val="21"/>
                    </w:rPr>
                  </w:pPr>
                  <w:r>
                    <w:rPr>
                      <w:b/>
                      <w:sz w:val="21"/>
                      <w:szCs w:val="21"/>
                    </w:rPr>
                    <w:t>达标</w:t>
                  </w:r>
                  <w:r>
                    <w:rPr>
                      <w:rFonts w:hint="eastAsia"/>
                      <w:b/>
                      <w:sz w:val="21"/>
                      <w:szCs w:val="21"/>
                    </w:rPr>
                    <w:t>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 w:val="21"/>
                      <w:szCs w:val="21"/>
                    </w:rPr>
                  </w:pPr>
                  <w:r>
                    <w:rPr>
                      <w:bCs/>
                      <w:sz w:val="21"/>
                      <w:szCs w:val="21"/>
                    </w:rPr>
                    <w:t>SO</w:t>
                  </w:r>
                  <w:r>
                    <w:rPr>
                      <w:bCs/>
                      <w:sz w:val="21"/>
                      <w:szCs w:val="21"/>
                      <w:vertAlign w:val="subscript"/>
                    </w:rPr>
                    <w:t>2</w:t>
                  </w:r>
                </w:p>
              </w:tc>
              <w:tc>
                <w:tcPr>
                  <w:tcW w:w="1515" w:type="pct"/>
                  <w:noWrap w:val="0"/>
                  <w:vAlign w:val="center"/>
                </w:tcPr>
                <w:p>
                  <w:pPr>
                    <w:wordWrap w:val="0"/>
                    <w:snapToGrid w:val="0"/>
                    <w:jc w:val="center"/>
                    <w:rPr>
                      <w:bCs/>
                      <w:sz w:val="21"/>
                      <w:szCs w:val="21"/>
                    </w:rPr>
                  </w:pPr>
                  <w:r>
                    <w:rPr>
                      <w:bCs/>
                      <w:sz w:val="21"/>
                      <w:szCs w:val="21"/>
                    </w:rPr>
                    <w:t>年平均质量浓度</w:t>
                  </w:r>
                </w:p>
              </w:tc>
              <w:tc>
                <w:tcPr>
                  <w:tcW w:w="743" w:type="pct"/>
                  <w:noWrap w:val="0"/>
                  <w:vAlign w:val="center"/>
                </w:tcPr>
                <w:p>
                  <w:pPr>
                    <w:wordWrap w:val="0"/>
                    <w:snapToGrid w:val="0"/>
                    <w:jc w:val="center"/>
                    <w:rPr>
                      <w:bCs/>
                      <w:sz w:val="21"/>
                      <w:szCs w:val="21"/>
                    </w:rPr>
                  </w:pPr>
                  <w:r>
                    <w:rPr>
                      <w:rFonts w:hint="eastAsia"/>
                      <w:bCs/>
                      <w:sz w:val="21"/>
                      <w:szCs w:val="21"/>
                    </w:rPr>
                    <w:t>17</w:t>
                  </w:r>
                </w:p>
              </w:tc>
              <w:tc>
                <w:tcPr>
                  <w:tcW w:w="829" w:type="pct"/>
                  <w:noWrap w:val="0"/>
                  <w:vAlign w:val="center"/>
                </w:tcPr>
                <w:p>
                  <w:pPr>
                    <w:wordWrap w:val="0"/>
                    <w:snapToGrid w:val="0"/>
                    <w:jc w:val="center"/>
                    <w:rPr>
                      <w:bCs/>
                      <w:sz w:val="21"/>
                      <w:szCs w:val="21"/>
                    </w:rPr>
                  </w:pPr>
                  <w:r>
                    <w:rPr>
                      <w:rFonts w:hint="eastAsia"/>
                      <w:bCs/>
                      <w:sz w:val="21"/>
                      <w:szCs w:val="21"/>
                    </w:rPr>
                    <w:t>60</w:t>
                  </w:r>
                </w:p>
              </w:tc>
              <w:tc>
                <w:tcPr>
                  <w:tcW w:w="664" w:type="pct"/>
                  <w:noWrap w:val="0"/>
                  <w:vAlign w:val="center"/>
                </w:tcPr>
                <w:p>
                  <w:pPr>
                    <w:wordWrap w:val="0"/>
                    <w:snapToGrid w:val="0"/>
                    <w:jc w:val="center"/>
                    <w:rPr>
                      <w:rFonts w:cs="宋体"/>
                      <w:bCs/>
                      <w:sz w:val="21"/>
                      <w:szCs w:val="21"/>
                    </w:rPr>
                  </w:pPr>
                  <w:r>
                    <w:rPr>
                      <w:rFonts w:hint="eastAsia" w:cs="宋体"/>
                      <w:bCs/>
                      <w:sz w:val="21"/>
                      <w:szCs w:val="21"/>
                    </w:rPr>
                    <w:t>28.33</w:t>
                  </w:r>
                </w:p>
              </w:tc>
              <w:tc>
                <w:tcPr>
                  <w:tcW w:w="671" w:type="pct"/>
                  <w:noWrap w:val="0"/>
                  <w:vAlign w:val="center"/>
                </w:tcPr>
                <w:p>
                  <w:pPr>
                    <w:wordWrap w:val="0"/>
                    <w:snapToGrid w:val="0"/>
                    <w:jc w:val="center"/>
                    <w:rPr>
                      <w:bCs/>
                      <w:sz w:val="21"/>
                      <w:szCs w:val="21"/>
                    </w:rPr>
                  </w:pPr>
                  <w:r>
                    <w:rPr>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 w:val="21"/>
                      <w:szCs w:val="21"/>
                    </w:rPr>
                  </w:pPr>
                  <w:r>
                    <w:rPr>
                      <w:bCs/>
                      <w:sz w:val="21"/>
                      <w:szCs w:val="21"/>
                    </w:rPr>
                    <w:t>NO</w:t>
                  </w:r>
                  <w:r>
                    <w:rPr>
                      <w:bCs/>
                      <w:sz w:val="21"/>
                      <w:szCs w:val="21"/>
                      <w:vertAlign w:val="subscript"/>
                    </w:rPr>
                    <w:t>2</w:t>
                  </w:r>
                </w:p>
              </w:tc>
              <w:tc>
                <w:tcPr>
                  <w:tcW w:w="1515" w:type="pct"/>
                  <w:noWrap w:val="0"/>
                  <w:vAlign w:val="center"/>
                </w:tcPr>
                <w:p>
                  <w:pPr>
                    <w:wordWrap w:val="0"/>
                    <w:snapToGrid w:val="0"/>
                    <w:jc w:val="center"/>
                    <w:rPr>
                      <w:bCs/>
                      <w:sz w:val="21"/>
                      <w:szCs w:val="21"/>
                    </w:rPr>
                  </w:pPr>
                  <w:r>
                    <w:rPr>
                      <w:bCs/>
                      <w:sz w:val="21"/>
                      <w:szCs w:val="21"/>
                    </w:rPr>
                    <w:t>年平均质量浓度</w:t>
                  </w:r>
                </w:p>
              </w:tc>
              <w:tc>
                <w:tcPr>
                  <w:tcW w:w="743" w:type="pct"/>
                  <w:noWrap w:val="0"/>
                  <w:vAlign w:val="center"/>
                </w:tcPr>
                <w:p>
                  <w:pPr>
                    <w:wordWrap w:val="0"/>
                    <w:snapToGrid w:val="0"/>
                    <w:jc w:val="center"/>
                    <w:rPr>
                      <w:bCs/>
                      <w:sz w:val="21"/>
                      <w:szCs w:val="21"/>
                    </w:rPr>
                  </w:pPr>
                  <w:r>
                    <w:rPr>
                      <w:rFonts w:hint="eastAsia"/>
                      <w:bCs/>
                      <w:sz w:val="21"/>
                      <w:szCs w:val="21"/>
                    </w:rPr>
                    <w:t>14</w:t>
                  </w:r>
                </w:p>
              </w:tc>
              <w:tc>
                <w:tcPr>
                  <w:tcW w:w="829" w:type="pct"/>
                  <w:noWrap w:val="0"/>
                  <w:vAlign w:val="center"/>
                </w:tcPr>
                <w:p>
                  <w:pPr>
                    <w:wordWrap w:val="0"/>
                    <w:snapToGrid w:val="0"/>
                    <w:jc w:val="center"/>
                    <w:rPr>
                      <w:bCs/>
                      <w:sz w:val="21"/>
                      <w:szCs w:val="21"/>
                    </w:rPr>
                  </w:pPr>
                  <w:r>
                    <w:rPr>
                      <w:rFonts w:hint="eastAsia"/>
                      <w:bCs/>
                      <w:sz w:val="21"/>
                      <w:szCs w:val="21"/>
                    </w:rPr>
                    <w:t>40</w:t>
                  </w:r>
                </w:p>
              </w:tc>
              <w:tc>
                <w:tcPr>
                  <w:tcW w:w="664" w:type="pct"/>
                  <w:noWrap w:val="0"/>
                  <w:vAlign w:val="center"/>
                </w:tcPr>
                <w:p>
                  <w:pPr>
                    <w:wordWrap w:val="0"/>
                    <w:snapToGrid w:val="0"/>
                    <w:jc w:val="center"/>
                    <w:rPr>
                      <w:rFonts w:cs="宋体"/>
                      <w:bCs/>
                      <w:sz w:val="21"/>
                      <w:szCs w:val="21"/>
                    </w:rPr>
                  </w:pPr>
                  <w:r>
                    <w:rPr>
                      <w:rFonts w:hint="eastAsia" w:cs="宋体"/>
                      <w:bCs/>
                      <w:sz w:val="21"/>
                      <w:szCs w:val="21"/>
                    </w:rPr>
                    <w:t>35</w:t>
                  </w:r>
                </w:p>
              </w:tc>
              <w:tc>
                <w:tcPr>
                  <w:tcW w:w="671" w:type="pct"/>
                  <w:noWrap w:val="0"/>
                  <w:vAlign w:val="center"/>
                </w:tcPr>
                <w:p>
                  <w:pPr>
                    <w:wordWrap w:val="0"/>
                    <w:snapToGrid w:val="0"/>
                    <w:jc w:val="center"/>
                    <w:rPr>
                      <w:bCs/>
                      <w:sz w:val="21"/>
                      <w:szCs w:val="21"/>
                    </w:rPr>
                  </w:pPr>
                  <w:r>
                    <w:rPr>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 w:val="21"/>
                      <w:szCs w:val="21"/>
                    </w:rPr>
                  </w:pPr>
                  <w:r>
                    <w:rPr>
                      <w:bCs/>
                      <w:sz w:val="21"/>
                      <w:szCs w:val="21"/>
                    </w:rPr>
                    <w:t>PM</w:t>
                  </w:r>
                  <w:r>
                    <w:rPr>
                      <w:bCs/>
                      <w:sz w:val="21"/>
                      <w:szCs w:val="21"/>
                      <w:vertAlign w:val="subscript"/>
                    </w:rPr>
                    <w:t>10</w:t>
                  </w:r>
                </w:p>
              </w:tc>
              <w:tc>
                <w:tcPr>
                  <w:tcW w:w="1515" w:type="pct"/>
                  <w:noWrap w:val="0"/>
                  <w:vAlign w:val="center"/>
                </w:tcPr>
                <w:p>
                  <w:pPr>
                    <w:wordWrap w:val="0"/>
                    <w:snapToGrid w:val="0"/>
                    <w:jc w:val="center"/>
                    <w:rPr>
                      <w:bCs/>
                      <w:sz w:val="21"/>
                      <w:szCs w:val="21"/>
                    </w:rPr>
                  </w:pPr>
                  <w:r>
                    <w:rPr>
                      <w:bCs/>
                      <w:sz w:val="21"/>
                      <w:szCs w:val="21"/>
                    </w:rPr>
                    <w:t>年平均质量浓度</w:t>
                  </w:r>
                </w:p>
              </w:tc>
              <w:tc>
                <w:tcPr>
                  <w:tcW w:w="743" w:type="pct"/>
                  <w:noWrap w:val="0"/>
                  <w:vAlign w:val="center"/>
                </w:tcPr>
                <w:p>
                  <w:pPr>
                    <w:wordWrap w:val="0"/>
                    <w:snapToGrid w:val="0"/>
                    <w:jc w:val="center"/>
                    <w:rPr>
                      <w:bCs/>
                      <w:sz w:val="21"/>
                      <w:szCs w:val="21"/>
                    </w:rPr>
                  </w:pPr>
                  <w:r>
                    <w:rPr>
                      <w:rFonts w:hint="eastAsia"/>
                      <w:bCs/>
                      <w:sz w:val="21"/>
                      <w:szCs w:val="21"/>
                    </w:rPr>
                    <w:t>46</w:t>
                  </w:r>
                </w:p>
              </w:tc>
              <w:tc>
                <w:tcPr>
                  <w:tcW w:w="829" w:type="pct"/>
                  <w:noWrap w:val="0"/>
                  <w:vAlign w:val="center"/>
                </w:tcPr>
                <w:p>
                  <w:pPr>
                    <w:wordWrap w:val="0"/>
                    <w:snapToGrid w:val="0"/>
                    <w:jc w:val="center"/>
                    <w:rPr>
                      <w:bCs/>
                      <w:sz w:val="21"/>
                      <w:szCs w:val="21"/>
                    </w:rPr>
                  </w:pPr>
                  <w:r>
                    <w:rPr>
                      <w:rFonts w:hint="eastAsia"/>
                      <w:bCs/>
                      <w:sz w:val="21"/>
                      <w:szCs w:val="21"/>
                    </w:rPr>
                    <w:t>70</w:t>
                  </w:r>
                </w:p>
              </w:tc>
              <w:tc>
                <w:tcPr>
                  <w:tcW w:w="664" w:type="pct"/>
                  <w:noWrap w:val="0"/>
                  <w:vAlign w:val="center"/>
                </w:tcPr>
                <w:p>
                  <w:pPr>
                    <w:wordWrap w:val="0"/>
                    <w:snapToGrid w:val="0"/>
                    <w:jc w:val="center"/>
                    <w:rPr>
                      <w:rFonts w:cs="宋体"/>
                      <w:bCs/>
                      <w:sz w:val="21"/>
                      <w:szCs w:val="21"/>
                    </w:rPr>
                  </w:pPr>
                  <w:r>
                    <w:rPr>
                      <w:rFonts w:hint="eastAsia" w:cs="宋体"/>
                      <w:bCs/>
                      <w:sz w:val="21"/>
                      <w:szCs w:val="21"/>
                    </w:rPr>
                    <w:t>65.71</w:t>
                  </w:r>
                </w:p>
              </w:tc>
              <w:tc>
                <w:tcPr>
                  <w:tcW w:w="671" w:type="pct"/>
                  <w:noWrap w:val="0"/>
                  <w:vAlign w:val="center"/>
                </w:tcPr>
                <w:p>
                  <w:pPr>
                    <w:wordWrap w:val="0"/>
                    <w:snapToGrid w:val="0"/>
                    <w:jc w:val="center"/>
                    <w:rPr>
                      <w:bCs/>
                      <w:sz w:val="21"/>
                      <w:szCs w:val="21"/>
                    </w:rPr>
                  </w:pPr>
                  <w:r>
                    <w:rPr>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 w:val="21"/>
                      <w:szCs w:val="21"/>
                    </w:rPr>
                  </w:pPr>
                  <w:r>
                    <w:rPr>
                      <w:bCs/>
                      <w:sz w:val="21"/>
                      <w:szCs w:val="21"/>
                    </w:rPr>
                    <w:t>PM</w:t>
                  </w:r>
                  <w:r>
                    <w:rPr>
                      <w:bCs/>
                      <w:sz w:val="21"/>
                      <w:szCs w:val="21"/>
                      <w:vertAlign w:val="subscript"/>
                    </w:rPr>
                    <w:t>2.5</w:t>
                  </w:r>
                </w:p>
              </w:tc>
              <w:tc>
                <w:tcPr>
                  <w:tcW w:w="1515" w:type="pct"/>
                  <w:noWrap w:val="0"/>
                  <w:vAlign w:val="center"/>
                </w:tcPr>
                <w:p>
                  <w:pPr>
                    <w:wordWrap w:val="0"/>
                    <w:snapToGrid w:val="0"/>
                    <w:jc w:val="center"/>
                    <w:rPr>
                      <w:bCs/>
                      <w:sz w:val="21"/>
                      <w:szCs w:val="21"/>
                    </w:rPr>
                  </w:pPr>
                  <w:r>
                    <w:rPr>
                      <w:bCs/>
                      <w:sz w:val="21"/>
                      <w:szCs w:val="21"/>
                    </w:rPr>
                    <w:t>年平均质量浓度</w:t>
                  </w:r>
                </w:p>
              </w:tc>
              <w:tc>
                <w:tcPr>
                  <w:tcW w:w="743" w:type="pct"/>
                  <w:noWrap w:val="0"/>
                  <w:vAlign w:val="center"/>
                </w:tcPr>
                <w:p>
                  <w:pPr>
                    <w:wordWrap w:val="0"/>
                    <w:snapToGrid w:val="0"/>
                    <w:jc w:val="center"/>
                    <w:rPr>
                      <w:bCs/>
                      <w:sz w:val="21"/>
                      <w:szCs w:val="21"/>
                    </w:rPr>
                  </w:pPr>
                  <w:r>
                    <w:rPr>
                      <w:rFonts w:hint="eastAsia"/>
                      <w:bCs/>
                      <w:sz w:val="21"/>
                      <w:szCs w:val="21"/>
                    </w:rPr>
                    <w:t>30</w:t>
                  </w:r>
                </w:p>
              </w:tc>
              <w:tc>
                <w:tcPr>
                  <w:tcW w:w="829" w:type="pct"/>
                  <w:noWrap w:val="0"/>
                  <w:vAlign w:val="center"/>
                </w:tcPr>
                <w:p>
                  <w:pPr>
                    <w:wordWrap w:val="0"/>
                    <w:snapToGrid w:val="0"/>
                    <w:jc w:val="center"/>
                    <w:rPr>
                      <w:bCs/>
                      <w:sz w:val="21"/>
                      <w:szCs w:val="21"/>
                    </w:rPr>
                  </w:pPr>
                  <w:r>
                    <w:rPr>
                      <w:rFonts w:hint="eastAsia"/>
                      <w:bCs/>
                      <w:sz w:val="21"/>
                      <w:szCs w:val="21"/>
                    </w:rPr>
                    <w:t>35</w:t>
                  </w:r>
                </w:p>
              </w:tc>
              <w:tc>
                <w:tcPr>
                  <w:tcW w:w="664" w:type="pct"/>
                  <w:noWrap w:val="0"/>
                  <w:vAlign w:val="center"/>
                </w:tcPr>
                <w:p>
                  <w:pPr>
                    <w:wordWrap w:val="0"/>
                    <w:snapToGrid w:val="0"/>
                    <w:jc w:val="center"/>
                    <w:rPr>
                      <w:rFonts w:cs="宋体"/>
                      <w:bCs/>
                      <w:sz w:val="21"/>
                      <w:szCs w:val="21"/>
                    </w:rPr>
                  </w:pPr>
                  <w:r>
                    <w:rPr>
                      <w:rFonts w:hint="eastAsia" w:cs="宋体"/>
                      <w:bCs/>
                      <w:sz w:val="21"/>
                      <w:szCs w:val="21"/>
                    </w:rPr>
                    <w:t>85.71</w:t>
                  </w:r>
                </w:p>
              </w:tc>
              <w:tc>
                <w:tcPr>
                  <w:tcW w:w="671" w:type="pct"/>
                  <w:noWrap w:val="0"/>
                  <w:vAlign w:val="center"/>
                </w:tcPr>
                <w:p>
                  <w:pPr>
                    <w:wordWrap w:val="0"/>
                    <w:snapToGrid w:val="0"/>
                    <w:jc w:val="center"/>
                    <w:rPr>
                      <w:bCs/>
                      <w:sz w:val="21"/>
                      <w:szCs w:val="21"/>
                    </w:rPr>
                  </w:pPr>
                  <w:r>
                    <w:rPr>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 w:val="21"/>
                      <w:szCs w:val="21"/>
                    </w:rPr>
                  </w:pPr>
                  <w:r>
                    <w:rPr>
                      <w:bCs/>
                      <w:sz w:val="21"/>
                      <w:szCs w:val="21"/>
                    </w:rPr>
                    <w:t>O</w:t>
                  </w:r>
                  <w:r>
                    <w:rPr>
                      <w:bCs/>
                      <w:sz w:val="21"/>
                      <w:szCs w:val="21"/>
                      <w:vertAlign w:val="subscript"/>
                    </w:rPr>
                    <w:t>3</w:t>
                  </w:r>
                </w:p>
              </w:tc>
              <w:tc>
                <w:tcPr>
                  <w:tcW w:w="1515" w:type="pct"/>
                  <w:noWrap w:val="0"/>
                  <w:vAlign w:val="center"/>
                </w:tcPr>
                <w:p>
                  <w:pPr>
                    <w:wordWrap w:val="0"/>
                    <w:snapToGrid w:val="0"/>
                    <w:jc w:val="center"/>
                    <w:rPr>
                      <w:bCs/>
                      <w:sz w:val="21"/>
                      <w:szCs w:val="21"/>
                    </w:rPr>
                  </w:pPr>
                  <w:r>
                    <w:rPr>
                      <w:rFonts w:hint="eastAsia"/>
                      <w:bCs/>
                      <w:sz w:val="21"/>
                      <w:szCs w:val="21"/>
                    </w:rPr>
                    <w:t>日最大8小时平均第90百分位数浓度</w:t>
                  </w:r>
                </w:p>
              </w:tc>
              <w:tc>
                <w:tcPr>
                  <w:tcW w:w="743" w:type="pct"/>
                  <w:noWrap w:val="0"/>
                  <w:vAlign w:val="center"/>
                </w:tcPr>
                <w:p>
                  <w:pPr>
                    <w:wordWrap w:val="0"/>
                    <w:snapToGrid w:val="0"/>
                    <w:jc w:val="center"/>
                    <w:rPr>
                      <w:bCs/>
                      <w:sz w:val="21"/>
                      <w:szCs w:val="21"/>
                    </w:rPr>
                  </w:pPr>
                  <w:r>
                    <w:rPr>
                      <w:rFonts w:hint="eastAsia"/>
                      <w:bCs/>
                      <w:sz w:val="21"/>
                      <w:szCs w:val="21"/>
                    </w:rPr>
                    <w:t>107</w:t>
                  </w:r>
                </w:p>
              </w:tc>
              <w:tc>
                <w:tcPr>
                  <w:tcW w:w="829" w:type="pct"/>
                  <w:noWrap w:val="0"/>
                  <w:vAlign w:val="center"/>
                </w:tcPr>
                <w:p>
                  <w:pPr>
                    <w:wordWrap w:val="0"/>
                    <w:snapToGrid w:val="0"/>
                    <w:jc w:val="center"/>
                    <w:rPr>
                      <w:bCs/>
                      <w:sz w:val="21"/>
                      <w:szCs w:val="21"/>
                    </w:rPr>
                  </w:pPr>
                  <w:r>
                    <w:rPr>
                      <w:rFonts w:hint="eastAsia"/>
                      <w:bCs/>
                      <w:sz w:val="21"/>
                      <w:szCs w:val="21"/>
                    </w:rPr>
                    <w:t>160</w:t>
                  </w:r>
                </w:p>
              </w:tc>
              <w:tc>
                <w:tcPr>
                  <w:tcW w:w="664" w:type="pct"/>
                  <w:noWrap w:val="0"/>
                  <w:vAlign w:val="center"/>
                </w:tcPr>
                <w:p>
                  <w:pPr>
                    <w:wordWrap w:val="0"/>
                    <w:snapToGrid w:val="0"/>
                    <w:jc w:val="center"/>
                    <w:rPr>
                      <w:rFonts w:cs="宋体"/>
                      <w:bCs/>
                      <w:sz w:val="21"/>
                      <w:szCs w:val="21"/>
                    </w:rPr>
                  </w:pPr>
                  <w:r>
                    <w:rPr>
                      <w:rFonts w:hint="eastAsia" w:cs="宋体"/>
                      <w:bCs/>
                      <w:sz w:val="21"/>
                      <w:szCs w:val="21"/>
                    </w:rPr>
                    <w:t>66.88</w:t>
                  </w:r>
                </w:p>
              </w:tc>
              <w:tc>
                <w:tcPr>
                  <w:tcW w:w="671" w:type="pct"/>
                  <w:noWrap w:val="0"/>
                  <w:vAlign w:val="center"/>
                </w:tcPr>
                <w:p>
                  <w:pPr>
                    <w:wordWrap w:val="0"/>
                    <w:adjustRightInd w:val="0"/>
                    <w:snapToGrid w:val="0"/>
                    <w:jc w:val="center"/>
                    <w:rPr>
                      <w:bCs/>
                      <w:sz w:val="21"/>
                      <w:szCs w:val="21"/>
                    </w:rPr>
                  </w:pPr>
                  <w:r>
                    <w:rPr>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 w:val="21"/>
                      <w:szCs w:val="21"/>
                    </w:rPr>
                  </w:pPr>
                  <w:r>
                    <w:rPr>
                      <w:bCs/>
                      <w:sz w:val="21"/>
                      <w:szCs w:val="21"/>
                    </w:rPr>
                    <w:t>C</w:t>
                  </w:r>
                  <w:r>
                    <w:rPr>
                      <w:rFonts w:hint="eastAsia"/>
                      <w:bCs/>
                      <w:sz w:val="21"/>
                      <w:szCs w:val="21"/>
                    </w:rPr>
                    <w:t>O</w:t>
                  </w:r>
                </w:p>
              </w:tc>
              <w:tc>
                <w:tcPr>
                  <w:tcW w:w="1515" w:type="pct"/>
                  <w:noWrap w:val="0"/>
                  <w:vAlign w:val="center"/>
                </w:tcPr>
                <w:p>
                  <w:pPr>
                    <w:wordWrap w:val="0"/>
                    <w:snapToGrid w:val="0"/>
                    <w:jc w:val="center"/>
                    <w:rPr>
                      <w:bCs/>
                      <w:sz w:val="21"/>
                      <w:szCs w:val="21"/>
                    </w:rPr>
                  </w:pPr>
                  <w:r>
                    <w:rPr>
                      <w:rFonts w:hint="eastAsia"/>
                      <w:bCs/>
                      <w:sz w:val="21"/>
                      <w:szCs w:val="21"/>
                    </w:rPr>
                    <w:t>24小时平均第95百分位数浓度</w:t>
                  </w:r>
                </w:p>
              </w:tc>
              <w:tc>
                <w:tcPr>
                  <w:tcW w:w="743" w:type="pct"/>
                  <w:noWrap w:val="0"/>
                  <w:vAlign w:val="center"/>
                </w:tcPr>
                <w:p>
                  <w:pPr>
                    <w:wordWrap w:val="0"/>
                    <w:snapToGrid w:val="0"/>
                    <w:jc w:val="center"/>
                    <w:rPr>
                      <w:bCs/>
                      <w:sz w:val="21"/>
                      <w:szCs w:val="21"/>
                    </w:rPr>
                  </w:pPr>
                  <w:r>
                    <w:rPr>
                      <w:rFonts w:hint="eastAsia"/>
                      <w:bCs/>
                      <w:sz w:val="21"/>
                      <w:szCs w:val="21"/>
                    </w:rPr>
                    <w:t>1400</w:t>
                  </w:r>
                </w:p>
              </w:tc>
              <w:tc>
                <w:tcPr>
                  <w:tcW w:w="829" w:type="pct"/>
                  <w:noWrap w:val="0"/>
                  <w:vAlign w:val="center"/>
                </w:tcPr>
                <w:p>
                  <w:pPr>
                    <w:wordWrap w:val="0"/>
                    <w:snapToGrid w:val="0"/>
                    <w:jc w:val="center"/>
                    <w:rPr>
                      <w:bCs/>
                      <w:sz w:val="21"/>
                      <w:szCs w:val="21"/>
                    </w:rPr>
                  </w:pPr>
                  <w:r>
                    <w:rPr>
                      <w:rFonts w:hint="eastAsia"/>
                      <w:bCs/>
                      <w:sz w:val="21"/>
                      <w:szCs w:val="21"/>
                    </w:rPr>
                    <w:t>4000</w:t>
                  </w:r>
                </w:p>
              </w:tc>
              <w:tc>
                <w:tcPr>
                  <w:tcW w:w="664" w:type="pct"/>
                  <w:noWrap w:val="0"/>
                  <w:vAlign w:val="center"/>
                </w:tcPr>
                <w:p>
                  <w:pPr>
                    <w:wordWrap w:val="0"/>
                    <w:snapToGrid w:val="0"/>
                    <w:jc w:val="center"/>
                    <w:rPr>
                      <w:rFonts w:cs="宋体"/>
                      <w:bCs/>
                      <w:sz w:val="21"/>
                      <w:szCs w:val="21"/>
                    </w:rPr>
                  </w:pPr>
                  <w:r>
                    <w:rPr>
                      <w:rFonts w:hint="eastAsia" w:cs="宋体"/>
                      <w:bCs/>
                      <w:sz w:val="21"/>
                      <w:szCs w:val="21"/>
                    </w:rPr>
                    <w:t>35</w:t>
                  </w:r>
                </w:p>
              </w:tc>
              <w:tc>
                <w:tcPr>
                  <w:tcW w:w="671" w:type="pct"/>
                  <w:noWrap w:val="0"/>
                  <w:vAlign w:val="center"/>
                </w:tcPr>
                <w:p>
                  <w:pPr>
                    <w:wordWrap w:val="0"/>
                    <w:snapToGrid w:val="0"/>
                    <w:jc w:val="center"/>
                    <w:rPr>
                      <w:bCs/>
                      <w:sz w:val="21"/>
                      <w:szCs w:val="21"/>
                    </w:rPr>
                  </w:pPr>
                  <w:r>
                    <w:rPr>
                      <w:bCs/>
                      <w:sz w:val="21"/>
                      <w:szCs w:val="21"/>
                    </w:rPr>
                    <w:t>达标</w:t>
                  </w:r>
                </w:p>
              </w:tc>
            </w:tr>
          </w:tbl>
          <w:p>
            <w:pPr>
              <w:pStyle w:val="98"/>
              <w:keepNext w:val="0"/>
              <w:keepLines w:val="0"/>
              <w:pageBreakBefore w:val="0"/>
              <w:widowControl/>
              <w:kinsoku/>
              <w:wordWrap/>
              <w:overflowPunct/>
              <w:topLinePunct w:val="0"/>
              <w:autoSpaceDE/>
              <w:autoSpaceDN/>
              <w:bidi w:val="0"/>
              <w:adjustRightInd/>
              <w:snapToGrid/>
              <w:ind w:firstLine="480"/>
              <w:textAlignment w:val="auto"/>
              <w:rPr>
                <w:sz w:val="24"/>
                <w:szCs w:val="24"/>
              </w:rPr>
            </w:pPr>
            <w:r>
              <w:rPr>
                <w:rFonts w:hint="eastAsia"/>
                <w:sz w:val="24"/>
              </w:rPr>
              <w:t>由上表可知，项目评价区SO</w:t>
            </w:r>
            <w:r>
              <w:rPr>
                <w:rFonts w:hint="eastAsia"/>
                <w:sz w:val="24"/>
                <w:vertAlign w:val="subscript"/>
              </w:rPr>
              <w:t>2</w:t>
            </w:r>
            <w:r>
              <w:rPr>
                <w:rFonts w:hint="eastAsia"/>
                <w:sz w:val="24"/>
              </w:rPr>
              <w:t>、NO</w:t>
            </w:r>
            <w:r>
              <w:rPr>
                <w:rFonts w:hint="eastAsia"/>
                <w:sz w:val="24"/>
                <w:vertAlign w:val="subscript"/>
              </w:rPr>
              <w:t>2</w:t>
            </w:r>
            <w:r>
              <w:rPr>
                <w:rFonts w:hint="eastAsia"/>
                <w:sz w:val="24"/>
              </w:rPr>
              <w:t>、PM</w:t>
            </w:r>
            <w:r>
              <w:rPr>
                <w:rFonts w:hint="eastAsia"/>
                <w:sz w:val="24"/>
                <w:vertAlign w:val="subscript"/>
              </w:rPr>
              <w:t>10</w:t>
            </w:r>
            <w:r>
              <w:rPr>
                <w:rFonts w:hint="eastAsia"/>
                <w:sz w:val="24"/>
              </w:rPr>
              <w:t>、PM</w:t>
            </w:r>
            <w:r>
              <w:rPr>
                <w:rFonts w:hint="eastAsia"/>
                <w:sz w:val="24"/>
                <w:vertAlign w:val="subscript"/>
              </w:rPr>
              <w:t>2.5</w:t>
            </w:r>
            <w:r>
              <w:rPr>
                <w:rFonts w:hint="eastAsia"/>
                <w:sz w:val="24"/>
              </w:rPr>
              <w:t>的年均浓度值、O</w:t>
            </w:r>
            <w:r>
              <w:rPr>
                <w:rFonts w:hint="eastAsia"/>
                <w:sz w:val="24"/>
                <w:vertAlign w:val="subscript"/>
              </w:rPr>
              <w:t>3</w:t>
            </w:r>
            <w:r>
              <w:rPr>
                <w:rFonts w:hint="eastAsia"/>
                <w:sz w:val="24"/>
              </w:rPr>
              <w:t>的日最大8小时第9</w:t>
            </w:r>
            <w:r>
              <w:rPr>
                <w:sz w:val="24"/>
              </w:rPr>
              <w:t>0</w:t>
            </w:r>
            <w:r>
              <w:rPr>
                <w:rFonts w:hint="eastAsia"/>
                <w:sz w:val="24"/>
              </w:rPr>
              <w:t>百分位数浓度、CO的24小时平均第95百分位数浓度均可满足《环境空气质量标准》（GB3095-2012）及修改单中二级标准限值</w:t>
            </w:r>
            <w:r>
              <w:rPr>
                <w:sz w:val="24"/>
                <w:szCs w:val="24"/>
              </w:rPr>
              <w:t>，</w:t>
            </w:r>
            <w:r>
              <w:rPr>
                <w:rFonts w:hint="eastAsia"/>
                <w:sz w:val="24"/>
                <w:szCs w:val="24"/>
                <w:lang w:val="en-US" w:eastAsia="zh-CN"/>
              </w:rPr>
              <w:t>根据《环境影响评价技术导则 大气环境》（HJ2.2-2018）对项目所在区域环境空气质量进行达标判断，六项污染物全部达标，故</w:t>
            </w:r>
            <w:r>
              <w:rPr>
                <w:sz w:val="24"/>
                <w:szCs w:val="24"/>
              </w:rPr>
              <w:t>项目所在区域属于达标区。</w:t>
            </w:r>
          </w:p>
          <w:p>
            <w:pPr>
              <w:pStyle w:val="98"/>
              <w:ind w:firstLine="480"/>
              <w:rPr>
                <w:b/>
                <w:bCs/>
                <w:sz w:val="24"/>
                <w:szCs w:val="24"/>
                <w:u w:val="none"/>
              </w:rPr>
            </w:pPr>
            <w:r>
              <w:rPr>
                <w:rFonts w:hint="default" w:ascii="Times New Roman" w:hAnsi="Times New Roman" w:cs="Times New Roman"/>
                <w:b/>
                <w:bCs/>
                <w:sz w:val="24"/>
                <w:szCs w:val="24"/>
                <w:u w:val="none"/>
                <w:lang w:eastAsia="zh-CN"/>
              </w:rPr>
              <w:t>（</w:t>
            </w:r>
            <w:r>
              <w:rPr>
                <w:rFonts w:hint="default" w:ascii="Times New Roman" w:hAnsi="Times New Roman" w:cs="Times New Roman"/>
                <w:b/>
                <w:bCs/>
                <w:sz w:val="24"/>
                <w:szCs w:val="24"/>
                <w:u w:val="none"/>
                <w:lang w:val="en-US" w:eastAsia="zh-CN"/>
              </w:rPr>
              <w:t>2</w:t>
            </w:r>
            <w:r>
              <w:rPr>
                <w:rFonts w:hint="default" w:ascii="Times New Roman" w:hAnsi="Times New Roman" w:cs="Times New Roman"/>
                <w:b/>
                <w:bCs/>
                <w:sz w:val="24"/>
                <w:szCs w:val="24"/>
                <w:u w:val="none"/>
                <w:lang w:eastAsia="zh-CN"/>
              </w:rPr>
              <w:t>）</w:t>
            </w:r>
            <w:r>
              <w:rPr>
                <w:rFonts w:hint="eastAsia"/>
                <w:b/>
                <w:bCs/>
                <w:sz w:val="24"/>
                <w:szCs w:val="24"/>
                <w:u w:val="none"/>
              </w:rPr>
              <w:t>特征因子现状调查</w:t>
            </w:r>
          </w:p>
          <w:p>
            <w:pPr>
              <w:keepNext w:val="0"/>
              <w:keepLines w:val="0"/>
              <w:pageBreakBefore w:val="0"/>
              <w:widowControl w:val="0"/>
              <w:kinsoku/>
              <w:wordWrap w:val="0"/>
              <w:overflowPunct/>
              <w:topLinePunct w:val="0"/>
              <w:autoSpaceDE w:val="0"/>
              <w:autoSpaceDN w:val="0"/>
              <w:bidi w:val="0"/>
              <w:adjustRightInd/>
              <w:snapToGrid/>
              <w:spacing w:line="360" w:lineRule="auto"/>
              <w:ind w:left="0" w:leftChars="0" w:right="0" w:rightChars="0" w:firstLine="480" w:firstLineChars="200"/>
              <w:jc w:val="both"/>
              <w:textAlignment w:val="auto"/>
              <w:rPr>
                <w:rFonts w:ascii="Times New Roman" w:hAnsi="Times New Roman" w:eastAsia="宋体" w:cs="Times New Roman"/>
                <w:color w:val="auto"/>
                <w:u w:val="none" w:color="auto"/>
                <w:lang w:val="zh-CN" w:bidi="zh-CN"/>
              </w:rPr>
            </w:pPr>
            <w:r>
              <w:rPr>
                <w:rFonts w:hint="eastAsia" w:ascii="Times New Roman" w:hAnsi="Times New Roman" w:cs="Times New Roman"/>
                <w:color w:val="auto"/>
                <w:u w:val="none" w:color="auto"/>
                <w:lang w:val="en-US" w:eastAsia="zh-CN"/>
              </w:rPr>
              <w:t>本项目特征污染物为氨、硫化氢。</w:t>
            </w:r>
            <w:r>
              <w:rPr>
                <w:rFonts w:hint="default" w:ascii="Times New Roman" w:hAnsi="Times New Roman" w:cs="Times New Roman"/>
                <w:color w:val="auto"/>
                <w:u w:val="none" w:color="auto"/>
              </w:rPr>
              <w:t>为了解本项目所在区域特征污染物环境质量现状</w:t>
            </w:r>
            <w:r>
              <w:rPr>
                <w:rFonts w:hint="default" w:ascii="Times New Roman" w:hAnsi="Times New Roman" w:eastAsia="宋体" w:cs="Times New Roman"/>
                <w:color w:val="auto"/>
                <w:u w:val="none" w:color="auto"/>
                <w:lang w:val="zh-CN" w:bidi="zh-CN"/>
              </w:rPr>
              <w:t>，</w:t>
            </w:r>
            <w:r>
              <w:rPr>
                <w:rFonts w:hint="eastAsia" w:ascii="Times New Roman" w:hAnsi="Times New Roman" w:eastAsia="宋体" w:cs="Times New Roman"/>
                <w:color w:val="auto"/>
                <w:u w:val="none" w:color="auto"/>
                <w:lang w:val="en-US" w:bidi="zh-CN"/>
              </w:rPr>
              <w:t>引用《</w:t>
            </w:r>
            <w:r>
              <w:rPr>
                <w:rFonts w:hint="default" w:ascii="Times New Roman" w:hAnsi="Times New Roman" w:cs="Times New Roman"/>
                <w:color w:val="auto"/>
                <w:kern w:val="0"/>
                <w:u w:val="none" w:color="auto"/>
                <w:lang w:eastAsia="zh-CN"/>
              </w:rPr>
              <w:t>花垣县疾控中心业务楼迁建项目</w:t>
            </w:r>
            <w:r>
              <w:rPr>
                <w:rFonts w:hint="eastAsia" w:ascii="Times New Roman" w:hAnsi="Times New Roman" w:cs="Times New Roman"/>
                <w:color w:val="auto"/>
                <w:kern w:val="0"/>
                <w:u w:val="none" w:color="auto"/>
                <w:lang w:val="en-US" w:eastAsia="zh-CN"/>
              </w:rPr>
              <w:t>环境影响报告书</w:t>
            </w:r>
            <w:r>
              <w:rPr>
                <w:rFonts w:hint="eastAsia" w:ascii="Times New Roman" w:hAnsi="Times New Roman" w:eastAsia="宋体" w:cs="Times New Roman"/>
                <w:color w:val="auto"/>
                <w:u w:val="none" w:color="auto"/>
                <w:lang w:val="en-US" w:bidi="zh-CN"/>
              </w:rPr>
              <w:t>》2023年6月14日-2023年6月20日</w:t>
            </w:r>
            <w:r>
              <w:rPr>
                <w:rFonts w:hint="default" w:ascii="Times New Roman" w:hAnsi="Times New Roman" w:cs="Times New Roman"/>
                <w:color w:val="000000"/>
                <w:u w:val="none" w:color="auto"/>
              </w:rPr>
              <w:t>湖南恒泓检测技术有限公司</w:t>
            </w:r>
            <w:r>
              <w:rPr>
                <w:rFonts w:hint="eastAsia" w:ascii="Times New Roman" w:hAnsi="Times New Roman" w:eastAsia="宋体" w:cs="Times New Roman"/>
                <w:color w:val="auto"/>
                <w:u w:val="none" w:color="auto"/>
                <w:lang w:val="en-US" w:bidi="zh-CN"/>
              </w:rPr>
              <w:t>环境质量现状监测结果。</w:t>
            </w:r>
            <w:r>
              <w:rPr>
                <w:rFonts w:hint="default" w:ascii="Times New Roman" w:hAnsi="Times New Roman" w:eastAsia="宋体" w:cs="Times New Roman"/>
                <w:color w:val="auto"/>
                <w:u w:val="none" w:color="auto"/>
                <w:lang w:val="zh-CN" w:bidi="zh-CN"/>
              </w:rPr>
              <w:t>具体监测情况见下表</w:t>
            </w:r>
            <w:r>
              <w:rPr>
                <w:rFonts w:ascii="Times New Roman" w:hAnsi="Times New Roman" w:eastAsia="宋体" w:cs="Times New Roman"/>
                <w:color w:val="auto"/>
                <w:u w:val="none" w:color="auto"/>
                <w:lang w:val="en-US" w:bidi="zh-CN"/>
              </w:rPr>
              <w:t>3</w:t>
            </w:r>
            <w:r>
              <w:rPr>
                <w:rFonts w:hint="eastAsia" w:ascii="Times New Roman" w:hAnsi="Times New Roman" w:eastAsia="宋体" w:cs="Times New Roman"/>
                <w:color w:val="auto"/>
                <w:u w:val="none" w:color="auto"/>
                <w:lang w:val="en-US" w:eastAsia="zh-CN" w:bidi="zh-CN"/>
              </w:rPr>
              <w:t>-2</w:t>
            </w:r>
            <w:r>
              <w:rPr>
                <w:rFonts w:hint="default" w:ascii="Times New Roman" w:hAnsi="Times New Roman" w:eastAsia="宋体" w:cs="Times New Roman"/>
                <w:color w:val="auto"/>
                <w:u w:val="none" w:color="auto"/>
                <w:lang w:val="zh-CN" w:bidi="zh-CN"/>
              </w:rPr>
              <w:t>。</w:t>
            </w:r>
          </w:p>
          <w:p>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lang w:val="zh-CN" w:bidi="zh-CN"/>
              </w:rPr>
            </w:pPr>
          </w:p>
          <w:p>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lang w:val="zh-CN" w:bidi="zh-CN"/>
              </w:rPr>
            </w:pPr>
          </w:p>
          <w:p>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lang w:val="zh-CN" w:bidi="zh-CN"/>
              </w:rPr>
            </w:pPr>
          </w:p>
          <w:p>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lang w:val="zh-CN" w:bidi="zh-CN"/>
              </w:rPr>
            </w:pPr>
          </w:p>
          <w:p>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lang w:val="zh-CN" w:bidi="zh-CN"/>
              </w:rPr>
            </w:pPr>
          </w:p>
          <w:p>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auto"/>
                <w:sz w:val="21"/>
                <w:szCs w:val="21"/>
                <w:u w:val="none" w:color="auto"/>
                <w:lang w:val="zh-CN" w:bidi="zh-CN"/>
              </w:rPr>
            </w:pPr>
            <w:r>
              <w:rPr>
                <w:rFonts w:hint="default" w:ascii="Times New Roman" w:hAnsi="Times New Roman" w:eastAsia="宋体" w:cs="Times New Roman"/>
                <w:b/>
                <w:bCs/>
                <w:color w:val="auto"/>
                <w:sz w:val="21"/>
                <w:szCs w:val="21"/>
                <w:u w:val="none" w:color="auto"/>
                <w:lang w:val="zh-CN" w:bidi="zh-CN"/>
              </w:rPr>
              <w:t>表</w:t>
            </w:r>
            <w:r>
              <w:rPr>
                <w:rFonts w:ascii="Times New Roman" w:hAnsi="Times New Roman" w:eastAsia="宋体" w:cs="Times New Roman"/>
                <w:b/>
                <w:bCs/>
                <w:color w:val="auto"/>
                <w:sz w:val="21"/>
                <w:szCs w:val="21"/>
                <w:u w:val="none" w:color="auto"/>
                <w:lang w:val="en-US" w:bidi="zh-CN"/>
              </w:rPr>
              <w:t>3</w:t>
            </w:r>
            <w:r>
              <w:rPr>
                <w:rFonts w:hint="eastAsia" w:ascii="Times New Roman" w:hAnsi="Times New Roman" w:eastAsia="宋体" w:cs="Times New Roman"/>
                <w:b/>
                <w:bCs/>
                <w:color w:val="auto"/>
                <w:sz w:val="21"/>
                <w:szCs w:val="21"/>
                <w:u w:val="none" w:color="auto"/>
                <w:lang w:val="en-US" w:eastAsia="zh-CN" w:bidi="zh-CN"/>
              </w:rPr>
              <w:t>-2  本项目引用</w:t>
            </w:r>
            <w:r>
              <w:rPr>
                <w:rFonts w:hint="default" w:ascii="Times New Roman" w:hAnsi="Times New Roman" w:eastAsia="宋体" w:cs="Times New Roman"/>
                <w:b/>
                <w:bCs/>
                <w:color w:val="auto"/>
                <w:sz w:val="21"/>
                <w:szCs w:val="21"/>
                <w:u w:val="none" w:color="auto"/>
                <w:lang w:val="zh-CN" w:bidi="zh-CN"/>
              </w:rPr>
              <w:t>大气环境现状监测点位</w:t>
            </w:r>
          </w:p>
          <w:tbl>
            <w:tblPr>
              <w:tblStyle w:val="34"/>
              <w:tblW w:w="4989"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352"/>
              <w:gridCol w:w="2743"/>
              <w:gridCol w:w="384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1" w:type="pct"/>
                  <w:tcBorders>
                    <w:tl2br w:val="nil"/>
                    <w:tr2bl w:val="nil"/>
                  </w:tcBorders>
                  <w:noWrap w:val="0"/>
                  <w:vAlign w:val="center"/>
                </w:tcPr>
                <w:p>
                  <w:pPr>
                    <w:widowControl/>
                    <w:wordWrap w:val="0"/>
                    <w:topLinePunct/>
                    <w:bidi w:val="0"/>
                    <w:snapToGrid w:val="0"/>
                    <w:spacing w:line="240" w:lineRule="auto"/>
                    <w:ind w:firstLine="0" w:firstLineChars="0"/>
                    <w:jc w:val="center"/>
                    <w:rPr>
                      <w:rFonts w:hint="default" w:ascii="Times New Roman" w:hAnsi="Times New Roman" w:eastAsia="宋体" w:cs="Times New Roman"/>
                      <w:b/>
                      <w:bCs/>
                      <w:color w:val="auto"/>
                      <w:sz w:val="21"/>
                      <w:szCs w:val="21"/>
                      <w:u w:val="none" w:color="auto"/>
                      <w:lang w:val="zh-CN" w:eastAsia="zh-CN" w:bidi="zh-CN"/>
                    </w:rPr>
                  </w:pPr>
                  <w:r>
                    <w:rPr>
                      <w:rFonts w:hint="default" w:ascii="Times New Roman" w:hAnsi="Times New Roman" w:eastAsia="宋体" w:cs="Times New Roman"/>
                      <w:b/>
                      <w:bCs/>
                      <w:color w:val="auto"/>
                      <w:sz w:val="21"/>
                      <w:szCs w:val="21"/>
                      <w:u w:val="none" w:color="auto"/>
                      <w:lang w:val="zh-CN" w:eastAsia="zh-CN" w:bidi="zh-CN"/>
                    </w:rPr>
                    <w:t>序号</w:t>
                  </w:r>
                </w:p>
              </w:tc>
              <w:tc>
                <w:tcPr>
                  <w:tcW w:w="1727" w:type="pct"/>
                  <w:tcBorders>
                    <w:tl2br w:val="nil"/>
                    <w:tr2bl w:val="nil"/>
                  </w:tcBorders>
                  <w:noWrap w:val="0"/>
                  <w:vAlign w:val="center"/>
                </w:tcPr>
                <w:p>
                  <w:pPr>
                    <w:widowControl/>
                    <w:wordWrap w:val="0"/>
                    <w:topLinePunct/>
                    <w:bidi w:val="0"/>
                    <w:snapToGrid w:val="0"/>
                    <w:spacing w:line="240" w:lineRule="auto"/>
                    <w:ind w:firstLine="0" w:firstLineChars="0"/>
                    <w:jc w:val="center"/>
                    <w:rPr>
                      <w:rFonts w:hint="default" w:ascii="Times New Roman" w:hAnsi="Times New Roman" w:eastAsia="宋体" w:cs="Times New Roman"/>
                      <w:b/>
                      <w:bCs/>
                      <w:color w:val="auto"/>
                      <w:sz w:val="21"/>
                      <w:szCs w:val="21"/>
                      <w:u w:val="none" w:color="auto"/>
                      <w:lang w:val="zh-CN" w:eastAsia="zh-CN" w:bidi="zh-CN"/>
                    </w:rPr>
                  </w:pPr>
                  <w:r>
                    <w:rPr>
                      <w:rFonts w:hint="default" w:ascii="Times New Roman" w:hAnsi="Times New Roman" w:eastAsia="宋体" w:cs="Times New Roman"/>
                      <w:b/>
                      <w:bCs/>
                      <w:color w:val="auto"/>
                      <w:sz w:val="21"/>
                      <w:szCs w:val="21"/>
                      <w:u w:val="none" w:color="auto"/>
                      <w:lang w:val="zh-CN" w:eastAsia="zh-CN" w:bidi="zh-CN"/>
                    </w:rPr>
                    <w:t>监测点位</w:t>
                  </w:r>
                </w:p>
              </w:tc>
              <w:tc>
                <w:tcPr>
                  <w:tcW w:w="2420" w:type="pct"/>
                  <w:tcBorders>
                    <w:tl2br w:val="nil"/>
                    <w:tr2bl w:val="nil"/>
                  </w:tcBorders>
                  <w:noWrap w:val="0"/>
                  <w:vAlign w:val="center"/>
                </w:tcPr>
                <w:p>
                  <w:pPr>
                    <w:widowControl/>
                    <w:wordWrap w:val="0"/>
                    <w:topLinePunct/>
                    <w:bidi w:val="0"/>
                    <w:snapToGrid w:val="0"/>
                    <w:spacing w:line="240" w:lineRule="auto"/>
                    <w:ind w:firstLine="0" w:firstLineChars="0"/>
                    <w:jc w:val="center"/>
                    <w:rPr>
                      <w:rFonts w:hint="default" w:ascii="Times New Roman" w:hAnsi="Times New Roman" w:eastAsia="宋体" w:cs="Times New Roman"/>
                      <w:b/>
                      <w:bCs/>
                      <w:color w:val="auto"/>
                      <w:sz w:val="21"/>
                      <w:szCs w:val="21"/>
                      <w:u w:val="none" w:color="auto"/>
                      <w:lang w:val="zh-CN" w:eastAsia="zh-CN" w:bidi="zh-CN"/>
                    </w:rPr>
                  </w:pPr>
                  <w:r>
                    <w:rPr>
                      <w:rFonts w:hint="default" w:ascii="Times New Roman" w:hAnsi="Times New Roman" w:eastAsia="宋体" w:cs="Times New Roman"/>
                      <w:b/>
                      <w:bCs/>
                      <w:color w:val="auto"/>
                      <w:sz w:val="21"/>
                      <w:szCs w:val="21"/>
                      <w:u w:val="none" w:color="auto"/>
                      <w:lang w:val="zh-CN" w:eastAsia="zh-CN" w:bidi="zh-CN"/>
                    </w:rPr>
                    <w:t>监测因子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1" w:type="pct"/>
                  <w:tcBorders>
                    <w:tl2br w:val="nil"/>
                    <w:tr2bl w:val="nil"/>
                  </w:tcBorders>
                  <w:noWrap w:val="0"/>
                  <w:vAlign w:val="center"/>
                </w:tcPr>
                <w:p>
                  <w:pPr>
                    <w:widowControl/>
                    <w:wordWrap w:val="0"/>
                    <w:topLinePunct/>
                    <w:bidi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bidi="zh-CN"/>
                    </w:rPr>
                    <w:t>G1</w:t>
                  </w:r>
                </w:p>
              </w:tc>
              <w:tc>
                <w:tcPr>
                  <w:tcW w:w="1727" w:type="pct"/>
                  <w:tcBorders>
                    <w:tl2br w:val="nil"/>
                    <w:tr2bl w:val="nil"/>
                  </w:tcBorders>
                  <w:noWrap w:val="0"/>
                  <w:vAlign w:val="center"/>
                </w:tcPr>
                <w:p>
                  <w:pPr>
                    <w:widowControl/>
                    <w:wordWrap w:val="0"/>
                    <w:topLinePunct/>
                    <w:bidi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bidi="zh-CN"/>
                    </w:rPr>
                    <w:t>和悦家园居民点</w:t>
                  </w:r>
                </w:p>
              </w:tc>
              <w:tc>
                <w:tcPr>
                  <w:tcW w:w="2420" w:type="pct"/>
                  <w:tcBorders>
                    <w:tl2br w:val="nil"/>
                    <w:tr2bl w:val="nil"/>
                  </w:tcBorders>
                  <w:noWrap w:val="0"/>
                  <w:vAlign w:val="center"/>
                </w:tcPr>
                <w:p>
                  <w:pPr>
                    <w:widowControl/>
                    <w:wordWrap w:val="0"/>
                    <w:topLinePunct/>
                    <w:bidi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zh-CN" w:eastAsia="zh-CN" w:bidi="zh-CN"/>
                    </w:rPr>
                  </w:pPr>
                  <w:r>
                    <w:rPr>
                      <w:rFonts w:hint="default" w:ascii="Times New Roman" w:hAnsi="Times New Roman" w:eastAsia="宋体" w:cs="Times New Roman"/>
                      <w:color w:val="auto"/>
                      <w:sz w:val="21"/>
                      <w:szCs w:val="21"/>
                      <w:u w:val="none" w:color="auto"/>
                      <w:lang w:val="zh-CN" w:eastAsia="zh-CN" w:bidi="zh-CN"/>
                    </w:rPr>
                    <w:t>TSP、H</w:t>
                  </w:r>
                  <w:r>
                    <w:rPr>
                      <w:rFonts w:hint="default" w:ascii="Times New Roman" w:hAnsi="Times New Roman" w:eastAsia="宋体" w:cs="Times New Roman"/>
                      <w:color w:val="auto"/>
                      <w:sz w:val="21"/>
                      <w:szCs w:val="21"/>
                      <w:u w:val="none" w:color="auto"/>
                      <w:vertAlign w:val="subscript"/>
                      <w:lang w:val="zh-CN" w:eastAsia="zh-CN" w:bidi="zh-CN"/>
                    </w:rPr>
                    <w:t>2</w:t>
                  </w:r>
                  <w:r>
                    <w:rPr>
                      <w:rFonts w:hint="default" w:ascii="Times New Roman" w:hAnsi="Times New Roman" w:eastAsia="宋体" w:cs="Times New Roman"/>
                      <w:color w:val="auto"/>
                      <w:sz w:val="21"/>
                      <w:szCs w:val="21"/>
                      <w:u w:val="none" w:color="auto"/>
                      <w:lang w:val="zh-CN" w:eastAsia="zh-CN" w:bidi="zh-CN"/>
                    </w:rPr>
                    <w:t>S、NH</w:t>
                  </w:r>
                  <w:r>
                    <w:rPr>
                      <w:rFonts w:hint="default" w:ascii="Times New Roman" w:hAnsi="Times New Roman" w:eastAsia="宋体" w:cs="Times New Roman"/>
                      <w:color w:val="auto"/>
                      <w:sz w:val="21"/>
                      <w:szCs w:val="21"/>
                      <w:u w:val="none" w:color="auto"/>
                      <w:vertAlign w:val="subscript"/>
                      <w:lang w:val="zh-CN" w:eastAsia="zh-CN" w:bidi="zh-CN"/>
                    </w:rPr>
                    <w:t>3</w:t>
                  </w:r>
                  <w:r>
                    <w:rPr>
                      <w:rFonts w:hint="default" w:ascii="Times New Roman" w:hAnsi="Times New Roman" w:eastAsia="宋体" w:cs="Times New Roman"/>
                      <w:color w:val="auto"/>
                      <w:sz w:val="21"/>
                      <w:szCs w:val="21"/>
                      <w:u w:val="none" w:color="auto"/>
                      <w:lang w:val="zh-CN" w:eastAsia="zh-CN" w:bidi="zh-CN"/>
                    </w:rPr>
                    <w:t>、臭气、硫酸雾、氯化氢、非甲烷总烃</w:t>
                  </w:r>
                </w:p>
              </w:tc>
            </w:tr>
          </w:tbl>
          <w:p>
            <w:pPr>
              <w:widowControl w:val="0"/>
              <w:wordWrap w:val="0"/>
              <w:topLinePunct/>
              <w:spacing w:line="360" w:lineRule="auto"/>
              <w:ind w:left="120" w:leftChars="50" w:right="120" w:rightChars="50" w:firstLine="480" w:firstLineChars="200"/>
              <w:jc w:val="both"/>
              <w:rPr>
                <w:rFonts w:hint="default" w:ascii="Times New Roman" w:hAnsi="Times New Roman" w:eastAsia="宋体" w:cs="Times New Roman"/>
                <w:color w:val="auto"/>
                <w:u w:val="none" w:color="auto"/>
                <w:lang w:val="zh-CN" w:bidi="zh-CN"/>
              </w:rPr>
            </w:pPr>
            <w:r>
              <w:rPr>
                <w:rFonts w:hint="default" w:ascii="Times New Roman" w:hAnsi="Times New Roman" w:eastAsia="宋体" w:cs="Times New Roman"/>
                <w:color w:val="auto"/>
                <w:u w:val="none" w:color="auto"/>
                <w:lang w:val="zh-CN" w:bidi="zh-CN"/>
              </w:rPr>
              <w:t>监测数据结果见表</w:t>
            </w:r>
            <w:r>
              <w:rPr>
                <w:rFonts w:ascii="Times New Roman" w:hAnsi="Times New Roman" w:eastAsia="宋体" w:cs="Times New Roman"/>
                <w:color w:val="auto"/>
                <w:u w:val="none" w:color="auto"/>
                <w:lang w:val="en-US" w:bidi="zh-CN"/>
              </w:rPr>
              <w:t>3</w:t>
            </w:r>
            <w:r>
              <w:rPr>
                <w:rFonts w:hint="eastAsia" w:ascii="Times New Roman" w:hAnsi="Times New Roman" w:eastAsia="宋体" w:cs="Times New Roman"/>
                <w:color w:val="auto"/>
                <w:u w:val="none" w:color="auto"/>
                <w:lang w:val="en-US" w:eastAsia="zh-CN" w:bidi="zh-CN"/>
              </w:rPr>
              <w:t>-3</w:t>
            </w:r>
            <w:r>
              <w:rPr>
                <w:rFonts w:hint="default" w:ascii="Times New Roman" w:hAnsi="Times New Roman" w:eastAsia="宋体" w:cs="Times New Roman"/>
                <w:color w:val="auto"/>
                <w:u w:val="none" w:color="auto"/>
                <w:lang w:val="zh-CN" w:bidi="zh-CN"/>
              </w:rPr>
              <w:t>。</w:t>
            </w:r>
          </w:p>
          <w:p>
            <w:pPr>
              <w:pStyle w:val="8"/>
              <w:keepNext/>
              <w:keepLines w:val="0"/>
              <w:pageBreakBefore w:val="0"/>
              <w:widowControl/>
              <w:kinsoku/>
              <w:wordWrap/>
              <w:overflowPunct/>
              <w:topLinePunct w:val="0"/>
              <w:autoSpaceDE/>
              <w:autoSpaceDN/>
              <w:bidi w:val="0"/>
              <w:adjustRightInd/>
              <w:snapToGrid/>
              <w:spacing w:line="240" w:lineRule="auto"/>
              <w:textAlignment w:val="auto"/>
              <w:rPr>
                <w:rFonts w:hint="eastAsia"/>
                <w:u w:val="none"/>
              </w:rPr>
            </w:pPr>
            <w:r>
              <w:rPr>
                <w:rFonts w:hint="eastAsia"/>
                <w:u w:val="none"/>
              </w:rPr>
              <w:t xml:space="preserve">表3- </w:t>
            </w:r>
            <w:r>
              <w:rPr>
                <w:rFonts w:hint="eastAsia"/>
                <w:u w:val="none"/>
                <w:lang w:val="en-US" w:eastAsia="zh-CN"/>
              </w:rPr>
              <w:t xml:space="preserve">3  </w:t>
            </w:r>
            <w:r>
              <w:rPr>
                <w:rFonts w:hint="eastAsia"/>
                <w:u w:val="none"/>
              </w:rPr>
              <w:t>本项目</w:t>
            </w:r>
            <w:r>
              <w:rPr>
                <w:rFonts w:hint="eastAsia"/>
                <w:u w:val="none"/>
                <w:lang w:val="en-US" w:eastAsia="zh-CN"/>
              </w:rPr>
              <w:t>引用</w:t>
            </w:r>
            <w:r>
              <w:rPr>
                <w:rFonts w:hint="default" w:ascii="Times New Roman" w:hAnsi="Times New Roman" w:cs="Times New Roman"/>
                <w:color w:val="000000"/>
                <w:u w:val="none" w:color="auto"/>
              </w:rPr>
              <w:t>大气环境现状监测及评价结果</w:t>
            </w:r>
            <w:r>
              <w:rPr>
                <w:rFonts w:hint="eastAsia"/>
                <w:u w:val="none"/>
              </w:rPr>
              <w:t>一览表</w:t>
            </w:r>
          </w:p>
          <w:tbl>
            <w:tblPr>
              <w:tblStyle w:val="3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5"/>
              <w:gridCol w:w="711"/>
              <w:gridCol w:w="790"/>
              <w:gridCol w:w="777"/>
              <w:gridCol w:w="762"/>
              <w:gridCol w:w="724"/>
              <w:gridCol w:w="724"/>
              <w:gridCol w:w="780"/>
              <w:gridCol w:w="760"/>
              <w:gridCol w:w="531"/>
              <w:gridCol w:w="519"/>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15" w:type="dxa"/>
                  <w:vMerge w:val="restart"/>
                  <w:tcBorders>
                    <w:lef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监测点位</w:t>
                  </w:r>
                </w:p>
              </w:tc>
              <w:tc>
                <w:tcPr>
                  <w:tcW w:w="711" w:type="dxa"/>
                  <w:vMerge w:val="restart"/>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检测项目</w:t>
                  </w:r>
                </w:p>
              </w:tc>
              <w:tc>
                <w:tcPr>
                  <w:tcW w:w="5317" w:type="dxa"/>
                  <w:gridSpan w:val="7"/>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监测</w:t>
                  </w:r>
                  <w:r>
                    <w:rPr>
                      <w:rFonts w:hint="eastAsia" w:ascii="Times New Roman" w:hAnsi="Times New Roman" w:eastAsia="宋体" w:cs="Times New Roman"/>
                      <w:sz w:val="18"/>
                      <w:szCs w:val="18"/>
                      <w:lang w:val="en-US" w:eastAsia="zh-CN"/>
                    </w:rPr>
                    <w:t>日期</w:t>
                  </w:r>
                  <w:r>
                    <w:rPr>
                      <w:rFonts w:hint="default" w:ascii="Times New Roman" w:hAnsi="Times New Roman" w:eastAsia="宋体" w:cs="Times New Roman"/>
                      <w:sz w:val="18"/>
                      <w:szCs w:val="18"/>
                      <w:lang w:val="en-US" w:eastAsia="zh-CN"/>
                    </w:rPr>
                    <w:t>及检测结果</w:t>
                  </w:r>
                </w:p>
              </w:tc>
              <w:tc>
                <w:tcPr>
                  <w:tcW w:w="531" w:type="dxa"/>
                  <w:vMerge w:val="restart"/>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标准限值</w:t>
                  </w:r>
                </w:p>
              </w:tc>
              <w:tc>
                <w:tcPr>
                  <w:tcW w:w="519" w:type="dxa"/>
                  <w:vMerge w:val="restart"/>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单位</w:t>
                  </w:r>
                </w:p>
              </w:tc>
              <w:tc>
                <w:tcPr>
                  <w:tcW w:w="463" w:type="dxa"/>
                  <w:vMerge w:val="restart"/>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15" w:type="dxa"/>
                  <w:vMerge w:val="continue"/>
                  <w:tcBorders>
                    <w:lef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711" w:type="dxa"/>
                  <w:vMerge w:val="continue"/>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79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2023.6.14</w:t>
                  </w:r>
                </w:p>
              </w:tc>
              <w:tc>
                <w:tcPr>
                  <w:tcW w:w="77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2023.6.15</w:t>
                  </w:r>
                </w:p>
              </w:tc>
              <w:tc>
                <w:tcPr>
                  <w:tcW w:w="762"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2023.6.16</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2023.6.17</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2023.6.18</w:t>
                  </w:r>
                </w:p>
              </w:tc>
              <w:tc>
                <w:tcPr>
                  <w:tcW w:w="78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2023.6.19</w:t>
                  </w:r>
                </w:p>
              </w:tc>
              <w:tc>
                <w:tcPr>
                  <w:tcW w:w="76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2023.6.20</w:t>
                  </w:r>
                </w:p>
              </w:tc>
              <w:tc>
                <w:tcPr>
                  <w:tcW w:w="531" w:type="dxa"/>
                  <w:vMerge w:val="continue"/>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519" w:type="dxa"/>
                  <w:vMerge w:val="continue"/>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3" w:type="dxa"/>
                  <w:vMerge w:val="continue"/>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5" w:type="dxa"/>
                  <w:vMerge w:val="restart"/>
                  <w:tcBorders>
                    <w:lef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G1</w:t>
                  </w:r>
                  <w:r>
                    <w:rPr>
                      <w:rFonts w:hint="default" w:ascii="Times New Roman" w:hAnsi="Times New Roman" w:eastAsia="宋体" w:cs="Times New Roman"/>
                      <w:sz w:val="18"/>
                      <w:szCs w:val="18"/>
                      <w:lang w:val="en-US" w:eastAsia="zh-CN"/>
                    </w:rPr>
                    <w:t>和悦家园居民点</w:t>
                  </w:r>
                </w:p>
              </w:tc>
              <w:tc>
                <w:tcPr>
                  <w:tcW w:w="71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TSP</w:t>
                  </w:r>
                </w:p>
              </w:tc>
              <w:tc>
                <w:tcPr>
                  <w:tcW w:w="79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0.100</w:t>
                  </w:r>
                </w:p>
              </w:tc>
              <w:tc>
                <w:tcPr>
                  <w:tcW w:w="77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0.106</w:t>
                  </w:r>
                </w:p>
              </w:tc>
              <w:tc>
                <w:tcPr>
                  <w:tcW w:w="762"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0.110</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0.102</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0.104</w:t>
                  </w:r>
                </w:p>
              </w:tc>
              <w:tc>
                <w:tcPr>
                  <w:tcW w:w="78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0.118</w:t>
                  </w:r>
                </w:p>
              </w:tc>
              <w:tc>
                <w:tcPr>
                  <w:tcW w:w="76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0.114</w:t>
                  </w:r>
                </w:p>
              </w:tc>
              <w:tc>
                <w:tcPr>
                  <w:tcW w:w="53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w:t>
                  </w:r>
                </w:p>
              </w:tc>
              <w:tc>
                <w:tcPr>
                  <w:tcW w:w="519"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mg/m</w:t>
                  </w:r>
                  <w:r>
                    <w:rPr>
                      <w:rFonts w:hint="default" w:ascii="Times New Roman" w:hAnsi="Times New Roman" w:eastAsia="宋体" w:cs="Times New Roman"/>
                      <w:sz w:val="18"/>
                      <w:szCs w:val="18"/>
                      <w:vertAlign w:val="superscript"/>
                      <w:lang w:val="en-US" w:eastAsia="zh-CN"/>
                    </w:rPr>
                    <w:t>3</w:t>
                  </w:r>
                </w:p>
              </w:tc>
              <w:tc>
                <w:tcPr>
                  <w:tcW w:w="463"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5" w:type="dxa"/>
                  <w:vMerge w:val="continue"/>
                  <w:tcBorders>
                    <w:lef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p>
              </w:tc>
              <w:tc>
                <w:tcPr>
                  <w:tcW w:w="71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氨</w:t>
                  </w:r>
                </w:p>
              </w:tc>
              <w:tc>
                <w:tcPr>
                  <w:tcW w:w="79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0.02</w:t>
                  </w:r>
                </w:p>
              </w:tc>
              <w:tc>
                <w:tcPr>
                  <w:tcW w:w="77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0.03</w:t>
                  </w:r>
                </w:p>
              </w:tc>
              <w:tc>
                <w:tcPr>
                  <w:tcW w:w="762"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0.03</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0.02</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0.02</w:t>
                  </w:r>
                </w:p>
              </w:tc>
              <w:tc>
                <w:tcPr>
                  <w:tcW w:w="78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0.02</w:t>
                  </w:r>
                </w:p>
              </w:tc>
              <w:tc>
                <w:tcPr>
                  <w:tcW w:w="76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0.03</w:t>
                  </w:r>
                </w:p>
              </w:tc>
              <w:tc>
                <w:tcPr>
                  <w:tcW w:w="53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0.2</w:t>
                  </w:r>
                </w:p>
              </w:tc>
              <w:tc>
                <w:tcPr>
                  <w:tcW w:w="519"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mg/m</w:t>
                  </w:r>
                  <w:r>
                    <w:rPr>
                      <w:rFonts w:hint="default" w:ascii="Times New Roman" w:hAnsi="Times New Roman" w:eastAsia="宋体" w:cs="Times New Roman"/>
                      <w:sz w:val="18"/>
                      <w:szCs w:val="18"/>
                      <w:vertAlign w:val="superscript"/>
                      <w:lang w:val="en-US" w:eastAsia="zh-CN"/>
                    </w:rPr>
                    <w:t>3</w:t>
                  </w:r>
                </w:p>
              </w:tc>
              <w:tc>
                <w:tcPr>
                  <w:tcW w:w="463"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5" w:type="dxa"/>
                  <w:vMerge w:val="continue"/>
                  <w:tcBorders>
                    <w:lef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p>
              </w:tc>
              <w:tc>
                <w:tcPr>
                  <w:tcW w:w="71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硫化氢</w:t>
                  </w:r>
                </w:p>
              </w:tc>
              <w:tc>
                <w:tcPr>
                  <w:tcW w:w="79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0.001L</w:t>
                  </w:r>
                </w:p>
              </w:tc>
              <w:tc>
                <w:tcPr>
                  <w:tcW w:w="77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0.001L</w:t>
                  </w:r>
                </w:p>
              </w:tc>
              <w:tc>
                <w:tcPr>
                  <w:tcW w:w="762"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0.001L</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0.001L</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0.001L</w:t>
                  </w:r>
                </w:p>
              </w:tc>
              <w:tc>
                <w:tcPr>
                  <w:tcW w:w="78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0.001L</w:t>
                  </w:r>
                </w:p>
              </w:tc>
              <w:tc>
                <w:tcPr>
                  <w:tcW w:w="76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0.001L</w:t>
                  </w:r>
                </w:p>
              </w:tc>
              <w:tc>
                <w:tcPr>
                  <w:tcW w:w="53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0.01</w:t>
                  </w:r>
                </w:p>
              </w:tc>
              <w:tc>
                <w:tcPr>
                  <w:tcW w:w="519"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mg/m</w:t>
                  </w:r>
                  <w:r>
                    <w:rPr>
                      <w:rFonts w:hint="default" w:ascii="Times New Roman" w:hAnsi="Times New Roman" w:eastAsia="宋体" w:cs="Times New Roman"/>
                      <w:sz w:val="18"/>
                      <w:szCs w:val="18"/>
                      <w:vertAlign w:val="superscript"/>
                      <w:lang w:val="en-US" w:eastAsia="zh-CN"/>
                    </w:rPr>
                    <w:t>3</w:t>
                  </w:r>
                </w:p>
              </w:tc>
              <w:tc>
                <w:tcPr>
                  <w:tcW w:w="463"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5" w:type="dxa"/>
                  <w:vMerge w:val="continue"/>
                  <w:tcBorders>
                    <w:lef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p>
              </w:tc>
              <w:tc>
                <w:tcPr>
                  <w:tcW w:w="71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臭气浓度</w:t>
                  </w:r>
                </w:p>
              </w:tc>
              <w:tc>
                <w:tcPr>
                  <w:tcW w:w="79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&lt;10</w:t>
                  </w:r>
                </w:p>
              </w:tc>
              <w:tc>
                <w:tcPr>
                  <w:tcW w:w="77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&lt;10</w:t>
                  </w:r>
                </w:p>
              </w:tc>
              <w:tc>
                <w:tcPr>
                  <w:tcW w:w="762"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&lt;10</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&lt;10</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&lt;10</w:t>
                  </w:r>
                </w:p>
              </w:tc>
              <w:tc>
                <w:tcPr>
                  <w:tcW w:w="78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&lt;10</w:t>
                  </w:r>
                </w:p>
              </w:tc>
              <w:tc>
                <w:tcPr>
                  <w:tcW w:w="76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&lt;10</w:t>
                  </w:r>
                </w:p>
              </w:tc>
              <w:tc>
                <w:tcPr>
                  <w:tcW w:w="53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519"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无量纲</w:t>
                  </w:r>
                </w:p>
              </w:tc>
              <w:tc>
                <w:tcPr>
                  <w:tcW w:w="463"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5" w:type="dxa"/>
                  <w:vMerge w:val="continue"/>
                  <w:tcBorders>
                    <w:lef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p>
              </w:tc>
              <w:tc>
                <w:tcPr>
                  <w:tcW w:w="71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氯化氢</w:t>
                  </w:r>
                </w:p>
              </w:tc>
              <w:tc>
                <w:tcPr>
                  <w:tcW w:w="79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0.02</w:t>
                  </w:r>
                  <w:r>
                    <w:rPr>
                      <w:rFonts w:hint="eastAsia" w:ascii="Times New Roman" w:hAnsi="Times New Roman" w:eastAsia="宋体" w:cs="Times New Roman"/>
                      <w:sz w:val="18"/>
                      <w:szCs w:val="18"/>
                      <w:lang w:val="en-US" w:eastAsia="zh-CN"/>
                    </w:rPr>
                    <w:t>L</w:t>
                  </w:r>
                </w:p>
              </w:tc>
              <w:tc>
                <w:tcPr>
                  <w:tcW w:w="77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0.02</w:t>
                  </w:r>
                  <w:r>
                    <w:rPr>
                      <w:rFonts w:hint="eastAsia" w:ascii="Times New Roman" w:hAnsi="Times New Roman" w:eastAsia="宋体" w:cs="Times New Roman"/>
                      <w:sz w:val="18"/>
                      <w:szCs w:val="18"/>
                      <w:lang w:val="en-US" w:eastAsia="zh-CN"/>
                    </w:rPr>
                    <w:t>L</w:t>
                  </w:r>
                </w:p>
              </w:tc>
              <w:tc>
                <w:tcPr>
                  <w:tcW w:w="762"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0.02</w:t>
                  </w:r>
                  <w:r>
                    <w:rPr>
                      <w:rFonts w:hint="eastAsia" w:ascii="Times New Roman" w:hAnsi="Times New Roman" w:eastAsia="宋体" w:cs="Times New Roman"/>
                      <w:sz w:val="18"/>
                      <w:szCs w:val="18"/>
                      <w:lang w:val="en-US" w:eastAsia="zh-CN"/>
                    </w:rPr>
                    <w:t>L</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0.02</w:t>
                  </w:r>
                  <w:r>
                    <w:rPr>
                      <w:rFonts w:hint="eastAsia" w:ascii="Times New Roman" w:hAnsi="Times New Roman" w:eastAsia="宋体" w:cs="Times New Roman"/>
                      <w:sz w:val="18"/>
                      <w:szCs w:val="18"/>
                      <w:lang w:val="en-US" w:eastAsia="zh-CN"/>
                    </w:rPr>
                    <w:t>L</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0.02</w:t>
                  </w:r>
                  <w:r>
                    <w:rPr>
                      <w:rFonts w:hint="eastAsia" w:ascii="Times New Roman" w:hAnsi="Times New Roman" w:eastAsia="宋体" w:cs="Times New Roman"/>
                      <w:sz w:val="18"/>
                      <w:szCs w:val="18"/>
                      <w:lang w:val="en-US" w:eastAsia="zh-CN"/>
                    </w:rPr>
                    <w:t>L</w:t>
                  </w:r>
                </w:p>
              </w:tc>
              <w:tc>
                <w:tcPr>
                  <w:tcW w:w="78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0.02</w:t>
                  </w:r>
                  <w:r>
                    <w:rPr>
                      <w:rFonts w:hint="eastAsia" w:ascii="Times New Roman" w:hAnsi="Times New Roman" w:eastAsia="宋体" w:cs="Times New Roman"/>
                      <w:sz w:val="18"/>
                      <w:szCs w:val="18"/>
                      <w:lang w:val="en-US" w:eastAsia="zh-CN"/>
                    </w:rPr>
                    <w:t>L</w:t>
                  </w:r>
                </w:p>
              </w:tc>
              <w:tc>
                <w:tcPr>
                  <w:tcW w:w="76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0.02</w:t>
                  </w:r>
                  <w:r>
                    <w:rPr>
                      <w:rFonts w:hint="eastAsia" w:ascii="Times New Roman" w:hAnsi="Times New Roman" w:eastAsia="宋体" w:cs="Times New Roman"/>
                      <w:sz w:val="18"/>
                      <w:szCs w:val="18"/>
                      <w:lang w:val="en-US" w:eastAsia="zh-CN"/>
                    </w:rPr>
                    <w:t>L</w:t>
                  </w:r>
                </w:p>
              </w:tc>
              <w:tc>
                <w:tcPr>
                  <w:tcW w:w="53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0.05</w:t>
                  </w:r>
                </w:p>
              </w:tc>
              <w:tc>
                <w:tcPr>
                  <w:tcW w:w="519"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mg/m</w:t>
                  </w:r>
                  <w:r>
                    <w:rPr>
                      <w:rFonts w:hint="default" w:ascii="Times New Roman" w:hAnsi="Times New Roman" w:eastAsia="宋体" w:cs="Times New Roman"/>
                      <w:sz w:val="18"/>
                      <w:szCs w:val="18"/>
                      <w:vertAlign w:val="superscript"/>
                      <w:lang w:val="en-US" w:eastAsia="zh-CN"/>
                    </w:rPr>
                    <w:t>3</w:t>
                  </w:r>
                </w:p>
              </w:tc>
              <w:tc>
                <w:tcPr>
                  <w:tcW w:w="463"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5" w:type="dxa"/>
                  <w:vMerge w:val="continue"/>
                  <w:tcBorders>
                    <w:lef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p>
              </w:tc>
              <w:tc>
                <w:tcPr>
                  <w:tcW w:w="71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硫酸雾</w:t>
                  </w:r>
                </w:p>
              </w:tc>
              <w:tc>
                <w:tcPr>
                  <w:tcW w:w="79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0.191</w:t>
                  </w:r>
                </w:p>
              </w:tc>
              <w:tc>
                <w:tcPr>
                  <w:tcW w:w="77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0.192</w:t>
                  </w:r>
                </w:p>
              </w:tc>
              <w:tc>
                <w:tcPr>
                  <w:tcW w:w="762"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0.193</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0.193</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0.194</w:t>
                  </w:r>
                </w:p>
              </w:tc>
              <w:tc>
                <w:tcPr>
                  <w:tcW w:w="78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0.195</w:t>
                  </w:r>
                </w:p>
              </w:tc>
              <w:tc>
                <w:tcPr>
                  <w:tcW w:w="76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0.196</w:t>
                  </w:r>
                </w:p>
              </w:tc>
              <w:tc>
                <w:tcPr>
                  <w:tcW w:w="53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w:t>
                  </w:r>
                </w:p>
              </w:tc>
              <w:tc>
                <w:tcPr>
                  <w:tcW w:w="519"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mg/m</w:t>
                  </w:r>
                  <w:r>
                    <w:rPr>
                      <w:rFonts w:hint="default" w:ascii="Times New Roman" w:hAnsi="Times New Roman" w:eastAsia="宋体" w:cs="Times New Roman"/>
                      <w:sz w:val="18"/>
                      <w:szCs w:val="18"/>
                      <w:vertAlign w:val="superscript"/>
                      <w:lang w:val="en-US" w:eastAsia="zh-CN"/>
                    </w:rPr>
                    <w:t>3</w:t>
                  </w:r>
                </w:p>
              </w:tc>
              <w:tc>
                <w:tcPr>
                  <w:tcW w:w="463"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5" w:type="dxa"/>
                  <w:vMerge w:val="continue"/>
                  <w:tcBorders>
                    <w:lef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p>
              </w:tc>
              <w:tc>
                <w:tcPr>
                  <w:tcW w:w="71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非甲烷总烃</w:t>
                  </w:r>
                </w:p>
              </w:tc>
              <w:tc>
                <w:tcPr>
                  <w:tcW w:w="79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0.50</w:t>
                  </w:r>
                </w:p>
              </w:tc>
              <w:tc>
                <w:tcPr>
                  <w:tcW w:w="77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0.54</w:t>
                  </w:r>
                </w:p>
              </w:tc>
              <w:tc>
                <w:tcPr>
                  <w:tcW w:w="762"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0.51</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0.54</w:t>
                  </w:r>
                </w:p>
              </w:tc>
              <w:tc>
                <w:tcPr>
                  <w:tcW w:w="72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0.53</w:t>
                  </w:r>
                </w:p>
              </w:tc>
              <w:tc>
                <w:tcPr>
                  <w:tcW w:w="78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0.46</w:t>
                  </w:r>
                </w:p>
              </w:tc>
              <w:tc>
                <w:tcPr>
                  <w:tcW w:w="76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0.50</w:t>
                  </w:r>
                </w:p>
              </w:tc>
              <w:tc>
                <w:tcPr>
                  <w:tcW w:w="531"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w:t>
                  </w:r>
                </w:p>
              </w:tc>
              <w:tc>
                <w:tcPr>
                  <w:tcW w:w="519"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mg/m</w:t>
                  </w:r>
                  <w:r>
                    <w:rPr>
                      <w:rFonts w:hint="default" w:ascii="Times New Roman" w:hAnsi="Times New Roman" w:eastAsia="宋体" w:cs="Times New Roman"/>
                      <w:sz w:val="18"/>
                      <w:szCs w:val="18"/>
                      <w:vertAlign w:val="superscript"/>
                      <w:lang w:val="en-US" w:eastAsia="zh-CN"/>
                    </w:rPr>
                    <w:t>3</w:t>
                  </w:r>
                </w:p>
              </w:tc>
              <w:tc>
                <w:tcPr>
                  <w:tcW w:w="463" w:type="dxa"/>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5" w:type="dxa"/>
                  <w:tcBorders>
                    <w:lef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备注</w:t>
                  </w:r>
                </w:p>
              </w:tc>
              <w:tc>
                <w:tcPr>
                  <w:tcW w:w="7541" w:type="dxa"/>
                  <w:gridSpan w:val="11"/>
                  <w:tcBorders>
                    <w:right w:val="single" w:color="auto"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TSP执行《</w:t>
                  </w:r>
                  <w:r>
                    <w:rPr>
                      <w:rFonts w:hint="default" w:ascii="Times New Roman" w:hAnsi="Times New Roman" w:eastAsia="宋体" w:cs="Times New Roman"/>
                      <w:sz w:val="18"/>
                      <w:szCs w:val="18"/>
                      <w:lang w:val="en-US" w:eastAsia="zh-CN"/>
                    </w:rPr>
                    <w:fldChar w:fldCharType="begin"/>
                  </w:r>
                  <w:r>
                    <w:rPr>
                      <w:rFonts w:hint="default" w:ascii="Times New Roman" w:hAnsi="Times New Roman" w:eastAsia="宋体" w:cs="Times New Roman"/>
                      <w:sz w:val="18"/>
                      <w:szCs w:val="18"/>
                      <w:lang w:val="en-US" w:eastAsia="zh-CN"/>
                    </w:rPr>
                    <w:instrText xml:space="preserve"> HYPERLINK "https://www.mee.gov.cn/ywgz/fgbz/bz/bzwb/dqhjbh/dqhjzlbz/201203/W020120410330232398521.pdf" </w:instrText>
                  </w:r>
                  <w:r>
                    <w:rPr>
                      <w:rFonts w:hint="default" w:ascii="Times New Roman" w:hAnsi="Times New Roman" w:eastAsia="宋体" w:cs="Times New Roman"/>
                      <w:sz w:val="18"/>
                      <w:szCs w:val="18"/>
                      <w:lang w:val="en-US" w:eastAsia="zh-CN"/>
                    </w:rPr>
                    <w:fldChar w:fldCharType="separate"/>
                  </w:r>
                  <w:r>
                    <w:rPr>
                      <w:rFonts w:hint="default" w:ascii="Times New Roman" w:hAnsi="Times New Roman" w:eastAsia="宋体" w:cs="Times New Roman"/>
                      <w:sz w:val="18"/>
                      <w:szCs w:val="18"/>
                      <w:lang w:val="en-US" w:eastAsia="zh-CN"/>
                    </w:rPr>
                    <w:t>环境空气质量标准》（GB 3095</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2012）</w:t>
                  </w:r>
                  <w:r>
                    <w:rPr>
                      <w:rFonts w:hint="default" w:ascii="Times New Roman" w:hAnsi="Times New Roman" w:eastAsia="宋体" w:cs="Times New Roman"/>
                      <w:sz w:val="18"/>
                      <w:szCs w:val="18"/>
                      <w:lang w:val="en-US" w:eastAsia="zh-CN"/>
                    </w:rPr>
                    <w:fldChar w:fldCharType="end"/>
                  </w:r>
                  <w:r>
                    <w:rPr>
                      <w:rFonts w:hint="default" w:ascii="Times New Roman" w:hAnsi="Times New Roman" w:eastAsia="宋体" w:cs="Times New Roman"/>
                      <w:sz w:val="18"/>
                      <w:szCs w:val="18"/>
                      <w:lang w:val="en-US" w:eastAsia="zh-CN"/>
                    </w:rPr>
                    <w:t>中二级标准；</w:t>
                  </w:r>
                </w:p>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氨、</w:t>
                  </w:r>
                  <w:r>
                    <w:rPr>
                      <w:rFonts w:hint="eastAsia" w:ascii="Times New Roman" w:hAnsi="Times New Roman" w:eastAsia="宋体" w:cs="Times New Roman"/>
                      <w:sz w:val="18"/>
                      <w:szCs w:val="18"/>
                      <w:lang w:val="en-US" w:eastAsia="zh-CN"/>
                    </w:rPr>
                    <w:t>硫化氢</w:t>
                  </w:r>
                  <w:r>
                    <w:rPr>
                      <w:rFonts w:hint="default" w:ascii="Times New Roman" w:hAnsi="Times New Roman" w:eastAsia="宋体" w:cs="Times New Roman"/>
                      <w:sz w:val="18"/>
                      <w:szCs w:val="18"/>
                      <w:lang w:val="en-US" w:eastAsia="zh-CN"/>
                    </w:rPr>
                    <w:t>、硫酸雾、氯化氢执行《环境影响评价技术导则 大气环境》 （HJ2-2018）附录D标准限值；</w:t>
                  </w:r>
                </w:p>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非甲烷总烃执行《大气污染物综合排放标准详解》</w:t>
                  </w:r>
                  <w:r>
                    <w:rPr>
                      <w:rFonts w:hint="eastAsia" w:ascii="Times New Roman" w:hAnsi="Times New Roman" w:eastAsia="宋体" w:cs="Times New Roman"/>
                      <w:sz w:val="18"/>
                      <w:szCs w:val="18"/>
                      <w:lang w:val="en-US" w:eastAsia="zh-CN"/>
                    </w:rPr>
                    <w:t>（GB16297-1996）</w:t>
                  </w:r>
                  <w:r>
                    <w:rPr>
                      <w:rFonts w:hint="default" w:ascii="Times New Roman" w:hAnsi="Times New Roman" w:eastAsia="宋体" w:cs="Times New Roman"/>
                      <w:sz w:val="18"/>
                      <w:szCs w:val="18"/>
                      <w:lang w:val="en-US" w:eastAsia="zh-CN"/>
                    </w:rPr>
                    <w:t>244页</w:t>
                  </w:r>
                  <w:r>
                    <w:rPr>
                      <w:rFonts w:hint="eastAsia" w:ascii="Times New Roman" w:hAnsi="Times New Roman" w:eastAsia="宋体" w:cs="Times New Roman"/>
                      <w:sz w:val="18"/>
                      <w:szCs w:val="18"/>
                      <w:lang w:val="en-US" w:eastAsia="zh-CN"/>
                    </w:rPr>
                    <w:t>。</w:t>
                  </w:r>
                </w:p>
              </w:tc>
            </w:tr>
          </w:tbl>
          <w:p>
            <w:pPr>
              <w:widowControl w:val="0"/>
              <w:wordWrap w:val="0"/>
              <w:topLinePunct/>
              <w:spacing w:line="360" w:lineRule="auto"/>
              <w:ind w:firstLine="480" w:firstLineChars="200"/>
              <w:jc w:val="both"/>
              <w:rPr>
                <w:rFonts w:hint="default" w:ascii="Times New Roman" w:hAnsi="Times New Roman" w:eastAsia="宋体" w:cs="Times New Roman"/>
                <w:color w:val="auto"/>
                <w:u w:val="none" w:color="auto"/>
                <w:lang w:val="zh-CN" w:bidi="zh-CN"/>
              </w:rPr>
            </w:pPr>
            <w:r>
              <w:rPr>
                <w:rFonts w:hint="default" w:ascii="Times New Roman" w:hAnsi="Times New Roman" w:eastAsia="宋体" w:cs="Times New Roman"/>
                <w:color w:val="auto"/>
                <w:u w:val="none" w:color="auto"/>
                <w:lang w:val="zh-CN" w:bidi="zh-CN"/>
              </w:rPr>
              <w:t>根据上表</w:t>
            </w:r>
            <w:r>
              <w:rPr>
                <w:rFonts w:hint="eastAsia" w:ascii="Times New Roman" w:hAnsi="Times New Roman" w:eastAsia="宋体" w:cs="Times New Roman"/>
                <w:color w:val="auto"/>
                <w:u w:val="none" w:color="auto"/>
                <w:lang w:val="en-US" w:bidi="zh-CN"/>
              </w:rPr>
              <w:t>3-3可知</w:t>
            </w:r>
            <w:r>
              <w:rPr>
                <w:rFonts w:hint="default" w:ascii="Times New Roman" w:hAnsi="Times New Roman" w:eastAsia="宋体" w:cs="Times New Roman"/>
                <w:color w:val="auto"/>
                <w:u w:val="none" w:color="auto"/>
                <w:lang w:val="zh-CN" w:bidi="zh-CN"/>
              </w:rPr>
              <w:t>，项目特征</w:t>
            </w:r>
            <w:r>
              <w:rPr>
                <w:rFonts w:ascii="Times New Roman" w:hAnsi="Times New Roman" w:eastAsia="宋体" w:cs="Times New Roman"/>
                <w:color w:val="auto"/>
                <w:u w:val="none" w:color="auto"/>
                <w:lang w:val="zh-CN" w:bidi="zh-CN"/>
              </w:rPr>
              <w:t>NH</w:t>
            </w:r>
            <w:r>
              <w:rPr>
                <w:rFonts w:ascii="Times New Roman" w:hAnsi="Times New Roman" w:eastAsia="宋体" w:cs="Times New Roman"/>
                <w:color w:val="auto"/>
                <w:u w:val="none" w:color="auto"/>
                <w:vertAlign w:val="subscript"/>
                <w:lang w:val="zh-CN" w:bidi="zh-CN"/>
              </w:rPr>
              <w:t>3</w:t>
            </w:r>
            <w:r>
              <w:rPr>
                <w:rFonts w:ascii="Times New Roman" w:hAnsi="Times New Roman" w:eastAsia="宋体" w:cs="Times New Roman"/>
                <w:color w:val="auto"/>
                <w:u w:val="none" w:color="auto"/>
                <w:lang w:val="zh-CN" w:bidi="zh-CN"/>
              </w:rPr>
              <w:t>、H</w:t>
            </w:r>
            <w:r>
              <w:rPr>
                <w:rFonts w:ascii="Times New Roman" w:hAnsi="Times New Roman" w:eastAsia="宋体" w:cs="Times New Roman"/>
                <w:color w:val="auto"/>
                <w:u w:val="none" w:color="auto"/>
                <w:vertAlign w:val="subscript"/>
                <w:lang w:val="zh-CN" w:bidi="zh-CN"/>
              </w:rPr>
              <w:t>2</w:t>
            </w:r>
            <w:r>
              <w:rPr>
                <w:rFonts w:ascii="Times New Roman" w:hAnsi="Times New Roman" w:eastAsia="宋体" w:cs="Times New Roman"/>
                <w:color w:val="auto"/>
                <w:u w:val="none" w:color="auto"/>
                <w:lang w:val="zh-CN" w:bidi="zh-CN"/>
              </w:rPr>
              <w:t xml:space="preserve">S </w:t>
            </w:r>
            <w:r>
              <w:rPr>
                <w:rFonts w:hint="default" w:ascii="Times New Roman" w:hAnsi="Times New Roman" w:eastAsia="宋体" w:cs="Times New Roman"/>
                <w:color w:val="auto"/>
                <w:u w:val="none" w:color="auto"/>
                <w:lang w:val="zh-CN" w:eastAsia="zh-CN" w:bidi="zh-CN"/>
              </w:rPr>
              <w:t>的监测值均符合</w:t>
            </w:r>
            <w:r>
              <w:rPr>
                <w:rFonts w:ascii="Times New Roman" w:hAnsi="Times New Roman" w:eastAsia="宋体" w:cs="Times New Roman"/>
                <w:color w:val="auto"/>
                <w:u w:val="none" w:color="auto"/>
                <w:lang w:val="zh-CN" w:bidi="zh-CN"/>
              </w:rPr>
              <w:t>《环境影响评价技术导则大气环境》（HJ2.2-2018）附录D浓度限值</w:t>
            </w:r>
            <w:r>
              <w:rPr>
                <w:rFonts w:hint="default" w:ascii="Times New Roman" w:hAnsi="Times New Roman" w:eastAsia="宋体" w:cs="Times New Roman"/>
                <w:color w:val="auto"/>
                <w:u w:val="none" w:color="auto"/>
                <w:lang w:val="zh-CN" w:eastAsia="zh-CN" w:bidi="zh-CN"/>
              </w:rPr>
              <w:t>，不存在超标情况。</w:t>
            </w:r>
            <w:r>
              <w:rPr>
                <w:rFonts w:hint="default" w:ascii="Times New Roman" w:hAnsi="Times New Roman" w:eastAsia="宋体" w:cs="Times New Roman"/>
                <w:color w:val="auto"/>
                <w:u w:val="none" w:color="auto"/>
                <w:lang w:val="en-US" w:bidi="zh-CN"/>
              </w:rPr>
              <w:t>项目</w:t>
            </w:r>
            <w:r>
              <w:rPr>
                <w:rFonts w:hint="default" w:ascii="Times New Roman" w:hAnsi="Times New Roman" w:eastAsia="宋体" w:cs="Times New Roman"/>
                <w:color w:val="auto"/>
                <w:u w:val="none" w:color="auto"/>
                <w:lang w:val="zh-CN" w:bidi="zh-CN"/>
              </w:rPr>
              <w:t>区域现状环境空气质量良好</w:t>
            </w:r>
            <w:r>
              <w:rPr>
                <w:rFonts w:hint="eastAsia" w:ascii="Times New Roman" w:hAnsi="Times New Roman" w:eastAsia="宋体" w:cs="Times New Roman"/>
                <w:color w:val="auto"/>
                <w:u w:val="none" w:color="auto"/>
                <w:lang w:val="zh-CN" w:bidi="zh-CN"/>
              </w:rPr>
              <w:t>（</w:t>
            </w:r>
            <w:r>
              <w:rPr>
                <w:rFonts w:hint="default" w:ascii="Times New Roman" w:hAnsi="Times New Roman" w:eastAsia="宋体" w:cs="Times New Roman"/>
                <w:color w:val="auto"/>
                <w:u w:val="none" w:color="auto"/>
                <w:lang w:val="zh-CN" w:bidi="zh-CN"/>
              </w:rPr>
              <w:t>大气环境监测报告详见附件</w:t>
            </w:r>
            <w:r>
              <w:rPr>
                <w:rFonts w:hint="eastAsia" w:ascii="Times New Roman" w:hAnsi="Times New Roman" w:eastAsia="宋体" w:cs="Times New Roman"/>
                <w:color w:val="auto"/>
                <w:u w:val="none" w:color="auto"/>
                <w:lang w:val="en-US" w:bidi="zh-CN"/>
              </w:rPr>
              <w:t>8</w:t>
            </w:r>
            <w:r>
              <w:rPr>
                <w:rFonts w:hint="eastAsia" w:ascii="Times New Roman" w:hAnsi="Times New Roman" w:eastAsia="宋体" w:cs="Times New Roman"/>
                <w:color w:val="auto"/>
                <w:u w:val="none" w:color="auto"/>
                <w:lang w:val="zh-CN" w:bidi="zh-CN"/>
              </w:rPr>
              <w:t>）</w:t>
            </w:r>
            <w:r>
              <w:rPr>
                <w:rFonts w:hint="default" w:ascii="Times New Roman" w:hAnsi="Times New Roman" w:eastAsia="宋体" w:cs="Times New Roman"/>
                <w:color w:val="auto"/>
                <w:u w:val="none" w:color="auto"/>
                <w:lang w:val="zh-CN" w:bidi="zh-CN"/>
              </w:rPr>
              <w:t>。</w:t>
            </w:r>
          </w:p>
          <w:p>
            <w:pPr>
              <w:pStyle w:val="98"/>
              <w:ind w:firstLine="480"/>
              <w:rPr>
                <w:rFonts w:hint="default"/>
                <w:b/>
                <w:bCs/>
                <w:sz w:val="24"/>
                <w:szCs w:val="24"/>
                <w:u w:val="none"/>
                <w:lang w:val="en-US"/>
              </w:rPr>
            </w:pPr>
            <w:r>
              <w:rPr>
                <w:rFonts w:hint="eastAsia" w:cs="Times New Roman"/>
                <w:b/>
                <w:bCs/>
                <w:color w:val="000000"/>
                <w:sz w:val="24"/>
                <w:szCs w:val="24"/>
                <w:highlight w:val="none"/>
                <w:u w:val="none"/>
                <w:lang w:val="en-US" w:eastAsia="zh-CN"/>
              </w:rPr>
              <w:t>（3）</w:t>
            </w:r>
            <w:r>
              <w:rPr>
                <w:rFonts w:hint="default" w:ascii="Times New Roman" w:hAnsi="Times New Roman" w:cs="Times New Roman"/>
                <w:b/>
                <w:bCs/>
                <w:color w:val="000000"/>
                <w:sz w:val="24"/>
                <w:szCs w:val="24"/>
                <w:highlight w:val="none"/>
                <w:u w:val="none"/>
                <w:lang w:val="en-US" w:eastAsia="zh-CN"/>
              </w:rPr>
              <w:t>大气特征污染因子数据引用的合理性</w:t>
            </w:r>
            <w:r>
              <w:rPr>
                <w:rFonts w:hint="eastAsia" w:ascii="Times New Roman" w:hAnsi="Times New Roman" w:cs="Times New Roman"/>
                <w:b/>
                <w:bCs/>
                <w:color w:val="000000"/>
                <w:sz w:val="24"/>
                <w:szCs w:val="24"/>
                <w:highlight w:val="none"/>
                <w:u w:val="none"/>
                <w:lang w:val="en-US" w:eastAsia="zh-CN"/>
              </w:rPr>
              <w:t>分析</w:t>
            </w:r>
          </w:p>
          <w:p>
            <w:pPr>
              <w:pStyle w:val="33"/>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lang w:val="zh-CN"/>
              </w:rPr>
            </w:pPr>
            <w:r>
              <w:rPr>
                <w:rFonts w:hint="eastAsia"/>
                <w:lang w:val="en-US" w:eastAsia="zh-CN"/>
              </w:rPr>
              <w:t>根据</w:t>
            </w:r>
            <w:r>
              <w:rPr>
                <w:rFonts w:hint="default"/>
                <w:lang w:val="zh-CN"/>
              </w:rPr>
              <w:t>《建设项目环境影响报告表编制技术指南（污染影响类）中“排放国家、地方环境空气质量标准中有标准限值要求的特征污染物时，引用建设项目周边5千米范围内近3年的现有监测数据，无相关数据的选择当季主导风向下风1个点位补充不少于3天的监测数据”的要求</w:t>
            </w:r>
            <w:r>
              <w:rPr>
                <w:rFonts w:hint="eastAsia"/>
                <w:lang w:val="zh-CN"/>
              </w:rPr>
              <w:t>。</w:t>
            </w:r>
            <w:r>
              <w:rPr>
                <w:rFonts w:hint="default" w:ascii="Times New Roman" w:hAnsi="Times New Roman" w:cs="Times New Roman"/>
                <w:sz w:val="24"/>
                <w:u w:val="none"/>
                <w:lang w:val="en-US" w:eastAsia="zh-CN"/>
              </w:rPr>
              <w:t>引用点位距离本项目</w:t>
            </w:r>
            <w:r>
              <w:rPr>
                <w:rFonts w:hint="eastAsia" w:ascii="Times New Roman" w:hAnsi="Times New Roman" w:cs="Times New Roman"/>
                <w:sz w:val="24"/>
                <w:u w:val="none"/>
                <w:lang w:val="en-US" w:eastAsia="zh-CN"/>
              </w:rPr>
              <w:t>47</w:t>
            </w:r>
            <w:r>
              <w:rPr>
                <w:rFonts w:hint="default" w:ascii="Times New Roman" w:hAnsi="Times New Roman" w:cs="Times New Roman"/>
                <w:sz w:val="24"/>
                <w:u w:val="none"/>
                <w:lang w:val="en-US" w:eastAsia="zh-CN"/>
              </w:rPr>
              <w:t>m</w:t>
            </w:r>
            <w:r>
              <w:rPr>
                <w:rFonts w:hint="default" w:ascii="Times New Roman" w:hAnsi="Times New Roman" w:eastAsia="宋体" w:cs="Times New Roman"/>
                <w:sz w:val="24"/>
                <w:u w:val="none"/>
                <w:lang w:val="en-US" w:eastAsia="zh-CN"/>
              </w:rPr>
              <w:t>&lt;</w:t>
            </w:r>
            <w:r>
              <w:rPr>
                <w:rFonts w:hint="eastAsia" w:ascii="Times New Roman" w:hAnsi="Times New Roman" w:eastAsia="宋体" w:cs="Times New Roman"/>
                <w:sz w:val="24"/>
                <w:u w:val="none"/>
                <w:lang w:val="en-US" w:eastAsia="zh-CN"/>
              </w:rPr>
              <w:t>5</w:t>
            </w:r>
            <w:r>
              <w:rPr>
                <w:rFonts w:hint="default" w:ascii="Times New Roman" w:hAnsi="Times New Roman" w:eastAsia="宋体" w:cs="Times New Roman"/>
                <w:sz w:val="24"/>
                <w:u w:val="none"/>
                <w:lang w:val="en-US" w:eastAsia="zh-CN"/>
              </w:rPr>
              <w:t>000m，</w:t>
            </w:r>
            <w:r>
              <w:rPr>
                <w:rFonts w:hint="default" w:ascii="Times New Roman" w:hAnsi="Times New Roman" w:cs="Times New Roman"/>
                <w:sz w:val="24"/>
                <w:u w:val="none"/>
                <w:lang w:val="en-US" w:eastAsia="zh-CN"/>
              </w:rPr>
              <w:t>检测时间未超过3年，根据现场调查，该项目周边质量现状与本项目建设前改变不大，区域污染结构未发生明显改变，项目区域自然及社会环境未发生重大变化，因此，引用数据可以代表区域环境空气状况</w:t>
            </w:r>
            <w:r>
              <w:rPr>
                <w:rFonts w:hint="eastAsia" w:ascii="Times New Roman" w:hAnsi="Times New Roman" w:cs="Times New Roman"/>
                <w:sz w:val="24"/>
                <w:u w:val="none"/>
                <w:lang w:val="en-US" w:eastAsia="zh-CN"/>
              </w:rPr>
              <w:t>。</w:t>
            </w:r>
          </w:p>
          <w:p>
            <w:pPr>
              <w:pStyle w:val="161"/>
              <w:rPr>
                <w:rFonts w:hint="default" w:ascii="Times New Roman" w:hAnsi="Times New Roman" w:cs="Times New Roman"/>
                <w:lang w:val="en-US" w:eastAsia="zh-CN"/>
              </w:rPr>
            </w:pPr>
            <w:r>
              <w:rPr>
                <w:rFonts w:hint="default" w:ascii="Times New Roman" w:hAnsi="Times New Roman" w:cs="Times New Roman"/>
                <w:lang w:val="en-US" w:eastAsia="zh-CN"/>
              </w:rPr>
              <w:t>2、地表水环境质量现状</w:t>
            </w:r>
          </w:p>
          <w:p>
            <w:pPr>
              <w:pStyle w:val="98"/>
              <w:ind w:firstLine="480"/>
              <w:rPr>
                <w:rFonts w:hint="default" w:eastAsia="宋体"/>
                <w:sz w:val="24"/>
                <w:szCs w:val="24"/>
                <w:u w:val="none"/>
                <w:lang w:val="en-US" w:eastAsia="zh-CN"/>
              </w:rPr>
            </w:pPr>
            <w:r>
              <w:rPr>
                <w:rFonts w:hint="eastAsia"/>
                <w:sz w:val="24"/>
                <w:szCs w:val="24"/>
                <w:u w:val="none"/>
                <w:lang w:val="zh-CN"/>
              </w:rPr>
              <w:t>（</w:t>
            </w:r>
            <w:r>
              <w:rPr>
                <w:rFonts w:hint="eastAsia"/>
                <w:sz w:val="24"/>
                <w:szCs w:val="24"/>
                <w:u w:val="none"/>
                <w:lang w:val="en-US" w:eastAsia="zh-CN"/>
              </w:rPr>
              <w:t>1</w:t>
            </w:r>
            <w:r>
              <w:rPr>
                <w:rFonts w:hint="eastAsia"/>
                <w:sz w:val="24"/>
                <w:szCs w:val="24"/>
                <w:u w:val="none"/>
                <w:lang w:val="zh-CN"/>
              </w:rPr>
              <w:t>）</w:t>
            </w:r>
            <w:r>
              <w:rPr>
                <w:rFonts w:hint="eastAsia"/>
                <w:sz w:val="24"/>
                <w:szCs w:val="24"/>
                <w:u w:val="none"/>
                <w:lang w:val="en-US" w:eastAsia="zh-CN"/>
              </w:rPr>
              <w:t>常规监测断面达标分析</w:t>
            </w:r>
          </w:p>
          <w:p>
            <w:pPr>
              <w:pStyle w:val="98"/>
              <w:ind w:firstLine="480"/>
              <w:rPr>
                <w:rFonts w:hint="eastAsia"/>
                <w:sz w:val="24"/>
                <w:szCs w:val="24"/>
                <w:u w:val="none"/>
                <w:lang w:eastAsia="zh-CN"/>
              </w:rPr>
            </w:pPr>
            <w:r>
              <w:rPr>
                <w:rFonts w:hint="default"/>
                <w:sz w:val="24"/>
                <w:szCs w:val="24"/>
                <w:u w:val="none"/>
                <w:lang w:val="zh-CN"/>
              </w:rPr>
              <w:t>本项目区域地表水系为花垣河，</w:t>
            </w:r>
            <w:bookmarkStart w:id="14" w:name="4.2.3声环境质量监测与评价"/>
            <w:bookmarkEnd w:id="14"/>
            <w:bookmarkStart w:id="15" w:name="4.2.2.2补充地表水环境质量现状监测情况"/>
            <w:bookmarkEnd w:id="15"/>
            <w:r>
              <w:rPr>
                <w:rFonts w:hint="eastAsia"/>
                <w:sz w:val="24"/>
                <w:szCs w:val="24"/>
                <w:u w:val="none"/>
                <w:lang w:val="en-US" w:eastAsia="zh-CN"/>
              </w:rPr>
              <w:t>项目距花垣河直线距离为512m</w:t>
            </w:r>
            <w:r>
              <w:rPr>
                <w:rFonts w:hint="eastAsia"/>
                <w:sz w:val="24"/>
                <w:szCs w:val="24"/>
                <w:u w:val="none"/>
                <w:lang w:eastAsia="zh-CN"/>
              </w:rPr>
              <w:t>。</w:t>
            </w:r>
            <w:r>
              <w:rPr>
                <w:rFonts w:hint="eastAsia"/>
                <w:sz w:val="24"/>
                <w:szCs w:val="24"/>
                <w:u w:val="none"/>
                <w:lang w:val="zh-CN" w:eastAsia="zh-CN"/>
              </w:rPr>
              <w:t>本项目污水经</w:t>
            </w:r>
            <w:r>
              <w:rPr>
                <w:rFonts w:hint="eastAsia"/>
                <w:sz w:val="24"/>
                <w:szCs w:val="24"/>
                <w:u w:val="none"/>
                <w:lang w:val="en-US" w:eastAsia="zh-CN"/>
              </w:rPr>
              <w:t>一体化</w:t>
            </w:r>
            <w:r>
              <w:rPr>
                <w:rFonts w:hint="eastAsia"/>
                <w:sz w:val="24"/>
                <w:szCs w:val="24"/>
                <w:u w:val="none"/>
                <w:lang w:val="zh-CN" w:eastAsia="zh-CN"/>
              </w:rPr>
              <w:t>污水处理站处理后经市政管网接入花垣县污水处理厂进行处理，处理达标过后排入花垣河，花垣县污水处理厂排污口上游</w:t>
            </w:r>
            <w:r>
              <w:rPr>
                <w:rFonts w:hint="eastAsia"/>
                <w:sz w:val="24"/>
                <w:szCs w:val="24"/>
                <w:u w:val="none"/>
                <w:lang w:val="en-US" w:eastAsia="zh-CN"/>
              </w:rPr>
              <w:t>4.5km为</w:t>
            </w:r>
            <w:r>
              <w:rPr>
                <w:rFonts w:hint="eastAsia"/>
                <w:sz w:val="24"/>
                <w:szCs w:val="24"/>
                <w:u w:val="none"/>
                <w:lang w:eastAsia="zh-CN"/>
              </w:rPr>
              <w:t>川心城省控断面，下游</w:t>
            </w:r>
            <w:r>
              <w:rPr>
                <w:rFonts w:hint="eastAsia"/>
                <w:sz w:val="24"/>
                <w:szCs w:val="24"/>
                <w:u w:val="none"/>
                <w:lang w:val="en-US" w:eastAsia="zh-CN"/>
              </w:rPr>
              <w:t>3.2km为</w:t>
            </w:r>
            <w:r>
              <w:rPr>
                <w:rFonts w:hint="eastAsia"/>
                <w:sz w:val="24"/>
                <w:szCs w:val="24"/>
                <w:u w:val="none"/>
                <w:lang w:eastAsia="zh-CN"/>
              </w:rPr>
              <w:t>狮子桥坝下国控断面。</w:t>
            </w:r>
          </w:p>
          <w:p>
            <w:pPr>
              <w:pStyle w:val="98"/>
              <w:ind w:firstLine="480"/>
              <w:rPr>
                <w:rStyle w:val="47"/>
                <w:kern w:val="0"/>
                <w:sz w:val="24"/>
                <w:szCs w:val="24"/>
                <w:u w:val="none"/>
              </w:rPr>
            </w:pPr>
            <w:r>
              <w:rPr>
                <w:rFonts w:hint="eastAsia"/>
                <w:sz w:val="24"/>
                <w:szCs w:val="24"/>
                <w:u w:val="none"/>
                <w:lang w:val="en-US"/>
              </w:rPr>
              <w:t>为此</w:t>
            </w:r>
            <w:r>
              <w:rPr>
                <w:rFonts w:hint="default"/>
                <w:sz w:val="24"/>
                <w:szCs w:val="24"/>
                <w:u w:val="none"/>
              </w:rPr>
              <w:t>本次环评收集了</w:t>
            </w:r>
            <w:r>
              <w:rPr>
                <w:rFonts w:hint="eastAsia"/>
                <w:sz w:val="24"/>
                <w:szCs w:val="24"/>
                <w:u w:val="none"/>
                <w:lang w:val="en-US" w:eastAsia="zh-CN"/>
              </w:rPr>
              <w:t>2023年</w:t>
            </w:r>
            <w:r>
              <w:rPr>
                <w:rFonts w:hint="default"/>
                <w:sz w:val="24"/>
                <w:szCs w:val="24"/>
                <w:u w:val="none"/>
              </w:rPr>
              <w:t>《湘西州环境质量简报》花垣县地表水常规监控断面水质监测数据，对建设项目所在地区地表水环境质量现状进行分析，</w:t>
            </w:r>
            <w:r>
              <w:rPr>
                <w:rFonts w:hint="default"/>
                <w:sz w:val="24"/>
                <w:szCs w:val="24"/>
                <w:u w:val="none"/>
                <w:lang w:eastAsia="zh-CN"/>
              </w:rPr>
              <w:t>监控断面为川心城省控断面</w:t>
            </w:r>
            <w:r>
              <w:rPr>
                <w:rFonts w:hint="eastAsia"/>
                <w:sz w:val="24"/>
                <w:szCs w:val="24"/>
                <w:u w:val="none"/>
                <w:lang w:eastAsia="zh-CN"/>
              </w:rPr>
              <w:t>、</w:t>
            </w:r>
            <w:r>
              <w:rPr>
                <w:rFonts w:hint="default"/>
                <w:sz w:val="24"/>
                <w:szCs w:val="24"/>
                <w:u w:val="none"/>
                <w:lang w:eastAsia="zh-CN"/>
              </w:rPr>
              <w:t>狮子桥坝下国控断面</w:t>
            </w:r>
            <w:r>
              <w:rPr>
                <w:rFonts w:hint="eastAsia"/>
                <w:sz w:val="24"/>
                <w:szCs w:val="24"/>
                <w:u w:val="none"/>
                <w:lang w:eastAsia="zh-CN"/>
              </w:rPr>
              <w:t>、</w:t>
            </w:r>
            <w:r>
              <w:rPr>
                <w:rFonts w:hint="eastAsia"/>
                <w:sz w:val="24"/>
                <w:szCs w:val="24"/>
                <w:u w:val="none"/>
                <w:lang w:val="en-US" w:eastAsia="zh-CN"/>
              </w:rPr>
              <w:t>下寨河电站（佳民）</w:t>
            </w:r>
            <w:r>
              <w:rPr>
                <w:rFonts w:hint="default"/>
                <w:sz w:val="24"/>
                <w:szCs w:val="24"/>
                <w:u w:val="none"/>
                <w:lang w:eastAsia="zh-CN"/>
              </w:rPr>
              <w:t>省控断面</w:t>
            </w:r>
            <w:r>
              <w:rPr>
                <w:rFonts w:hint="eastAsia"/>
                <w:sz w:val="24"/>
                <w:szCs w:val="24"/>
                <w:u w:val="none"/>
                <w:lang w:eastAsia="zh-CN"/>
              </w:rPr>
              <w:t>。</w:t>
            </w:r>
            <w:r>
              <w:rPr>
                <w:sz w:val="24"/>
                <w:szCs w:val="24"/>
                <w:u w:val="none"/>
              </w:rPr>
              <w:t>各断面水质状况统计情况见下表。</w:t>
            </w:r>
          </w:p>
          <w:p>
            <w:pPr>
              <w:pStyle w:val="8"/>
              <w:keepNext/>
              <w:keepLines w:val="0"/>
              <w:pageBreakBefore w:val="0"/>
              <w:widowControl/>
              <w:kinsoku/>
              <w:wordWrap/>
              <w:overflowPunct/>
              <w:topLinePunct w:val="0"/>
              <w:autoSpaceDE/>
              <w:autoSpaceDN/>
              <w:bidi w:val="0"/>
              <w:adjustRightInd/>
              <w:snapToGrid/>
              <w:spacing w:line="240" w:lineRule="auto"/>
              <w:textAlignment w:val="auto"/>
              <w:rPr>
                <w:rFonts w:hint="eastAsia"/>
              </w:rPr>
            </w:pPr>
            <w:r>
              <w:rPr>
                <w:rFonts w:hint="eastAsia"/>
              </w:rPr>
              <w:t>表3-</w:t>
            </w:r>
            <w:r>
              <w:rPr>
                <w:rFonts w:hint="eastAsia"/>
                <w:lang w:val="en-US" w:eastAsia="zh-CN"/>
              </w:rPr>
              <w:t xml:space="preserve">4  </w:t>
            </w:r>
            <w:r>
              <w:rPr>
                <w:rFonts w:hint="eastAsia" w:cs="宋体"/>
                <w:b/>
                <w:szCs w:val="21"/>
              </w:rPr>
              <w:t>2023年花垣县地表水常规监测断面监测数据(单位：mg/L,pH无量纲）</w:t>
            </w:r>
          </w:p>
          <w:tbl>
            <w:tblPr>
              <w:tblStyle w:val="34"/>
              <w:tblW w:w="7959" w:type="dxa"/>
              <w:jc w:val="center"/>
              <w:tblLayout w:type="fixed"/>
              <w:tblCellMar>
                <w:top w:w="0" w:type="dxa"/>
                <w:left w:w="57" w:type="dxa"/>
                <w:bottom w:w="0" w:type="dxa"/>
                <w:right w:w="57" w:type="dxa"/>
              </w:tblCellMar>
            </w:tblPr>
            <w:tblGrid>
              <w:gridCol w:w="2024"/>
              <w:gridCol w:w="1403"/>
              <w:gridCol w:w="1191"/>
              <w:gridCol w:w="1618"/>
              <w:gridCol w:w="1024"/>
              <w:gridCol w:w="699"/>
            </w:tblGrid>
            <w:tr>
              <w:tblPrEx>
                <w:tblCellMar>
                  <w:top w:w="0" w:type="dxa"/>
                  <w:left w:w="57" w:type="dxa"/>
                  <w:bottom w:w="0" w:type="dxa"/>
                  <w:right w:w="57" w:type="dxa"/>
                </w:tblCellMar>
              </w:tblPrEx>
              <w:trPr>
                <w:trHeight w:val="657"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测站名称</w:t>
                  </w:r>
                </w:p>
              </w:tc>
              <w:tc>
                <w:tcPr>
                  <w:tcW w:w="4212" w:type="dxa"/>
                  <w:gridSpan w:val="3"/>
                  <w:tcBorders>
                    <w:top w:val="single" w:color="000000" w:sz="4" w:space="0"/>
                    <w:left w:val="single" w:color="000000" w:sz="4" w:space="0"/>
                    <w:bottom w:val="single" w:color="000000" w:sz="4"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湘西土家族苗族自治州</w:t>
                  </w:r>
                </w:p>
              </w:tc>
              <w:tc>
                <w:tcPr>
                  <w:tcW w:w="1024" w:type="dxa"/>
                  <w:tcBorders>
                    <w:top w:val="single" w:color="000000" w:sz="8" w:space="0"/>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Ⅱ类水标准值</w:t>
                  </w:r>
                </w:p>
              </w:tc>
              <w:tc>
                <w:tcPr>
                  <w:tcW w:w="699" w:type="dxa"/>
                  <w:tcBorders>
                    <w:top w:val="single" w:color="000000" w:sz="8" w:space="0"/>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达标情况</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河流名称</w:t>
                  </w:r>
                </w:p>
              </w:tc>
              <w:tc>
                <w:tcPr>
                  <w:tcW w:w="2594" w:type="dxa"/>
                  <w:gridSpan w:val="2"/>
                  <w:tcBorders>
                    <w:top w:val="single" w:color="000000" w:sz="4" w:space="0"/>
                    <w:left w:val="single" w:color="000000" w:sz="4" w:space="0"/>
                    <w:bottom w:val="single" w:color="000000" w:sz="4" w:space="0"/>
                    <w:right w:val="single" w:color="auto" w:sz="4" w:space="0"/>
                  </w:tcBorders>
                  <w:noWrap/>
                  <w:vAlign w:val="center"/>
                </w:tcPr>
                <w:p>
                  <w:pPr>
                    <w:widowControl/>
                    <w:wordWrap w:val="0"/>
                    <w:jc w:val="center"/>
                    <w:textAlignment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val="en-US" w:eastAsia="zh-CN" w:bidi="ar"/>
                    </w:rPr>
                    <w:t>沅江</w:t>
                  </w:r>
                  <w:r>
                    <w:rPr>
                      <w:rFonts w:hint="default" w:ascii="Times New Roman" w:hAnsi="Times New Roman" w:cs="Times New Roman"/>
                      <w:color w:val="000000"/>
                      <w:sz w:val="21"/>
                      <w:szCs w:val="21"/>
                      <w:lang w:bidi="ar"/>
                    </w:rPr>
                    <w:t>酉水</w:t>
                  </w:r>
                  <w:r>
                    <w:rPr>
                      <w:rFonts w:hint="eastAsia" w:ascii="Times New Roman" w:hAnsi="Times New Roman" w:cs="Times New Roman"/>
                      <w:color w:val="000000"/>
                      <w:sz w:val="21"/>
                      <w:szCs w:val="21"/>
                      <w:lang w:eastAsia="zh-CN" w:bidi="ar"/>
                    </w:rPr>
                    <w:t>（</w:t>
                  </w:r>
                  <w:r>
                    <w:rPr>
                      <w:rFonts w:hint="eastAsia" w:ascii="Times New Roman" w:hAnsi="Times New Roman" w:cs="Times New Roman"/>
                      <w:color w:val="000000"/>
                      <w:sz w:val="21"/>
                      <w:szCs w:val="21"/>
                      <w:lang w:val="en-US" w:eastAsia="zh-CN" w:bidi="ar"/>
                    </w:rPr>
                    <w:t>花垣河</w:t>
                  </w:r>
                  <w:r>
                    <w:rPr>
                      <w:rFonts w:hint="eastAsia" w:ascii="Times New Roman" w:hAnsi="Times New Roman" w:cs="Times New Roman"/>
                      <w:color w:val="000000"/>
                      <w:sz w:val="21"/>
                      <w:szCs w:val="21"/>
                      <w:lang w:eastAsia="zh-CN" w:bidi="ar"/>
                    </w:rPr>
                    <w:t>）</w:t>
                  </w:r>
                </w:p>
              </w:tc>
              <w:tc>
                <w:tcPr>
                  <w:tcW w:w="1618" w:type="dxa"/>
                  <w:tcBorders>
                    <w:top w:val="single" w:color="000000" w:sz="4" w:space="0"/>
                    <w:left w:val="single" w:color="auto" w:sz="4" w:space="0"/>
                    <w:bottom w:val="single" w:color="000000" w:sz="4"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eastAsia" w:ascii="Times New Roman" w:hAnsi="Times New Roman" w:cs="Times New Roman"/>
                      <w:color w:val="000000"/>
                      <w:sz w:val="21"/>
                      <w:szCs w:val="21"/>
                      <w:lang w:val="en-US" w:eastAsia="zh-CN" w:bidi="ar"/>
                    </w:rPr>
                    <w:t>沅江</w:t>
                  </w:r>
                  <w:r>
                    <w:rPr>
                      <w:rFonts w:hint="default" w:ascii="Times New Roman" w:hAnsi="Times New Roman" w:cs="Times New Roman"/>
                      <w:color w:val="000000"/>
                      <w:sz w:val="21"/>
                      <w:szCs w:val="21"/>
                      <w:lang w:bidi="ar"/>
                    </w:rPr>
                    <w:t>酉水</w:t>
                  </w:r>
                  <w:r>
                    <w:rPr>
                      <w:rFonts w:hint="eastAsia" w:ascii="Times New Roman" w:hAnsi="Times New Roman" w:cs="Times New Roman"/>
                      <w:color w:val="000000"/>
                      <w:sz w:val="21"/>
                      <w:szCs w:val="21"/>
                      <w:lang w:eastAsia="zh-CN" w:bidi="ar"/>
                    </w:rPr>
                    <w:t>（</w:t>
                  </w:r>
                  <w:r>
                    <w:rPr>
                      <w:rFonts w:hint="default" w:ascii="Times New Roman" w:hAnsi="Times New Roman" w:cs="Times New Roman"/>
                      <w:sz w:val="21"/>
                      <w:szCs w:val="21"/>
                    </w:rPr>
                    <w:t>兄弟河</w:t>
                  </w:r>
                  <w:r>
                    <w:rPr>
                      <w:rFonts w:hint="eastAsia" w:ascii="Times New Roman" w:hAnsi="Times New Roman" w:cs="Times New Roman"/>
                      <w:color w:val="000000"/>
                      <w:sz w:val="21"/>
                      <w:szCs w:val="21"/>
                      <w:lang w:eastAsia="zh-CN" w:bidi="ar"/>
                    </w:rPr>
                    <w:t>）</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w:t>
                  </w:r>
                </w:p>
              </w:tc>
            </w:tr>
            <w:tr>
              <w:tblPrEx>
                <w:tblCellMar>
                  <w:top w:w="0" w:type="dxa"/>
                  <w:left w:w="57" w:type="dxa"/>
                  <w:bottom w:w="0" w:type="dxa"/>
                  <w:right w:w="57" w:type="dxa"/>
                </w:tblCellMar>
              </w:tblPrEx>
              <w:trPr>
                <w:trHeight w:val="657"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断面名称</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sz w:val="21"/>
                      <w:szCs w:val="21"/>
                    </w:rPr>
                    <w:t>川心城</w:t>
                  </w:r>
                </w:p>
              </w:tc>
              <w:tc>
                <w:tcPr>
                  <w:tcW w:w="1191" w:type="dxa"/>
                  <w:tcBorders>
                    <w:top w:val="nil"/>
                    <w:left w:val="single" w:color="000000" w:sz="8"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sz w:val="21"/>
                      <w:szCs w:val="21"/>
                    </w:rPr>
                    <w:t>狮子桥坝下</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下寨河电站</w:t>
                  </w:r>
                </w:p>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(佳民)</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采样时间</w:t>
                  </w:r>
                </w:p>
              </w:tc>
              <w:tc>
                <w:tcPr>
                  <w:tcW w:w="4212" w:type="dxa"/>
                  <w:gridSpan w:val="3"/>
                  <w:tcBorders>
                    <w:top w:val="single" w:color="000000" w:sz="4" w:space="0"/>
                    <w:left w:val="single" w:color="000000" w:sz="4" w:space="0"/>
                    <w:bottom w:val="single" w:color="000000" w:sz="4"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2023年</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pH</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8</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7</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6~9</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溶解氧</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7.8</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8.0</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7.2</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≥6</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高锰酸盐指数</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1.8</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1.6</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≤4</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化学需氧量</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7.0</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8.2</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7.8</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≤15</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五日生化需氧量</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1.5</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1.6</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1.6</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≤3</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氨氮</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0.38</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0.41</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≤0.5</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总磷</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0.032</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0.034</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0.011</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≤0.1</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铜</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0.001</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0.001</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0.001</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≤1.0</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锌</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0.025</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0.021</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0.004</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≤1.0</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氟化物</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0.113</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0.119</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0.076</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≤1.0</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硒</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0.0002</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0.0004</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0.0008</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≤0.01</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砷</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0.0002</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0.0005</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0.0007</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≤0.05</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588"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汞</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0.00002</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0.00002</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0.00002</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≤0.00005</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镉</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0.00062</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0.00062</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0.00007</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≤0.005</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六价铬</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0.002</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0.002</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0.002</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≤0.05</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铅</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0.001</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0.001</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0.0003</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≤0.01</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氰化物</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0.0005</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0.001</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0.002</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≤0.05</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挥发酚</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0.0002</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0.0002</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0.0002</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≤0.002</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石油类</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0.005</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0.005</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0.002</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≤0.05</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359"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阴离子表面活性剂</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0.02</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0.03</w:t>
                  </w:r>
                </w:p>
              </w:tc>
              <w:tc>
                <w:tcPr>
                  <w:tcW w:w="1618"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0.0002</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≤0.2</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r>
              <w:tblPrEx>
                <w:tblCellMar>
                  <w:top w:w="0" w:type="dxa"/>
                  <w:left w:w="57" w:type="dxa"/>
                  <w:bottom w:w="0" w:type="dxa"/>
                  <w:right w:w="57" w:type="dxa"/>
                </w:tblCellMar>
              </w:tblPrEx>
              <w:trPr>
                <w:trHeight w:val="417" w:hRule="atLeast"/>
                <w:jc w:val="center"/>
              </w:trPr>
              <w:tc>
                <w:tcPr>
                  <w:tcW w:w="202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bidi="ar"/>
                    </w:rPr>
                    <w:t>硫化物</w:t>
                  </w:r>
                </w:p>
              </w:tc>
              <w:tc>
                <w:tcPr>
                  <w:tcW w:w="14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0.005</w:t>
                  </w:r>
                </w:p>
              </w:tc>
              <w:tc>
                <w:tcPr>
                  <w:tcW w:w="1191" w:type="dxa"/>
                  <w:tcBorders>
                    <w:top w:val="nil"/>
                    <w:left w:val="single" w:color="000000" w:sz="8" w:space="0"/>
                    <w:bottom w:val="single" w:color="000000" w:sz="8" w:space="0"/>
                    <w:right w:val="single" w:color="auto" w:sz="4" w:space="0"/>
                  </w:tcBorders>
                  <w:noWrap/>
                  <w:vAlign w:val="center"/>
                </w:tcPr>
                <w:p>
                  <w:pPr>
                    <w:widowControl/>
                    <w:jc w:val="center"/>
                    <w:textAlignment w:val="center"/>
                    <w:rPr>
                      <w:rFonts w:hint="default" w:ascii="Times New Roman" w:hAnsi="Times New Roman" w:cs="Times New Roman"/>
                      <w:color w:val="000000"/>
                      <w:sz w:val="21"/>
                      <w:szCs w:val="21"/>
                      <w:lang w:bidi="ar"/>
                    </w:rPr>
                  </w:pPr>
                  <w:r>
                    <w:rPr>
                      <w:rFonts w:hint="default" w:ascii="Times New Roman" w:hAnsi="Times New Roman" w:eastAsia="仿宋_GB2312" w:cs="Times New Roman"/>
                      <w:color w:val="000000"/>
                      <w:kern w:val="0"/>
                      <w:sz w:val="21"/>
                      <w:szCs w:val="21"/>
                      <w:lang w:bidi="ar"/>
                    </w:rPr>
                    <w:t>0.005</w:t>
                  </w:r>
                </w:p>
              </w:tc>
              <w:tc>
                <w:tcPr>
                  <w:tcW w:w="1618" w:type="dxa"/>
                  <w:tcBorders>
                    <w:top w:val="nil"/>
                    <w:left w:val="single" w:color="auto" w:sz="4" w:space="0"/>
                    <w:bottom w:val="single" w:color="000000" w:sz="8" w:space="0"/>
                    <w:right w:val="single" w:color="auto" w:sz="4" w:space="0"/>
                  </w:tcBorders>
                  <w:noWrap/>
                  <w:vAlign w:val="center"/>
                </w:tcPr>
                <w:p>
                  <w:pPr>
                    <w:widowControl/>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0.01</w:t>
                  </w:r>
                </w:p>
              </w:tc>
              <w:tc>
                <w:tcPr>
                  <w:tcW w:w="102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≤0.1</w:t>
                  </w:r>
                </w:p>
              </w:tc>
              <w:tc>
                <w:tcPr>
                  <w:tcW w:w="699"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达标</w:t>
                  </w:r>
                </w:p>
              </w:tc>
            </w:tr>
          </w:tbl>
          <w:p>
            <w:pPr>
              <w:pStyle w:val="98"/>
              <w:ind w:firstLine="480"/>
              <w:rPr>
                <w:rFonts w:hint="eastAsia"/>
                <w:sz w:val="24"/>
                <w:szCs w:val="21"/>
                <w:u w:val="none"/>
                <w:lang w:eastAsia="zh-CN"/>
              </w:rPr>
            </w:pPr>
            <w:r>
              <w:rPr>
                <w:rFonts w:hint="eastAsia"/>
                <w:sz w:val="24"/>
                <w:szCs w:val="21"/>
                <w:u w:val="none"/>
                <w:lang w:eastAsia="zh-CN"/>
              </w:rPr>
              <w:t>由上表可知，2023年川心城、狮子桥坝下、下寨河电站（佳民）常规监测断面各项监测指标能达到《地表水环境质量标准》（GB3838-2002）</w:t>
            </w:r>
            <w:r>
              <w:rPr>
                <w:rFonts w:hint="default" w:ascii="Times New Roman" w:hAnsi="Times New Roman" w:cs="Times New Roman"/>
                <w:sz w:val="24"/>
                <w:szCs w:val="21"/>
                <w:u w:val="none"/>
                <w:lang w:eastAsia="zh-CN"/>
              </w:rPr>
              <w:t>Ⅱ</w:t>
            </w:r>
            <w:r>
              <w:rPr>
                <w:rFonts w:hint="eastAsia"/>
                <w:sz w:val="24"/>
                <w:szCs w:val="21"/>
                <w:u w:val="none"/>
                <w:lang w:eastAsia="zh-CN"/>
              </w:rPr>
              <w:t>类标准要求，总体而言，兄弟河和花垣河水质现状较好。</w:t>
            </w:r>
          </w:p>
          <w:p>
            <w:pPr>
              <w:pStyle w:val="98"/>
              <w:ind w:firstLine="480"/>
              <w:rPr>
                <w:rFonts w:hint="eastAsia"/>
                <w:sz w:val="24"/>
                <w:szCs w:val="24"/>
                <w:u w:val="none"/>
                <w:lang w:eastAsia="zh-CN"/>
              </w:rPr>
            </w:pPr>
            <w:r>
              <w:rPr>
                <w:rFonts w:hint="eastAsia"/>
                <w:b/>
                <w:bCs/>
                <w:sz w:val="24"/>
                <w:szCs w:val="21"/>
                <w:u w:val="none"/>
                <w:lang w:val="en-US" w:eastAsia="zh-CN"/>
              </w:rPr>
              <w:t>本项目与花垣县下寨河饮用水水源保护区关系</w:t>
            </w:r>
            <w:r>
              <w:rPr>
                <w:rFonts w:hint="eastAsia"/>
                <w:sz w:val="24"/>
                <w:szCs w:val="21"/>
                <w:u w:val="none"/>
                <w:lang w:val="en-US" w:eastAsia="zh-CN"/>
              </w:rPr>
              <w:t>：</w:t>
            </w:r>
            <w:r>
              <w:rPr>
                <w:rFonts w:hint="default" w:ascii="Times New Roman" w:hAnsi="Times New Roman" w:cs="Times New Roman"/>
                <w:sz w:val="24"/>
                <w:szCs w:val="24"/>
                <w:u w:val="none"/>
                <w:lang w:eastAsia="zh-CN"/>
              </w:rPr>
              <w:t>湘西自治州花垣县下寨河饮用水水源保护区位于花垣县下寨河，其原有取水口1地理坐标为E109°28′34.331″，N28°33′8.936″；新增取水口</w:t>
            </w:r>
            <w:r>
              <w:rPr>
                <w:rFonts w:hint="default" w:ascii="Times New Roman" w:hAnsi="Times New Roman" w:cs="Times New Roman"/>
                <w:sz w:val="24"/>
                <w:szCs w:val="24"/>
                <w:u w:val="none"/>
                <w:lang w:val="en-US" w:eastAsia="zh-CN"/>
              </w:rPr>
              <w:t>2</w:t>
            </w:r>
            <w:r>
              <w:rPr>
                <w:rFonts w:hint="default" w:ascii="Times New Roman" w:hAnsi="Times New Roman" w:cs="Times New Roman"/>
                <w:sz w:val="24"/>
                <w:szCs w:val="24"/>
                <w:u w:val="none"/>
                <w:lang w:eastAsia="zh-CN"/>
              </w:rPr>
              <w:t>地理坐标为</w:t>
            </w:r>
            <w:bookmarkStart w:id="16" w:name="_Hlk135605601"/>
            <w:r>
              <w:rPr>
                <w:rFonts w:hint="default" w:ascii="Times New Roman" w:hAnsi="Times New Roman" w:cs="Times New Roman"/>
                <w:sz w:val="24"/>
                <w:szCs w:val="24"/>
                <w:u w:val="none"/>
                <w:lang w:eastAsia="zh-CN"/>
              </w:rPr>
              <w:t>E109°28′31.704″，N28°33′2.689″</w:t>
            </w:r>
            <w:bookmarkEnd w:id="16"/>
            <w:r>
              <w:rPr>
                <w:rFonts w:hint="default" w:ascii="Times New Roman" w:hAnsi="Times New Roman" w:cs="Times New Roman"/>
                <w:sz w:val="24"/>
                <w:szCs w:val="24"/>
                <w:u w:val="none"/>
                <w:lang w:eastAsia="zh-CN"/>
              </w:rPr>
              <w:t>。其对应的集中供水厂为花垣县自来水厂，位于花垣镇佳民村，地理位置坐标为</w:t>
            </w:r>
            <w:r>
              <w:rPr>
                <w:rFonts w:hint="default" w:ascii="Times New Roman" w:hAnsi="Times New Roman" w:cs="Times New Roman"/>
                <w:sz w:val="24"/>
                <w:szCs w:val="24"/>
                <w:u w:val="none"/>
                <w:lang w:val="en-US" w:eastAsia="zh-CN"/>
              </w:rPr>
              <w:t>E</w:t>
            </w:r>
            <w:r>
              <w:rPr>
                <w:rFonts w:hint="default" w:ascii="Times New Roman" w:hAnsi="Times New Roman" w:cs="Times New Roman"/>
                <w:sz w:val="24"/>
                <w:szCs w:val="24"/>
                <w:u w:val="none"/>
                <w:lang w:eastAsia="zh-CN"/>
              </w:rPr>
              <w:t>109°28′32.641″，</w:t>
            </w:r>
            <w:r>
              <w:rPr>
                <w:rFonts w:hint="default" w:ascii="Times New Roman" w:hAnsi="Times New Roman" w:cs="Times New Roman"/>
                <w:sz w:val="24"/>
                <w:szCs w:val="24"/>
                <w:u w:val="none"/>
                <w:lang w:val="en-US" w:eastAsia="zh-CN"/>
              </w:rPr>
              <w:t>N</w:t>
            </w:r>
            <w:r>
              <w:rPr>
                <w:rFonts w:hint="default" w:ascii="Times New Roman" w:hAnsi="Times New Roman" w:cs="Times New Roman"/>
                <w:sz w:val="24"/>
                <w:szCs w:val="24"/>
                <w:u w:val="none"/>
                <w:lang w:eastAsia="zh-CN"/>
              </w:rPr>
              <w:t>28°33′8.608″，主要供水花垣县城区和县城郊区的所有村寨，供水人口约11万人，规划供水量8万吨/天，实际供水规模为</w:t>
            </w:r>
            <w:r>
              <w:rPr>
                <w:rFonts w:hint="default" w:ascii="Times New Roman" w:hAnsi="Times New Roman" w:cs="Times New Roman"/>
                <w:sz w:val="24"/>
                <w:szCs w:val="24"/>
                <w:u w:val="none"/>
                <w:lang w:val="en-US" w:eastAsia="zh-CN"/>
              </w:rPr>
              <w:t>6.6</w:t>
            </w:r>
            <w:r>
              <w:rPr>
                <w:rFonts w:hint="default" w:ascii="Times New Roman" w:hAnsi="Times New Roman" w:cs="Times New Roman"/>
                <w:sz w:val="24"/>
                <w:szCs w:val="24"/>
                <w:u w:val="none"/>
                <w:lang w:eastAsia="zh-CN"/>
              </w:rPr>
              <w:t>万吨/天</w:t>
            </w:r>
            <w:r>
              <w:rPr>
                <w:rFonts w:hint="eastAsia"/>
                <w:sz w:val="24"/>
                <w:szCs w:val="24"/>
                <w:u w:val="none"/>
                <w:lang w:eastAsia="zh-CN"/>
              </w:rPr>
              <w:t>。</w:t>
            </w:r>
          </w:p>
          <w:p>
            <w:pPr>
              <w:pStyle w:val="98"/>
              <w:ind w:firstLine="480"/>
              <w:rPr>
                <w:rFonts w:hint="eastAsia"/>
                <w:sz w:val="24"/>
                <w:szCs w:val="24"/>
                <w:u w:val="none"/>
                <w:lang w:eastAsia="zh-CN"/>
              </w:rPr>
            </w:pPr>
            <w:r>
              <w:rPr>
                <w:rFonts w:hint="eastAsia"/>
                <w:sz w:val="24"/>
                <w:szCs w:val="24"/>
                <w:u w:val="none"/>
                <w:lang w:eastAsia="zh-CN"/>
              </w:rPr>
              <w:t>（1）一级水域范围</w:t>
            </w:r>
          </w:p>
          <w:p>
            <w:pPr>
              <w:pStyle w:val="98"/>
              <w:ind w:firstLine="480"/>
              <w:rPr>
                <w:rFonts w:hint="eastAsia"/>
                <w:sz w:val="24"/>
                <w:szCs w:val="24"/>
                <w:u w:val="none"/>
                <w:lang w:eastAsia="zh-CN"/>
              </w:rPr>
            </w:pPr>
            <w:r>
              <w:rPr>
                <w:rFonts w:hint="eastAsia"/>
                <w:sz w:val="24"/>
                <w:szCs w:val="24"/>
                <w:u w:val="none"/>
                <w:lang w:eastAsia="zh-CN"/>
              </w:rPr>
              <w:t>取水口上游5400米兄弟河大坝处至取水口下游100米的河道水域。</w:t>
            </w:r>
          </w:p>
          <w:p>
            <w:pPr>
              <w:pStyle w:val="98"/>
              <w:ind w:firstLine="480"/>
              <w:rPr>
                <w:rFonts w:hint="eastAsia"/>
                <w:sz w:val="24"/>
                <w:szCs w:val="24"/>
                <w:u w:val="none"/>
                <w:lang w:eastAsia="zh-CN"/>
              </w:rPr>
            </w:pPr>
            <w:r>
              <w:rPr>
                <w:rFonts w:hint="eastAsia"/>
                <w:sz w:val="24"/>
                <w:szCs w:val="24"/>
                <w:u w:val="none"/>
                <w:lang w:eastAsia="zh-CN"/>
              </w:rPr>
              <w:t>（2）一级陆域范围</w:t>
            </w:r>
            <w:bookmarkStart w:id="17" w:name="_Toc434694348"/>
            <w:bookmarkStart w:id="18" w:name="_Toc5267"/>
            <w:bookmarkStart w:id="19" w:name="_Toc5665"/>
            <w:bookmarkStart w:id="20" w:name="_Toc434935974"/>
          </w:p>
          <w:p>
            <w:pPr>
              <w:pStyle w:val="98"/>
              <w:ind w:firstLine="480"/>
              <w:rPr>
                <w:rFonts w:hint="eastAsia"/>
                <w:sz w:val="24"/>
                <w:szCs w:val="24"/>
                <w:u w:val="none"/>
                <w:lang w:eastAsia="zh-CN"/>
              </w:rPr>
            </w:pPr>
            <w:r>
              <w:rPr>
                <w:rFonts w:hint="eastAsia"/>
                <w:sz w:val="24"/>
                <w:szCs w:val="24"/>
                <w:u w:val="none"/>
                <w:lang w:eastAsia="zh-CN"/>
              </w:rPr>
              <w:t>一级保护区水域沿岸纵深50米的陆域。</w:t>
            </w:r>
          </w:p>
          <w:bookmarkEnd w:id="17"/>
          <w:bookmarkEnd w:id="18"/>
          <w:bookmarkEnd w:id="19"/>
          <w:bookmarkEnd w:id="20"/>
          <w:p>
            <w:pPr>
              <w:pStyle w:val="98"/>
              <w:ind w:firstLine="480"/>
              <w:rPr>
                <w:rFonts w:hint="eastAsia"/>
                <w:sz w:val="24"/>
                <w:szCs w:val="24"/>
                <w:u w:val="none"/>
                <w:lang w:eastAsia="zh-CN"/>
              </w:rPr>
            </w:pPr>
            <w:r>
              <w:rPr>
                <w:rFonts w:hint="eastAsia"/>
                <w:sz w:val="24"/>
                <w:szCs w:val="24"/>
                <w:u w:val="none"/>
                <w:lang w:eastAsia="zh-CN"/>
              </w:rPr>
              <w:t>（3）二级水域范围</w:t>
            </w:r>
          </w:p>
          <w:p>
            <w:pPr>
              <w:pStyle w:val="98"/>
              <w:ind w:firstLine="480"/>
              <w:rPr>
                <w:rFonts w:hint="eastAsia"/>
                <w:sz w:val="24"/>
                <w:szCs w:val="24"/>
                <w:u w:val="none"/>
                <w:lang w:eastAsia="zh-CN"/>
              </w:rPr>
            </w:pPr>
            <w:r>
              <w:rPr>
                <w:rFonts w:hint="eastAsia"/>
                <w:sz w:val="24"/>
                <w:szCs w:val="24"/>
                <w:u w:val="none"/>
                <w:lang w:eastAsia="zh-CN"/>
              </w:rPr>
              <w:t>一级保护区水域上边界上溯至张匹马支流河段处，下边界下延200米河道水域；支流张匹马河口以上5500米回水区和麻栗场支流河口以上1300米回水区的河道水域。</w:t>
            </w:r>
          </w:p>
          <w:p>
            <w:pPr>
              <w:pStyle w:val="98"/>
              <w:ind w:firstLine="480"/>
              <w:rPr>
                <w:rFonts w:hint="eastAsia"/>
                <w:sz w:val="24"/>
                <w:szCs w:val="24"/>
                <w:u w:val="none"/>
                <w:lang w:eastAsia="zh-CN"/>
              </w:rPr>
            </w:pPr>
            <w:r>
              <w:rPr>
                <w:rFonts w:hint="eastAsia"/>
                <w:sz w:val="24"/>
                <w:szCs w:val="24"/>
                <w:u w:val="none"/>
                <w:lang w:eastAsia="zh-CN"/>
              </w:rPr>
              <w:t>（4）二级陆域范围</w:t>
            </w:r>
          </w:p>
          <w:p>
            <w:pPr>
              <w:pStyle w:val="98"/>
              <w:ind w:firstLine="480"/>
              <w:rPr>
                <w:rFonts w:hint="eastAsia"/>
                <w:sz w:val="24"/>
                <w:szCs w:val="24"/>
                <w:u w:val="none"/>
                <w:lang w:eastAsia="zh-CN"/>
              </w:rPr>
            </w:pPr>
            <w:r>
              <w:rPr>
                <w:rFonts w:hint="eastAsia"/>
                <w:sz w:val="24"/>
                <w:szCs w:val="24"/>
                <w:u w:val="none"/>
                <w:lang w:eastAsia="zh-CN"/>
              </w:rPr>
              <w:t>一、二级保护区水域沿岸纵深1000米的陆域(一级保护区除外)。</w:t>
            </w:r>
          </w:p>
          <w:p>
            <w:pPr>
              <w:pStyle w:val="98"/>
              <w:ind w:firstLine="480"/>
              <w:rPr>
                <w:rFonts w:hint="default"/>
                <w:sz w:val="24"/>
                <w:szCs w:val="24"/>
                <w:u w:val="none"/>
                <w:lang w:val="en-US" w:eastAsia="zh-CN"/>
              </w:rPr>
            </w:pPr>
            <w:r>
              <w:rPr>
                <w:rFonts w:hint="eastAsia"/>
                <w:sz w:val="24"/>
                <w:szCs w:val="24"/>
                <w:u w:val="none"/>
                <w:lang w:val="en-US" w:eastAsia="zh-CN"/>
              </w:rPr>
              <w:t>本项目位于饮用水源保护区西北侧4.1km，位于饮用水源保护区下游片区，本项目不会影响到饮用水源水质。位置关系图见附图7。</w:t>
            </w:r>
          </w:p>
          <w:p>
            <w:pPr>
              <w:pStyle w:val="161"/>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3、声环境质量现状</w:t>
            </w:r>
          </w:p>
          <w:p>
            <w:pPr>
              <w:pStyle w:val="98"/>
              <w:ind w:firstLine="480"/>
              <w:rPr>
                <w:rFonts w:hint="eastAsia" w:eastAsia="宋体"/>
                <w:color w:val="auto"/>
                <w:sz w:val="24"/>
                <w:szCs w:val="24"/>
                <w:u w:val="none"/>
                <w:lang w:eastAsia="zh-CN"/>
              </w:rPr>
            </w:pPr>
            <w:r>
              <w:rPr>
                <w:color w:val="auto"/>
                <w:sz w:val="24"/>
                <w:szCs w:val="24"/>
                <w:u w:val="none"/>
              </w:rPr>
              <w:t>根据《建设项目环境影响报告表编制技术指南》（污染影响类）（试行）可知，厂界外周边50米范围内存在声环境保护目标的建设项目，应监测保护目标声环境质量现状并评价达标情况</w:t>
            </w:r>
            <w:r>
              <w:rPr>
                <w:rFonts w:hint="eastAsia"/>
                <w:color w:val="auto"/>
                <w:sz w:val="24"/>
                <w:szCs w:val="24"/>
                <w:u w:val="none"/>
                <w:lang w:eastAsia="zh-CN"/>
              </w:rPr>
              <w:t>。</w:t>
            </w:r>
          </w:p>
          <w:p>
            <w:pPr>
              <w:pStyle w:val="98"/>
              <w:ind w:firstLine="480"/>
              <w:rPr>
                <w:color w:val="auto"/>
                <w:sz w:val="24"/>
                <w:szCs w:val="24"/>
                <w:u w:val="none"/>
              </w:rPr>
            </w:pPr>
            <w:r>
              <w:rPr>
                <w:color w:val="auto"/>
                <w:sz w:val="24"/>
                <w:szCs w:val="24"/>
                <w:u w:val="none"/>
              </w:rPr>
              <w:t>根据项目噪声源和区域声环境特征相结合的原则，本次评价委托</w:t>
            </w:r>
            <w:r>
              <w:rPr>
                <w:rFonts w:hint="eastAsia"/>
                <w:color w:val="auto"/>
                <w:sz w:val="24"/>
                <w:szCs w:val="24"/>
                <w:u w:val="none"/>
                <w:lang w:val="en-US" w:eastAsia="zh-CN"/>
              </w:rPr>
              <w:t>湘西三智检测</w:t>
            </w:r>
            <w:r>
              <w:rPr>
                <w:rFonts w:hint="default"/>
                <w:color w:val="auto"/>
                <w:sz w:val="24"/>
                <w:szCs w:val="24"/>
                <w:u w:val="none"/>
              </w:rPr>
              <w:t>有限公司</w:t>
            </w:r>
            <w:r>
              <w:rPr>
                <w:color w:val="auto"/>
                <w:sz w:val="24"/>
                <w:szCs w:val="24"/>
                <w:u w:val="none"/>
              </w:rPr>
              <w:t>于202</w:t>
            </w:r>
            <w:r>
              <w:rPr>
                <w:rFonts w:hint="eastAsia"/>
                <w:color w:val="auto"/>
                <w:sz w:val="24"/>
                <w:szCs w:val="24"/>
                <w:u w:val="none"/>
                <w:lang w:val="en-US" w:eastAsia="zh-CN"/>
              </w:rPr>
              <w:t>4</w:t>
            </w:r>
            <w:r>
              <w:rPr>
                <w:color w:val="auto"/>
                <w:sz w:val="24"/>
                <w:szCs w:val="24"/>
                <w:u w:val="none"/>
              </w:rPr>
              <w:t>年</w:t>
            </w:r>
            <w:r>
              <w:rPr>
                <w:rFonts w:hint="eastAsia"/>
                <w:color w:val="auto"/>
                <w:sz w:val="24"/>
                <w:szCs w:val="24"/>
                <w:u w:val="none"/>
                <w:lang w:val="en-US" w:eastAsia="zh-CN"/>
              </w:rPr>
              <w:t>4</w:t>
            </w:r>
            <w:r>
              <w:rPr>
                <w:color w:val="auto"/>
                <w:sz w:val="24"/>
                <w:szCs w:val="24"/>
                <w:u w:val="none"/>
              </w:rPr>
              <w:t>月</w:t>
            </w:r>
            <w:r>
              <w:rPr>
                <w:rFonts w:hint="eastAsia"/>
                <w:color w:val="auto"/>
                <w:sz w:val="24"/>
                <w:szCs w:val="24"/>
                <w:u w:val="none"/>
                <w:lang w:val="en-US" w:eastAsia="zh-CN"/>
              </w:rPr>
              <w:t>1</w:t>
            </w:r>
            <w:r>
              <w:rPr>
                <w:color w:val="auto"/>
                <w:sz w:val="24"/>
                <w:szCs w:val="24"/>
                <w:u w:val="none"/>
              </w:rPr>
              <w:t>日</w:t>
            </w:r>
            <w:r>
              <w:rPr>
                <w:rFonts w:hint="eastAsia"/>
                <w:color w:val="auto"/>
                <w:sz w:val="24"/>
                <w:szCs w:val="24"/>
                <w:u w:val="none"/>
              </w:rPr>
              <w:t>和202</w:t>
            </w:r>
            <w:r>
              <w:rPr>
                <w:rFonts w:hint="eastAsia"/>
                <w:color w:val="auto"/>
                <w:sz w:val="24"/>
                <w:szCs w:val="24"/>
                <w:u w:val="none"/>
                <w:lang w:val="en-US" w:eastAsia="zh-CN"/>
              </w:rPr>
              <w:t>4</w:t>
            </w:r>
            <w:r>
              <w:rPr>
                <w:rFonts w:hint="eastAsia"/>
                <w:color w:val="auto"/>
                <w:sz w:val="24"/>
                <w:szCs w:val="24"/>
                <w:u w:val="none"/>
              </w:rPr>
              <w:t>年</w:t>
            </w:r>
            <w:r>
              <w:rPr>
                <w:rFonts w:hint="eastAsia"/>
                <w:color w:val="auto"/>
                <w:sz w:val="24"/>
                <w:szCs w:val="24"/>
                <w:u w:val="none"/>
                <w:lang w:val="en-US" w:eastAsia="zh-CN"/>
              </w:rPr>
              <w:t>4</w:t>
            </w:r>
            <w:r>
              <w:rPr>
                <w:rFonts w:hint="eastAsia"/>
                <w:color w:val="auto"/>
                <w:sz w:val="24"/>
                <w:szCs w:val="24"/>
                <w:u w:val="none"/>
              </w:rPr>
              <w:t>月</w:t>
            </w:r>
            <w:r>
              <w:rPr>
                <w:rFonts w:hint="eastAsia"/>
                <w:color w:val="auto"/>
                <w:sz w:val="24"/>
                <w:szCs w:val="24"/>
                <w:u w:val="none"/>
                <w:lang w:val="en-US" w:eastAsia="zh-CN"/>
              </w:rPr>
              <w:t>2</w:t>
            </w:r>
            <w:r>
              <w:rPr>
                <w:rFonts w:hint="eastAsia"/>
                <w:color w:val="auto"/>
                <w:sz w:val="24"/>
                <w:szCs w:val="24"/>
                <w:u w:val="none"/>
              </w:rPr>
              <w:t>日</w:t>
            </w:r>
            <w:r>
              <w:rPr>
                <w:color w:val="auto"/>
                <w:sz w:val="24"/>
                <w:szCs w:val="24"/>
                <w:u w:val="none"/>
              </w:rPr>
              <w:t>对项目所在区域声环境进行了监测。</w:t>
            </w:r>
          </w:p>
          <w:p>
            <w:pPr>
              <w:pStyle w:val="98"/>
              <w:ind w:firstLine="480"/>
              <w:rPr>
                <w:sz w:val="24"/>
                <w:szCs w:val="24"/>
                <w:u w:val="none"/>
              </w:rPr>
            </w:pPr>
            <w:r>
              <w:rPr>
                <w:sz w:val="24"/>
                <w:szCs w:val="24"/>
                <w:u w:val="none"/>
              </w:rPr>
              <w:t>（1）监测点位：</w:t>
            </w:r>
            <w:r>
              <w:rPr>
                <w:rFonts w:hint="eastAsia"/>
                <w:sz w:val="24"/>
                <w:szCs w:val="24"/>
                <w:u w:val="none"/>
              </w:rPr>
              <w:t>厂</w:t>
            </w:r>
            <w:r>
              <w:rPr>
                <w:rFonts w:hint="eastAsia"/>
                <w:sz w:val="24"/>
                <w:szCs w:val="24"/>
                <w:u w:val="none"/>
                <w:lang w:val="en-US" w:eastAsia="zh-CN"/>
              </w:rPr>
              <w:t>区东侧</w:t>
            </w:r>
            <w:r>
              <w:rPr>
                <w:rFonts w:hint="default"/>
                <w:sz w:val="24"/>
                <w:szCs w:val="24"/>
                <w:u w:val="none"/>
              </w:rPr>
              <w:t>紧邻</w:t>
            </w:r>
            <w:r>
              <w:rPr>
                <w:rFonts w:hint="default"/>
                <w:sz w:val="24"/>
                <w:szCs w:val="24"/>
                <w:u w:val="none"/>
                <w:lang w:eastAsia="zh-CN"/>
              </w:rPr>
              <w:t>花垣县疾病预防控制中心</w:t>
            </w:r>
            <w:r>
              <w:rPr>
                <w:rFonts w:hint="eastAsia"/>
                <w:sz w:val="24"/>
                <w:szCs w:val="24"/>
                <w:u w:val="none"/>
                <w:lang w:val="en-US" w:eastAsia="zh-CN"/>
              </w:rPr>
              <w:t>N1、东南侧6m处花垣县人民政府政务服务中心N2、西侧35m处花垣县税务局N3、西南侧47m和悦家园小区N4，</w:t>
            </w:r>
            <w:r>
              <w:rPr>
                <w:sz w:val="24"/>
                <w:szCs w:val="24"/>
                <w:u w:val="none"/>
              </w:rPr>
              <w:t>共布设</w:t>
            </w:r>
            <w:r>
              <w:rPr>
                <w:rFonts w:hint="eastAsia"/>
                <w:sz w:val="24"/>
                <w:szCs w:val="24"/>
                <w:u w:val="none"/>
                <w:lang w:val="en-US" w:eastAsia="zh-CN"/>
              </w:rPr>
              <w:t>4</w:t>
            </w:r>
            <w:r>
              <w:rPr>
                <w:sz w:val="24"/>
                <w:szCs w:val="24"/>
                <w:u w:val="none"/>
              </w:rPr>
              <w:t>个</w:t>
            </w:r>
            <w:bookmarkStart w:id="31" w:name="_GoBack"/>
            <w:r>
              <w:rPr>
                <w:sz w:val="24"/>
                <w:szCs w:val="24"/>
                <w:u w:val="none"/>
              </w:rPr>
              <w:t>噪声</w:t>
            </w:r>
            <w:bookmarkEnd w:id="31"/>
            <w:r>
              <w:rPr>
                <w:sz w:val="24"/>
                <w:szCs w:val="24"/>
                <w:u w:val="none"/>
              </w:rPr>
              <w:t>监测点；</w:t>
            </w:r>
          </w:p>
          <w:p>
            <w:pPr>
              <w:pStyle w:val="98"/>
              <w:ind w:firstLine="480"/>
              <w:rPr>
                <w:sz w:val="24"/>
                <w:szCs w:val="24"/>
                <w:u w:val="none"/>
              </w:rPr>
            </w:pPr>
            <w:r>
              <w:rPr>
                <w:sz w:val="24"/>
                <w:szCs w:val="24"/>
                <w:u w:val="none"/>
              </w:rPr>
              <w:t>（2）监测因子：等效连续A声级Leq；</w:t>
            </w:r>
          </w:p>
          <w:p>
            <w:pPr>
              <w:pStyle w:val="98"/>
              <w:ind w:firstLine="480"/>
              <w:rPr>
                <w:sz w:val="24"/>
                <w:szCs w:val="24"/>
                <w:u w:val="none"/>
              </w:rPr>
            </w:pPr>
            <w:r>
              <w:rPr>
                <w:sz w:val="24"/>
                <w:szCs w:val="24"/>
                <w:u w:val="none"/>
              </w:rPr>
              <w:t>（3）监测方法：按照《声环境质量标准》（GB3096-2008）中的有关规定进行；</w:t>
            </w:r>
          </w:p>
          <w:p>
            <w:pPr>
              <w:pStyle w:val="98"/>
              <w:ind w:firstLine="480"/>
              <w:rPr>
                <w:sz w:val="24"/>
                <w:szCs w:val="24"/>
                <w:u w:val="none"/>
              </w:rPr>
            </w:pPr>
            <w:r>
              <w:rPr>
                <w:sz w:val="24"/>
                <w:szCs w:val="24"/>
                <w:u w:val="none"/>
              </w:rPr>
              <w:t>（4）评价方法：《环境影响评价技术导则-声环境》（HJ2.4-2021）的相关规范进行；</w:t>
            </w:r>
          </w:p>
          <w:p>
            <w:pPr>
              <w:pStyle w:val="98"/>
              <w:ind w:firstLine="480"/>
              <w:rPr>
                <w:sz w:val="24"/>
                <w:szCs w:val="24"/>
                <w:u w:val="none"/>
              </w:rPr>
            </w:pPr>
            <w:r>
              <w:rPr>
                <w:sz w:val="24"/>
                <w:szCs w:val="24"/>
                <w:u w:val="none"/>
              </w:rPr>
              <w:t>（5）执行标准：根据项目所在区域的环境特征，评价区执行《声环境质量标准》（GB3096-2008）中的2类标准；</w:t>
            </w:r>
          </w:p>
          <w:p>
            <w:pPr>
              <w:pStyle w:val="98"/>
              <w:ind w:firstLine="480"/>
              <w:rPr>
                <w:sz w:val="24"/>
                <w:szCs w:val="24"/>
                <w:u w:val="none"/>
              </w:rPr>
            </w:pPr>
            <w:r>
              <w:rPr>
                <w:sz w:val="24"/>
                <w:szCs w:val="24"/>
                <w:u w:val="none"/>
              </w:rPr>
              <w:t>（6）监测结果及评价：详见下表。</w:t>
            </w:r>
          </w:p>
          <w:p>
            <w:pPr>
              <w:pStyle w:val="8"/>
              <w:keepNext/>
              <w:keepLines w:val="0"/>
              <w:pageBreakBefore w:val="0"/>
              <w:widowControl/>
              <w:kinsoku/>
              <w:wordWrap/>
              <w:overflowPunct/>
              <w:topLinePunct w:val="0"/>
              <w:autoSpaceDE/>
              <w:autoSpaceDN/>
              <w:bidi w:val="0"/>
              <w:adjustRightInd/>
              <w:snapToGrid/>
              <w:spacing w:line="240" w:lineRule="auto"/>
              <w:textAlignment w:val="auto"/>
            </w:pPr>
            <w:r>
              <w:rPr>
                <w:rFonts w:hint="eastAsia"/>
              </w:rPr>
              <w:t xml:space="preserve">表3- </w:t>
            </w:r>
            <w:r>
              <w:rPr>
                <w:rFonts w:hint="eastAsia"/>
                <w:lang w:val="en-US" w:eastAsia="zh-CN"/>
              </w:rPr>
              <w:t xml:space="preserve">5  </w:t>
            </w:r>
            <w:r>
              <w:rPr>
                <w:rFonts w:hint="eastAsia"/>
              </w:rPr>
              <w:t>声环境监测评价结果</w:t>
            </w:r>
            <w:r>
              <w:t xml:space="preserve"> 单位：dB（A）</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209"/>
              <w:gridCol w:w="1604"/>
              <w:gridCol w:w="1013"/>
              <w:gridCol w:w="1136"/>
              <w:gridCol w:w="1136"/>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1"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color w:val="000000" w:themeColor="text1"/>
                      <w:sz w:val="21"/>
                      <w:szCs w:val="21"/>
                      <w:lang w:val="en-US" w:eastAsia="zh-CN"/>
                      <w14:textFill>
                        <w14:solidFill>
                          <w14:schemeClr w14:val="tx1"/>
                        </w14:solidFill>
                      </w14:textFill>
                    </w:rPr>
                  </w:pPr>
                  <w:r>
                    <w:rPr>
                      <w:rFonts w:cs="宋体"/>
                      <w:b/>
                      <w:color w:val="000000" w:themeColor="text1"/>
                      <w:sz w:val="21"/>
                      <w:szCs w:val="21"/>
                      <w:lang w:val="en-US" w:eastAsia="zh-CN"/>
                      <w14:textFill>
                        <w14:solidFill>
                          <w14:schemeClr w14:val="tx1"/>
                        </w14:solidFill>
                      </w14:textFill>
                    </w:rPr>
                    <w:t>类别</w:t>
                  </w:r>
                </w:p>
              </w:tc>
              <w:tc>
                <w:tcPr>
                  <w:tcW w:w="759"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color w:val="000000" w:themeColor="text1"/>
                      <w:sz w:val="21"/>
                      <w:szCs w:val="21"/>
                      <w:lang w:val="en-US" w:eastAsia="zh-CN"/>
                      <w14:textFill>
                        <w14:solidFill>
                          <w14:schemeClr w14:val="tx1"/>
                        </w14:solidFill>
                      </w14:textFill>
                    </w:rPr>
                  </w:pPr>
                  <w:r>
                    <w:rPr>
                      <w:rFonts w:cs="宋体"/>
                      <w:b/>
                      <w:color w:val="000000" w:themeColor="text1"/>
                      <w:sz w:val="21"/>
                      <w:szCs w:val="21"/>
                      <w:lang w:val="en-US" w:eastAsia="zh-CN"/>
                      <w14:textFill>
                        <w14:solidFill>
                          <w14:schemeClr w14:val="tx1"/>
                        </w14:solidFill>
                      </w14:textFill>
                    </w:rPr>
                    <w:t>采样日期</w:t>
                  </w:r>
                </w:p>
              </w:tc>
              <w:tc>
                <w:tcPr>
                  <w:tcW w:w="1007"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color w:val="000000" w:themeColor="text1"/>
                      <w:sz w:val="21"/>
                      <w:szCs w:val="21"/>
                      <w:lang w:val="en-US" w:eastAsia="zh-CN"/>
                      <w14:textFill>
                        <w14:solidFill>
                          <w14:schemeClr w14:val="tx1"/>
                        </w14:solidFill>
                      </w14:textFill>
                    </w:rPr>
                  </w:pPr>
                  <w:r>
                    <w:rPr>
                      <w:rFonts w:cs="宋体"/>
                      <w:b/>
                      <w:color w:val="000000" w:themeColor="text1"/>
                      <w:sz w:val="21"/>
                      <w:szCs w:val="21"/>
                      <w:lang w:val="en-US" w:eastAsia="zh-CN"/>
                      <w14:textFill>
                        <w14:solidFill>
                          <w14:schemeClr w14:val="tx1"/>
                        </w14:solidFill>
                      </w14:textFill>
                    </w:rPr>
                    <w:t>检测点位</w:t>
                  </w: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color w:val="000000" w:themeColor="text1"/>
                      <w:sz w:val="21"/>
                      <w:szCs w:val="21"/>
                      <w:lang w:val="en-US" w:eastAsia="zh-CN"/>
                      <w14:textFill>
                        <w14:solidFill>
                          <w14:schemeClr w14:val="tx1"/>
                        </w14:solidFill>
                      </w14:textFill>
                    </w:rPr>
                  </w:pPr>
                  <w:r>
                    <w:rPr>
                      <w:rFonts w:cs="宋体"/>
                      <w:b/>
                      <w:color w:val="000000" w:themeColor="text1"/>
                      <w:sz w:val="21"/>
                      <w:szCs w:val="21"/>
                      <w:lang w:val="en-US" w:eastAsia="zh-CN"/>
                      <w14:textFill>
                        <w14:solidFill>
                          <w14:schemeClr w14:val="tx1"/>
                        </w14:solidFill>
                      </w14:textFill>
                    </w:rPr>
                    <w:t>检测</w:t>
                  </w:r>
                </w:p>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color w:val="000000" w:themeColor="text1"/>
                      <w:sz w:val="21"/>
                      <w:szCs w:val="21"/>
                      <w:lang w:val="en-US" w:eastAsia="zh-CN"/>
                      <w14:textFill>
                        <w14:solidFill>
                          <w14:schemeClr w14:val="tx1"/>
                        </w14:solidFill>
                      </w14:textFill>
                    </w:rPr>
                  </w:pPr>
                  <w:r>
                    <w:rPr>
                      <w:rFonts w:cs="宋体"/>
                      <w:b/>
                      <w:color w:val="000000" w:themeColor="text1"/>
                      <w:sz w:val="21"/>
                      <w:szCs w:val="21"/>
                      <w:lang w:val="en-US" w:eastAsia="zh-CN"/>
                      <w14:textFill>
                        <w14:solidFill>
                          <w14:schemeClr w14:val="tx1"/>
                        </w14:solidFill>
                      </w14:textFill>
                    </w:rPr>
                    <w:t>时段</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color w:val="000000" w:themeColor="text1"/>
                      <w:sz w:val="21"/>
                      <w:szCs w:val="21"/>
                      <w:lang w:val="en-US" w:eastAsia="zh-CN"/>
                      <w14:textFill>
                        <w14:solidFill>
                          <w14:schemeClr w14:val="tx1"/>
                        </w14:solidFill>
                      </w14:textFill>
                    </w:rPr>
                  </w:pPr>
                  <w:r>
                    <w:rPr>
                      <w:rFonts w:cs="宋体"/>
                      <w:b/>
                      <w:color w:val="000000" w:themeColor="text1"/>
                      <w:sz w:val="21"/>
                      <w:szCs w:val="21"/>
                      <w:lang w:val="en-US" w:eastAsia="zh-CN"/>
                      <w14:textFill>
                        <w14:solidFill>
                          <w14:schemeClr w14:val="tx1"/>
                        </w14:solidFill>
                      </w14:textFill>
                    </w:rPr>
                    <w:t>检测结果</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color w:val="000000" w:themeColor="text1"/>
                      <w:sz w:val="21"/>
                      <w:szCs w:val="21"/>
                      <w:lang w:val="en-US" w:eastAsia="zh-CN"/>
                      <w14:textFill>
                        <w14:solidFill>
                          <w14:schemeClr w14:val="tx1"/>
                        </w14:solidFill>
                      </w14:textFill>
                    </w:rPr>
                  </w:pPr>
                  <w:r>
                    <w:rPr>
                      <w:rFonts w:cs="宋体"/>
                      <w:b/>
                      <w:color w:val="000000" w:themeColor="text1"/>
                      <w:sz w:val="21"/>
                      <w:szCs w:val="21"/>
                      <w:lang w:val="en-US" w:eastAsia="zh-CN"/>
                      <w14:textFill>
                        <w14:solidFill>
                          <w14:schemeClr w14:val="tx1"/>
                        </w14:solidFill>
                      </w14:textFill>
                    </w:rPr>
                    <w:t>参考限值</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color w:val="000000" w:themeColor="text1"/>
                      <w:sz w:val="21"/>
                      <w:szCs w:val="21"/>
                      <w:lang w:val="en-US" w:eastAsia="zh-CN"/>
                      <w14:textFill>
                        <w14:solidFill>
                          <w14:schemeClr w14:val="tx1"/>
                        </w14:solidFill>
                      </w14:textFill>
                    </w:rPr>
                  </w:pPr>
                  <w:r>
                    <w:rPr>
                      <w:rFonts w:cs="宋体"/>
                      <w:b/>
                      <w:color w:val="000000" w:themeColor="text1"/>
                      <w:sz w:val="21"/>
                      <w:szCs w:val="21"/>
                      <w:lang w:val="en-US" w:eastAsia="zh-CN"/>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噪声</w:t>
                  </w:r>
                </w:p>
              </w:tc>
              <w:tc>
                <w:tcPr>
                  <w:tcW w:w="759" w:type="pct"/>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202</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1</w:t>
                  </w:r>
                </w:p>
              </w:tc>
              <w:tc>
                <w:tcPr>
                  <w:tcW w:w="1007" w:type="pct"/>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N1东侧紧邻花垣县疾病预防控制中心</w:t>
                  </w: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昼间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56</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60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759"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夜间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41</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50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759" w:type="pct"/>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202</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2</w:t>
                  </w: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昼间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55</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60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759"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夜间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42</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50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209" w:type="dxa"/>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202</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1</w:t>
                  </w:r>
                </w:p>
              </w:tc>
              <w:tc>
                <w:tcPr>
                  <w:tcW w:w="1007" w:type="pct"/>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N2东南侧6m处花垣县人民政府政务服务中心</w:t>
                  </w: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昼间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57</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60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759"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夜间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42</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50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209" w:type="dxa"/>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202</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2</w:t>
                  </w: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昼间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57</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60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759"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夜间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43</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50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209" w:type="dxa"/>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202</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1</w:t>
                  </w:r>
                </w:p>
              </w:tc>
              <w:tc>
                <w:tcPr>
                  <w:tcW w:w="1007" w:type="pct"/>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N3西侧35m处花垣县税务局</w:t>
                  </w: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昼间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55</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60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759"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夜间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40</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50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209" w:type="dxa"/>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202</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2</w:t>
                  </w: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昼间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55</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60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759"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夜间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40</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50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209" w:type="dxa"/>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202</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1</w:t>
                  </w:r>
                </w:p>
              </w:tc>
              <w:tc>
                <w:tcPr>
                  <w:tcW w:w="1007" w:type="pct"/>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N4西南侧47m和悦家园小区</w:t>
                  </w: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昼间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58</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60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759"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夜间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32</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50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209" w:type="dxa"/>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202</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4</w:t>
                  </w:r>
                  <w:r>
                    <w:rPr>
                      <w:rFonts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2</w:t>
                  </w: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昼间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58</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60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759"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10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p>
              </w:tc>
              <w:tc>
                <w:tcPr>
                  <w:tcW w:w="63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夜间</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41</w:t>
                  </w:r>
                </w:p>
              </w:tc>
              <w:tc>
                <w:tcPr>
                  <w:tcW w:w="71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50</w:t>
                  </w:r>
                </w:p>
              </w:tc>
              <w:tc>
                <w:tcPr>
                  <w:tcW w:w="76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7"/>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color w:val="000000" w:themeColor="text1"/>
                      <w:sz w:val="21"/>
                      <w:szCs w:val="21"/>
                      <w:lang w:val="en-US" w:eastAsia="zh-CN"/>
                      <w14:textFill>
                        <w14:solidFill>
                          <w14:schemeClr w14:val="tx1"/>
                        </w14:solidFill>
                      </w14:textFill>
                    </w:rPr>
                  </w:pPr>
                  <w:r>
                    <w:rPr>
                      <w:rFonts w:cs="宋体"/>
                      <w:color w:val="000000" w:themeColor="text1"/>
                      <w:sz w:val="21"/>
                      <w:szCs w:val="21"/>
                      <w:lang w:val="en-US" w:eastAsia="zh-CN"/>
                      <w14:textFill>
                        <w14:solidFill>
                          <w14:schemeClr w14:val="tx1"/>
                        </w14:solidFill>
                      </w14:textFill>
                    </w:rPr>
                    <w:t>备注：参考《声环境质量标准》（GB3096-2008）表1中2类标准。</w:t>
                  </w:r>
                </w:p>
              </w:tc>
            </w:tr>
          </w:tbl>
          <w:p>
            <w:pPr>
              <w:pStyle w:val="98"/>
              <w:ind w:firstLine="480"/>
              <w:rPr>
                <w:sz w:val="24"/>
                <w:szCs w:val="24"/>
                <w:u w:val="none"/>
              </w:rPr>
            </w:pPr>
            <w:r>
              <w:rPr>
                <w:sz w:val="24"/>
                <w:szCs w:val="24"/>
                <w:u w:val="none"/>
              </w:rPr>
              <w:t>根据上表监测结果可知，项目区域</w:t>
            </w:r>
            <w:r>
              <w:rPr>
                <w:rFonts w:hint="eastAsia"/>
                <w:sz w:val="24"/>
                <w:szCs w:val="24"/>
                <w:u w:val="none"/>
                <w:lang w:val="en-US" w:eastAsia="zh-CN"/>
              </w:rPr>
              <w:t>敏感点</w:t>
            </w:r>
            <w:r>
              <w:rPr>
                <w:sz w:val="24"/>
                <w:szCs w:val="24"/>
                <w:u w:val="none"/>
              </w:rPr>
              <w:t>声环境质量现状监测值均符合《声环境质量标准》（GB3096-2008）中的2类标准，表明区域声环境质量较好。</w:t>
            </w:r>
          </w:p>
          <w:p>
            <w:pPr>
              <w:pStyle w:val="161"/>
              <w:rPr>
                <w:rFonts w:hint="default" w:ascii="Times New Roman" w:hAnsi="Times New Roman" w:cs="Times New Roman"/>
                <w:lang w:val="en-US" w:eastAsia="zh-CN"/>
              </w:rPr>
            </w:pPr>
            <w:r>
              <w:rPr>
                <w:rFonts w:hint="default" w:ascii="Times New Roman" w:hAnsi="Times New Roman" w:cs="Times New Roman"/>
                <w:lang w:val="en-US" w:eastAsia="zh-CN"/>
              </w:rPr>
              <w:t>4、地下水、土壤</w:t>
            </w:r>
          </w:p>
          <w:p>
            <w:pPr>
              <w:pStyle w:val="98"/>
              <w:ind w:firstLine="480"/>
              <w:rPr>
                <w:sz w:val="24"/>
                <w:szCs w:val="24"/>
              </w:rPr>
            </w:pPr>
            <w:r>
              <w:rPr>
                <w:sz w:val="24"/>
                <w:szCs w:val="24"/>
              </w:rPr>
              <w:t>根据生态环境部办公厅2020年12月24日印发的《建设项目环境影响报告表编制技术指南（污染影响类）（试行）》中的要求：“地下水、土壤环境。原则上不开展环境质量现状调查。建设项目存在土壤、地下水环境污染途径的，应结合污染源、保护目标分布情况开展现状调查以留作背景值”，结合本项目工程分析，项目不存在土壤、地下水环境污染途径，因此，可不开展土壤、地下水环境质量现状调查。</w:t>
            </w:r>
          </w:p>
          <w:p>
            <w:pPr>
              <w:pStyle w:val="161"/>
              <w:rPr>
                <w:rFonts w:hint="default" w:ascii="Times New Roman" w:hAnsi="Times New Roman" w:cs="Times New Roman"/>
                <w:lang w:val="en-US" w:eastAsia="zh-CN"/>
              </w:rPr>
            </w:pPr>
            <w:r>
              <w:rPr>
                <w:rFonts w:hint="default" w:ascii="Times New Roman" w:hAnsi="Times New Roman" w:cs="Times New Roman"/>
                <w:lang w:val="en-US" w:eastAsia="zh-CN"/>
              </w:rPr>
              <w:t>5、生态环境现状</w:t>
            </w:r>
          </w:p>
          <w:p>
            <w:pPr>
              <w:pStyle w:val="98"/>
              <w:ind w:firstLine="480"/>
              <w:rPr>
                <w:rFonts w:hint="eastAsia"/>
                <w:sz w:val="24"/>
                <w:szCs w:val="24"/>
                <w:lang w:val="en-US" w:eastAsia="zh-CN"/>
              </w:rPr>
            </w:pPr>
            <w:r>
              <w:rPr>
                <w:sz w:val="24"/>
                <w:szCs w:val="24"/>
              </w:rPr>
              <w:t>根据生态环境部办公厅2020年12月24日印发的《建设项目环境影响报告表编制技术指南（污染影响类）（试行）》中具体编制要求</w:t>
            </w:r>
            <w:r>
              <w:rPr>
                <w:rFonts w:hint="eastAsia"/>
                <w:sz w:val="24"/>
                <w:szCs w:val="24"/>
              </w:rPr>
              <w:t>“</w:t>
            </w:r>
            <w:r>
              <w:rPr>
                <w:sz w:val="24"/>
                <w:szCs w:val="24"/>
              </w:rPr>
              <w:t>产业园区外建设项目新增用地且用地范围内含有生态环境敏感目标时，应进行生态调查</w:t>
            </w:r>
            <w:r>
              <w:rPr>
                <w:rFonts w:hint="eastAsia"/>
                <w:sz w:val="24"/>
                <w:szCs w:val="24"/>
                <w:lang w:eastAsia="zh-CN"/>
              </w:rPr>
              <w:t>”</w:t>
            </w:r>
            <w:r>
              <w:rPr>
                <w:sz w:val="24"/>
                <w:szCs w:val="24"/>
              </w:rPr>
              <w:t>。</w:t>
            </w:r>
            <w:r>
              <w:rPr>
                <w:rFonts w:hint="eastAsia"/>
                <w:color w:val="auto"/>
                <w:sz w:val="24"/>
                <w:szCs w:val="24"/>
              </w:rPr>
              <w:t>本项目建设地位于</w:t>
            </w:r>
            <w:r>
              <w:rPr>
                <w:rFonts w:hint="eastAsia"/>
                <w:color w:val="auto"/>
                <w:sz w:val="24"/>
                <w:szCs w:val="22"/>
                <w:lang w:val="en-US" w:eastAsia="zh-CN"/>
              </w:rPr>
              <w:t>湘西自治州</w:t>
            </w:r>
            <w:r>
              <w:rPr>
                <w:rFonts w:hint="eastAsia"/>
                <w:color w:val="auto"/>
                <w:sz w:val="24"/>
                <w:szCs w:val="22"/>
                <w:lang w:eastAsia="zh-CN"/>
              </w:rPr>
              <w:t>花垣县花垣镇城北政务中心北侧旁</w:t>
            </w:r>
            <w:r>
              <w:rPr>
                <w:rFonts w:hint="eastAsia"/>
                <w:color w:val="auto"/>
                <w:sz w:val="24"/>
                <w:szCs w:val="24"/>
                <w:lang w:val="en-US" w:eastAsia="zh-CN"/>
              </w:rPr>
              <w:t>，</w:t>
            </w:r>
            <w:r>
              <w:rPr>
                <w:rFonts w:hint="eastAsia"/>
                <w:sz w:val="24"/>
                <w:szCs w:val="24"/>
                <w:lang w:val="en-US" w:eastAsia="zh-CN"/>
              </w:rPr>
              <w:t>土地资源开发利用程度较高，主要植被为茶场、杂草、杂灌木丛，无珍稀濒危野生动植物。根据调查，本项目评价范围内尚未发现国家重点保护珍稀动植物。该区域生态系统结构简单。不涉及花垣县生态红线。因此不需要开展生态环境现状调查。</w:t>
            </w:r>
          </w:p>
          <w:p>
            <w:pPr>
              <w:pStyle w:val="161"/>
              <w:rPr>
                <w:rFonts w:hint="default" w:ascii="Times New Roman" w:hAnsi="Times New Roman" w:cs="Times New Roman"/>
                <w:lang w:val="en-US" w:eastAsia="zh-CN"/>
              </w:rPr>
            </w:pPr>
            <w:r>
              <w:rPr>
                <w:rFonts w:hint="eastAsia" w:ascii="Times New Roman" w:hAnsi="Times New Roman" w:cs="Times New Roman"/>
                <w:lang w:val="en-US" w:eastAsia="zh-CN"/>
              </w:rPr>
              <w:t>6</w:t>
            </w:r>
            <w:r>
              <w:rPr>
                <w:rFonts w:hint="default" w:ascii="Times New Roman" w:hAnsi="Times New Roman" w:cs="Times New Roman"/>
                <w:lang w:val="en-US" w:eastAsia="zh-CN"/>
              </w:rPr>
              <w:t>、</w:t>
            </w:r>
            <w:r>
              <w:rPr>
                <w:rFonts w:hint="eastAsia" w:ascii="Times New Roman" w:hAnsi="Times New Roman" w:cs="Times New Roman"/>
                <w:lang w:val="en-US" w:eastAsia="zh-CN"/>
              </w:rPr>
              <w:t>电磁辐射</w:t>
            </w:r>
          </w:p>
          <w:p>
            <w:pPr>
              <w:pStyle w:val="98"/>
              <w:ind w:firstLine="480"/>
              <w:rPr>
                <w:rFonts w:hint="eastAsia"/>
                <w:sz w:val="24"/>
                <w:szCs w:val="24"/>
                <w:lang w:val="en-US" w:eastAsia="zh-CN"/>
              </w:rPr>
            </w:pPr>
            <w:r>
              <w:rPr>
                <w:rFonts w:hint="eastAsia"/>
                <w:sz w:val="24"/>
                <w:szCs w:val="24"/>
                <w:lang w:val="en-US" w:eastAsia="zh-CN"/>
              </w:rPr>
              <w:t>根据中华人民共和国环境保护行业标准《辐射环境保护管理导则电磁辐射环境影响评价方法与标准》（HJ/T10.3-1996），电磁辐射环境影响评价报告书是一个独立的、完整的、正式的有法律效益力的技术文件，须由持有电磁辐射环境影响评价专项证书的单位和有资格人员编写。</w:t>
            </w:r>
          </w:p>
          <w:p>
            <w:pPr>
              <w:pStyle w:val="98"/>
              <w:ind w:firstLine="480"/>
              <w:rPr>
                <w:rFonts w:hint="eastAsia"/>
                <w:sz w:val="24"/>
                <w:szCs w:val="24"/>
                <w:lang w:val="en-US" w:eastAsia="zh-CN"/>
              </w:rPr>
            </w:pPr>
            <w:r>
              <w:rPr>
                <w:rFonts w:hint="eastAsia"/>
                <w:sz w:val="24"/>
                <w:szCs w:val="24"/>
                <w:lang w:val="en-US" w:eastAsia="zh-CN"/>
              </w:rPr>
              <w:t>本项目不涉及电磁辐射设备，不进行电磁辐射影响评价，因此无需进行电磁辐射环境现状调查。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505" w:hRule="atLeast"/>
          <w:jc w:val="center"/>
        </w:trPr>
        <w:tc>
          <w:tcPr>
            <w:tcW w:w="800" w:type="dxa"/>
            <w:tcBorders>
              <w:bottom w:val="single" w:color="auto" w:sz="12" w:space="0"/>
            </w:tcBorders>
            <w:noWrap w:val="0"/>
            <w:vAlign w:val="center"/>
          </w:tcPr>
          <w:p>
            <w:pPr>
              <w:rPr>
                <w:b/>
                <w:bCs/>
              </w:rPr>
            </w:pPr>
            <w:r>
              <w:rPr>
                <w:b/>
                <w:bCs/>
              </w:rPr>
              <w:t>环境</w:t>
            </w:r>
          </w:p>
          <w:p>
            <w:pPr>
              <w:rPr>
                <w:b/>
                <w:bCs/>
              </w:rPr>
            </w:pPr>
            <w:r>
              <w:rPr>
                <w:b/>
                <w:bCs/>
              </w:rPr>
              <w:t>保护</w:t>
            </w:r>
          </w:p>
          <w:p>
            <w:pPr>
              <w:rPr>
                <w:szCs w:val="21"/>
              </w:rPr>
            </w:pPr>
            <w:r>
              <w:rPr>
                <w:b/>
                <w:bCs/>
              </w:rPr>
              <w:t>目标</w:t>
            </w:r>
          </w:p>
        </w:tc>
        <w:tc>
          <w:tcPr>
            <w:tcW w:w="8190" w:type="dxa"/>
            <w:tcBorders>
              <w:bottom w:val="single" w:color="auto" w:sz="12" w:space="0"/>
            </w:tcBorders>
            <w:noWrap w:val="0"/>
            <w:vAlign w:val="top"/>
          </w:tcPr>
          <w:p>
            <w:pPr>
              <w:pStyle w:val="98"/>
              <w:ind w:firstLine="480"/>
              <w:rPr>
                <w:rFonts w:hint="eastAsia"/>
                <w:sz w:val="24"/>
                <w:szCs w:val="24"/>
              </w:rPr>
            </w:pPr>
            <w:r>
              <w:rPr>
                <w:rFonts w:hint="eastAsia"/>
                <w:sz w:val="24"/>
                <w:szCs w:val="24"/>
              </w:rPr>
              <w:t>根据《建设项目环境影响报告表编制技术指南》（污染影响类）（试行）按下述要求明确本项目周边的环境敏感目标：</w:t>
            </w:r>
          </w:p>
          <w:p>
            <w:pPr>
              <w:pStyle w:val="98"/>
              <w:ind w:firstLine="480"/>
              <w:rPr>
                <w:rFonts w:hint="eastAsia"/>
                <w:sz w:val="24"/>
                <w:szCs w:val="24"/>
              </w:rPr>
            </w:pPr>
            <w:r>
              <w:rPr>
                <w:rFonts w:hint="eastAsia"/>
                <w:sz w:val="24"/>
                <w:szCs w:val="24"/>
              </w:rPr>
              <w:t>1）大气环境：明确厂界外500米范围内的自然保护区、风景名胜区、居住区、文化区和农村地区中人群较集中的区域等保护目标的名称及与建设项目厂界位置关系。</w:t>
            </w:r>
          </w:p>
          <w:p>
            <w:pPr>
              <w:pStyle w:val="98"/>
              <w:ind w:firstLine="480"/>
              <w:rPr>
                <w:rFonts w:hint="eastAsia"/>
                <w:sz w:val="24"/>
                <w:szCs w:val="24"/>
              </w:rPr>
            </w:pPr>
            <w:r>
              <w:rPr>
                <w:rFonts w:hint="eastAsia"/>
                <w:sz w:val="24"/>
                <w:szCs w:val="24"/>
              </w:rPr>
              <w:t>2）声环境：明确厂界外50米范围内声环境保护目标。</w:t>
            </w:r>
          </w:p>
          <w:p>
            <w:pPr>
              <w:pStyle w:val="98"/>
              <w:ind w:firstLine="480"/>
              <w:rPr>
                <w:rFonts w:hint="eastAsia"/>
                <w:sz w:val="24"/>
                <w:szCs w:val="24"/>
              </w:rPr>
            </w:pPr>
            <w:r>
              <w:rPr>
                <w:rFonts w:hint="eastAsia"/>
                <w:sz w:val="24"/>
                <w:szCs w:val="24"/>
              </w:rPr>
              <w:t>3）地下水环境：明确厂界外500米范围内的地下水集中式饮用水水源和热水、矿泉水、温泉等特殊地下水资源。</w:t>
            </w:r>
          </w:p>
          <w:p>
            <w:pPr>
              <w:pStyle w:val="98"/>
              <w:ind w:firstLine="480"/>
              <w:rPr>
                <w:sz w:val="24"/>
                <w:szCs w:val="24"/>
              </w:rPr>
            </w:pPr>
            <w:r>
              <w:rPr>
                <w:rFonts w:hint="eastAsia"/>
                <w:sz w:val="24"/>
                <w:szCs w:val="24"/>
              </w:rPr>
              <w:t>4）产业园区外建设项目新增用地的，应明确新增用地范围内生态环境保护目标。</w:t>
            </w:r>
          </w:p>
          <w:p>
            <w:pPr>
              <w:pStyle w:val="98"/>
              <w:ind w:firstLine="480"/>
              <w:rPr>
                <w:rFonts w:hint="eastAsia"/>
                <w:sz w:val="24"/>
                <w:szCs w:val="24"/>
              </w:rPr>
            </w:pPr>
            <w:r>
              <w:rPr>
                <w:rFonts w:hint="eastAsia"/>
                <w:sz w:val="24"/>
                <w:szCs w:val="24"/>
              </w:rPr>
              <w:t>经现场踏勘，</w:t>
            </w:r>
            <w:r>
              <w:rPr>
                <w:color w:val="000000"/>
                <w:sz w:val="24"/>
                <w:szCs w:val="21"/>
              </w:rPr>
              <w:t>项目主要环境保护目标见下表</w:t>
            </w:r>
            <w:r>
              <w:rPr>
                <w:rFonts w:hint="eastAsia"/>
                <w:color w:val="000000"/>
                <w:sz w:val="24"/>
                <w:szCs w:val="21"/>
              </w:rPr>
              <w:t>：</w:t>
            </w:r>
          </w:p>
          <w:p>
            <w:pPr>
              <w:pStyle w:val="8"/>
              <w:keepNext/>
              <w:keepLines w:val="0"/>
              <w:pageBreakBefore w:val="0"/>
              <w:widowControl/>
              <w:kinsoku/>
              <w:wordWrap/>
              <w:overflowPunct/>
              <w:topLinePunct w:val="0"/>
              <w:autoSpaceDE/>
              <w:autoSpaceDN/>
              <w:bidi w:val="0"/>
              <w:adjustRightInd/>
              <w:snapToGrid/>
              <w:spacing w:line="240" w:lineRule="auto"/>
              <w:textAlignment w:val="auto"/>
              <w:rPr>
                <w:rFonts w:hint="eastAsia"/>
              </w:rPr>
            </w:pPr>
            <w:r>
              <w:rPr>
                <w:rFonts w:hint="eastAsia"/>
              </w:rPr>
              <w:t xml:space="preserve">表3- </w:t>
            </w:r>
            <w:r>
              <w:rPr>
                <w:rFonts w:hint="eastAsia"/>
                <w:lang w:val="en-US" w:eastAsia="zh-CN"/>
              </w:rPr>
              <w:t xml:space="preserve">6 </w:t>
            </w:r>
            <w:r>
              <w:rPr>
                <w:rFonts w:hint="eastAsia"/>
              </w:rPr>
              <w:t>主要环境保护目标一览表</w:t>
            </w:r>
          </w:p>
          <w:tbl>
            <w:tblPr>
              <w:tblStyle w:val="3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70"/>
              <w:gridCol w:w="975"/>
              <w:gridCol w:w="1470"/>
              <w:gridCol w:w="660"/>
              <w:gridCol w:w="855"/>
              <w:gridCol w:w="462"/>
              <w:gridCol w:w="665"/>
              <w:gridCol w:w="1168"/>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31" w:hRule="atLeast"/>
                <w:jc w:val="center"/>
              </w:trPr>
              <w:tc>
                <w:tcPr>
                  <w:tcW w:w="23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b/>
                      <w:bCs/>
                      <w:sz w:val="21"/>
                      <w:szCs w:val="21"/>
                      <w:u w:val="none" w:color="auto"/>
                    </w:rPr>
                  </w:pPr>
                  <w:bookmarkStart w:id="21" w:name="_Hlk28266490"/>
                  <w:r>
                    <w:rPr>
                      <w:rFonts w:hint="default" w:ascii="Times New Roman" w:hAnsi="Times New Roman" w:cs="Times New Roman"/>
                      <w:b/>
                      <w:bCs/>
                      <w:sz w:val="21"/>
                      <w:szCs w:val="21"/>
                      <w:u w:val="none" w:color="auto"/>
                    </w:rPr>
                    <w:t>环境</w:t>
                  </w:r>
                </w:p>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要素</w:t>
                  </w:r>
                </w:p>
              </w:tc>
              <w:tc>
                <w:tcPr>
                  <w:tcW w:w="61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环境保护对象名称</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坐标</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相对厂址方位</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厂界距离（m）</w:t>
                  </w:r>
                </w:p>
              </w:tc>
              <w:tc>
                <w:tcPr>
                  <w:tcW w:w="290"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有无山体阻隔</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环境</w:t>
                  </w:r>
                </w:p>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功能区</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保护对象</w:t>
                  </w:r>
                </w:p>
              </w:tc>
              <w:tc>
                <w:tcPr>
                  <w:tcW w:w="836"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restar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空气</w:t>
                  </w:r>
                </w:p>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环境</w:t>
                  </w:r>
                </w:p>
              </w:tc>
              <w:tc>
                <w:tcPr>
                  <w:tcW w:w="61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花垣县人民政府政务服务中心</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46115118°N</w:t>
                  </w:r>
                  <w:r>
                    <w:rPr>
                      <w:rFonts w:hint="eastAsia" w:hAnsi="宋体"/>
                      <w:color w:val="auto"/>
                      <w:szCs w:val="21"/>
                      <w:u w:val="none"/>
                    </w:rPr>
                    <w:t>28</w:t>
                  </w:r>
                  <w:r>
                    <w:rPr>
                      <w:rFonts w:hint="eastAsia" w:hAnsi="宋体"/>
                      <w:color w:val="auto"/>
                      <w:szCs w:val="21"/>
                      <w:u w:val="none"/>
                      <w:lang w:val="en-US" w:eastAsia="zh-CN"/>
                    </w:rPr>
                    <w:t>.58851193°</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东</w:t>
                  </w:r>
                  <w:r>
                    <w:rPr>
                      <w:rFonts w:hint="eastAsia" w:ascii="Times New Roman" w:hAnsi="Times New Roman" w:cs="Times New Roman"/>
                      <w:sz w:val="21"/>
                      <w:szCs w:val="21"/>
                      <w:u w:val="none" w:color="auto"/>
                      <w:lang w:val="en-US" w:eastAsia="zh-CN"/>
                    </w:rPr>
                    <w:t>南</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6</w:t>
                  </w:r>
                </w:p>
              </w:tc>
              <w:tc>
                <w:tcPr>
                  <w:tcW w:w="290"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办公</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highlight w:val="none"/>
                      <w:u w:val="none" w:color="auto"/>
                      <w:lang w:val="en-US" w:eastAsia="zh-CN"/>
                    </w:rPr>
                  </w:pPr>
                  <w:r>
                    <w:rPr>
                      <w:rFonts w:hint="eastAsia" w:ascii="Times New Roman" w:hAnsi="Times New Roman" w:cs="Times New Roman"/>
                      <w:sz w:val="21"/>
                      <w:szCs w:val="21"/>
                      <w:highlight w:val="none"/>
                      <w:u w:val="none" w:color="auto"/>
                      <w:lang w:val="en-US" w:eastAsia="zh-CN"/>
                    </w:rPr>
                    <w:t>约100人</w:t>
                  </w:r>
                </w:p>
              </w:tc>
              <w:tc>
                <w:tcPr>
                  <w:tcW w:w="836" w:type="pct"/>
                  <w:vMerge w:val="restar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《环境空气质量标准》（GB3095－2012）及</w:t>
                  </w:r>
                  <w:r>
                    <w:rPr>
                      <w:rFonts w:hint="eastAsia" w:ascii="Times New Roman" w:hAnsi="Times New Roman" w:cs="Times New Roman"/>
                      <w:sz w:val="21"/>
                      <w:szCs w:val="21"/>
                      <w:u w:val="none" w:color="auto"/>
                      <w:lang w:val="en-US" w:eastAsia="zh-CN"/>
                    </w:rPr>
                    <w:t>2018年</w:t>
                  </w:r>
                  <w:r>
                    <w:rPr>
                      <w:rFonts w:hint="default" w:ascii="Times New Roman" w:hAnsi="Times New Roman" w:cs="Times New Roman"/>
                      <w:sz w:val="21"/>
                      <w:szCs w:val="21"/>
                      <w:u w:val="none" w:color="auto"/>
                    </w:rPr>
                    <w:t>修改单</w:t>
                  </w:r>
                  <w:r>
                    <w:rPr>
                      <w:rFonts w:hint="eastAsia" w:ascii="Times New Roman" w:hAnsi="Times New Roman" w:cs="Times New Roman"/>
                      <w:sz w:val="21"/>
                      <w:szCs w:val="21"/>
                      <w:u w:val="none" w:color="auto"/>
                      <w:lang w:val="en-US" w:eastAsia="zh-CN"/>
                    </w:rPr>
                    <w:t>中的</w:t>
                  </w:r>
                  <w:r>
                    <w:rPr>
                      <w:rFonts w:hint="default" w:ascii="Times New Roman" w:hAnsi="Times New Roman" w:cs="Times New Roman"/>
                      <w:sz w:val="21"/>
                      <w:szCs w:val="21"/>
                      <w:u w:val="none" w:color="auto"/>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kern w:val="2"/>
                      <w:sz w:val="21"/>
                      <w:szCs w:val="21"/>
                    </w:rPr>
                    <w:t>花垣县</w:t>
                  </w:r>
                  <w:r>
                    <w:rPr>
                      <w:rFonts w:hint="eastAsia" w:ascii="Times New Roman" w:hAnsi="Times New Roman" w:eastAsia="宋体" w:cs="Times New Roman"/>
                      <w:kern w:val="2"/>
                      <w:sz w:val="21"/>
                      <w:szCs w:val="21"/>
                      <w:lang w:val="en-US" w:eastAsia="zh-CN"/>
                    </w:rPr>
                    <w:t>国家税务局</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46005147°N</w:t>
                  </w:r>
                  <w:r>
                    <w:rPr>
                      <w:rFonts w:hint="eastAsia" w:hAnsi="宋体"/>
                      <w:color w:val="auto"/>
                      <w:szCs w:val="21"/>
                      <w:u w:val="none"/>
                    </w:rPr>
                    <w:t>28</w:t>
                  </w:r>
                  <w:r>
                    <w:rPr>
                      <w:rFonts w:hint="eastAsia" w:hAnsi="宋体"/>
                      <w:color w:val="auto"/>
                      <w:szCs w:val="21"/>
                      <w:u w:val="none"/>
                      <w:lang w:val="en-US" w:eastAsia="zh-CN"/>
                    </w:rPr>
                    <w:t>.5885708°</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西</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35</w:t>
                  </w:r>
                </w:p>
              </w:tc>
              <w:tc>
                <w:tcPr>
                  <w:tcW w:w="290"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eastAsia" w:ascii="Times New Roman" w:hAnsi="Times New Roman" w:cs="Times New Roman"/>
                      <w:sz w:val="21"/>
                      <w:szCs w:val="21"/>
                      <w:u w:val="none" w:color="auto"/>
                      <w:lang w:val="en-US" w:eastAsia="zh-CN"/>
                    </w:rPr>
                    <w:t>办公</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highlight w:val="none"/>
                      <w:u w:val="none" w:color="auto"/>
                    </w:rPr>
                  </w:pPr>
                  <w:r>
                    <w:rPr>
                      <w:rFonts w:hint="eastAsia" w:ascii="Times New Roman" w:hAnsi="Times New Roman" w:cs="Times New Roman"/>
                      <w:sz w:val="21"/>
                      <w:szCs w:val="21"/>
                      <w:highlight w:val="none"/>
                      <w:u w:val="none" w:color="auto"/>
                      <w:lang w:val="en-US" w:eastAsia="zh-CN"/>
                    </w:rPr>
                    <w:t>约50人</w:t>
                  </w:r>
                </w:p>
              </w:tc>
              <w:tc>
                <w:tcPr>
                  <w:tcW w:w="836"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下寨居民点1</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45855388°N</w:t>
                  </w:r>
                  <w:r>
                    <w:rPr>
                      <w:rFonts w:hint="eastAsia" w:hAnsi="宋体"/>
                      <w:color w:val="auto"/>
                      <w:szCs w:val="21"/>
                      <w:u w:val="none"/>
                    </w:rPr>
                    <w:t>28</w:t>
                  </w:r>
                  <w:r>
                    <w:rPr>
                      <w:rFonts w:hint="eastAsia" w:hAnsi="宋体"/>
                      <w:color w:val="auto"/>
                      <w:szCs w:val="21"/>
                      <w:u w:val="none"/>
                      <w:lang w:val="en-US" w:eastAsia="zh-CN"/>
                    </w:rPr>
                    <w:t>.59036432°</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西北</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190-317</w:t>
                  </w:r>
                </w:p>
              </w:tc>
              <w:tc>
                <w:tcPr>
                  <w:tcW w:w="290"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有</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居住</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highlight w:val="none"/>
                      <w:u w:val="none" w:color="auto"/>
                    </w:rPr>
                  </w:pPr>
                  <w:r>
                    <w:rPr>
                      <w:rFonts w:hint="default" w:ascii="Times New Roman" w:hAnsi="Times New Roman" w:cs="Times New Roman"/>
                      <w:sz w:val="21"/>
                      <w:szCs w:val="21"/>
                      <w:highlight w:val="none"/>
                      <w:u w:val="none" w:color="auto"/>
                    </w:rPr>
                    <w:t>约</w:t>
                  </w:r>
                  <w:r>
                    <w:rPr>
                      <w:rFonts w:hint="default" w:ascii="Times New Roman" w:hAnsi="Times New Roman" w:cs="Times New Roman"/>
                      <w:sz w:val="21"/>
                      <w:szCs w:val="21"/>
                      <w:highlight w:val="none"/>
                      <w:u w:val="none" w:color="auto"/>
                      <w:lang w:val="en-US" w:eastAsia="zh-CN"/>
                    </w:rPr>
                    <w:t>20</w:t>
                  </w:r>
                  <w:r>
                    <w:rPr>
                      <w:rFonts w:hint="default" w:ascii="Times New Roman" w:hAnsi="Times New Roman" w:cs="Times New Roman"/>
                      <w:sz w:val="21"/>
                      <w:szCs w:val="21"/>
                      <w:highlight w:val="none"/>
                      <w:u w:val="none" w:color="auto"/>
                    </w:rPr>
                    <w:t>户，</w:t>
                  </w:r>
                </w:p>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highlight w:val="yellow"/>
                      <w:u w:val="none" w:color="auto"/>
                    </w:rPr>
                  </w:pPr>
                  <w:r>
                    <w:rPr>
                      <w:rFonts w:hint="default" w:ascii="Times New Roman" w:hAnsi="Times New Roman" w:cs="Times New Roman"/>
                      <w:sz w:val="21"/>
                      <w:szCs w:val="21"/>
                      <w:highlight w:val="none"/>
                      <w:u w:val="none" w:color="auto"/>
                      <w:lang w:val="en-US" w:eastAsia="zh-CN"/>
                    </w:rPr>
                    <w:t>90</w:t>
                  </w:r>
                  <w:r>
                    <w:rPr>
                      <w:rFonts w:hint="default" w:ascii="Times New Roman" w:hAnsi="Times New Roman" w:cs="Times New Roman"/>
                      <w:sz w:val="21"/>
                      <w:szCs w:val="21"/>
                      <w:highlight w:val="none"/>
                      <w:u w:val="none" w:color="auto"/>
                    </w:rPr>
                    <w:t>人</w:t>
                  </w:r>
                </w:p>
              </w:tc>
              <w:tc>
                <w:tcPr>
                  <w:tcW w:w="836"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7"/>
                    <w:keepNext w:val="0"/>
                    <w:keepLines w:val="0"/>
                    <w:pageBreakBefore w:val="0"/>
                    <w:kinsoku/>
                    <w:overflowPunct/>
                    <w:topLinePunct w:val="0"/>
                    <w:autoSpaceDE/>
                    <w:autoSpaceDN/>
                    <w:bidi w:val="0"/>
                    <w:adjustRightInd/>
                    <w:spacing w:line="240" w:lineRule="auto"/>
                    <w:ind w:right="0" w:firstLine="0" w:firstLineChars="0"/>
                    <w:rPr>
                      <w:rFonts w:hint="default" w:ascii="Times New Roman" w:hAnsi="Times New Roman" w:eastAsia="宋体" w:cs="Times New Roman"/>
                      <w:b w:val="0"/>
                      <w:color w:val="000000"/>
                      <w:kern w:val="2"/>
                      <w:sz w:val="21"/>
                      <w:szCs w:val="21"/>
                      <w:u w:val="none" w:color="auto"/>
                      <w:lang w:val="en-US" w:eastAsia="zh-CN" w:bidi="ar-SA"/>
                    </w:rPr>
                  </w:pPr>
                  <w:r>
                    <w:rPr>
                      <w:rFonts w:hint="default" w:ascii="Times New Roman" w:hAnsi="Times New Roman" w:cs="Times New Roman"/>
                      <w:sz w:val="21"/>
                      <w:szCs w:val="21"/>
                      <w:u w:val="none" w:color="auto"/>
                      <w:lang w:val="en-US" w:eastAsia="zh-CN"/>
                    </w:rPr>
                    <w:t>下寨居民点2</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firstLine="0" w:firstLineChars="0"/>
                    <w:rPr>
                      <w:rFonts w:hint="default" w:ascii="Times New Roman" w:hAnsi="Times New Roman" w:eastAsia="宋体" w:cs="Times New Roman"/>
                      <w:color w:val="000000"/>
                      <w:kern w:val="0"/>
                      <w:sz w:val="21"/>
                      <w:szCs w:val="21"/>
                      <w:u w:val="none" w:color="auto"/>
                      <w:lang w:val="en-US" w:eastAsia="zh-CN" w:bidi="ar-SA"/>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45712158°N</w:t>
                  </w:r>
                  <w:r>
                    <w:rPr>
                      <w:rFonts w:hint="eastAsia" w:hAnsi="宋体"/>
                      <w:color w:val="auto"/>
                      <w:szCs w:val="21"/>
                      <w:u w:val="none"/>
                    </w:rPr>
                    <w:t>28</w:t>
                  </w:r>
                  <w:r>
                    <w:rPr>
                      <w:rFonts w:hint="eastAsia" w:hAnsi="宋体"/>
                      <w:color w:val="auto"/>
                      <w:szCs w:val="21"/>
                      <w:u w:val="none"/>
                      <w:lang w:val="en-US" w:eastAsia="zh-CN"/>
                    </w:rPr>
                    <w:t>.588101°</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firstLine="0" w:firstLineChars="0"/>
                    <w:rPr>
                      <w:rFonts w:hint="default" w:ascii="Times New Roman" w:hAnsi="Times New Roman" w:eastAsia="宋体" w:cs="Times New Roman"/>
                      <w:color w:val="000000"/>
                      <w:kern w:val="0"/>
                      <w:sz w:val="21"/>
                      <w:szCs w:val="21"/>
                      <w:u w:val="none" w:color="auto"/>
                      <w:lang w:val="en-US" w:eastAsia="zh-CN" w:bidi="ar-SA"/>
                    </w:rPr>
                  </w:pPr>
                  <w:r>
                    <w:rPr>
                      <w:rFonts w:hint="default" w:ascii="Times New Roman" w:hAnsi="Times New Roman" w:cs="Times New Roman"/>
                      <w:sz w:val="21"/>
                      <w:szCs w:val="21"/>
                      <w:u w:val="none" w:color="auto"/>
                      <w:lang w:eastAsia="zh-CN"/>
                    </w:rPr>
                    <w:t>西</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firstLine="0" w:firstLineChars="0"/>
                    <w:rPr>
                      <w:rFonts w:hint="default" w:ascii="Times New Roman" w:hAnsi="Times New Roman" w:eastAsia="宋体" w:cs="Times New Roman"/>
                      <w:color w:val="000000"/>
                      <w:kern w:val="0"/>
                      <w:sz w:val="21"/>
                      <w:szCs w:val="21"/>
                      <w:u w:val="none" w:color="auto"/>
                      <w:lang w:val="en-US" w:eastAsia="zh-CN" w:bidi="ar-SA"/>
                    </w:rPr>
                  </w:pPr>
                  <w:r>
                    <w:rPr>
                      <w:rFonts w:hint="eastAsia" w:ascii="Times New Roman" w:hAnsi="Times New Roman" w:cs="Times New Roman"/>
                      <w:sz w:val="21"/>
                      <w:szCs w:val="21"/>
                      <w:u w:val="none" w:color="auto"/>
                      <w:lang w:val="en-US" w:eastAsia="zh-CN"/>
                    </w:rPr>
                    <w:t>270-480</w:t>
                  </w:r>
                </w:p>
              </w:tc>
              <w:tc>
                <w:tcPr>
                  <w:tcW w:w="290" w:type="pct"/>
                  <w:noWrap w:val="0"/>
                  <w:vAlign w:val="center"/>
                </w:tcPr>
                <w:p>
                  <w:pPr>
                    <w:pStyle w:val="157"/>
                    <w:keepNext w:val="0"/>
                    <w:keepLines w:val="0"/>
                    <w:pageBreakBefore w:val="0"/>
                    <w:kinsoku/>
                    <w:overflowPunct/>
                    <w:topLinePunct w:val="0"/>
                    <w:autoSpaceDE/>
                    <w:autoSpaceDN/>
                    <w:bidi w:val="0"/>
                    <w:adjustRightInd/>
                    <w:spacing w:line="240" w:lineRule="auto"/>
                    <w:ind w:right="0" w:firstLine="0" w:firstLineChars="0"/>
                    <w:rPr>
                      <w:rFonts w:hint="default" w:ascii="Times New Roman" w:hAnsi="Times New Roman" w:eastAsia="宋体" w:cs="Times New Roman"/>
                      <w:b w:val="0"/>
                      <w:color w:val="000000"/>
                      <w:kern w:val="2"/>
                      <w:sz w:val="21"/>
                      <w:szCs w:val="21"/>
                      <w:u w:val="none" w:color="auto"/>
                      <w:lang w:val="en-US" w:eastAsia="zh-CN" w:bidi="ar-SA"/>
                    </w:rPr>
                  </w:pPr>
                  <w:r>
                    <w:rPr>
                      <w:rFonts w:hint="default" w:ascii="Times New Roman" w:hAnsi="Times New Roman" w:cs="Times New Roman"/>
                      <w:sz w:val="21"/>
                      <w:szCs w:val="21"/>
                      <w:u w:val="none" w:color="auto"/>
                      <w:lang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firstLine="0" w:firstLineChars="0"/>
                    <w:rPr>
                      <w:rFonts w:hint="default" w:ascii="Times New Roman" w:hAnsi="Times New Roman" w:eastAsia="宋体" w:cs="Times New Roman"/>
                      <w:color w:val="000000"/>
                      <w:kern w:val="0"/>
                      <w:sz w:val="21"/>
                      <w:szCs w:val="21"/>
                      <w:u w:val="none" w:color="auto"/>
                      <w:lang w:val="en-US" w:eastAsia="zh-CN" w:bidi="ar-SA"/>
                    </w:rPr>
                  </w:pPr>
                  <w:r>
                    <w:rPr>
                      <w:rFonts w:hint="default" w:ascii="Times New Roman" w:hAnsi="Times New Roman" w:cs="Times New Roman"/>
                      <w:sz w:val="21"/>
                      <w:szCs w:val="21"/>
                      <w:u w:val="none" w:color="auto"/>
                    </w:rPr>
                    <w:t>居住</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firstLine="0" w:firstLineChars="0"/>
                    <w:rPr>
                      <w:rFonts w:hint="default" w:ascii="Times New Roman" w:hAnsi="Times New Roman" w:eastAsia="宋体" w:cs="Times New Roman"/>
                      <w:color w:val="000000"/>
                      <w:kern w:val="0"/>
                      <w:sz w:val="21"/>
                      <w:szCs w:val="21"/>
                      <w:highlight w:val="yellow"/>
                      <w:u w:val="none" w:color="auto"/>
                      <w:lang w:val="en-US" w:eastAsia="zh-CN" w:bidi="ar-SA"/>
                    </w:rPr>
                  </w:pPr>
                  <w:r>
                    <w:rPr>
                      <w:rFonts w:hint="default" w:ascii="Times New Roman" w:hAnsi="Times New Roman" w:cs="Times New Roman"/>
                      <w:sz w:val="21"/>
                      <w:szCs w:val="21"/>
                      <w:highlight w:val="none"/>
                      <w:u w:val="none" w:color="auto"/>
                    </w:rPr>
                    <w:t>约</w:t>
                  </w:r>
                  <w:r>
                    <w:rPr>
                      <w:rFonts w:hint="default" w:ascii="Times New Roman" w:hAnsi="Times New Roman" w:cs="Times New Roman"/>
                      <w:sz w:val="21"/>
                      <w:szCs w:val="21"/>
                      <w:highlight w:val="none"/>
                      <w:u w:val="none" w:color="auto"/>
                      <w:lang w:val="en-US" w:eastAsia="zh-CN"/>
                    </w:rPr>
                    <w:t>80</w:t>
                  </w:r>
                  <w:r>
                    <w:rPr>
                      <w:rFonts w:hint="default" w:ascii="Times New Roman" w:hAnsi="Times New Roman" w:cs="Times New Roman"/>
                      <w:sz w:val="21"/>
                      <w:szCs w:val="21"/>
                      <w:highlight w:val="none"/>
                      <w:u w:val="none" w:color="auto"/>
                    </w:rPr>
                    <w:t>户，2</w:t>
                  </w:r>
                  <w:r>
                    <w:rPr>
                      <w:rFonts w:hint="default" w:ascii="Times New Roman" w:hAnsi="Times New Roman" w:cs="Times New Roman"/>
                      <w:sz w:val="21"/>
                      <w:szCs w:val="21"/>
                      <w:highlight w:val="none"/>
                      <w:u w:val="none" w:color="auto"/>
                      <w:lang w:val="en-US" w:eastAsia="zh-CN"/>
                    </w:rPr>
                    <w:t>4</w:t>
                  </w:r>
                  <w:r>
                    <w:rPr>
                      <w:rFonts w:hint="default" w:ascii="Times New Roman" w:hAnsi="Times New Roman" w:cs="Times New Roman"/>
                      <w:sz w:val="21"/>
                      <w:szCs w:val="21"/>
                      <w:highlight w:val="none"/>
                      <w:u w:val="none" w:color="auto"/>
                    </w:rPr>
                    <w:t>0人</w:t>
                  </w:r>
                </w:p>
              </w:tc>
              <w:tc>
                <w:tcPr>
                  <w:tcW w:w="836"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花垣县文化旅游广电局</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46255574°N</w:t>
                  </w:r>
                  <w:r>
                    <w:rPr>
                      <w:rFonts w:hint="eastAsia" w:hAnsi="宋体"/>
                      <w:color w:val="auto"/>
                      <w:szCs w:val="21"/>
                      <w:u w:val="none"/>
                    </w:rPr>
                    <w:t>28</w:t>
                  </w:r>
                  <w:r>
                    <w:rPr>
                      <w:rFonts w:hint="eastAsia" w:hAnsi="宋体"/>
                      <w:color w:val="auto"/>
                      <w:szCs w:val="21"/>
                      <w:u w:val="none"/>
                      <w:lang w:val="en-US" w:eastAsia="zh-CN"/>
                    </w:rPr>
                    <w:t>.58857675°</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东南偏东</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128</w:t>
                  </w:r>
                </w:p>
              </w:tc>
              <w:tc>
                <w:tcPr>
                  <w:tcW w:w="290"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eastAsia="zh-CN"/>
                    </w:rPr>
                  </w:pPr>
                  <w:r>
                    <w:rPr>
                      <w:rFonts w:hint="eastAsia" w:ascii="Times New Roman" w:hAnsi="Times New Roman" w:cs="Times New Roman"/>
                      <w:sz w:val="21"/>
                      <w:szCs w:val="21"/>
                      <w:u w:val="none" w:color="auto"/>
                      <w:lang w:val="en-US" w:eastAsia="zh-CN"/>
                    </w:rPr>
                    <w:t>办公</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eastAsia="zh-CN"/>
                    </w:rPr>
                    <w:t>约</w:t>
                  </w:r>
                  <w:r>
                    <w:rPr>
                      <w:rFonts w:hint="default" w:ascii="Times New Roman" w:hAnsi="Times New Roman" w:cs="Times New Roman"/>
                      <w:sz w:val="21"/>
                      <w:szCs w:val="21"/>
                      <w:u w:val="none" w:color="auto"/>
                      <w:lang w:val="en-US" w:eastAsia="zh-CN"/>
                    </w:rPr>
                    <w:t>60人</w:t>
                  </w:r>
                </w:p>
              </w:tc>
              <w:tc>
                <w:tcPr>
                  <w:tcW w:w="836"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9"/>
                    <w:keepNext w:val="0"/>
                    <w:keepLines w:val="0"/>
                    <w:pageBreakBefore w:val="0"/>
                    <w:kinsoku/>
                    <w:overflowPunct/>
                    <w:topLinePunct w:val="0"/>
                    <w:autoSpaceDE/>
                    <w:autoSpaceDN/>
                    <w:bidi w:val="0"/>
                    <w:adjustRightInd/>
                    <w:spacing w:line="240" w:lineRule="auto"/>
                    <w:ind w:right="0" w:rightChars="0"/>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和悦家园</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46021149°N</w:t>
                  </w:r>
                  <w:r>
                    <w:rPr>
                      <w:rFonts w:hint="eastAsia" w:hAnsi="宋体"/>
                      <w:color w:val="auto"/>
                      <w:szCs w:val="21"/>
                      <w:u w:val="none"/>
                    </w:rPr>
                    <w:t>28</w:t>
                  </w:r>
                  <w:r>
                    <w:rPr>
                      <w:rFonts w:hint="eastAsia" w:hAnsi="宋体"/>
                      <w:color w:val="auto"/>
                      <w:szCs w:val="21"/>
                      <w:u w:val="none"/>
                      <w:lang w:val="en-US" w:eastAsia="zh-CN"/>
                    </w:rPr>
                    <w:t>.58797382°</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西南</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47-145</w:t>
                  </w:r>
                </w:p>
              </w:tc>
              <w:tc>
                <w:tcPr>
                  <w:tcW w:w="290"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u w:val="none" w:color="auto"/>
                      <w:lang w:eastAsia="zh-CN"/>
                    </w:rPr>
                    <w:t>居住</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highlight w:val="none"/>
                      <w:u w:val="none" w:color="auto"/>
                    </w:rPr>
                    <w:t>约</w:t>
                  </w:r>
                  <w:r>
                    <w:rPr>
                      <w:rFonts w:hint="eastAsia" w:ascii="Times New Roman" w:hAnsi="Times New Roman" w:cs="Times New Roman"/>
                      <w:sz w:val="21"/>
                      <w:szCs w:val="21"/>
                      <w:highlight w:val="none"/>
                      <w:u w:val="none" w:color="auto"/>
                      <w:lang w:val="en-US" w:eastAsia="zh-CN"/>
                    </w:rPr>
                    <w:t>100</w:t>
                  </w:r>
                  <w:r>
                    <w:rPr>
                      <w:rFonts w:hint="default" w:ascii="Times New Roman" w:hAnsi="Times New Roman" w:cs="Times New Roman"/>
                      <w:sz w:val="21"/>
                      <w:szCs w:val="21"/>
                      <w:highlight w:val="none"/>
                      <w:u w:val="none" w:color="auto"/>
                    </w:rPr>
                    <w:t>户，</w:t>
                  </w:r>
                  <w:r>
                    <w:rPr>
                      <w:rFonts w:hint="eastAsia" w:ascii="Times New Roman" w:hAnsi="Times New Roman" w:cs="Times New Roman"/>
                      <w:sz w:val="21"/>
                      <w:szCs w:val="21"/>
                      <w:highlight w:val="none"/>
                      <w:u w:val="none" w:color="auto"/>
                      <w:lang w:val="en-US" w:eastAsia="zh-CN"/>
                    </w:rPr>
                    <w:t>36</w:t>
                  </w:r>
                  <w:r>
                    <w:rPr>
                      <w:rFonts w:hint="default" w:ascii="Times New Roman" w:hAnsi="Times New Roman" w:cs="Times New Roman"/>
                      <w:sz w:val="21"/>
                      <w:szCs w:val="21"/>
                      <w:highlight w:val="none"/>
                      <w:u w:val="none" w:color="auto"/>
                    </w:rPr>
                    <w:t>0人</w:t>
                  </w:r>
                </w:p>
              </w:tc>
              <w:tc>
                <w:tcPr>
                  <w:tcW w:w="836"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7"/>
                    <w:keepNext w:val="0"/>
                    <w:keepLines w:val="0"/>
                    <w:pageBreakBefore w:val="0"/>
                    <w:kinsoku/>
                    <w:overflowPunct/>
                    <w:topLinePunct w:val="0"/>
                    <w:autoSpaceDE/>
                    <w:autoSpaceDN/>
                    <w:bidi w:val="0"/>
                    <w:adjustRightInd/>
                    <w:spacing w:line="240" w:lineRule="auto"/>
                    <w:ind w:right="0" w:firstLine="0" w:firstLineChars="0"/>
                    <w:rPr>
                      <w:rFonts w:hint="default" w:cs="Times New Roman"/>
                      <w:u w:val="none" w:color="auto"/>
                      <w:lang w:val="en-US" w:eastAsia="zh-CN"/>
                    </w:rPr>
                  </w:pPr>
                  <w:r>
                    <w:rPr>
                      <w:rFonts w:hint="eastAsia" w:cs="Times New Roman"/>
                      <w:u w:val="none" w:color="auto"/>
                      <w:lang w:val="en-US" w:eastAsia="zh-CN"/>
                    </w:rPr>
                    <w:t>柑子园居民点</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eastAsia" w:hAnsi="宋体"/>
                      <w:color w:val="auto"/>
                      <w:szCs w:val="21"/>
                      <w:u w:val="none"/>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46016857°N</w:t>
                  </w:r>
                  <w:r>
                    <w:rPr>
                      <w:rFonts w:hint="eastAsia" w:hAnsi="宋体"/>
                      <w:color w:val="auto"/>
                      <w:szCs w:val="21"/>
                      <w:u w:val="none"/>
                    </w:rPr>
                    <w:t>28</w:t>
                  </w:r>
                  <w:r>
                    <w:rPr>
                      <w:rFonts w:hint="eastAsia" w:hAnsi="宋体"/>
                      <w:color w:val="auto"/>
                      <w:szCs w:val="21"/>
                      <w:u w:val="none"/>
                      <w:lang w:val="en-US" w:eastAsia="zh-CN"/>
                    </w:rPr>
                    <w:t>.58649213°</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eastAsia="zh-CN"/>
                    </w:rPr>
                  </w:pPr>
                  <w:r>
                    <w:rPr>
                      <w:rFonts w:hint="eastAsia" w:ascii="Times New Roman" w:hAnsi="Times New Roman" w:cs="Times New Roman"/>
                      <w:sz w:val="21"/>
                      <w:szCs w:val="21"/>
                      <w:u w:val="none" w:color="auto"/>
                      <w:lang w:val="en-US" w:eastAsia="zh-CN"/>
                    </w:rPr>
                    <w:t>西南</w:t>
                  </w:r>
                </w:p>
              </w:tc>
              <w:tc>
                <w:tcPr>
                  <w:tcW w:w="855" w:type="dxa"/>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155-295</w:t>
                  </w:r>
                </w:p>
              </w:tc>
              <w:tc>
                <w:tcPr>
                  <w:tcW w:w="462" w:type="dxa"/>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u w:val="none" w:color="auto"/>
                      <w:lang w:val="en-US" w:eastAsia="zh-CN"/>
                    </w:rPr>
                    <w:t>无</w:t>
                  </w:r>
                </w:p>
              </w:tc>
              <w:tc>
                <w:tcPr>
                  <w:tcW w:w="665" w:type="dxa"/>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u w:val="none" w:color="auto"/>
                      <w:lang w:eastAsia="zh-CN"/>
                    </w:rPr>
                    <w:t>居住</w:t>
                  </w:r>
                </w:p>
              </w:tc>
              <w:tc>
                <w:tcPr>
                  <w:tcW w:w="1168" w:type="dxa"/>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color w:val="auto"/>
                      <w:sz w:val="21"/>
                      <w:szCs w:val="21"/>
                      <w:u w:val="none" w:color="auto"/>
                      <w:lang w:eastAsia="zh-CN"/>
                    </w:rPr>
                  </w:pPr>
                  <w:r>
                    <w:rPr>
                      <w:rFonts w:hint="default" w:ascii="Times New Roman" w:hAnsi="Times New Roman" w:cs="Times New Roman"/>
                      <w:sz w:val="21"/>
                      <w:szCs w:val="21"/>
                      <w:highlight w:val="none"/>
                      <w:u w:val="none" w:color="auto"/>
                    </w:rPr>
                    <w:t>约</w:t>
                  </w:r>
                  <w:r>
                    <w:rPr>
                      <w:rFonts w:hint="eastAsia" w:ascii="Times New Roman" w:hAnsi="Times New Roman" w:cs="Times New Roman"/>
                      <w:sz w:val="21"/>
                      <w:szCs w:val="21"/>
                      <w:highlight w:val="none"/>
                      <w:u w:val="none" w:color="auto"/>
                      <w:lang w:val="en-US" w:eastAsia="zh-CN"/>
                    </w:rPr>
                    <w:t>50</w:t>
                  </w:r>
                  <w:r>
                    <w:rPr>
                      <w:rFonts w:hint="default" w:ascii="Times New Roman" w:hAnsi="Times New Roman" w:cs="Times New Roman"/>
                      <w:sz w:val="21"/>
                      <w:szCs w:val="21"/>
                      <w:highlight w:val="none"/>
                      <w:u w:val="none" w:color="auto"/>
                    </w:rPr>
                    <w:t>户，</w:t>
                  </w:r>
                  <w:r>
                    <w:rPr>
                      <w:rFonts w:hint="eastAsia" w:ascii="Times New Roman" w:hAnsi="Times New Roman" w:cs="Times New Roman"/>
                      <w:sz w:val="21"/>
                      <w:szCs w:val="21"/>
                      <w:highlight w:val="none"/>
                      <w:u w:val="none" w:color="auto"/>
                      <w:lang w:val="en-US" w:eastAsia="zh-CN"/>
                    </w:rPr>
                    <w:t>12</w:t>
                  </w:r>
                  <w:r>
                    <w:rPr>
                      <w:rFonts w:hint="default" w:ascii="Times New Roman" w:hAnsi="Times New Roman" w:cs="Times New Roman"/>
                      <w:sz w:val="21"/>
                      <w:szCs w:val="21"/>
                      <w:highlight w:val="none"/>
                      <w:u w:val="none" w:color="auto"/>
                    </w:rPr>
                    <w:t>0人</w:t>
                  </w:r>
                </w:p>
              </w:tc>
              <w:tc>
                <w:tcPr>
                  <w:tcW w:w="836"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7"/>
                    <w:keepNext w:val="0"/>
                    <w:keepLines w:val="0"/>
                    <w:pageBreakBefore w:val="0"/>
                    <w:kinsoku/>
                    <w:overflowPunct/>
                    <w:topLinePunct w:val="0"/>
                    <w:autoSpaceDE/>
                    <w:autoSpaceDN/>
                    <w:bidi w:val="0"/>
                    <w:adjustRightInd/>
                    <w:spacing w:line="240" w:lineRule="auto"/>
                    <w:ind w:right="0" w:firstLine="0" w:firstLineChars="0"/>
                    <w:rPr>
                      <w:rFonts w:hint="default" w:ascii="Times New Roman" w:hAnsi="Times New Roman" w:cs="Times New Roman"/>
                      <w:sz w:val="21"/>
                      <w:szCs w:val="21"/>
                      <w:u w:val="none" w:color="auto"/>
                      <w:lang w:val="en-US" w:eastAsia="zh-CN"/>
                    </w:rPr>
                  </w:pPr>
                  <w:r>
                    <w:rPr>
                      <w:rFonts w:hint="eastAsia" w:cs="Times New Roman"/>
                      <w:u w:val="none" w:color="auto"/>
                      <w:lang w:val="en-US" w:eastAsia="zh-CN"/>
                    </w:rPr>
                    <w:t>润丰园</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46040997°N</w:t>
                  </w:r>
                  <w:r>
                    <w:rPr>
                      <w:rFonts w:hint="eastAsia" w:hAnsi="宋体"/>
                      <w:color w:val="auto"/>
                      <w:szCs w:val="21"/>
                      <w:u w:val="none"/>
                    </w:rPr>
                    <w:t>28</w:t>
                  </w:r>
                  <w:r>
                    <w:rPr>
                      <w:rFonts w:hint="eastAsia" w:hAnsi="宋体"/>
                      <w:color w:val="auto"/>
                      <w:szCs w:val="21"/>
                      <w:u w:val="none"/>
                      <w:lang w:val="en-US" w:eastAsia="zh-CN"/>
                    </w:rPr>
                    <w:t>.58733791°</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西南</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1</w:t>
                  </w:r>
                  <w:r>
                    <w:rPr>
                      <w:rFonts w:hint="eastAsia" w:ascii="Times New Roman" w:hAnsi="Times New Roman" w:cs="Times New Roman"/>
                      <w:sz w:val="21"/>
                      <w:szCs w:val="21"/>
                      <w:u w:val="none" w:color="auto"/>
                      <w:lang w:val="en-US" w:eastAsia="zh-CN"/>
                    </w:rPr>
                    <w:t>22-221</w:t>
                  </w:r>
                </w:p>
              </w:tc>
              <w:tc>
                <w:tcPr>
                  <w:tcW w:w="290" w:type="pct"/>
                  <w:noWrap w:val="0"/>
                  <w:vAlign w:val="center"/>
                </w:tcPr>
                <w:p>
                  <w:pPr>
                    <w:pStyle w:val="157"/>
                    <w:keepNext w:val="0"/>
                    <w:keepLines w:val="0"/>
                    <w:pageBreakBefore w:val="0"/>
                    <w:kinsoku/>
                    <w:overflowPunct/>
                    <w:topLinePunct w:val="0"/>
                    <w:autoSpaceDE/>
                    <w:autoSpaceDN/>
                    <w:bidi w:val="0"/>
                    <w:adjustRightInd/>
                    <w:spacing w:line="240" w:lineRule="auto"/>
                    <w:ind w:right="0"/>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居住</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eastAsia="zh-CN"/>
                    </w:rPr>
                    <w:t>约</w:t>
                  </w:r>
                  <w:r>
                    <w:rPr>
                      <w:rFonts w:hint="default" w:ascii="Times New Roman" w:hAnsi="Times New Roman" w:cs="Times New Roman"/>
                      <w:color w:val="auto"/>
                      <w:sz w:val="21"/>
                      <w:szCs w:val="21"/>
                      <w:u w:val="none" w:color="auto"/>
                      <w:lang w:val="en-US" w:eastAsia="zh-CN"/>
                    </w:rPr>
                    <w:t>50户，120人</w:t>
                  </w:r>
                </w:p>
              </w:tc>
              <w:tc>
                <w:tcPr>
                  <w:tcW w:w="836"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7"/>
                    <w:keepNext w:val="0"/>
                    <w:keepLines w:val="0"/>
                    <w:pageBreakBefore w:val="0"/>
                    <w:kinsoku/>
                    <w:overflowPunct/>
                    <w:topLinePunct w:val="0"/>
                    <w:autoSpaceDE/>
                    <w:autoSpaceDN/>
                    <w:bidi w:val="0"/>
                    <w:adjustRightInd/>
                    <w:spacing w:line="240" w:lineRule="auto"/>
                    <w:ind w:right="0" w:firstLine="0" w:firstLineChars="0"/>
                    <w:rPr>
                      <w:rFonts w:hint="default" w:ascii="Times New Roman" w:hAnsi="Times New Roman" w:cs="Times New Roman"/>
                      <w:sz w:val="21"/>
                      <w:szCs w:val="21"/>
                      <w:u w:val="none" w:color="auto"/>
                      <w:lang w:val="en-US" w:eastAsia="zh-CN"/>
                    </w:rPr>
                  </w:pPr>
                  <w:r>
                    <w:rPr>
                      <w:rFonts w:hint="eastAsia" w:cs="Times New Roman"/>
                      <w:u w:val="none" w:color="auto"/>
                      <w:lang w:val="en-US" w:eastAsia="zh-CN"/>
                    </w:rPr>
                    <w:t>壹号公馆</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46459958°N</w:t>
                  </w:r>
                  <w:r>
                    <w:rPr>
                      <w:rFonts w:hint="eastAsia" w:hAnsi="宋体"/>
                      <w:color w:val="auto"/>
                      <w:szCs w:val="21"/>
                      <w:u w:val="none"/>
                    </w:rPr>
                    <w:t>28</w:t>
                  </w:r>
                  <w:r>
                    <w:rPr>
                      <w:rFonts w:hint="eastAsia" w:hAnsi="宋体"/>
                      <w:color w:val="auto"/>
                      <w:szCs w:val="21"/>
                      <w:u w:val="none"/>
                      <w:lang w:val="en-US" w:eastAsia="zh-CN"/>
                    </w:rPr>
                    <w:t>.58826822°</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东南偏东</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3</w:t>
                  </w:r>
                  <w:r>
                    <w:rPr>
                      <w:rFonts w:hint="eastAsia" w:ascii="Times New Roman" w:hAnsi="Times New Roman" w:cs="Times New Roman"/>
                      <w:sz w:val="21"/>
                      <w:szCs w:val="21"/>
                      <w:u w:val="none" w:color="auto"/>
                      <w:lang w:val="en-US" w:eastAsia="zh-CN"/>
                    </w:rPr>
                    <w:t>21-470</w:t>
                  </w:r>
                </w:p>
              </w:tc>
              <w:tc>
                <w:tcPr>
                  <w:tcW w:w="290" w:type="pct"/>
                  <w:noWrap w:val="0"/>
                  <w:vAlign w:val="center"/>
                </w:tcPr>
                <w:p>
                  <w:pPr>
                    <w:pStyle w:val="157"/>
                    <w:keepNext w:val="0"/>
                    <w:keepLines w:val="0"/>
                    <w:pageBreakBefore w:val="0"/>
                    <w:kinsoku/>
                    <w:overflowPunct/>
                    <w:topLinePunct w:val="0"/>
                    <w:autoSpaceDE/>
                    <w:autoSpaceDN/>
                    <w:bidi w:val="0"/>
                    <w:adjustRightInd/>
                    <w:spacing w:line="240" w:lineRule="auto"/>
                    <w:ind w:right="0"/>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居住</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highlight w:val="none"/>
                      <w:u w:val="none" w:color="auto"/>
                    </w:rPr>
                    <w:t>约</w:t>
                  </w:r>
                  <w:r>
                    <w:rPr>
                      <w:rFonts w:hint="eastAsia" w:ascii="Times New Roman" w:hAnsi="Times New Roman" w:cs="Times New Roman"/>
                      <w:color w:val="auto"/>
                      <w:sz w:val="21"/>
                      <w:szCs w:val="21"/>
                      <w:highlight w:val="none"/>
                      <w:u w:val="none" w:color="auto"/>
                      <w:lang w:val="en-US" w:eastAsia="zh-CN"/>
                    </w:rPr>
                    <w:t>120</w:t>
                  </w:r>
                  <w:r>
                    <w:rPr>
                      <w:rFonts w:hint="default" w:ascii="Times New Roman" w:hAnsi="Times New Roman" w:cs="Times New Roman"/>
                      <w:color w:val="auto"/>
                      <w:sz w:val="21"/>
                      <w:szCs w:val="21"/>
                      <w:highlight w:val="none"/>
                      <w:u w:val="none" w:color="auto"/>
                    </w:rPr>
                    <w:t>户，</w:t>
                  </w:r>
                  <w:r>
                    <w:rPr>
                      <w:rFonts w:hint="eastAsia" w:ascii="Times New Roman" w:hAnsi="Times New Roman" w:cs="Times New Roman"/>
                      <w:color w:val="auto"/>
                      <w:sz w:val="21"/>
                      <w:szCs w:val="21"/>
                      <w:highlight w:val="none"/>
                      <w:u w:val="none" w:color="auto"/>
                      <w:lang w:val="en-US" w:eastAsia="zh-CN"/>
                    </w:rPr>
                    <w:t>41</w:t>
                  </w:r>
                  <w:r>
                    <w:rPr>
                      <w:rFonts w:hint="default" w:ascii="Times New Roman" w:hAnsi="Times New Roman" w:cs="Times New Roman"/>
                      <w:color w:val="auto"/>
                      <w:sz w:val="21"/>
                      <w:szCs w:val="21"/>
                      <w:highlight w:val="none"/>
                      <w:u w:val="none" w:color="auto"/>
                      <w:lang w:val="en-US" w:eastAsia="zh-CN"/>
                    </w:rPr>
                    <w:t>0</w:t>
                  </w:r>
                  <w:r>
                    <w:rPr>
                      <w:rFonts w:hint="default" w:ascii="Times New Roman" w:hAnsi="Times New Roman" w:cs="Times New Roman"/>
                      <w:color w:val="auto"/>
                      <w:sz w:val="21"/>
                      <w:szCs w:val="21"/>
                      <w:highlight w:val="none"/>
                      <w:u w:val="none" w:color="auto"/>
                    </w:rPr>
                    <w:t>人</w:t>
                  </w:r>
                </w:p>
              </w:tc>
              <w:tc>
                <w:tcPr>
                  <w:tcW w:w="836"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7"/>
                    <w:keepNext w:val="0"/>
                    <w:keepLines w:val="0"/>
                    <w:pageBreakBefore w:val="0"/>
                    <w:kinsoku/>
                    <w:overflowPunct/>
                    <w:topLinePunct w:val="0"/>
                    <w:autoSpaceDE/>
                    <w:autoSpaceDN/>
                    <w:bidi w:val="0"/>
                    <w:adjustRightInd/>
                    <w:spacing w:line="240" w:lineRule="auto"/>
                    <w:ind w:right="0" w:firstLine="0" w:firstLineChars="0"/>
                    <w:rPr>
                      <w:rFonts w:hint="default" w:ascii="Times New Roman" w:hAnsi="Times New Roman" w:cs="Times New Roman"/>
                      <w:sz w:val="21"/>
                      <w:szCs w:val="21"/>
                      <w:u w:val="none" w:color="auto"/>
                      <w:lang w:val="en-US" w:eastAsia="zh-CN"/>
                    </w:rPr>
                  </w:pPr>
                  <w:r>
                    <w:rPr>
                      <w:rFonts w:hint="eastAsia" w:cs="Times New Roman"/>
                      <w:u w:val="none" w:color="auto"/>
                      <w:lang w:val="en-US" w:eastAsia="zh-CN"/>
                    </w:rPr>
                    <w:t>花垣镇伍家坡村三组</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46462640°N</w:t>
                  </w:r>
                  <w:r>
                    <w:rPr>
                      <w:rFonts w:hint="eastAsia" w:hAnsi="宋体"/>
                      <w:color w:val="auto"/>
                      <w:szCs w:val="21"/>
                      <w:u w:val="none"/>
                    </w:rPr>
                    <w:t>28</w:t>
                  </w:r>
                  <w:r>
                    <w:rPr>
                      <w:rFonts w:hint="eastAsia" w:hAnsi="宋体"/>
                      <w:color w:val="auto"/>
                      <w:szCs w:val="21"/>
                      <w:u w:val="none"/>
                      <w:lang w:val="en-US" w:eastAsia="zh-CN"/>
                    </w:rPr>
                    <w:t>.58718011°</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东南</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335-470</w:t>
                  </w:r>
                </w:p>
              </w:tc>
              <w:tc>
                <w:tcPr>
                  <w:tcW w:w="290" w:type="pct"/>
                  <w:noWrap w:val="0"/>
                  <w:vAlign w:val="center"/>
                </w:tcPr>
                <w:p>
                  <w:pPr>
                    <w:pStyle w:val="157"/>
                    <w:keepNext w:val="0"/>
                    <w:keepLines w:val="0"/>
                    <w:pageBreakBefore w:val="0"/>
                    <w:kinsoku/>
                    <w:overflowPunct/>
                    <w:topLinePunct w:val="0"/>
                    <w:autoSpaceDE/>
                    <w:autoSpaceDN/>
                    <w:bidi w:val="0"/>
                    <w:adjustRightInd/>
                    <w:spacing w:line="240" w:lineRule="auto"/>
                    <w:ind w:right="0" w:rightChars="0" w:firstLine="0" w:firstLineChars="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u w:val="none" w:color="auto"/>
                      <w:lang w:val="en-US"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u w:val="none" w:color="auto"/>
                    </w:rPr>
                    <w:t>居住</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rPr>
                    <w:t>约</w:t>
                  </w:r>
                  <w:r>
                    <w:rPr>
                      <w:rFonts w:hint="eastAsia" w:ascii="Times New Roman" w:hAnsi="Times New Roman" w:cs="Times New Roman"/>
                      <w:color w:val="auto"/>
                      <w:sz w:val="21"/>
                      <w:szCs w:val="21"/>
                      <w:highlight w:val="none"/>
                      <w:u w:val="none" w:color="auto"/>
                      <w:lang w:val="en-US" w:eastAsia="zh-CN"/>
                    </w:rPr>
                    <w:t>3</w:t>
                  </w:r>
                  <w:r>
                    <w:rPr>
                      <w:rFonts w:hint="default" w:ascii="Times New Roman" w:hAnsi="Times New Roman" w:cs="Times New Roman"/>
                      <w:color w:val="auto"/>
                      <w:sz w:val="21"/>
                      <w:szCs w:val="21"/>
                      <w:highlight w:val="none"/>
                      <w:u w:val="none" w:color="auto"/>
                      <w:lang w:val="en-US" w:eastAsia="zh-CN"/>
                    </w:rPr>
                    <w:t>0</w:t>
                  </w:r>
                  <w:r>
                    <w:rPr>
                      <w:rFonts w:hint="default" w:ascii="Times New Roman" w:hAnsi="Times New Roman" w:cs="Times New Roman"/>
                      <w:color w:val="auto"/>
                      <w:sz w:val="21"/>
                      <w:szCs w:val="21"/>
                      <w:highlight w:val="none"/>
                      <w:u w:val="none" w:color="auto"/>
                    </w:rPr>
                    <w:t>户，</w:t>
                  </w:r>
                  <w:r>
                    <w:rPr>
                      <w:rFonts w:hint="eastAsia" w:ascii="Times New Roman" w:hAnsi="Times New Roman" w:cs="Times New Roman"/>
                      <w:color w:val="auto"/>
                      <w:sz w:val="21"/>
                      <w:szCs w:val="21"/>
                      <w:highlight w:val="none"/>
                      <w:u w:val="none" w:color="auto"/>
                      <w:lang w:val="en-US" w:eastAsia="zh-CN"/>
                    </w:rPr>
                    <w:t>12</w:t>
                  </w:r>
                  <w:r>
                    <w:rPr>
                      <w:rFonts w:hint="default" w:ascii="Times New Roman" w:hAnsi="Times New Roman" w:cs="Times New Roman"/>
                      <w:color w:val="auto"/>
                      <w:sz w:val="21"/>
                      <w:szCs w:val="21"/>
                      <w:highlight w:val="none"/>
                      <w:u w:val="none" w:color="auto"/>
                      <w:lang w:val="en-US" w:eastAsia="zh-CN"/>
                    </w:rPr>
                    <w:t>0</w:t>
                  </w:r>
                  <w:r>
                    <w:rPr>
                      <w:rFonts w:hint="default" w:ascii="Times New Roman" w:hAnsi="Times New Roman" w:cs="Times New Roman"/>
                      <w:color w:val="auto"/>
                      <w:sz w:val="21"/>
                      <w:szCs w:val="21"/>
                      <w:highlight w:val="none"/>
                      <w:u w:val="none" w:color="auto"/>
                    </w:rPr>
                    <w:t>人</w:t>
                  </w:r>
                </w:p>
              </w:tc>
              <w:tc>
                <w:tcPr>
                  <w:tcW w:w="836"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7"/>
                    <w:keepNext w:val="0"/>
                    <w:keepLines w:val="0"/>
                    <w:pageBreakBefore w:val="0"/>
                    <w:kinsoku/>
                    <w:overflowPunct/>
                    <w:topLinePunct w:val="0"/>
                    <w:autoSpaceDE/>
                    <w:autoSpaceDN/>
                    <w:bidi w:val="0"/>
                    <w:adjustRightInd/>
                    <w:spacing w:line="240" w:lineRule="auto"/>
                    <w:ind w:right="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和谐小区居民点</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46344623°N</w:t>
                  </w:r>
                  <w:r>
                    <w:rPr>
                      <w:rFonts w:hint="eastAsia" w:hAnsi="宋体"/>
                      <w:color w:val="auto"/>
                      <w:szCs w:val="21"/>
                      <w:u w:val="none"/>
                    </w:rPr>
                    <w:t>28</w:t>
                  </w:r>
                  <w:r>
                    <w:rPr>
                      <w:rFonts w:hint="eastAsia" w:hAnsi="宋体"/>
                      <w:color w:val="auto"/>
                      <w:szCs w:val="21"/>
                      <w:u w:val="none"/>
                      <w:lang w:val="en-US" w:eastAsia="zh-CN"/>
                    </w:rPr>
                    <w:t>.58604960°</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东南</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311-464</w:t>
                  </w:r>
                </w:p>
              </w:tc>
              <w:tc>
                <w:tcPr>
                  <w:tcW w:w="290" w:type="pct"/>
                  <w:noWrap w:val="0"/>
                  <w:vAlign w:val="center"/>
                </w:tcPr>
                <w:p>
                  <w:pPr>
                    <w:pStyle w:val="157"/>
                    <w:keepNext w:val="0"/>
                    <w:keepLines w:val="0"/>
                    <w:pageBreakBefore w:val="0"/>
                    <w:kinsoku/>
                    <w:overflowPunct/>
                    <w:topLinePunct w:val="0"/>
                    <w:autoSpaceDE/>
                    <w:autoSpaceDN/>
                    <w:bidi w:val="0"/>
                    <w:adjustRightInd/>
                    <w:spacing w:line="240" w:lineRule="auto"/>
                    <w:ind w:right="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u w:val="none" w:color="auto"/>
                      <w:lang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u w:val="none" w:color="auto"/>
                      <w:lang w:eastAsia="zh-CN"/>
                    </w:rPr>
                    <w:t>居住</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highlight w:val="yellow"/>
                      <w:u w:val="none" w:color="auto"/>
                      <w:lang w:val="en-US" w:eastAsia="zh-CN"/>
                    </w:rPr>
                  </w:pPr>
                  <w:r>
                    <w:rPr>
                      <w:rFonts w:hint="default" w:ascii="Times New Roman" w:hAnsi="Times New Roman" w:cs="Times New Roman"/>
                      <w:sz w:val="21"/>
                      <w:szCs w:val="21"/>
                      <w:highlight w:val="none"/>
                      <w:u w:val="none" w:color="auto"/>
                      <w:lang w:eastAsia="zh-CN"/>
                    </w:rPr>
                    <w:t>约</w:t>
                  </w:r>
                  <w:r>
                    <w:rPr>
                      <w:rFonts w:hint="default" w:ascii="Times New Roman" w:hAnsi="Times New Roman" w:cs="Times New Roman"/>
                      <w:sz w:val="21"/>
                      <w:szCs w:val="21"/>
                      <w:highlight w:val="none"/>
                      <w:u w:val="none" w:color="auto"/>
                      <w:lang w:val="en-US" w:eastAsia="zh-CN"/>
                    </w:rPr>
                    <w:t>200户，800人</w:t>
                  </w:r>
                </w:p>
              </w:tc>
              <w:tc>
                <w:tcPr>
                  <w:tcW w:w="836"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7"/>
                    <w:keepNext w:val="0"/>
                    <w:keepLines w:val="0"/>
                    <w:pageBreakBefore w:val="0"/>
                    <w:kinsoku/>
                    <w:overflowPunct/>
                    <w:topLinePunct w:val="0"/>
                    <w:autoSpaceDE/>
                    <w:autoSpaceDN/>
                    <w:bidi w:val="0"/>
                    <w:adjustRightInd/>
                    <w:spacing w:line="240" w:lineRule="auto"/>
                    <w:ind w:right="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轩达·绿地中央居民点</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46441987°N</w:t>
                  </w:r>
                  <w:r>
                    <w:rPr>
                      <w:rFonts w:hint="eastAsia" w:hAnsi="宋体"/>
                      <w:color w:val="auto"/>
                      <w:szCs w:val="21"/>
                      <w:u w:val="none"/>
                    </w:rPr>
                    <w:t>28</w:t>
                  </w:r>
                  <w:r>
                    <w:rPr>
                      <w:rFonts w:hint="eastAsia" w:hAnsi="宋体"/>
                      <w:color w:val="auto"/>
                      <w:szCs w:val="21"/>
                      <w:u w:val="none"/>
                      <w:lang w:val="en-US" w:eastAsia="zh-CN"/>
                    </w:rPr>
                    <w:t>.58915612°</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东</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320-419</w:t>
                  </w:r>
                </w:p>
              </w:tc>
              <w:tc>
                <w:tcPr>
                  <w:tcW w:w="290" w:type="pct"/>
                  <w:noWrap w:val="0"/>
                  <w:vAlign w:val="center"/>
                </w:tcPr>
                <w:p>
                  <w:pPr>
                    <w:pStyle w:val="157"/>
                    <w:keepNext w:val="0"/>
                    <w:keepLines w:val="0"/>
                    <w:pageBreakBefore w:val="0"/>
                    <w:kinsoku/>
                    <w:overflowPunct/>
                    <w:topLinePunct w:val="0"/>
                    <w:autoSpaceDE/>
                    <w:autoSpaceDN/>
                    <w:bidi w:val="0"/>
                    <w:adjustRightInd/>
                    <w:spacing w:line="240" w:lineRule="auto"/>
                    <w:ind w:right="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u w:val="none" w:color="auto"/>
                      <w:lang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u w:val="none" w:color="auto"/>
                      <w:lang w:eastAsia="zh-CN"/>
                    </w:rPr>
                    <w:t>居住</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highlight w:val="yellow"/>
                      <w:u w:val="none" w:color="auto"/>
                      <w:lang w:val="en-US" w:eastAsia="zh-CN"/>
                    </w:rPr>
                  </w:pPr>
                  <w:r>
                    <w:rPr>
                      <w:rFonts w:hint="default" w:ascii="Times New Roman" w:hAnsi="Times New Roman" w:cs="Times New Roman"/>
                      <w:sz w:val="21"/>
                      <w:szCs w:val="21"/>
                      <w:highlight w:val="none"/>
                      <w:u w:val="none" w:color="auto"/>
                      <w:lang w:eastAsia="zh-CN"/>
                    </w:rPr>
                    <w:t>约</w:t>
                  </w:r>
                  <w:r>
                    <w:rPr>
                      <w:rFonts w:hint="eastAsia" w:ascii="Times New Roman" w:hAnsi="Times New Roman" w:cs="Times New Roman"/>
                      <w:sz w:val="21"/>
                      <w:szCs w:val="21"/>
                      <w:highlight w:val="none"/>
                      <w:u w:val="none" w:color="auto"/>
                      <w:lang w:val="en-US" w:eastAsia="zh-CN"/>
                    </w:rPr>
                    <w:t>10</w:t>
                  </w:r>
                  <w:r>
                    <w:rPr>
                      <w:rFonts w:hint="default" w:ascii="Times New Roman" w:hAnsi="Times New Roman" w:cs="Times New Roman"/>
                      <w:sz w:val="21"/>
                      <w:szCs w:val="21"/>
                      <w:highlight w:val="none"/>
                      <w:u w:val="none" w:color="auto"/>
                      <w:lang w:val="en-US" w:eastAsia="zh-CN"/>
                    </w:rPr>
                    <w:t>0户，</w:t>
                  </w:r>
                  <w:r>
                    <w:rPr>
                      <w:rFonts w:hint="eastAsia" w:ascii="Times New Roman" w:hAnsi="Times New Roman" w:cs="Times New Roman"/>
                      <w:sz w:val="21"/>
                      <w:szCs w:val="21"/>
                      <w:highlight w:val="none"/>
                      <w:u w:val="none" w:color="auto"/>
                      <w:lang w:val="en-US" w:eastAsia="zh-CN"/>
                    </w:rPr>
                    <w:t>35</w:t>
                  </w:r>
                  <w:r>
                    <w:rPr>
                      <w:rFonts w:hint="default" w:ascii="Times New Roman" w:hAnsi="Times New Roman" w:cs="Times New Roman"/>
                      <w:sz w:val="21"/>
                      <w:szCs w:val="21"/>
                      <w:highlight w:val="none"/>
                      <w:u w:val="none" w:color="auto"/>
                      <w:lang w:val="en-US" w:eastAsia="zh-CN"/>
                    </w:rPr>
                    <w:t>0人</w:t>
                  </w:r>
                </w:p>
              </w:tc>
              <w:tc>
                <w:tcPr>
                  <w:tcW w:w="836"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restar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噪声</w:t>
                  </w:r>
                </w:p>
              </w:tc>
              <w:tc>
                <w:tcPr>
                  <w:tcW w:w="61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花垣县疾控中心</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hAnsi="宋体"/>
                      <w:color w:val="auto"/>
                      <w:szCs w:val="21"/>
                      <w:u w:val="none"/>
                      <w:lang w:val="en-US" w:eastAsia="zh-CN"/>
                    </w:rPr>
                    <w:t>E109.46127255°N</w:t>
                  </w:r>
                  <w:r>
                    <w:rPr>
                      <w:rFonts w:hint="eastAsia" w:hAnsi="宋体"/>
                      <w:color w:val="auto"/>
                      <w:szCs w:val="21"/>
                      <w:u w:val="none"/>
                    </w:rPr>
                    <w:t>28</w:t>
                  </w:r>
                  <w:r>
                    <w:rPr>
                      <w:rFonts w:hint="eastAsia" w:hAnsi="宋体"/>
                      <w:color w:val="auto"/>
                      <w:szCs w:val="21"/>
                      <w:u w:val="none"/>
                      <w:lang w:val="en-US" w:eastAsia="zh-CN"/>
                    </w:rPr>
                    <w:t>.588835625°</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东</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紧邻</w:t>
                  </w:r>
                </w:p>
              </w:tc>
              <w:tc>
                <w:tcPr>
                  <w:tcW w:w="290"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医疗机构</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约37人</w:t>
                  </w:r>
                </w:p>
              </w:tc>
              <w:tc>
                <w:tcPr>
                  <w:tcW w:w="836" w:type="pct"/>
                  <w:noWrap w:val="0"/>
                  <w:vAlign w:val="center"/>
                </w:tcPr>
                <w:p>
                  <w:pPr>
                    <w:pStyle w:val="159"/>
                    <w:keepNext w:val="0"/>
                    <w:keepLines w:val="0"/>
                    <w:pageBreakBefore w:val="0"/>
                    <w:widowControl w:val="0"/>
                    <w:kinsoku/>
                    <w:wordWrap w:val="0"/>
                    <w:overflowPunct/>
                    <w:topLinePunct w:val="0"/>
                    <w:autoSpaceDE/>
                    <w:autoSpaceDN/>
                    <w:bidi w:val="0"/>
                    <w:adjustRightInd/>
                    <w:spacing w:before="0" w:after="0" w:line="240" w:lineRule="auto"/>
                    <w:ind w:right="0"/>
                    <w:rPr>
                      <w:rFonts w:hint="default" w:ascii="Times New Roman" w:hAnsi="Times New Roman" w:cs="Times New Roman"/>
                      <w:bCs/>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u w:val="none" w:color="auto"/>
                      <w:lang w:val="en-US" w:eastAsia="zh-CN"/>
                    </w:rPr>
                    <w:t>花垣县人民政府政务服务中心</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46115118°N</w:t>
                  </w:r>
                  <w:r>
                    <w:rPr>
                      <w:rFonts w:hint="eastAsia" w:hAnsi="宋体"/>
                      <w:color w:val="auto"/>
                      <w:szCs w:val="21"/>
                      <w:u w:val="none"/>
                    </w:rPr>
                    <w:t>28</w:t>
                  </w:r>
                  <w:r>
                    <w:rPr>
                      <w:rFonts w:hint="eastAsia" w:hAnsi="宋体"/>
                      <w:color w:val="auto"/>
                      <w:szCs w:val="21"/>
                      <w:u w:val="none"/>
                      <w:lang w:val="en-US" w:eastAsia="zh-CN"/>
                    </w:rPr>
                    <w:t>.58851193°</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东</w:t>
                  </w:r>
                  <w:r>
                    <w:rPr>
                      <w:rFonts w:hint="eastAsia" w:ascii="Times New Roman" w:hAnsi="Times New Roman" w:cs="Times New Roman"/>
                      <w:sz w:val="21"/>
                      <w:szCs w:val="21"/>
                      <w:u w:val="none" w:color="auto"/>
                      <w:lang w:val="en-US" w:eastAsia="zh-CN"/>
                    </w:rPr>
                    <w:t>南</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6</w:t>
                  </w:r>
                </w:p>
              </w:tc>
              <w:tc>
                <w:tcPr>
                  <w:tcW w:w="290"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lang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rPr>
                  </w:pPr>
                  <w:r>
                    <w:rPr>
                      <w:rFonts w:hint="eastAsia" w:ascii="Times New Roman" w:hAnsi="Times New Roman" w:cs="Times New Roman"/>
                      <w:sz w:val="21"/>
                      <w:szCs w:val="21"/>
                      <w:u w:val="none" w:color="auto"/>
                      <w:lang w:val="en-US" w:eastAsia="zh-CN"/>
                    </w:rPr>
                    <w:t>办公</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eastAsia="zh-CN"/>
                    </w:rPr>
                  </w:pPr>
                  <w:r>
                    <w:rPr>
                      <w:rFonts w:hint="eastAsia" w:ascii="Times New Roman" w:hAnsi="Times New Roman" w:cs="Times New Roman"/>
                      <w:sz w:val="21"/>
                      <w:szCs w:val="21"/>
                      <w:highlight w:val="none"/>
                      <w:u w:val="none" w:color="auto"/>
                      <w:lang w:val="en-US" w:eastAsia="zh-CN"/>
                    </w:rPr>
                    <w:t>约100人</w:t>
                  </w:r>
                </w:p>
              </w:tc>
              <w:tc>
                <w:tcPr>
                  <w:tcW w:w="836" w:type="pct"/>
                  <w:vMerge w:val="restart"/>
                  <w:noWrap w:val="0"/>
                  <w:vAlign w:val="center"/>
                </w:tcPr>
                <w:p>
                  <w:pPr>
                    <w:pStyle w:val="159"/>
                    <w:keepNext w:val="0"/>
                    <w:keepLines w:val="0"/>
                    <w:pageBreakBefore w:val="0"/>
                    <w:widowControl w:val="0"/>
                    <w:kinsoku/>
                    <w:wordWrap w:val="0"/>
                    <w:overflowPunct/>
                    <w:topLinePunct w:val="0"/>
                    <w:autoSpaceDE/>
                    <w:autoSpaceDN/>
                    <w:bidi w:val="0"/>
                    <w:adjustRightInd/>
                    <w:spacing w:before="0" w:after="0" w:line="240" w:lineRule="auto"/>
                    <w:ind w:right="0"/>
                    <w:rPr>
                      <w:rFonts w:hint="default" w:ascii="Times New Roman" w:hAnsi="Times New Roman" w:cs="Times New Roman"/>
                      <w:bCs/>
                      <w:sz w:val="21"/>
                      <w:szCs w:val="21"/>
                      <w:u w:val="none" w:color="auto"/>
                    </w:rPr>
                  </w:pPr>
                  <w:r>
                    <w:rPr>
                      <w:rFonts w:hint="default" w:ascii="Times New Roman" w:hAnsi="Times New Roman" w:cs="Times New Roman"/>
                      <w:bCs/>
                      <w:sz w:val="21"/>
                      <w:szCs w:val="21"/>
                      <w:u w:val="none" w:color="auto"/>
                    </w:rPr>
                    <w:t>《声环境质量标准》（GB3096-2008）中的2类区标准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eastAsia="zh-CN"/>
                    </w:rPr>
                  </w:pPr>
                  <w:r>
                    <w:rPr>
                      <w:rFonts w:hint="default" w:ascii="Times New Roman" w:hAnsi="Times New Roman" w:eastAsia="宋体" w:cs="Times New Roman"/>
                      <w:kern w:val="2"/>
                      <w:sz w:val="21"/>
                      <w:szCs w:val="21"/>
                    </w:rPr>
                    <w:t>花垣县</w:t>
                  </w:r>
                  <w:r>
                    <w:rPr>
                      <w:rFonts w:hint="eastAsia" w:ascii="Times New Roman" w:hAnsi="Times New Roman" w:eastAsia="宋体" w:cs="Times New Roman"/>
                      <w:kern w:val="2"/>
                      <w:sz w:val="21"/>
                      <w:szCs w:val="21"/>
                      <w:lang w:val="en-US" w:eastAsia="zh-CN"/>
                    </w:rPr>
                    <w:t>国家税务局</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46005147°N</w:t>
                  </w:r>
                  <w:r>
                    <w:rPr>
                      <w:rFonts w:hint="eastAsia" w:hAnsi="宋体"/>
                      <w:color w:val="auto"/>
                      <w:szCs w:val="21"/>
                      <w:u w:val="none"/>
                    </w:rPr>
                    <w:t>28</w:t>
                  </w:r>
                  <w:r>
                    <w:rPr>
                      <w:rFonts w:hint="eastAsia" w:hAnsi="宋体"/>
                      <w:color w:val="auto"/>
                      <w:szCs w:val="21"/>
                      <w:u w:val="none"/>
                      <w:lang w:val="en-US" w:eastAsia="zh-CN"/>
                    </w:rPr>
                    <w:t>.5885708°</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西</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35</w:t>
                  </w:r>
                </w:p>
              </w:tc>
              <w:tc>
                <w:tcPr>
                  <w:tcW w:w="290"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lang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rPr>
                  </w:pPr>
                  <w:r>
                    <w:rPr>
                      <w:rFonts w:hint="eastAsia" w:ascii="Times New Roman" w:hAnsi="Times New Roman" w:cs="Times New Roman"/>
                      <w:sz w:val="21"/>
                      <w:szCs w:val="21"/>
                      <w:u w:val="none" w:color="auto"/>
                      <w:lang w:val="en-US" w:eastAsia="zh-CN"/>
                    </w:rPr>
                    <w:t>办公</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eastAsia="zh-CN"/>
                    </w:rPr>
                  </w:pPr>
                  <w:r>
                    <w:rPr>
                      <w:rFonts w:hint="eastAsia" w:ascii="Times New Roman" w:hAnsi="Times New Roman" w:cs="Times New Roman"/>
                      <w:sz w:val="21"/>
                      <w:szCs w:val="21"/>
                      <w:highlight w:val="none"/>
                      <w:u w:val="none" w:color="auto"/>
                      <w:lang w:val="en-US" w:eastAsia="zh-CN"/>
                    </w:rPr>
                    <w:t>约50人</w:t>
                  </w:r>
                </w:p>
              </w:tc>
              <w:tc>
                <w:tcPr>
                  <w:tcW w:w="836" w:type="pct"/>
                  <w:vMerge w:val="continue"/>
                  <w:noWrap w:val="0"/>
                  <w:vAlign w:val="center"/>
                </w:tcPr>
                <w:p>
                  <w:pPr>
                    <w:pStyle w:val="159"/>
                    <w:keepNext w:val="0"/>
                    <w:keepLines w:val="0"/>
                    <w:pageBreakBefore w:val="0"/>
                    <w:widowControl w:val="0"/>
                    <w:kinsoku/>
                    <w:wordWrap w:val="0"/>
                    <w:overflowPunct/>
                    <w:topLinePunct w:val="0"/>
                    <w:autoSpaceDE/>
                    <w:autoSpaceDN/>
                    <w:bidi w:val="0"/>
                    <w:adjustRightInd/>
                    <w:spacing w:before="0" w:after="0" w:line="240" w:lineRule="auto"/>
                    <w:ind w:right="0"/>
                    <w:rPr>
                      <w:rFonts w:hint="default" w:ascii="Times New Roman" w:hAnsi="Times New Roman" w:cs="Times New Roman"/>
                      <w:bCs/>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9"/>
                    <w:keepNext w:val="0"/>
                    <w:keepLines w:val="0"/>
                    <w:pageBreakBefore w:val="0"/>
                    <w:kinsoku/>
                    <w:overflowPunct/>
                    <w:topLinePunct w:val="0"/>
                    <w:autoSpaceDE/>
                    <w:autoSpaceDN/>
                    <w:bidi w:val="0"/>
                    <w:adjustRightInd/>
                    <w:spacing w:line="240" w:lineRule="auto"/>
                    <w:ind w:right="0" w:rightChars="0"/>
                    <w:rPr>
                      <w:rFonts w:hint="default" w:ascii="Times New Roman" w:hAnsi="Times New Roman" w:cs="Times New Roman"/>
                      <w:sz w:val="21"/>
                      <w:szCs w:val="21"/>
                      <w:u w:val="none" w:color="auto"/>
                      <w:lang w:eastAsia="zh-CN"/>
                    </w:rPr>
                  </w:pPr>
                  <w:r>
                    <w:rPr>
                      <w:rFonts w:hint="eastAsia" w:cs="Times New Roman"/>
                      <w:sz w:val="21"/>
                      <w:szCs w:val="21"/>
                      <w:u w:val="none" w:color="auto"/>
                      <w:lang w:val="en-US" w:eastAsia="zh-CN"/>
                    </w:rPr>
                    <w:t>和悦家园</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val="en-US" w:eastAsia="zh-CN"/>
                    </w:rPr>
                  </w:pPr>
                  <w:r>
                    <w:rPr>
                      <w:rFonts w:hint="eastAsia" w:hAnsi="宋体"/>
                      <w:color w:val="auto"/>
                      <w:szCs w:val="21"/>
                      <w:u w:val="none"/>
                      <w:lang w:val="en-US" w:eastAsia="zh-CN"/>
                    </w:rPr>
                    <w:t>E</w:t>
                  </w:r>
                  <w:r>
                    <w:rPr>
                      <w:rFonts w:hint="eastAsia" w:hAnsi="宋体"/>
                      <w:color w:val="auto"/>
                      <w:szCs w:val="21"/>
                      <w:u w:val="none"/>
                    </w:rPr>
                    <w:t>109.</w:t>
                  </w:r>
                  <w:r>
                    <w:rPr>
                      <w:rFonts w:hint="eastAsia" w:hAnsi="宋体"/>
                      <w:color w:val="auto"/>
                      <w:szCs w:val="21"/>
                      <w:u w:val="none"/>
                      <w:lang w:val="en-US" w:eastAsia="zh-CN"/>
                    </w:rPr>
                    <w:t>46021149°N</w:t>
                  </w:r>
                  <w:r>
                    <w:rPr>
                      <w:rFonts w:hint="eastAsia" w:hAnsi="宋体"/>
                      <w:color w:val="auto"/>
                      <w:szCs w:val="21"/>
                      <w:u w:val="none"/>
                    </w:rPr>
                    <w:t>28</w:t>
                  </w:r>
                  <w:r>
                    <w:rPr>
                      <w:rFonts w:hint="eastAsia" w:hAnsi="宋体"/>
                      <w:color w:val="auto"/>
                      <w:szCs w:val="21"/>
                      <w:u w:val="none"/>
                      <w:lang w:val="en-US" w:eastAsia="zh-CN"/>
                    </w:rPr>
                    <w:t>.58797382°</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西南</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47-50</w:t>
                  </w:r>
                </w:p>
              </w:tc>
              <w:tc>
                <w:tcPr>
                  <w:tcW w:w="290"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无</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lang w:eastAsia="zh-CN"/>
                    </w:rPr>
                    <w:t>居住</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ightChars="0"/>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highlight w:val="none"/>
                      <w:u w:val="none" w:color="auto"/>
                    </w:rPr>
                    <w:t>约</w:t>
                  </w:r>
                  <w:r>
                    <w:rPr>
                      <w:rFonts w:hint="eastAsia" w:ascii="Times New Roman" w:hAnsi="Times New Roman" w:cs="Times New Roman"/>
                      <w:sz w:val="21"/>
                      <w:szCs w:val="21"/>
                      <w:highlight w:val="none"/>
                      <w:u w:val="none" w:color="auto"/>
                      <w:lang w:val="en-US" w:eastAsia="zh-CN"/>
                    </w:rPr>
                    <w:t>100</w:t>
                  </w:r>
                  <w:r>
                    <w:rPr>
                      <w:rFonts w:hint="default" w:ascii="Times New Roman" w:hAnsi="Times New Roman" w:cs="Times New Roman"/>
                      <w:sz w:val="21"/>
                      <w:szCs w:val="21"/>
                      <w:highlight w:val="none"/>
                      <w:u w:val="none" w:color="auto"/>
                    </w:rPr>
                    <w:t>户，</w:t>
                  </w:r>
                  <w:r>
                    <w:rPr>
                      <w:rFonts w:hint="eastAsia" w:ascii="Times New Roman" w:hAnsi="Times New Roman" w:cs="Times New Roman"/>
                      <w:sz w:val="21"/>
                      <w:szCs w:val="21"/>
                      <w:highlight w:val="none"/>
                      <w:u w:val="none" w:color="auto"/>
                      <w:lang w:val="en-US" w:eastAsia="zh-CN"/>
                    </w:rPr>
                    <w:t>36</w:t>
                  </w:r>
                  <w:r>
                    <w:rPr>
                      <w:rFonts w:hint="default" w:ascii="Times New Roman" w:hAnsi="Times New Roman" w:cs="Times New Roman"/>
                      <w:sz w:val="21"/>
                      <w:szCs w:val="21"/>
                      <w:highlight w:val="none"/>
                      <w:u w:val="none" w:color="auto"/>
                    </w:rPr>
                    <w:t>0人</w:t>
                  </w:r>
                </w:p>
              </w:tc>
              <w:tc>
                <w:tcPr>
                  <w:tcW w:w="836" w:type="pct"/>
                  <w:vMerge w:val="continue"/>
                  <w:noWrap w:val="0"/>
                  <w:vAlign w:val="center"/>
                </w:tcPr>
                <w:p>
                  <w:pPr>
                    <w:pStyle w:val="159"/>
                    <w:keepNext w:val="0"/>
                    <w:keepLines w:val="0"/>
                    <w:pageBreakBefore w:val="0"/>
                    <w:widowControl w:val="0"/>
                    <w:kinsoku/>
                    <w:wordWrap w:val="0"/>
                    <w:overflowPunct/>
                    <w:topLinePunct w:val="0"/>
                    <w:autoSpaceDE/>
                    <w:autoSpaceDN/>
                    <w:bidi w:val="0"/>
                    <w:adjustRightInd/>
                    <w:spacing w:before="0" w:after="0" w:line="240" w:lineRule="auto"/>
                    <w:ind w:right="0"/>
                    <w:rPr>
                      <w:rFonts w:hint="default" w:ascii="Times New Roman" w:hAnsi="Times New Roman" w:cs="Times New Roman"/>
                      <w:bCs/>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restar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地表水环境</w:t>
                  </w:r>
                </w:p>
              </w:tc>
              <w:tc>
                <w:tcPr>
                  <w:tcW w:w="61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花垣河</w:t>
                  </w:r>
                </w:p>
              </w:tc>
              <w:tc>
                <w:tcPr>
                  <w:tcW w:w="923"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w:t>
                  </w:r>
                </w:p>
              </w:tc>
              <w:tc>
                <w:tcPr>
                  <w:tcW w:w="41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N</w:t>
                  </w:r>
                </w:p>
              </w:tc>
              <w:tc>
                <w:tcPr>
                  <w:tcW w:w="53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51</w:t>
                  </w:r>
                  <w:r>
                    <w:rPr>
                      <w:rFonts w:hint="eastAsia" w:ascii="Times New Roman" w:hAnsi="Times New Roman" w:cs="Times New Roman"/>
                      <w:sz w:val="21"/>
                      <w:szCs w:val="21"/>
                      <w:u w:val="none" w:color="auto"/>
                      <w:lang w:val="en-US" w:eastAsia="zh-CN"/>
                    </w:rPr>
                    <w:t>2</w:t>
                  </w:r>
                </w:p>
              </w:tc>
              <w:tc>
                <w:tcPr>
                  <w:tcW w:w="290"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有</w:t>
                  </w:r>
                </w:p>
              </w:tc>
              <w:tc>
                <w:tcPr>
                  <w:tcW w:w="417"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Ⅲ类水体</w:t>
                  </w:r>
                </w:p>
              </w:tc>
              <w:tc>
                <w:tcPr>
                  <w:tcW w:w="734"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lang w:eastAsia="zh-CN"/>
                    </w:rPr>
                    <w:t>中河</w:t>
                  </w:r>
                  <w:r>
                    <w:rPr>
                      <w:rFonts w:hint="default" w:ascii="Times New Roman" w:hAnsi="Times New Roman" w:cs="Times New Roman"/>
                      <w:sz w:val="21"/>
                      <w:szCs w:val="21"/>
                      <w:u w:val="none" w:color="auto"/>
                    </w:rPr>
                    <w:t>，</w:t>
                  </w:r>
                  <w:r>
                    <w:rPr>
                      <w:rFonts w:hint="default" w:ascii="Times New Roman" w:hAnsi="Times New Roman" w:cs="Times New Roman"/>
                      <w:color w:val="000000"/>
                      <w:sz w:val="21"/>
                      <w:szCs w:val="21"/>
                      <w:u w:val="none" w:color="auto"/>
                      <w:lang w:eastAsia="zh-CN"/>
                    </w:rPr>
                    <w:t>渔业</w:t>
                  </w:r>
                  <w:r>
                    <w:rPr>
                      <w:rFonts w:hint="default" w:ascii="Times New Roman" w:hAnsi="Times New Roman" w:cs="Times New Roman"/>
                      <w:color w:val="000000"/>
                      <w:sz w:val="21"/>
                      <w:szCs w:val="21"/>
                      <w:u w:val="none" w:color="auto"/>
                    </w:rPr>
                    <w:t>用水</w:t>
                  </w:r>
                  <w:r>
                    <w:rPr>
                      <w:rFonts w:hint="default" w:ascii="Times New Roman" w:hAnsi="Times New Roman" w:cs="Times New Roman"/>
                      <w:color w:val="000000"/>
                      <w:sz w:val="21"/>
                      <w:szCs w:val="21"/>
                      <w:u w:val="none" w:color="auto"/>
                      <w:lang w:eastAsia="zh-CN"/>
                    </w:rPr>
                    <w:t>（两河乡至竹蒿滩）和工业用水（竹蒿滩至江口入酉汇合口）</w:t>
                  </w:r>
                </w:p>
              </w:tc>
              <w:tc>
                <w:tcPr>
                  <w:tcW w:w="836" w:type="pct"/>
                  <w:noWrap w:val="0"/>
                  <w:vAlign w:val="center"/>
                </w:tcPr>
                <w:p>
                  <w:pPr>
                    <w:pStyle w:val="159"/>
                    <w:keepNext w:val="0"/>
                    <w:keepLines w:val="0"/>
                    <w:pageBreakBefore w:val="0"/>
                    <w:widowControl w:val="0"/>
                    <w:kinsoku/>
                    <w:wordWrap w:val="0"/>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bCs/>
                      <w:sz w:val="21"/>
                      <w:szCs w:val="21"/>
                      <w:u w:val="none" w:color="auto"/>
                    </w:rPr>
                    <w:t>《地表水环境质量标准》（GB3838-2002）Ⅲ类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vMerge w:val="continue"/>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p>
              </w:tc>
              <w:tc>
                <w:tcPr>
                  <w:tcW w:w="61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eastAsia="宋体" w:cs="Times New Roman"/>
                      <w:sz w:val="21"/>
                      <w:szCs w:val="21"/>
                      <w:u w:val="none" w:color="auto"/>
                      <w:lang w:eastAsia="zh-CN"/>
                    </w:rPr>
                    <w:t>湘西自治州花垣县下寨河饮用水水源保护区</w:t>
                  </w:r>
                </w:p>
              </w:tc>
              <w:tc>
                <w:tcPr>
                  <w:tcW w:w="4154" w:type="pct"/>
                  <w:gridSpan w:val="7"/>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位于本项目东南方向4</w:t>
                  </w:r>
                  <w:r>
                    <w:rPr>
                      <w:rFonts w:hint="eastAsia" w:cs="Times New Roman"/>
                      <w:sz w:val="21"/>
                      <w:szCs w:val="21"/>
                      <w:u w:val="none" w:color="auto"/>
                      <w:lang w:val="en-US" w:eastAsia="zh-CN"/>
                    </w:rPr>
                    <w:t>.1</w:t>
                  </w:r>
                  <w:r>
                    <w:rPr>
                      <w:rFonts w:hint="default" w:ascii="Times New Roman" w:hAnsi="Times New Roman" w:cs="Times New Roman"/>
                      <w:sz w:val="21"/>
                      <w:szCs w:val="21"/>
                      <w:u w:val="none" w:color="auto"/>
                      <w:lang w:val="en-US" w:eastAsia="zh-CN"/>
                    </w:rPr>
                    <w:t>km，</w:t>
                  </w:r>
                  <w:r>
                    <w:rPr>
                      <w:rFonts w:hint="default" w:ascii="Times New Roman" w:hAnsi="Times New Roman" w:cs="Times New Roman"/>
                      <w:sz w:val="21"/>
                      <w:szCs w:val="21"/>
                      <w:u w:val="none" w:color="auto"/>
                      <w:lang w:eastAsia="zh-CN"/>
                    </w:rPr>
                    <w:t>本项目位于其下游片区，为此项目建设不会影响到饮用水源水质。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生态环境</w:t>
                  </w:r>
                </w:p>
              </w:tc>
              <w:tc>
                <w:tcPr>
                  <w:tcW w:w="61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项目周边植被</w:t>
                  </w:r>
                </w:p>
              </w:tc>
              <w:tc>
                <w:tcPr>
                  <w:tcW w:w="4154" w:type="pct"/>
                  <w:gridSpan w:val="7"/>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不得越过用地红线随意破坏周边植被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72" w:hRule="atLeast"/>
                <w:jc w:val="center"/>
              </w:trPr>
              <w:tc>
                <w:tcPr>
                  <w:tcW w:w="232" w:type="pct"/>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eastAsia="zh-CN"/>
                    </w:rPr>
                  </w:pPr>
                  <w:r>
                    <w:rPr>
                      <w:rFonts w:hint="eastAsia" w:ascii="Times New Roman" w:hAnsi="Times New Roman" w:cs="Times New Roman"/>
                      <w:sz w:val="21"/>
                      <w:szCs w:val="21"/>
                      <w:u w:val="none" w:color="auto"/>
                      <w:lang w:val="en-US" w:eastAsia="zh-CN"/>
                    </w:rPr>
                    <w:t>地下水</w:t>
                  </w:r>
                </w:p>
              </w:tc>
              <w:tc>
                <w:tcPr>
                  <w:tcW w:w="4767" w:type="pct"/>
                  <w:gridSpan w:val="8"/>
                  <w:noWrap w:val="0"/>
                  <w:vAlign w:val="center"/>
                </w:tcPr>
                <w:p>
                  <w:pPr>
                    <w:pStyle w:val="159"/>
                    <w:keepNext w:val="0"/>
                    <w:keepLines w:val="0"/>
                    <w:pageBreakBefore w:val="0"/>
                    <w:kinsoku/>
                    <w:overflowPunct/>
                    <w:topLinePunct w:val="0"/>
                    <w:autoSpaceDE/>
                    <w:autoSpaceDN/>
                    <w:bidi w:val="0"/>
                    <w:adjustRightInd/>
                    <w:spacing w:before="0" w:after="0" w:line="240" w:lineRule="auto"/>
                    <w:ind w:right="0"/>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项目厂界</w:t>
                  </w:r>
                  <w:r>
                    <w:rPr>
                      <w:rFonts w:hint="eastAsia" w:ascii="Times New Roman" w:hAnsi="Times New Roman" w:cs="Times New Roman"/>
                      <w:sz w:val="21"/>
                      <w:szCs w:val="21"/>
                      <w:u w:val="none" w:color="auto"/>
                      <w:lang w:val="en-US" w:eastAsia="zh-CN"/>
                    </w:rPr>
                    <w:t>外</w:t>
                  </w:r>
                  <w:r>
                    <w:rPr>
                      <w:rFonts w:hint="default" w:ascii="Times New Roman" w:hAnsi="Times New Roman" w:cs="Times New Roman"/>
                      <w:sz w:val="21"/>
                      <w:szCs w:val="21"/>
                      <w:u w:val="none" w:color="auto"/>
                      <w:lang w:val="en-US" w:eastAsia="zh-CN"/>
                    </w:rPr>
                    <w:t>500米范围内无地下水集中式饮用水水源和热水、矿泉水、温泉等特殊地下水资源保护目</w:t>
                  </w:r>
                  <w:r>
                    <w:rPr>
                      <w:rFonts w:hint="eastAsia" w:ascii="Times New Roman" w:hAnsi="Times New Roman" w:cs="Times New Roman"/>
                      <w:sz w:val="21"/>
                      <w:szCs w:val="21"/>
                      <w:u w:val="none" w:color="auto"/>
                      <w:lang w:val="en-US" w:eastAsia="zh-CN"/>
                    </w:rPr>
                    <w:t>标</w:t>
                  </w:r>
                  <w:r>
                    <w:rPr>
                      <w:rFonts w:hint="default" w:ascii="Times New Roman" w:hAnsi="Times New Roman" w:cs="Times New Roman"/>
                      <w:sz w:val="21"/>
                      <w:szCs w:val="21"/>
                      <w:u w:val="none" w:color="auto"/>
                      <w:lang w:eastAsia="zh-CN"/>
                    </w:rPr>
                    <w:t>。</w:t>
                  </w:r>
                </w:p>
              </w:tc>
            </w:tr>
            <w:bookmarkEnd w:id="21"/>
          </w:tbl>
          <w:p>
            <w:pPr>
              <w:pStyle w:val="8"/>
              <w:keepNext/>
              <w:keepLines w:val="0"/>
              <w:pageBreakBefore w:val="0"/>
              <w:widowControl/>
              <w:kinsoku/>
              <w:wordWrap/>
              <w:overflowPunct/>
              <w:topLinePunct w:val="0"/>
              <w:autoSpaceDE/>
              <w:autoSpaceDN/>
              <w:bidi w:val="0"/>
              <w:adjustRightInd/>
              <w:snapToGrid/>
              <w:spacing w:line="240" w:lineRule="auto"/>
              <w:textAlignment w:val="auto"/>
              <w:rPr>
                <w:rFonts w:hint="eastAsia"/>
              </w:rPr>
            </w:pPr>
          </w:p>
          <w:p>
            <w:pPr>
              <w:pStyle w:val="98"/>
              <w:ind w:left="0" w:leftChars="0" w:firstLine="0" w:firstLineChars="0"/>
              <w:rPr>
                <w:sz w:val="24"/>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800" w:type="dxa"/>
            <w:tcBorders>
              <w:top w:val="single" w:color="auto" w:sz="12" w:space="0"/>
              <w:bottom w:val="single" w:color="auto" w:sz="4" w:space="0"/>
              <w:right w:val="single" w:color="auto" w:sz="4" w:space="0"/>
            </w:tcBorders>
            <w:noWrap w:val="0"/>
            <w:tcMar>
              <w:left w:w="28" w:type="dxa"/>
              <w:right w:w="28" w:type="dxa"/>
            </w:tcMar>
            <w:vAlign w:val="center"/>
          </w:tcPr>
          <w:p>
            <w:pPr>
              <w:rPr>
                <w:b/>
                <w:bCs/>
              </w:rPr>
            </w:pPr>
            <w:r>
              <w:rPr>
                <w:b/>
                <w:bCs/>
              </w:rPr>
              <w:t>污染</w:t>
            </w:r>
          </w:p>
          <w:p>
            <w:pPr>
              <w:rPr>
                <w:b/>
                <w:bCs/>
              </w:rPr>
            </w:pPr>
            <w:r>
              <w:rPr>
                <w:b/>
                <w:bCs/>
              </w:rPr>
              <w:t>物排</w:t>
            </w:r>
          </w:p>
          <w:p>
            <w:pPr>
              <w:rPr>
                <w:b/>
                <w:bCs/>
              </w:rPr>
            </w:pPr>
            <w:r>
              <w:rPr>
                <w:b/>
                <w:bCs/>
              </w:rPr>
              <w:t>放控</w:t>
            </w:r>
          </w:p>
          <w:p>
            <w:pPr>
              <w:rPr>
                <w:b/>
                <w:bCs/>
              </w:rPr>
            </w:pPr>
            <w:r>
              <w:rPr>
                <w:b/>
                <w:bCs/>
              </w:rPr>
              <w:t>制标</w:t>
            </w:r>
          </w:p>
          <w:p>
            <w:pPr>
              <w:rPr>
                <w:szCs w:val="21"/>
              </w:rPr>
            </w:pPr>
            <w:r>
              <w:rPr>
                <w:b/>
                <w:bCs/>
              </w:rPr>
              <w:t>准</w:t>
            </w:r>
          </w:p>
        </w:tc>
        <w:tc>
          <w:tcPr>
            <w:tcW w:w="8190" w:type="dxa"/>
            <w:tcBorders>
              <w:top w:val="single" w:color="auto" w:sz="12" w:space="0"/>
              <w:left w:val="single" w:color="auto" w:sz="4" w:space="0"/>
              <w:bottom w:val="single" w:color="auto" w:sz="4" w:space="0"/>
            </w:tcBorders>
            <w:noWrap w:val="0"/>
            <w:vAlign w:val="center"/>
          </w:tcPr>
          <w:p>
            <w:pPr>
              <w:pStyle w:val="161"/>
              <w:rPr>
                <w:rFonts w:cs="宋体"/>
                <w:lang w:val="en-US" w:eastAsia="zh-CN"/>
              </w:rPr>
            </w:pPr>
            <w:r>
              <w:rPr>
                <w:rFonts w:cs="宋体"/>
                <w:lang w:val="en-US" w:eastAsia="zh-CN"/>
              </w:rPr>
              <w:t>1、废气污染物</w:t>
            </w:r>
          </w:p>
          <w:p>
            <w:pPr>
              <w:pStyle w:val="161"/>
              <w:rPr>
                <w:rFonts w:hint="eastAsia" w:ascii="Times New Roman" w:hAnsi="Times New Roman" w:cs="Times New Roman"/>
                <w:b w:val="0"/>
                <w:bCs/>
                <w:color w:val="auto"/>
                <w:sz w:val="24"/>
                <w:szCs w:val="24"/>
                <w:u w:val="none" w:color="auto"/>
                <w:lang w:val="en-US" w:eastAsia="zh-CN"/>
              </w:rPr>
            </w:pPr>
            <w:r>
              <w:rPr>
                <w:rFonts w:ascii="Times New Roman" w:hAnsi="Times New Roman" w:eastAsia="宋体" w:cs="Times New Roman"/>
                <w:b w:val="0"/>
                <w:bCs/>
                <w:color w:val="000000"/>
                <w:kern w:val="2"/>
                <w:sz w:val="24"/>
                <w:u w:val="none" w:color="auto"/>
              </w:rPr>
              <w:t>本项目运营期供热采用电能，</w:t>
            </w:r>
            <w:r>
              <w:rPr>
                <w:rFonts w:hint="eastAsia" w:cs="Times New Roman"/>
                <w:b w:val="0"/>
                <w:bCs/>
                <w:color w:val="000000"/>
                <w:kern w:val="2"/>
                <w:sz w:val="24"/>
                <w:u w:val="none" w:color="auto"/>
                <w:lang w:val="en-US" w:eastAsia="zh-CN"/>
              </w:rPr>
              <w:t>不设置备用柴油发电机。项目废水处理依托花垣县疾控中心现有一体化污水处理站进行处理，医疗废物依托花垣县疾控中心现有医疗废物暂存间进行暂存</w:t>
            </w:r>
            <w:r>
              <w:rPr>
                <w:rFonts w:ascii="Times New Roman" w:hAnsi="Times New Roman" w:eastAsia="宋体" w:cs="Times New Roman"/>
                <w:b w:val="0"/>
                <w:bCs/>
                <w:color w:val="000000"/>
                <w:kern w:val="2"/>
                <w:sz w:val="24"/>
                <w:u w:val="none" w:color="auto"/>
              </w:rPr>
              <w:t>。</w:t>
            </w:r>
            <w:r>
              <w:rPr>
                <w:rFonts w:hint="eastAsia" w:cs="Times New Roman"/>
                <w:b w:val="0"/>
                <w:bCs/>
                <w:color w:val="000000"/>
                <w:kern w:val="2"/>
                <w:sz w:val="24"/>
                <w:u w:val="none" w:color="auto"/>
                <w:lang w:val="en-US" w:eastAsia="zh-CN"/>
              </w:rPr>
              <w:t>本项目运营期无废气产生。</w:t>
            </w:r>
          </w:p>
          <w:p>
            <w:pPr>
              <w:pStyle w:val="161"/>
              <w:rPr>
                <w:rFonts w:hint="default" w:ascii="Times New Roman" w:hAnsi="Times New Roman" w:cs="Times New Roman"/>
                <w:lang w:val="en-US" w:eastAsia="zh-CN"/>
              </w:rPr>
            </w:pPr>
            <w:r>
              <w:rPr>
                <w:rFonts w:hint="default" w:ascii="Times New Roman" w:hAnsi="Times New Roman" w:cs="Times New Roman"/>
                <w:lang w:val="en-US" w:eastAsia="zh-CN"/>
              </w:rPr>
              <w:t>2、废水污染物</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eastAsia="宋体" w:cs="Times New Roman"/>
                <w:spacing w:val="0"/>
                <w:kern w:val="2"/>
                <w:lang w:val="en-US" w:eastAsia="zh-CN"/>
              </w:rPr>
            </w:pPr>
            <w:r>
              <w:rPr>
                <w:rFonts w:hint="default" w:ascii="Times New Roman" w:hAnsi="Times New Roman" w:eastAsia="宋体" w:cs="Times New Roman"/>
                <w:spacing w:val="0"/>
                <w:kern w:val="2"/>
                <w:lang w:val="en-US" w:eastAsia="zh-CN"/>
              </w:rPr>
              <w:t>本项目</w:t>
            </w:r>
            <w:r>
              <w:rPr>
                <w:rFonts w:hint="eastAsia" w:ascii="Times New Roman" w:hAnsi="Times New Roman" w:eastAsia="宋体" w:cs="Times New Roman"/>
                <w:spacing w:val="0"/>
                <w:kern w:val="2"/>
                <w:lang w:val="en-US" w:eastAsia="zh-CN"/>
              </w:rPr>
              <w:t>医疗废水执行</w:t>
            </w:r>
            <w:r>
              <w:rPr>
                <w:rFonts w:hint="default" w:ascii="Times New Roman" w:hAnsi="Times New Roman" w:eastAsia="宋体" w:cs="Times New Roman"/>
                <w:spacing w:val="0"/>
                <w:kern w:val="2"/>
                <w:lang w:val="en-US" w:eastAsia="zh-CN"/>
              </w:rPr>
              <w:t>《医疗机构水污染物排放标准》（GB18466-2005）中</w:t>
            </w:r>
            <w:r>
              <w:rPr>
                <w:rFonts w:hint="eastAsia" w:ascii="Times New Roman" w:hAnsi="Times New Roman" w:eastAsia="宋体" w:cs="Times New Roman"/>
                <w:spacing w:val="0"/>
                <w:kern w:val="2"/>
                <w:lang w:val="en-US" w:eastAsia="zh-CN"/>
              </w:rPr>
              <w:t>表2预处理标准（日均值），</w:t>
            </w:r>
            <w:r>
              <w:rPr>
                <w:rFonts w:hint="eastAsia" w:ascii="Times New Roman" w:hAnsi="Times New Roman" w:eastAsia="宋体" w:cs="Times New Roman"/>
                <w:spacing w:val="0"/>
                <w:kern w:val="2"/>
              </w:rPr>
              <w:t>其中氨氮参照执行《污水排入城镇下水道水质标准》（GB/T31962-2015），标准值为45mg/L</w:t>
            </w:r>
            <w:r>
              <w:rPr>
                <w:rFonts w:hint="eastAsia" w:ascii="Times New Roman" w:hAnsi="Times New Roman" w:eastAsia="宋体" w:cs="Times New Roman"/>
                <w:spacing w:val="0"/>
                <w:kern w:val="2"/>
                <w:lang w:val="en-US" w:eastAsia="zh-CN"/>
              </w:rPr>
              <w:t>。废水执行标准</w:t>
            </w:r>
            <w:r>
              <w:rPr>
                <w:rFonts w:hint="default" w:ascii="Times New Roman" w:hAnsi="Times New Roman" w:eastAsia="宋体" w:cs="Times New Roman"/>
                <w:spacing w:val="0"/>
                <w:kern w:val="2"/>
                <w:lang w:val="en-US" w:eastAsia="zh-CN"/>
              </w:rPr>
              <w:t>详见下表1-1</w:t>
            </w:r>
            <w:r>
              <w:rPr>
                <w:rFonts w:hint="eastAsia" w:ascii="Times New Roman" w:hAnsi="Times New Roman" w:eastAsia="宋体" w:cs="Times New Roman"/>
                <w:spacing w:val="0"/>
                <w:kern w:val="2"/>
                <w:lang w:val="en-US" w:eastAsia="zh-CN"/>
              </w:rPr>
              <w:t>。</w:t>
            </w:r>
          </w:p>
          <w:p>
            <w:pPr>
              <w:widowControl w:val="0"/>
              <w:autoSpaceDE w:val="0"/>
              <w:autoSpaceDN w:val="0"/>
              <w:adjustRightInd w:val="0"/>
              <w:spacing w:line="360" w:lineRule="auto"/>
              <w:ind w:firstLine="422" w:firstLineChars="200"/>
              <w:jc w:val="center"/>
              <w:textAlignment w:val="baseline"/>
              <w:rPr>
                <w:rFonts w:hint="default" w:ascii="Times New Roman" w:hAnsi="Times New Roman" w:eastAsia="宋体" w:cs="Times New Roman"/>
                <w:b/>
                <w:bCs/>
                <w:color w:val="000000"/>
                <w:spacing w:val="0"/>
                <w:kern w:val="2"/>
                <w:sz w:val="21"/>
                <w:szCs w:val="21"/>
                <w:lang w:val="en-US" w:eastAsia="zh-CN" w:bidi="ar-SA"/>
              </w:rPr>
            </w:pPr>
            <w:r>
              <w:rPr>
                <w:rFonts w:hint="default" w:ascii="Times New Roman" w:hAnsi="Times New Roman" w:eastAsia="宋体" w:cs="Times New Roman"/>
                <w:b/>
                <w:bCs/>
                <w:color w:val="000000"/>
                <w:spacing w:val="0"/>
                <w:kern w:val="2"/>
                <w:sz w:val="21"/>
                <w:szCs w:val="21"/>
                <w:lang w:val="en-US" w:eastAsia="zh-CN" w:bidi="ar-SA"/>
              </w:rPr>
              <w:t>表</w:t>
            </w:r>
            <w:r>
              <w:rPr>
                <w:rFonts w:hint="eastAsia" w:ascii="Times New Roman" w:hAnsi="Times New Roman" w:eastAsia="宋体" w:cs="Times New Roman"/>
                <w:b/>
                <w:bCs/>
                <w:color w:val="000000"/>
                <w:spacing w:val="0"/>
                <w:kern w:val="2"/>
                <w:sz w:val="21"/>
                <w:szCs w:val="21"/>
                <w:lang w:val="en-US" w:eastAsia="zh-CN" w:bidi="ar-SA"/>
              </w:rPr>
              <w:t>3</w:t>
            </w:r>
            <w:r>
              <w:rPr>
                <w:rFonts w:hint="default" w:ascii="Times New Roman" w:hAnsi="Times New Roman" w:eastAsia="宋体" w:cs="Times New Roman"/>
                <w:b/>
                <w:bCs/>
                <w:color w:val="000000"/>
                <w:spacing w:val="0"/>
                <w:kern w:val="2"/>
                <w:sz w:val="21"/>
                <w:szCs w:val="21"/>
                <w:lang w:val="en-US" w:eastAsia="zh-CN" w:bidi="ar-SA"/>
              </w:rPr>
              <w:t>-</w:t>
            </w:r>
            <w:r>
              <w:rPr>
                <w:rFonts w:hint="eastAsia" w:ascii="Times New Roman" w:hAnsi="Times New Roman" w:eastAsia="宋体" w:cs="Times New Roman"/>
                <w:b/>
                <w:bCs/>
                <w:color w:val="000000"/>
                <w:spacing w:val="0"/>
                <w:kern w:val="2"/>
                <w:sz w:val="21"/>
                <w:szCs w:val="21"/>
                <w:lang w:val="en-US" w:eastAsia="zh-CN" w:bidi="ar-SA"/>
              </w:rPr>
              <w:t>8</w:t>
            </w:r>
            <w:r>
              <w:rPr>
                <w:rFonts w:hint="default" w:ascii="Times New Roman" w:hAnsi="Times New Roman" w:eastAsia="宋体" w:cs="Times New Roman"/>
                <w:b/>
                <w:bCs/>
                <w:color w:val="000000"/>
                <w:spacing w:val="0"/>
                <w:kern w:val="2"/>
                <w:sz w:val="21"/>
                <w:szCs w:val="21"/>
                <w:lang w:val="en-US" w:eastAsia="zh-CN" w:bidi="ar-SA"/>
              </w:rPr>
              <w:t xml:space="preserve">  废水执行的标准限值</w:t>
            </w:r>
          </w:p>
          <w:tbl>
            <w:tblPr>
              <w:tblStyle w:val="34"/>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556"/>
              <w:gridCol w:w="1694"/>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序号</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污染物名称</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预处理标准值</w:t>
                  </w:r>
                </w:p>
              </w:tc>
              <w:tc>
                <w:tcPr>
                  <w:tcW w:w="2008"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1</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粪大肠菌群数/（</w:t>
                  </w:r>
                  <w:r>
                    <w:rPr>
                      <w:rFonts w:ascii="Times New Roman" w:hAnsi="Times New Roman" w:eastAsia="宋体" w:cs="Times New Roman"/>
                      <w:spacing w:val="0"/>
                      <w:kern w:val="2"/>
                      <w:sz w:val="21"/>
                      <w:szCs w:val="21"/>
                      <w:u w:val="none"/>
                      <w:lang w:val="en-US" w:eastAsia="zh-CN" w:bidi="ar-SA"/>
                    </w:rPr>
                    <w:t>MPN/L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5000</w:t>
                  </w:r>
                </w:p>
              </w:tc>
              <w:tc>
                <w:tcPr>
                  <w:tcW w:w="2008" w:type="dxa"/>
                  <w:vMerge w:val="restart"/>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default" w:ascii="Times New Roman" w:hAnsi="Times New Roman" w:eastAsia="宋体" w:cs="Times New Roman"/>
                      <w:spacing w:val="0"/>
                      <w:kern w:val="2"/>
                      <w:sz w:val="21"/>
                      <w:szCs w:val="21"/>
                      <w:u w:val="none"/>
                      <w:lang w:val="en-US" w:eastAsia="zh-CN" w:bidi="ar-SA"/>
                    </w:rPr>
                    <w:t>《医疗机构水污染物排放标准》（GB18466-2005）中</w:t>
                  </w:r>
                  <w:r>
                    <w:rPr>
                      <w:rFonts w:hint="eastAsia" w:ascii="Times New Roman" w:hAnsi="Times New Roman" w:eastAsia="宋体" w:cs="Times New Roman"/>
                      <w:spacing w:val="0"/>
                      <w:kern w:val="2"/>
                      <w:sz w:val="21"/>
                      <w:szCs w:val="21"/>
                      <w:u w:val="none"/>
                      <w:lang w:val="en-US" w:eastAsia="zh-CN" w:bidi="ar-SA"/>
                    </w:rPr>
                    <w:t>表2预处理标准（日均值），其中氨氮参照执行《污水排入城镇下水道水质标准》（GB/T31962-2015），标准值为45mg/L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2</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肠道致病菌</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3</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肠道病毒</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4</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pH</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6</w:t>
                  </w:r>
                  <w:r>
                    <w:rPr>
                      <w:rFonts w:hint="eastAsia" w:ascii="Times New Roman" w:hAnsi="Times New Roman" w:eastAsia="宋体" w:cs="Times New Roman"/>
                      <w:spacing w:val="0"/>
                      <w:kern w:val="2"/>
                      <w:sz w:val="21"/>
                      <w:szCs w:val="21"/>
                      <w:u w:val="none"/>
                      <w:lang w:val="en-US" w:eastAsia="zh-CN" w:bidi="ar-SA"/>
                    </w:rPr>
                    <w:t>~</w:t>
                  </w:r>
                  <w:r>
                    <w:rPr>
                      <w:rFonts w:ascii="Times New Roman" w:hAnsi="Times New Roman" w:eastAsia="宋体" w:cs="Times New Roman"/>
                      <w:spacing w:val="0"/>
                      <w:kern w:val="2"/>
                      <w:sz w:val="21"/>
                      <w:szCs w:val="21"/>
                      <w:u w:val="none"/>
                      <w:lang w:val="en-US" w:eastAsia="zh-CN" w:bidi="ar-SA"/>
                    </w:rPr>
                    <w:t>9</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5</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hint="eastAsia"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化学需氧量（</w:t>
                  </w:r>
                  <w:r>
                    <w:rPr>
                      <w:rFonts w:ascii="Times New Roman" w:hAnsi="Times New Roman" w:eastAsia="宋体" w:cs="Times New Roman"/>
                      <w:spacing w:val="0"/>
                      <w:kern w:val="2"/>
                      <w:sz w:val="21"/>
                      <w:szCs w:val="21"/>
                      <w:u w:val="none"/>
                      <w:lang w:val="en-US" w:eastAsia="zh-CN" w:bidi="ar-SA"/>
                    </w:rPr>
                    <w:t>COD</w:t>
                  </w:r>
                  <w:r>
                    <w:rPr>
                      <w:rFonts w:hint="eastAsia" w:ascii="Times New Roman" w:hAnsi="Times New Roman" w:eastAsia="宋体" w:cs="Times New Roman"/>
                      <w:spacing w:val="0"/>
                      <w:kern w:val="2"/>
                      <w:sz w:val="21"/>
                      <w:szCs w:val="21"/>
                      <w:u w:val="none"/>
                      <w:lang w:val="en-US" w:eastAsia="zh-CN" w:bidi="ar-SA"/>
                    </w:rPr>
                    <w:t>）</w:t>
                  </w: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浓度/（mg/L）</w:t>
                  </w: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浓度最高允许排放负荷/[</w:t>
                  </w:r>
                  <w:r>
                    <w:rPr>
                      <w:rFonts w:ascii="Times New Roman" w:hAnsi="Times New Roman" w:eastAsia="宋体" w:cs="Times New Roman"/>
                      <w:spacing w:val="0"/>
                      <w:kern w:val="2"/>
                      <w:sz w:val="21"/>
                      <w:szCs w:val="21"/>
                      <w:u w:val="none"/>
                      <w:lang w:val="en-US" w:eastAsia="zh-CN" w:bidi="ar-SA"/>
                    </w:rPr>
                    <w:t>g/</w:t>
                  </w:r>
                  <w:r>
                    <w:rPr>
                      <w:rFonts w:hint="eastAsia" w:ascii="Times New Roman" w:hAnsi="Times New Roman" w:eastAsia="宋体" w:cs="Times New Roman"/>
                      <w:spacing w:val="0"/>
                      <w:kern w:val="2"/>
                      <w:sz w:val="21"/>
                      <w:szCs w:val="21"/>
                      <w:u w:val="none"/>
                      <w:lang w:val="en-US" w:eastAsia="zh-CN" w:bidi="ar-SA"/>
                    </w:rPr>
                    <w:t>（床位·d）]</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spacing w:val="0"/>
                      <w:kern w:val="2"/>
                      <w:sz w:val="21"/>
                      <w:szCs w:val="21"/>
                      <w:u w:val="none"/>
                      <w:lang w:val="en-US" w:eastAsia="zh-CN" w:bidi="ar-SA"/>
                    </w:rPr>
                  </w:pP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250</w:t>
                  </w: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250</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6</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hint="eastAsia"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生化需氧量（B</w:t>
                  </w:r>
                  <w:r>
                    <w:rPr>
                      <w:rFonts w:ascii="Times New Roman" w:hAnsi="Times New Roman" w:eastAsia="宋体" w:cs="Times New Roman"/>
                      <w:spacing w:val="0"/>
                      <w:kern w:val="2"/>
                      <w:sz w:val="21"/>
                      <w:szCs w:val="21"/>
                      <w:u w:val="none"/>
                      <w:lang w:val="en-US" w:eastAsia="zh-CN" w:bidi="ar-SA"/>
                    </w:rPr>
                    <w:t>OD</w:t>
                  </w:r>
                  <w:r>
                    <w:rPr>
                      <w:rFonts w:hint="eastAsia" w:ascii="Times New Roman" w:hAnsi="Times New Roman" w:eastAsia="宋体" w:cs="Times New Roman"/>
                      <w:spacing w:val="0"/>
                      <w:kern w:val="2"/>
                      <w:sz w:val="21"/>
                      <w:szCs w:val="21"/>
                      <w:u w:val="none"/>
                      <w:lang w:val="en-US" w:eastAsia="zh-CN" w:bidi="ar-SA"/>
                    </w:rPr>
                    <w:t>）</w:t>
                  </w: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浓度/（mg/L）</w:t>
                  </w: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浓度最高允许排放负荷/[</w:t>
                  </w:r>
                  <w:r>
                    <w:rPr>
                      <w:rFonts w:ascii="Times New Roman" w:hAnsi="Times New Roman" w:eastAsia="宋体" w:cs="Times New Roman"/>
                      <w:spacing w:val="0"/>
                      <w:kern w:val="2"/>
                      <w:sz w:val="21"/>
                      <w:szCs w:val="21"/>
                      <w:u w:val="none"/>
                      <w:lang w:val="en-US" w:eastAsia="zh-CN" w:bidi="ar-SA"/>
                    </w:rPr>
                    <w:t>g/</w:t>
                  </w:r>
                  <w:r>
                    <w:rPr>
                      <w:rFonts w:hint="eastAsia" w:ascii="Times New Roman" w:hAnsi="Times New Roman" w:eastAsia="宋体" w:cs="Times New Roman"/>
                      <w:spacing w:val="0"/>
                      <w:kern w:val="2"/>
                      <w:sz w:val="21"/>
                      <w:szCs w:val="21"/>
                      <w:u w:val="none"/>
                      <w:lang w:val="en-US" w:eastAsia="zh-CN" w:bidi="ar-SA"/>
                    </w:rPr>
                    <w:t>（床位·d）]</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spacing w:val="0"/>
                      <w:kern w:val="2"/>
                      <w:sz w:val="21"/>
                      <w:szCs w:val="21"/>
                      <w:u w:val="none"/>
                      <w:lang w:val="en-US" w:eastAsia="zh-CN" w:bidi="ar-SA"/>
                    </w:rPr>
                  </w:pP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100</w:t>
                  </w: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100</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7</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hint="eastAsia"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悬浮物（SS）</w:t>
                  </w: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浓度/（mg/L）</w:t>
                  </w: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浓度最高允许排放负荷/[</w:t>
                  </w:r>
                  <w:r>
                    <w:rPr>
                      <w:rFonts w:ascii="Times New Roman" w:hAnsi="Times New Roman" w:eastAsia="宋体" w:cs="Times New Roman"/>
                      <w:spacing w:val="0"/>
                      <w:kern w:val="2"/>
                      <w:sz w:val="21"/>
                      <w:szCs w:val="21"/>
                      <w:u w:val="none"/>
                      <w:lang w:val="en-US" w:eastAsia="zh-CN" w:bidi="ar-SA"/>
                    </w:rPr>
                    <w:t>g/</w:t>
                  </w:r>
                  <w:r>
                    <w:rPr>
                      <w:rFonts w:hint="eastAsia" w:ascii="Times New Roman" w:hAnsi="Times New Roman" w:eastAsia="宋体" w:cs="Times New Roman"/>
                      <w:spacing w:val="0"/>
                      <w:kern w:val="2"/>
                      <w:sz w:val="21"/>
                      <w:szCs w:val="21"/>
                      <w:u w:val="none"/>
                      <w:lang w:val="en-US" w:eastAsia="zh-CN" w:bidi="ar-SA"/>
                    </w:rPr>
                    <w:t>（床位·d）]</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spacing w:val="0"/>
                      <w:kern w:val="2"/>
                      <w:sz w:val="21"/>
                      <w:szCs w:val="21"/>
                      <w:u w:val="none"/>
                      <w:lang w:val="en-US" w:eastAsia="zh-CN" w:bidi="ar-SA"/>
                    </w:rPr>
                  </w:pP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60</w:t>
                  </w: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60</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8</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氨氮/（</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45</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9</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动植物油/（</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20</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10</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石油类/（</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20</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11</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阴离子表面活性剂/（</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10</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w:t>
                  </w:r>
                  <w:r>
                    <w:rPr>
                      <w:rFonts w:ascii="Times New Roman" w:hAnsi="Times New Roman" w:eastAsia="宋体" w:cs="Times New Roman"/>
                      <w:spacing w:val="0"/>
                      <w:kern w:val="2"/>
                      <w:sz w:val="21"/>
                      <w:szCs w:val="21"/>
                      <w:u w:val="none"/>
                      <w:lang w:val="en-US" w:eastAsia="zh-CN" w:bidi="ar-SA"/>
                    </w:rPr>
                    <w:t>2</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色度/（稀释倍数）</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13</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挥发酚/（</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1.0</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14</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总氰化物/（</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0.5</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15</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总汞/（</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0.05</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16</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总镉/（</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0.1</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17</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总铬/（</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1.5</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18</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六价铬/（</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0.5</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19</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总砷/（</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0.5</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20</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总铅/（</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1.0</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21</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总银/（</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0.5</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22</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总α</w:t>
                  </w:r>
                  <w:r>
                    <w:rPr>
                      <w:rFonts w:hint="eastAsia" w:ascii="Times New Roman" w:hAnsi="Times New Roman" w:eastAsia="宋体" w:cs="Times New Roman"/>
                      <w:spacing w:val="0"/>
                      <w:kern w:val="2"/>
                      <w:sz w:val="21"/>
                      <w:szCs w:val="21"/>
                      <w:u w:val="none"/>
                      <w:lang w:val="en-US" w:eastAsia="zh-CN" w:bidi="ar-SA"/>
                    </w:rPr>
                    <w:t>/（Bq</w:t>
                  </w:r>
                  <w:r>
                    <w:rPr>
                      <w:rFonts w:ascii="Times New Roman" w:hAnsi="Times New Roman" w:eastAsia="宋体" w:cs="Times New Roman"/>
                      <w:spacing w:val="0"/>
                      <w:kern w:val="2"/>
                      <w:sz w:val="21"/>
                      <w:szCs w:val="21"/>
                      <w:u w:val="none"/>
                      <w:lang w:val="en-US" w:eastAsia="zh-CN" w:bidi="ar-SA"/>
                    </w:rPr>
                    <w:t>/L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23</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总β</w:t>
                  </w:r>
                  <w:r>
                    <w:rPr>
                      <w:rFonts w:hint="eastAsia" w:ascii="Times New Roman" w:hAnsi="Times New Roman" w:eastAsia="宋体" w:cs="Times New Roman"/>
                      <w:spacing w:val="0"/>
                      <w:kern w:val="2"/>
                      <w:sz w:val="21"/>
                      <w:szCs w:val="21"/>
                      <w:u w:val="none"/>
                      <w:lang w:val="en-US" w:eastAsia="zh-CN" w:bidi="ar-SA"/>
                    </w:rPr>
                    <w:t>/（Bq</w:t>
                  </w:r>
                  <w:r>
                    <w:rPr>
                      <w:rFonts w:ascii="Times New Roman" w:hAnsi="Times New Roman" w:eastAsia="宋体" w:cs="Times New Roman"/>
                      <w:spacing w:val="0"/>
                      <w:kern w:val="2"/>
                      <w:sz w:val="21"/>
                      <w:szCs w:val="21"/>
                      <w:u w:val="none"/>
                      <w:lang w:val="en-US" w:eastAsia="zh-CN" w:bidi="ar-SA"/>
                    </w:rPr>
                    <w:t>/L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10</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24</w:t>
                  </w:r>
                </w:p>
              </w:tc>
              <w:tc>
                <w:tcPr>
                  <w:tcW w:w="3683"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总余氯</w:t>
                  </w:r>
                  <w:r>
                    <w:rPr>
                      <w:rFonts w:ascii="Times New Roman" w:hAnsi="Times New Roman" w:eastAsia="宋体" w:cs="Times New Roman"/>
                      <w:spacing w:val="0"/>
                      <w:kern w:val="2"/>
                      <w:sz w:val="21"/>
                      <w:szCs w:val="21"/>
                      <w:u w:val="none"/>
                      <w:vertAlign w:val="superscript"/>
                      <w:lang w:val="en-US" w:eastAsia="zh-CN" w:bidi="ar-SA"/>
                    </w:rPr>
                    <w:t>1</w:t>
                  </w:r>
                  <w:r>
                    <w:rPr>
                      <w:rFonts w:hint="eastAsia" w:ascii="Times New Roman" w:hAnsi="Times New Roman" w:eastAsia="宋体" w:cs="Times New Roman"/>
                      <w:spacing w:val="0"/>
                      <w:kern w:val="2"/>
                      <w:sz w:val="21"/>
                      <w:szCs w:val="21"/>
                      <w:u w:val="none"/>
                      <w:vertAlign w:val="superscript"/>
                      <w:lang w:val="en-US" w:eastAsia="zh-CN" w:bidi="ar-SA"/>
                    </w:rPr>
                    <w:t>）</w:t>
                  </w:r>
                  <w:r>
                    <w:rPr>
                      <w:rFonts w:ascii="Times New Roman" w:hAnsi="Times New Roman" w:eastAsia="宋体" w:cs="Times New Roman"/>
                      <w:spacing w:val="0"/>
                      <w:kern w:val="2"/>
                      <w:sz w:val="21"/>
                      <w:szCs w:val="21"/>
                      <w:u w:val="none"/>
                      <w:vertAlign w:val="superscript"/>
                      <w:lang w:val="en-US" w:eastAsia="zh-CN" w:bidi="ar-SA"/>
                    </w:rPr>
                    <w:t>2</w:t>
                  </w:r>
                  <w:r>
                    <w:rPr>
                      <w:rFonts w:hint="eastAsia" w:ascii="Times New Roman" w:hAnsi="Times New Roman" w:eastAsia="宋体" w:cs="Times New Roman"/>
                      <w:spacing w:val="0"/>
                      <w:kern w:val="2"/>
                      <w:sz w:val="21"/>
                      <w:szCs w:val="21"/>
                      <w:u w:val="none"/>
                      <w:vertAlign w:val="superscript"/>
                      <w:lang w:val="en-US" w:eastAsia="zh-CN" w:bidi="ar-SA"/>
                    </w:rPr>
                    <w:t>）</w:t>
                  </w:r>
                  <w:r>
                    <w:rPr>
                      <w:rFonts w:hint="eastAsia" w:ascii="Times New Roman" w:hAnsi="Times New Roman" w:eastAsia="宋体" w:cs="Times New Roman"/>
                      <w:spacing w:val="0"/>
                      <w:kern w:val="2"/>
                      <w:sz w:val="21"/>
                      <w:szCs w:val="21"/>
                      <w:u w:val="none"/>
                      <w:lang w:val="en-US" w:eastAsia="zh-CN" w:bidi="ar-SA"/>
                    </w:rPr>
                    <w:t>/（</w:t>
                  </w:r>
                  <w:r>
                    <w:rPr>
                      <w:rFonts w:ascii="Times New Roman" w:hAnsi="Times New Roman" w:eastAsia="宋体" w:cs="Times New Roman"/>
                      <w:spacing w:val="0"/>
                      <w:kern w:val="2"/>
                      <w:sz w:val="21"/>
                      <w:szCs w:val="21"/>
                      <w:u w:val="none"/>
                      <w:lang w:val="en-US" w:eastAsia="zh-CN" w:bidi="ar-SA"/>
                    </w:rPr>
                    <w:t>mg/L</w:t>
                  </w:r>
                  <w:r>
                    <w:rPr>
                      <w:rFonts w:hint="eastAsia" w:ascii="Times New Roman" w:hAnsi="Times New Roman" w:eastAsia="宋体" w:cs="Times New Roman"/>
                      <w:spacing w:val="0"/>
                      <w:kern w:val="2"/>
                      <w:sz w:val="21"/>
                      <w:szCs w:val="21"/>
                      <w:u w:val="none"/>
                      <w:lang w:val="en-US" w:eastAsia="zh-CN" w:bidi="ar-SA"/>
                    </w:rPr>
                    <w:t>）</w:t>
                  </w:r>
                </w:p>
              </w:tc>
              <w:tc>
                <w:tcPr>
                  <w:tcW w:w="1755" w:type="dxa"/>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r>
                    <w:rPr>
                      <w:rFonts w:ascii="Times New Roman" w:hAnsi="Times New Roman" w:eastAsia="宋体" w:cs="Times New Roman"/>
                      <w:spacing w:val="0"/>
                      <w:kern w:val="2"/>
                      <w:sz w:val="21"/>
                      <w:szCs w:val="21"/>
                      <w:u w:val="none"/>
                      <w:lang w:val="en-US" w:eastAsia="zh-CN" w:bidi="ar-SA"/>
                    </w:rPr>
                    <w:t>/</w:t>
                  </w:r>
                </w:p>
              </w:tc>
              <w:tc>
                <w:tcPr>
                  <w:tcW w:w="2008" w:type="dxa"/>
                  <w:vMerge w:val="continue"/>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center"/>
                    <w:textAlignment w:val="center"/>
                    <w:rPr>
                      <w:rFonts w:ascii="Times New Roman" w:hAnsi="Times New Roman" w:eastAsia="宋体" w:cs="Times New Roman"/>
                      <w:spacing w:val="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232" w:type="dxa"/>
                  <w:gridSpan w:val="4"/>
                  <w:tcBorders>
                    <w:tl2br w:val="nil"/>
                    <w:tr2bl w:val="nil"/>
                  </w:tcBorders>
                  <w:noWrap w:val="0"/>
                  <w:vAlign w:val="center"/>
                </w:tcPr>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注：1）采用含氯消毒剂消毒的工艺控制要求为：</w:t>
                  </w: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预处理标准：消毒接触池接触时间≥1h，接触池出口总余氯2~</w:t>
                  </w:r>
                  <w:r>
                    <w:rPr>
                      <w:rFonts w:ascii="Times New Roman" w:hAnsi="Times New Roman" w:eastAsia="宋体" w:cs="Times New Roman"/>
                      <w:spacing w:val="0"/>
                      <w:kern w:val="2"/>
                      <w:sz w:val="21"/>
                      <w:szCs w:val="21"/>
                      <w:u w:val="none"/>
                      <w:lang w:val="en-US" w:eastAsia="zh-CN" w:bidi="ar-SA"/>
                    </w:rPr>
                    <w:t>8</w:t>
                  </w:r>
                  <w:r>
                    <w:rPr>
                      <w:rFonts w:hint="eastAsia" w:ascii="Times New Roman" w:hAnsi="Times New Roman" w:eastAsia="宋体" w:cs="Times New Roman"/>
                      <w:spacing w:val="0"/>
                      <w:kern w:val="2"/>
                      <w:sz w:val="21"/>
                      <w:szCs w:val="21"/>
                      <w:u w:val="none"/>
                      <w:lang w:val="en-US" w:eastAsia="zh-CN" w:bidi="ar-SA"/>
                    </w:rPr>
                    <w:t>mg/L。</w:t>
                  </w:r>
                </w:p>
                <w:p>
                  <w:pPr>
                    <w:keepNext w:val="0"/>
                    <w:keepLines w:val="0"/>
                    <w:pageBreakBefore w:val="0"/>
                    <w:widowControl/>
                    <w:tabs>
                      <w:tab w:val="left" w:pos="940"/>
                    </w:tabs>
                    <w:kinsoku/>
                    <w:wordWrap/>
                    <w:overflowPunct/>
                    <w:topLinePunct w:val="0"/>
                    <w:autoSpaceDE/>
                    <w:autoSpaceDN/>
                    <w:bidi w:val="0"/>
                    <w:adjustRightInd/>
                    <w:snapToGrid/>
                    <w:spacing w:line="280" w:lineRule="exact"/>
                    <w:ind w:firstLine="0" w:firstLineChars="0"/>
                    <w:jc w:val="left"/>
                    <w:textAlignment w:val="center"/>
                    <w:rPr>
                      <w:rFonts w:hint="eastAsia" w:ascii="Times New Roman" w:hAnsi="Times New Roman" w:eastAsia="宋体" w:cs="Times New Roman"/>
                      <w:spacing w:val="0"/>
                      <w:kern w:val="2"/>
                      <w:sz w:val="21"/>
                      <w:szCs w:val="21"/>
                      <w:u w:val="none"/>
                      <w:lang w:val="en-US" w:eastAsia="zh-CN" w:bidi="ar-SA"/>
                    </w:rPr>
                  </w:pPr>
                  <w:r>
                    <w:rPr>
                      <w:rFonts w:hint="eastAsia" w:ascii="Times New Roman" w:hAnsi="Times New Roman" w:eastAsia="宋体" w:cs="Times New Roman"/>
                      <w:spacing w:val="0"/>
                      <w:kern w:val="2"/>
                      <w:sz w:val="21"/>
                      <w:szCs w:val="21"/>
                      <w:u w:val="none"/>
                      <w:lang w:val="en-US" w:eastAsia="zh-CN" w:bidi="ar-SA"/>
                    </w:rPr>
                    <w:t>2）采用其他消毒剂对总余氯不做要求</w:t>
                  </w:r>
                </w:p>
              </w:tc>
            </w:tr>
          </w:tbl>
          <w:p>
            <w:pPr>
              <w:pStyle w:val="161"/>
              <w:rPr>
                <w:rFonts w:hint="default" w:ascii="Times New Roman" w:hAnsi="Times New Roman" w:cs="Times New Roman"/>
                <w:lang w:val="en-US" w:eastAsia="zh-CN"/>
              </w:rPr>
            </w:pPr>
            <w:r>
              <w:rPr>
                <w:rFonts w:hint="default" w:ascii="Times New Roman" w:hAnsi="Times New Roman" w:cs="Times New Roman"/>
                <w:lang w:val="en-US" w:eastAsia="zh-CN"/>
              </w:rPr>
              <w:t>3、噪声</w:t>
            </w:r>
          </w:p>
          <w:p>
            <w:pPr>
              <w:pStyle w:val="98"/>
              <w:ind w:firstLine="480"/>
              <w:rPr>
                <w:rFonts w:hint="default" w:ascii="Times New Roman" w:hAnsi="Times New Roman" w:cs="Times New Roman"/>
                <w:sz w:val="24"/>
                <w:szCs w:val="24"/>
              </w:rPr>
            </w:pPr>
            <w:r>
              <w:rPr>
                <w:rFonts w:hint="default" w:ascii="Times New Roman" w:hAnsi="Times New Roman" w:cs="Times New Roman"/>
                <w:sz w:val="24"/>
                <w:szCs w:val="24"/>
              </w:rPr>
              <w:t>营运期执行《工业企业厂界环境噪声排放标准》（GB12348-2008）中2类标准。</w:t>
            </w:r>
          </w:p>
          <w:p>
            <w:pPr>
              <w:pStyle w:val="8"/>
              <w:keepNext/>
              <w:keepLines w:val="0"/>
              <w:pageBreakBefore w:val="0"/>
              <w:widowControl/>
              <w:kinsoku/>
              <w:wordWrap/>
              <w:overflowPunct/>
              <w:topLinePunct w:val="0"/>
              <w:autoSpaceDE/>
              <w:autoSpaceDN/>
              <w:bidi w:val="0"/>
              <w:adjustRightInd/>
              <w:snapToGrid/>
              <w:spacing w:line="240" w:lineRule="auto"/>
              <w:textAlignment w:val="auto"/>
            </w:pPr>
            <w:r>
              <w:rPr>
                <w:rFonts w:hint="eastAsia"/>
              </w:rPr>
              <w:t xml:space="preserve">表3- </w:t>
            </w:r>
            <w:r>
              <w:rPr>
                <w:rFonts w:hint="eastAsia"/>
                <w:lang w:val="en-US" w:eastAsia="zh-CN"/>
              </w:rPr>
              <w:t xml:space="preserve">9  </w:t>
            </w:r>
            <w:r>
              <w:rPr>
                <w:rFonts w:hint="eastAsia"/>
              </w:rPr>
              <w:t>《工业企业厂界环境噪声排放标准》（</w:t>
            </w:r>
            <w:r>
              <w:t>GB12348-2008）单位：dB</w:t>
            </w:r>
          </w:p>
          <w:tbl>
            <w:tblPr>
              <w:tblStyle w:val="34"/>
              <w:tblW w:w="8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4"/>
              <w:gridCol w:w="2673"/>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4"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center"/>
                    <w:rPr>
                      <w:rFonts w:cs="宋体"/>
                      <w:b/>
                      <w:sz w:val="21"/>
                      <w:szCs w:val="21"/>
                      <w:lang w:val="en-US" w:eastAsia="zh-CN"/>
                    </w:rPr>
                  </w:pPr>
                  <w:r>
                    <w:rPr>
                      <w:rFonts w:cs="宋体"/>
                      <w:b/>
                      <w:sz w:val="21"/>
                      <w:szCs w:val="21"/>
                      <w:lang w:val="en-US" w:eastAsia="zh-CN"/>
                    </w:rPr>
                    <w:t>类别</w:t>
                  </w:r>
                </w:p>
              </w:tc>
              <w:tc>
                <w:tcPr>
                  <w:tcW w:w="267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center"/>
                    <w:rPr>
                      <w:rFonts w:cs="宋体"/>
                      <w:b/>
                      <w:sz w:val="21"/>
                      <w:szCs w:val="21"/>
                      <w:lang w:val="en-US" w:eastAsia="zh-CN"/>
                    </w:rPr>
                  </w:pPr>
                  <w:r>
                    <w:rPr>
                      <w:rFonts w:cs="宋体"/>
                      <w:b/>
                      <w:sz w:val="21"/>
                      <w:szCs w:val="21"/>
                      <w:lang w:val="en-US" w:eastAsia="zh-CN"/>
                    </w:rPr>
                    <w:t>昼间</w:t>
                  </w:r>
                </w:p>
              </w:tc>
              <w:tc>
                <w:tcPr>
                  <w:tcW w:w="267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center"/>
                    <w:rPr>
                      <w:rFonts w:cs="宋体"/>
                      <w:b/>
                      <w:sz w:val="21"/>
                      <w:szCs w:val="21"/>
                      <w:lang w:val="en-US" w:eastAsia="zh-CN"/>
                    </w:rPr>
                  </w:pPr>
                  <w:r>
                    <w:rPr>
                      <w:rFonts w:cs="宋体"/>
                      <w:b/>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4"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center"/>
                    <w:rPr>
                      <w:rFonts w:cs="宋体"/>
                      <w:sz w:val="21"/>
                      <w:szCs w:val="21"/>
                      <w:lang w:val="en-US" w:eastAsia="zh-CN"/>
                    </w:rPr>
                  </w:pPr>
                  <w:r>
                    <w:rPr>
                      <w:rFonts w:cs="宋体"/>
                      <w:sz w:val="21"/>
                      <w:szCs w:val="21"/>
                      <w:lang w:val="en-US" w:eastAsia="zh-CN"/>
                    </w:rPr>
                    <w:t>2类</w:t>
                  </w:r>
                </w:p>
              </w:tc>
              <w:tc>
                <w:tcPr>
                  <w:tcW w:w="267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center"/>
                    <w:rPr>
                      <w:rFonts w:cs="宋体"/>
                      <w:sz w:val="21"/>
                      <w:szCs w:val="21"/>
                      <w:lang w:val="en-US" w:eastAsia="zh-CN"/>
                    </w:rPr>
                  </w:pPr>
                  <w:r>
                    <w:rPr>
                      <w:rFonts w:cs="宋体"/>
                      <w:sz w:val="21"/>
                      <w:szCs w:val="21"/>
                      <w:lang w:val="en-US" w:eastAsia="zh-CN"/>
                    </w:rPr>
                    <w:t>60</w:t>
                  </w:r>
                </w:p>
              </w:tc>
              <w:tc>
                <w:tcPr>
                  <w:tcW w:w="267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center"/>
                    <w:rPr>
                      <w:rFonts w:cs="宋体"/>
                      <w:sz w:val="21"/>
                      <w:szCs w:val="21"/>
                      <w:lang w:val="en-US" w:eastAsia="zh-CN"/>
                    </w:rPr>
                  </w:pPr>
                  <w:r>
                    <w:rPr>
                      <w:rFonts w:cs="宋体"/>
                      <w:sz w:val="21"/>
                      <w:szCs w:val="21"/>
                      <w:lang w:val="en-US" w:eastAsia="zh-CN"/>
                    </w:rPr>
                    <w:t>50</w:t>
                  </w:r>
                </w:p>
              </w:tc>
            </w:tr>
          </w:tbl>
          <w:p>
            <w:pPr>
              <w:pStyle w:val="98"/>
              <w:ind w:firstLine="480"/>
              <w:rPr>
                <w:b/>
                <w:bCs/>
                <w:sz w:val="24"/>
                <w:szCs w:val="24"/>
              </w:rPr>
            </w:pPr>
            <w:r>
              <w:rPr>
                <w:b/>
                <w:bCs/>
                <w:sz w:val="24"/>
                <w:szCs w:val="24"/>
              </w:rPr>
              <w:t>4、固体废弃物</w:t>
            </w:r>
          </w:p>
          <w:p>
            <w:pPr>
              <w:pStyle w:val="98"/>
              <w:ind w:firstLine="480"/>
              <w:jc w:val="both"/>
              <w:rPr>
                <w:sz w:val="24"/>
                <w:szCs w:val="21"/>
              </w:rPr>
            </w:pPr>
            <w:r>
              <w:rPr>
                <w:rFonts w:hint="eastAsia"/>
                <w:sz w:val="24"/>
                <w:szCs w:val="24"/>
                <w:u w:val="none"/>
                <w:lang w:eastAsia="zh-CN"/>
              </w:rPr>
              <w:t>（</w:t>
            </w:r>
            <w:r>
              <w:rPr>
                <w:rFonts w:hint="eastAsia"/>
                <w:sz w:val="24"/>
                <w:szCs w:val="24"/>
                <w:u w:val="none"/>
                <w:lang w:val="en-US" w:eastAsia="zh-CN"/>
              </w:rPr>
              <w:t>1</w:t>
            </w:r>
            <w:r>
              <w:rPr>
                <w:rFonts w:hint="eastAsia"/>
                <w:sz w:val="24"/>
                <w:szCs w:val="24"/>
                <w:u w:val="none"/>
                <w:lang w:eastAsia="zh-CN"/>
              </w:rPr>
              <w:t>）</w:t>
            </w:r>
            <w:r>
              <w:rPr>
                <w:rFonts w:hint="eastAsia"/>
                <w:sz w:val="24"/>
                <w:szCs w:val="24"/>
                <w:u w:val="none"/>
              </w:rPr>
              <w:t>项目运营后生活垃圾执行《生活垃圾焚烧污染控制标准及修改单》（GB18485-2014）；</w:t>
            </w:r>
            <w:r>
              <w:rPr>
                <w:rFonts w:hint="eastAsia"/>
                <w:sz w:val="24"/>
                <w:szCs w:val="24"/>
                <w:u w:val="none"/>
                <w:lang w:eastAsia="zh-CN"/>
              </w:rPr>
              <w:t>（</w:t>
            </w:r>
            <w:r>
              <w:rPr>
                <w:rFonts w:hint="eastAsia"/>
                <w:sz w:val="24"/>
                <w:szCs w:val="24"/>
                <w:u w:val="none"/>
                <w:lang w:val="en-US" w:eastAsia="zh-CN"/>
              </w:rPr>
              <w:t>2</w:t>
            </w:r>
            <w:r>
              <w:rPr>
                <w:rFonts w:hint="eastAsia"/>
                <w:sz w:val="24"/>
                <w:szCs w:val="24"/>
                <w:u w:val="none"/>
                <w:lang w:eastAsia="zh-CN"/>
              </w:rPr>
              <w:t>）</w:t>
            </w:r>
            <w:r>
              <w:rPr>
                <w:rFonts w:hint="eastAsia"/>
                <w:sz w:val="24"/>
                <w:szCs w:val="24"/>
                <w:u w:val="none"/>
              </w:rPr>
              <w:t>医疗废物按《医疗废物管理条例》要求进行收集处置、其贮存按《医疗废物集中处置技术规范（试行）》（环发[2003]206号）执行；</w:t>
            </w:r>
            <w:r>
              <w:rPr>
                <w:rFonts w:hint="eastAsia"/>
                <w:sz w:val="24"/>
                <w:szCs w:val="24"/>
                <w:u w:val="none"/>
                <w:lang w:eastAsia="zh-CN"/>
              </w:rPr>
              <w:t>（</w:t>
            </w:r>
            <w:r>
              <w:rPr>
                <w:rFonts w:hint="eastAsia"/>
                <w:sz w:val="24"/>
                <w:szCs w:val="24"/>
                <w:u w:val="none"/>
                <w:lang w:val="en-US" w:eastAsia="zh-CN"/>
              </w:rPr>
              <w:t>3</w:t>
            </w:r>
            <w:r>
              <w:rPr>
                <w:rFonts w:hint="eastAsia"/>
                <w:sz w:val="24"/>
                <w:szCs w:val="24"/>
                <w:u w:val="none"/>
                <w:lang w:eastAsia="zh-CN"/>
              </w:rPr>
              <w:t>）</w:t>
            </w:r>
            <w:r>
              <w:rPr>
                <w:rFonts w:hint="eastAsia"/>
                <w:sz w:val="24"/>
                <w:szCs w:val="24"/>
                <w:u w:val="none"/>
                <w:lang w:val="en-US" w:eastAsia="zh-CN"/>
              </w:rPr>
              <w:t>化粪池</w:t>
            </w:r>
            <w:r>
              <w:rPr>
                <w:rFonts w:hint="eastAsia"/>
                <w:sz w:val="24"/>
                <w:szCs w:val="24"/>
                <w:u w:val="none"/>
              </w:rPr>
              <w:t>污泥执行《医疗机构水污染物排放标准》（GB18466-2005）表4中综合医疗机构和其它医疗机构污泥控制标准；</w:t>
            </w:r>
            <w:r>
              <w:rPr>
                <w:rFonts w:hint="eastAsia"/>
                <w:sz w:val="24"/>
                <w:szCs w:val="24"/>
                <w:u w:val="none"/>
                <w:lang w:eastAsia="zh-CN"/>
              </w:rPr>
              <w:t>（</w:t>
            </w:r>
            <w:r>
              <w:rPr>
                <w:rFonts w:hint="eastAsia"/>
                <w:sz w:val="24"/>
                <w:szCs w:val="24"/>
                <w:u w:val="none"/>
                <w:lang w:val="en-US" w:eastAsia="zh-CN"/>
              </w:rPr>
              <w:t>4</w:t>
            </w:r>
            <w:r>
              <w:rPr>
                <w:rFonts w:hint="eastAsia"/>
                <w:sz w:val="24"/>
                <w:szCs w:val="24"/>
                <w:u w:val="none"/>
                <w:lang w:eastAsia="zh-CN"/>
              </w:rPr>
              <w:t>）</w:t>
            </w:r>
            <w:r>
              <w:rPr>
                <w:rFonts w:hint="eastAsia"/>
                <w:sz w:val="24"/>
                <w:szCs w:val="24"/>
                <w:u w:val="none"/>
              </w:rPr>
              <w:t>一般工业固废执行《一般工业固体废物贮存和填埋污染控制标准》（GB18599-2020）；</w:t>
            </w:r>
            <w:r>
              <w:rPr>
                <w:rFonts w:hint="eastAsia"/>
                <w:sz w:val="24"/>
                <w:szCs w:val="24"/>
                <w:u w:val="none"/>
                <w:lang w:eastAsia="zh-CN"/>
              </w:rPr>
              <w:t>（</w:t>
            </w:r>
            <w:r>
              <w:rPr>
                <w:rFonts w:hint="eastAsia"/>
                <w:sz w:val="24"/>
                <w:szCs w:val="24"/>
                <w:u w:val="none"/>
                <w:lang w:val="en-US" w:eastAsia="zh-CN"/>
              </w:rPr>
              <w:t>5</w:t>
            </w:r>
            <w:r>
              <w:rPr>
                <w:rFonts w:hint="eastAsia"/>
                <w:sz w:val="24"/>
                <w:szCs w:val="24"/>
                <w:u w:val="none"/>
                <w:lang w:eastAsia="zh-CN"/>
              </w:rPr>
              <w:t>）</w:t>
            </w:r>
            <w:r>
              <w:rPr>
                <w:rFonts w:hint="eastAsia"/>
                <w:sz w:val="24"/>
                <w:szCs w:val="24"/>
                <w:u w:val="none"/>
              </w:rPr>
              <w:t>危险废物暂存执行《危险废物贮存污染控制标准》（GB18597-20</w:t>
            </w:r>
            <w:r>
              <w:rPr>
                <w:rFonts w:hint="eastAsia"/>
                <w:sz w:val="24"/>
                <w:szCs w:val="24"/>
                <w:u w:val="none"/>
                <w:lang w:val="en-US" w:eastAsia="zh-CN"/>
              </w:rPr>
              <w:t>23</w:t>
            </w:r>
            <w:r>
              <w:rPr>
                <w:rFonts w:hint="eastAsia"/>
                <w:sz w:val="24"/>
                <w:szCs w:val="24"/>
                <w:u w:val="none"/>
              </w:rPr>
              <w:t>）《湘西自治州医疗废物集中处置管理办法》以及《危险废物转移管理办法》（部令第23号）要求。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7" w:hRule="atLeast"/>
          <w:jc w:val="center"/>
        </w:trPr>
        <w:tc>
          <w:tcPr>
            <w:tcW w:w="800" w:type="dxa"/>
            <w:tcBorders>
              <w:top w:val="single" w:color="auto" w:sz="4" w:space="0"/>
              <w:right w:val="single" w:color="auto" w:sz="4" w:space="0"/>
            </w:tcBorders>
            <w:noWrap w:val="0"/>
            <w:vAlign w:val="center"/>
          </w:tcPr>
          <w:p>
            <w:pPr>
              <w:rPr>
                <w:b/>
                <w:bCs/>
              </w:rPr>
            </w:pPr>
            <w:r>
              <w:rPr>
                <w:b/>
                <w:bCs/>
              </w:rPr>
              <w:t>总量</w:t>
            </w:r>
          </w:p>
          <w:p>
            <w:pPr>
              <w:rPr>
                <w:b/>
                <w:bCs/>
              </w:rPr>
            </w:pPr>
            <w:r>
              <w:rPr>
                <w:b/>
                <w:bCs/>
              </w:rPr>
              <w:t>控制</w:t>
            </w:r>
          </w:p>
          <w:p>
            <w:pPr>
              <w:rPr>
                <w:szCs w:val="21"/>
              </w:rPr>
            </w:pPr>
            <w:r>
              <w:rPr>
                <w:b/>
                <w:bCs/>
              </w:rPr>
              <w:t>指标</w:t>
            </w:r>
          </w:p>
        </w:tc>
        <w:tc>
          <w:tcPr>
            <w:tcW w:w="8190" w:type="dxa"/>
            <w:tcBorders>
              <w:top w:val="single" w:color="auto" w:sz="4" w:space="0"/>
              <w:left w:val="single" w:color="auto" w:sz="4" w:space="0"/>
            </w:tcBorders>
            <w:noWrap w:val="0"/>
            <w:vAlign w:val="center"/>
          </w:tcPr>
          <w:p>
            <w:pPr>
              <w:pStyle w:val="98"/>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sz w:val="24"/>
                <w:szCs w:val="24"/>
                <w:u w:val="none"/>
              </w:rPr>
            </w:pPr>
            <w:r>
              <w:rPr>
                <w:rFonts w:hint="eastAsia"/>
                <w:sz w:val="24"/>
                <w:szCs w:val="24"/>
                <w:u w:val="none"/>
              </w:rPr>
              <w:t>依据《湖南省“十四五”生态环境保护规划》以及湖南省人民政府办公厅关于印发《湖南省主要污染物排污权有偿使用和交易管理办法》的通知（湘政办发〔2022〕23号），湖南省对化学需氧量、氨氮、二氧化硫、氮氧化物、铅、镉、砷、汞、铬、挥发性有机物、总磷等十一类污染物实行排污权有偿使用和交易管理，其中化学需氧量、氨氮、二氧化硫、氮氧化物四类污染物的管理对象为本行政区域内纳入固定污染源排污许可分类管理名录</w:t>
            </w:r>
            <w:r>
              <w:rPr>
                <w:rFonts w:hint="eastAsia"/>
                <w:sz w:val="24"/>
                <w:szCs w:val="24"/>
                <w:u w:val="none"/>
                <w:lang w:val="en-US" w:eastAsia="zh-CN"/>
              </w:rPr>
              <w:t>中</w:t>
            </w:r>
            <w:r>
              <w:rPr>
                <w:rFonts w:hint="eastAsia"/>
                <w:sz w:val="24"/>
                <w:szCs w:val="24"/>
                <w:u w:val="none"/>
              </w:rPr>
              <w:t>除公共基础设施类之外的工业类排污单位，铅、镉、砷、汞、铬、挥发性有机物、总磷七类污染物管理的具体行业、范围及施行时间有关规定在另行制定的实施细则中明确。</w:t>
            </w:r>
          </w:p>
          <w:p>
            <w:pPr>
              <w:pStyle w:val="98"/>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宋体" w:hAnsi="宋体" w:eastAsia="宋体" w:cs="宋体"/>
                <w:color w:val="000000"/>
                <w:sz w:val="24"/>
                <w:szCs w:val="24"/>
                <w:u w:val="single"/>
                <w:lang w:val="en-US" w:eastAsia="zh-CN"/>
              </w:rPr>
            </w:pPr>
            <w:r>
              <w:rPr>
                <w:rFonts w:hint="eastAsia"/>
                <w:sz w:val="24"/>
                <w:szCs w:val="24"/>
                <w:u w:val="none"/>
              </w:rPr>
              <w:t>花垣县</w:t>
            </w:r>
            <w:r>
              <w:rPr>
                <w:rFonts w:hint="eastAsia"/>
                <w:sz w:val="24"/>
                <w:szCs w:val="24"/>
                <w:u w:val="none"/>
                <w:lang w:val="en-US" w:eastAsia="zh-CN"/>
              </w:rPr>
              <w:t>人民医院精神科项目</w:t>
            </w:r>
            <w:r>
              <w:rPr>
                <w:rFonts w:hint="eastAsia"/>
                <w:sz w:val="24"/>
                <w:szCs w:val="24"/>
                <w:u w:val="none"/>
              </w:rPr>
              <w:t>属于医疗机构，医疗机构属于公共基础设施建设类，不属于其管理对象，因此本项目不需要购买总量</w:t>
            </w:r>
            <w:r>
              <w:rPr>
                <w:rFonts w:hint="eastAsia"/>
                <w:sz w:val="24"/>
                <w:szCs w:val="24"/>
                <w:u w:val="none"/>
                <w:lang w:eastAsia="zh-CN"/>
              </w:rPr>
              <w:t>。</w:t>
            </w:r>
          </w:p>
        </w:tc>
      </w:tr>
    </w:tbl>
    <w:p>
      <w:pPr>
        <w:pStyle w:val="25"/>
        <w:rPr>
          <w:snapToGrid w:val="0"/>
        </w:rPr>
      </w:pPr>
      <w:r>
        <w:rPr>
          <w:snapToGrid w:val="0"/>
          <w:sz w:val="36"/>
          <w:szCs w:val="36"/>
        </w:rPr>
        <w:br w:type="page"/>
      </w:r>
      <w:bookmarkStart w:id="22" w:name="_Toc7292"/>
      <w:bookmarkStart w:id="23" w:name="_Toc142759962"/>
      <w:r>
        <w:rPr>
          <w:snapToGrid w:val="0"/>
        </w:rPr>
        <w:t>四、主要环境影响和保护措施</w:t>
      </w:r>
      <w:bookmarkEnd w:id="22"/>
      <w:bookmarkEnd w:id="23"/>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3"/>
        <w:gridCol w:w="82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128" w:hRule="atLeast"/>
          <w:jc w:val="center"/>
        </w:trPr>
        <w:tc>
          <w:tcPr>
            <w:tcW w:w="419" w:type="pct"/>
            <w:noWrap w:val="0"/>
            <w:tcMar>
              <w:left w:w="28" w:type="dxa"/>
              <w:right w:w="28" w:type="dxa"/>
            </w:tcMar>
            <w:vAlign w:val="center"/>
          </w:tcPr>
          <w:p>
            <w:pPr>
              <w:rPr>
                <w:b/>
                <w:bCs/>
              </w:rPr>
            </w:pPr>
            <w:r>
              <w:rPr>
                <w:b/>
                <w:bCs/>
              </w:rPr>
              <w:t>施工期环境保护措施</w:t>
            </w:r>
          </w:p>
        </w:tc>
        <w:tc>
          <w:tcPr>
            <w:tcW w:w="4581" w:type="pct"/>
            <w:noWrap w:val="0"/>
            <w:vAlign w:val="center"/>
          </w:tcPr>
          <w:p>
            <w:pPr>
              <w:pStyle w:val="98"/>
              <w:ind w:firstLine="480"/>
              <w:rPr>
                <w:sz w:val="24"/>
                <w:szCs w:val="24"/>
                <w:u w:val="none"/>
              </w:rPr>
            </w:pPr>
            <w:r>
              <w:rPr>
                <w:sz w:val="24"/>
                <w:szCs w:val="24"/>
                <w:u w:val="none"/>
              </w:rPr>
              <w:t>本项目</w:t>
            </w:r>
            <w:r>
              <w:rPr>
                <w:rFonts w:hint="eastAsia"/>
                <w:sz w:val="24"/>
                <w:szCs w:val="24"/>
                <w:u w:val="none"/>
                <w:lang w:val="en-US" w:eastAsia="zh-CN"/>
              </w:rPr>
              <w:t>利用花垣县妇幼保健计划生育服务中心现有综合楼（5F，已闲置）进行装饰装修</w:t>
            </w:r>
            <w:r>
              <w:rPr>
                <w:sz w:val="24"/>
                <w:szCs w:val="24"/>
                <w:u w:val="none"/>
              </w:rPr>
              <w:t>，原</w:t>
            </w:r>
            <w:r>
              <w:rPr>
                <w:rFonts w:hint="eastAsia"/>
                <w:sz w:val="24"/>
                <w:szCs w:val="24"/>
                <w:u w:val="none"/>
                <w:lang w:val="en-US" w:eastAsia="zh-CN"/>
              </w:rPr>
              <w:t>综合楼</w:t>
            </w:r>
            <w:r>
              <w:rPr>
                <w:sz w:val="24"/>
                <w:szCs w:val="24"/>
                <w:u w:val="none"/>
              </w:rPr>
              <w:t>主体结构不变，施工期主要对地面、墙面进行整修，</w:t>
            </w:r>
            <w:r>
              <w:rPr>
                <w:rFonts w:hint="eastAsia"/>
                <w:sz w:val="24"/>
                <w:szCs w:val="24"/>
                <w:u w:val="none"/>
                <w:lang w:val="en-US" w:eastAsia="zh-CN"/>
              </w:rPr>
              <w:t>房间</w:t>
            </w:r>
            <w:r>
              <w:rPr>
                <w:sz w:val="24"/>
                <w:szCs w:val="24"/>
                <w:u w:val="none"/>
              </w:rPr>
              <w:t>内布局进行调整等，生产设备、建设配套的环保设施进场安装等。</w:t>
            </w:r>
          </w:p>
          <w:p>
            <w:pPr>
              <w:pStyle w:val="161"/>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1、施工扬尘防治措施</w:t>
            </w:r>
          </w:p>
          <w:p>
            <w:pPr>
              <w:pStyle w:val="98"/>
              <w:ind w:firstLine="480"/>
              <w:rPr>
                <w:rFonts w:hint="eastAsia"/>
                <w:bCs/>
                <w:sz w:val="24"/>
                <w:szCs w:val="24"/>
                <w:u w:val="none"/>
              </w:rPr>
            </w:pPr>
            <w:r>
              <w:rPr>
                <w:bCs/>
                <w:sz w:val="24"/>
                <w:szCs w:val="24"/>
                <w:u w:val="none"/>
              </w:rPr>
              <w:t>项目施工过程</w:t>
            </w:r>
            <w:r>
              <w:rPr>
                <w:rFonts w:hint="eastAsia"/>
                <w:bCs/>
                <w:sz w:val="24"/>
                <w:szCs w:val="24"/>
                <w:u w:val="none"/>
              </w:rPr>
              <w:t>仅对原有厂房进行装修改造，不进行土方作业，仅在进行布局改造时拆除墙面时产生施工扬尘，项目施工作业均在室内进行扬尘产生排放量均较小，本环评要求对建筑垃圾及时清除，清理阶段做到先洒水后清扫，避免产生扬尘对区域生态环境造成较大影响。</w:t>
            </w:r>
          </w:p>
          <w:p>
            <w:pPr>
              <w:pStyle w:val="161"/>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w:t>
            </w:r>
            <w:r>
              <w:rPr>
                <w:rFonts w:hint="default" w:ascii="Times New Roman" w:hAnsi="Times New Roman" w:cs="Times New Roman"/>
                <w:lang w:val="en-US" w:eastAsia="zh-CN"/>
              </w:rPr>
              <w:t>施工废水防治措施</w:t>
            </w:r>
          </w:p>
          <w:p>
            <w:pPr>
              <w:pStyle w:val="98"/>
              <w:ind w:firstLine="480"/>
              <w:rPr>
                <w:bCs/>
                <w:sz w:val="24"/>
                <w:szCs w:val="24"/>
                <w:u w:val="none"/>
              </w:rPr>
            </w:pPr>
            <w:r>
              <w:rPr>
                <w:bCs/>
                <w:sz w:val="24"/>
                <w:szCs w:val="24"/>
                <w:u w:val="none"/>
              </w:rPr>
              <w:t>施工期生活污水依托</w:t>
            </w:r>
            <w:r>
              <w:rPr>
                <w:rFonts w:hint="eastAsia"/>
                <w:sz w:val="24"/>
                <w:szCs w:val="24"/>
                <w:u w:val="none"/>
                <w:lang w:val="en-US" w:eastAsia="zh-CN"/>
              </w:rPr>
              <w:t>花垣县妇幼保健计划生育服务中心综合楼现有化粪池</w:t>
            </w:r>
            <w:r>
              <w:rPr>
                <w:bCs/>
                <w:sz w:val="24"/>
                <w:szCs w:val="24"/>
                <w:u w:val="none"/>
              </w:rPr>
              <w:t>。通过上述措施后，施工期废水对区域水环境影响较小。</w:t>
            </w:r>
          </w:p>
          <w:p>
            <w:pPr>
              <w:pStyle w:val="161"/>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3、施工期噪声污染防治措施</w:t>
            </w:r>
          </w:p>
          <w:p>
            <w:pPr>
              <w:pStyle w:val="98"/>
              <w:ind w:firstLine="480"/>
              <w:rPr>
                <w:rFonts w:hint="eastAsia"/>
                <w:bCs/>
                <w:sz w:val="24"/>
                <w:szCs w:val="24"/>
              </w:rPr>
            </w:pPr>
            <w:r>
              <w:rPr>
                <w:bCs/>
                <w:sz w:val="24"/>
                <w:szCs w:val="24"/>
              </w:rPr>
              <w:t>施工期由于设备施工、物料装卸等过程产生噪声。为减小噪声对区域的环境影响,要求措施如下</w:t>
            </w:r>
            <w:r>
              <w:rPr>
                <w:rFonts w:hint="eastAsia"/>
                <w:bCs/>
                <w:sz w:val="24"/>
                <w:szCs w:val="24"/>
              </w:rPr>
              <w:t>：</w:t>
            </w:r>
          </w:p>
          <w:p>
            <w:pPr>
              <w:pStyle w:val="98"/>
              <w:ind w:firstLine="480"/>
              <w:rPr>
                <w:rFonts w:hint="eastAsia"/>
                <w:bCs/>
                <w:sz w:val="24"/>
                <w:szCs w:val="24"/>
              </w:rPr>
            </w:pPr>
            <w:r>
              <w:rPr>
                <w:rFonts w:hint="eastAsia"/>
                <w:bCs/>
                <w:sz w:val="24"/>
                <w:szCs w:val="24"/>
              </w:rPr>
              <w:t>（</w:t>
            </w:r>
            <w:r>
              <w:rPr>
                <w:bCs/>
                <w:sz w:val="24"/>
                <w:szCs w:val="24"/>
              </w:rPr>
              <w:t>1</w:t>
            </w:r>
            <w:r>
              <w:rPr>
                <w:rFonts w:hint="eastAsia"/>
                <w:bCs/>
                <w:sz w:val="24"/>
                <w:szCs w:val="24"/>
              </w:rPr>
              <w:t>）</w:t>
            </w:r>
            <w:r>
              <w:rPr>
                <w:bCs/>
                <w:sz w:val="24"/>
                <w:szCs w:val="24"/>
              </w:rPr>
              <w:t>合理安排施工时间，22</w:t>
            </w:r>
            <w:r>
              <w:rPr>
                <w:rFonts w:hint="eastAsia"/>
                <w:bCs/>
                <w:sz w:val="24"/>
                <w:szCs w:val="24"/>
                <w:lang w:eastAsia="zh-CN"/>
              </w:rPr>
              <w:t>：</w:t>
            </w:r>
            <w:r>
              <w:rPr>
                <w:bCs/>
                <w:sz w:val="24"/>
                <w:szCs w:val="24"/>
              </w:rPr>
              <w:t>00-6</w:t>
            </w:r>
            <w:r>
              <w:rPr>
                <w:rFonts w:hint="eastAsia"/>
                <w:bCs/>
                <w:sz w:val="24"/>
                <w:szCs w:val="24"/>
                <w:lang w:eastAsia="zh-CN"/>
              </w:rPr>
              <w:t>：</w:t>
            </w:r>
            <w:r>
              <w:rPr>
                <w:bCs/>
                <w:sz w:val="24"/>
                <w:szCs w:val="24"/>
              </w:rPr>
              <w:t>00，12</w:t>
            </w:r>
            <w:r>
              <w:rPr>
                <w:rFonts w:hint="eastAsia"/>
                <w:bCs/>
                <w:sz w:val="24"/>
                <w:szCs w:val="24"/>
                <w:lang w:eastAsia="zh-CN"/>
              </w:rPr>
              <w:t>：</w:t>
            </w:r>
            <w:r>
              <w:rPr>
                <w:bCs/>
                <w:sz w:val="24"/>
                <w:szCs w:val="24"/>
              </w:rPr>
              <w:t>00-14</w:t>
            </w:r>
            <w:r>
              <w:rPr>
                <w:rFonts w:hint="eastAsia"/>
                <w:bCs/>
                <w:sz w:val="24"/>
                <w:szCs w:val="24"/>
                <w:lang w:eastAsia="zh-CN"/>
              </w:rPr>
              <w:t>：</w:t>
            </w:r>
            <w:r>
              <w:rPr>
                <w:bCs/>
                <w:sz w:val="24"/>
                <w:szCs w:val="24"/>
              </w:rPr>
              <w:t>30时间段严禁进行电钻等高噪声施工作业，晚上禁止施工，避免对建设地址附近居民的生活产生较大影响</w:t>
            </w:r>
            <w:r>
              <w:rPr>
                <w:rFonts w:hint="eastAsia"/>
                <w:bCs/>
                <w:sz w:val="24"/>
                <w:szCs w:val="24"/>
              </w:rPr>
              <w:t>；</w:t>
            </w:r>
          </w:p>
          <w:p>
            <w:pPr>
              <w:pStyle w:val="98"/>
              <w:ind w:firstLine="480"/>
              <w:rPr>
                <w:bCs/>
                <w:sz w:val="24"/>
                <w:szCs w:val="24"/>
              </w:rPr>
            </w:pPr>
            <w:r>
              <w:rPr>
                <w:rFonts w:hint="eastAsia"/>
                <w:bCs/>
                <w:sz w:val="24"/>
                <w:szCs w:val="24"/>
              </w:rPr>
              <w:t>（2）</w:t>
            </w:r>
            <w:r>
              <w:rPr>
                <w:bCs/>
                <w:sz w:val="24"/>
                <w:szCs w:val="24"/>
              </w:rPr>
              <w:t>材料装卸采用人工传递，严禁抛掷或汽车一次性下料。通过上述措施后，施工期噪声对区域环境影响减小，随着施工期的结束，施工噪声对区域环境影响逐渐消失。</w:t>
            </w:r>
          </w:p>
          <w:p>
            <w:pPr>
              <w:pStyle w:val="161"/>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4、施工期固废污染防治措施</w:t>
            </w:r>
          </w:p>
          <w:p>
            <w:pPr>
              <w:pStyle w:val="98"/>
              <w:ind w:firstLine="480"/>
              <w:rPr>
                <w:rFonts w:hint="eastAsia"/>
                <w:sz w:val="24"/>
                <w:szCs w:val="24"/>
              </w:rPr>
            </w:pPr>
            <w:r>
              <w:rPr>
                <w:rFonts w:hint="eastAsia"/>
                <w:sz w:val="24"/>
                <w:szCs w:val="24"/>
              </w:rPr>
              <w:t>（1）</w:t>
            </w:r>
            <w:r>
              <w:rPr>
                <w:sz w:val="24"/>
                <w:szCs w:val="24"/>
              </w:rPr>
              <w:t>项目在建设过程中产生的建筑垃圾主要有建材损耗产生的垃圾等，包括废金属、钢筋、铁丝等杂物，建筑垃圾能回收利用的回收利用，不能回收利用的，与生活垃圾一起处置</w:t>
            </w:r>
            <w:r>
              <w:rPr>
                <w:rFonts w:hint="eastAsia"/>
                <w:sz w:val="24"/>
                <w:szCs w:val="24"/>
              </w:rPr>
              <w:t>；</w:t>
            </w:r>
          </w:p>
          <w:p>
            <w:pPr>
              <w:pStyle w:val="98"/>
              <w:ind w:firstLine="480"/>
              <w:rPr>
                <w:rFonts w:hint="eastAsia" w:eastAsia="宋体"/>
                <w:sz w:val="24"/>
                <w:szCs w:val="24"/>
                <w:lang w:eastAsia="zh-CN"/>
              </w:rPr>
            </w:pPr>
            <w:r>
              <w:rPr>
                <w:rFonts w:hint="eastAsia"/>
                <w:sz w:val="24"/>
                <w:szCs w:val="24"/>
              </w:rPr>
              <w:t>（2）</w:t>
            </w:r>
            <w:r>
              <w:rPr>
                <w:sz w:val="24"/>
                <w:szCs w:val="24"/>
              </w:rPr>
              <w:t>施工过程中产生的生活垃圾集中收集，</w:t>
            </w:r>
            <w:r>
              <w:rPr>
                <w:rFonts w:hint="eastAsia"/>
                <w:sz w:val="24"/>
                <w:szCs w:val="24"/>
              </w:rPr>
              <w:t>交</w:t>
            </w:r>
            <w:r>
              <w:rPr>
                <w:sz w:val="24"/>
                <w:szCs w:val="24"/>
              </w:rPr>
              <w:t>由</w:t>
            </w:r>
            <w:r>
              <w:rPr>
                <w:rFonts w:hint="eastAsia"/>
                <w:sz w:val="24"/>
                <w:szCs w:val="24"/>
              </w:rPr>
              <w:t>环卫部门</w:t>
            </w:r>
            <w:r>
              <w:rPr>
                <w:sz w:val="24"/>
                <w:szCs w:val="24"/>
              </w:rPr>
              <w:t>统一清运</w:t>
            </w:r>
            <w:r>
              <w:rPr>
                <w:rFonts w:hint="eastAsia"/>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3" w:hRule="atLeast"/>
          <w:jc w:val="center"/>
        </w:trPr>
        <w:tc>
          <w:tcPr>
            <w:tcW w:w="419" w:type="pct"/>
            <w:noWrap w:val="0"/>
            <w:tcMar>
              <w:left w:w="28" w:type="dxa"/>
              <w:right w:w="28" w:type="dxa"/>
            </w:tcMar>
            <w:vAlign w:val="center"/>
          </w:tcPr>
          <w:p>
            <w:pPr>
              <w:rPr>
                <w:b/>
                <w:bCs/>
              </w:rPr>
            </w:pPr>
            <w:r>
              <w:rPr>
                <w:b/>
                <w:bCs/>
              </w:rPr>
              <w:t>运营</w:t>
            </w:r>
          </w:p>
          <w:p>
            <w:pPr>
              <w:rPr>
                <w:b/>
                <w:bCs/>
              </w:rPr>
            </w:pPr>
            <w:r>
              <w:rPr>
                <w:b/>
                <w:bCs/>
              </w:rPr>
              <w:t>期环</w:t>
            </w:r>
          </w:p>
          <w:p>
            <w:pPr>
              <w:rPr>
                <w:b/>
                <w:bCs/>
              </w:rPr>
            </w:pPr>
            <w:r>
              <w:rPr>
                <w:b/>
                <w:bCs/>
              </w:rPr>
              <w:t>境影</w:t>
            </w:r>
          </w:p>
          <w:p>
            <w:pPr>
              <w:rPr>
                <w:b/>
                <w:bCs/>
              </w:rPr>
            </w:pPr>
            <w:r>
              <w:rPr>
                <w:b/>
                <w:bCs/>
              </w:rPr>
              <w:t>响和</w:t>
            </w:r>
          </w:p>
          <w:p>
            <w:pPr>
              <w:rPr>
                <w:b/>
                <w:bCs/>
              </w:rPr>
            </w:pPr>
            <w:r>
              <w:rPr>
                <w:b/>
                <w:bCs/>
              </w:rPr>
              <w:t>保护</w:t>
            </w:r>
          </w:p>
          <w:p>
            <w:r>
              <w:rPr>
                <w:b/>
                <w:bCs/>
              </w:rPr>
              <w:t>措施</w:t>
            </w:r>
          </w:p>
        </w:tc>
        <w:tc>
          <w:tcPr>
            <w:tcW w:w="4581" w:type="pct"/>
            <w:noWrap w:val="0"/>
            <w:vAlign w:val="center"/>
          </w:tcPr>
          <w:p>
            <w:pPr>
              <w:pStyle w:val="161"/>
              <w:ind w:left="0" w:leftChars="0" w:firstLine="0" w:firstLineChars="0"/>
              <w:rPr>
                <w:rFonts w:cs="宋体"/>
                <w:lang w:val="en-US" w:eastAsia="zh-CN"/>
              </w:rPr>
            </w:pPr>
            <w:r>
              <w:rPr>
                <w:rFonts w:hint="eastAsia" w:cs="宋体"/>
                <w:lang w:val="en-US" w:eastAsia="zh-CN"/>
              </w:rPr>
              <w:t>1、运营期</w:t>
            </w:r>
            <w:r>
              <w:rPr>
                <w:rFonts w:cs="宋体"/>
                <w:lang w:val="en-US" w:eastAsia="zh-CN"/>
              </w:rPr>
              <w:t>大气环境影响和保护措施分析</w:t>
            </w:r>
          </w:p>
          <w:p>
            <w:pPr>
              <w:widowControl w:val="0"/>
              <w:spacing w:line="360" w:lineRule="auto"/>
              <w:ind w:firstLine="513" w:firstLineChars="214"/>
              <w:jc w:val="both"/>
              <w:rPr>
                <w:rFonts w:ascii="Times New Roman" w:hAnsi="Times New Roman" w:eastAsia="宋体" w:cs="Times New Roman"/>
                <w:color w:val="000000"/>
                <w:spacing w:val="4"/>
                <w:kern w:val="2"/>
                <w:sz w:val="24"/>
                <w:u w:val="none" w:color="auto"/>
              </w:rPr>
            </w:pPr>
            <w:r>
              <w:rPr>
                <w:rFonts w:ascii="Times New Roman" w:hAnsi="Times New Roman" w:eastAsia="宋体" w:cs="Times New Roman"/>
                <w:color w:val="000000"/>
                <w:kern w:val="2"/>
                <w:sz w:val="24"/>
                <w:u w:val="none" w:color="auto"/>
              </w:rPr>
              <w:t>本项目运营期供热采用电能，</w:t>
            </w:r>
            <w:r>
              <w:rPr>
                <w:rFonts w:hint="eastAsia" w:cs="Times New Roman"/>
                <w:color w:val="000000"/>
                <w:kern w:val="2"/>
                <w:sz w:val="24"/>
                <w:u w:val="none" w:color="auto"/>
                <w:lang w:val="en-US" w:eastAsia="zh-CN"/>
              </w:rPr>
              <w:t>不设置备用柴油发电机。项目废水处理依托花垣县疾控中心现有一体化污水处理站进行处理，医疗废物依托花垣县疾控中心现有医疗废物暂存间进行暂存</w:t>
            </w:r>
            <w:r>
              <w:rPr>
                <w:rFonts w:ascii="Times New Roman" w:hAnsi="Times New Roman" w:eastAsia="宋体" w:cs="Times New Roman"/>
                <w:color w:val="000000"/>
                <w:kern w:val="2"/>
                <w:sz w:val="24"/>
                <w:u w:val="none" w:color="auto"/>
              </w:rPr>
              <w:t>。</w:t>
            </w:r>
            <w:r>
              <w:rPr>
                <w:rFonts w:hint="eastAsia" w:cs="Times New Roman"/>
                <w:color w:val="000000"/>
                <w:kern w:val="2"/>
                <w:sz w:val="24"/>
                <w:u w:val="none" w:color="auto"/>
                <w:lang w:val="en-US" w:eastAsia="zh-CN"/>
              </w:rPr>
              <w:t>本项目运营期无废气产生。</w:t>
            </w:r>
          </w:p>
          <w:p>
            <w:pPr>
              <w:pStyle w:val="161"/>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2、运营期</w:t>
            </w:r>
            <w:r>
              <w:rPr>
                <w:rFonts w:hint="default" w:ascii="Times New Roman" w:hAnsi="Times New Roman" w:cs="Times New Roman"/>
                <w:lang w:val="en-US" w:eastAsia="zh-CN"/>
              </w:rPr>
              <w:t>水环境影响和保护措施分析</w:t>
            </w:r>
          </w:p>
          <w:p>
            <w:pPr>
              <w:pStyle w:val="98"/>
              <w:ind w:left="0" w:leftChars="0" w:firstLine="0" w:firstLineChars="0"/>
              <w:rPr>
                <w:b/>
                <w:bCs/>
                <w:sz w:val="24"/>
                <w:szCs w:val="24"/>
              </w:rPr>
            </w:pPr>
            <w:r>
              <w:rPr>
                <w:rFonts w:hint="eastAsia"/>
                <w:b/>
                <w:bCs/>
                <w:sz w:val="24"/>
                <w:szCs w:val="24"/>
                <w:lang w:val="en-US" w:eastAsia="zh-CN"/>
              </w:rPr>
              <w:t>2.1</w:t>
            </w:r>
            <w:r>
              <w:rPr>
                <w:b/>
                <w:bCs/>
                <w:sz w:val="24"/>
                <w:szCs w:val="24"/>
              </w:rPr>
              <w:t>废水污染源及源强分析</w:t>
            </w:r>
          </w:p>
          <w:p>
            <w:pPr>
              <w:pStyle w:val="98"/>
              <w:ind w:firstLine="480"/>
              <w:rPr>
                <w:rFonts w:hint="eastAsia" w:ascii="Times New Roman" w:hAnsi="Times New Roman" w:eastAsia="宋体" w:cs="Times New Roman"/>
                <w:color w:val="000000"/>
                <w:sz w:val="24"/>
                <w:szCs w:val="24"/>
                <w:u w:val="none"/>
                <w:lang w:eastAsia="zh-CN"/>
              </w:rPr>
            </w:pPr>
            <w:r>
              <w:rPr>
                <w:rFonts w:ascii="Times New Roman" w:hAnsi="Times New Roman" w:eastAsia="宋体" w:cs="Times New Roman"/>
                <w:color w:val="000000"/>
                <w:sz w:val="24"/>
                <w:szCs w:val="24"/>
                <w:u w:val="none"/>
              </w:rPr>
              <w:t>根据《医疗机构水污染物排放标准》（GB18466-2005）3.2中</w:t>
            </w:r>
            <w:r>
              <w:rPr>
                <w:rFonts w:hint="eastAsia" w:cs="Times New Roman"/>
                <w:color w:val="000000"/>
                <w:sz w:val="24"/>
                <w:szCs w:val="24"/>
                <w:u w:val="none"/>
                <w:lang w:eastAsia="zh-CN"/>
              </w:rPr>
              <w:t>“</w:t>
            </w:r>
            <w:r>
              <w:rPr>
                <w:rFonts w:ascii="Times New Roman" w:hAnsi="Times New Roman" w:eastAsia="宋体" w:cs="Times New Roman"/>
                <w:color w:val="000000"/>
                <w:sz w:val="24"/>
                <w:szCs w:val="24"/>
                <w:u w:val="none"/>
              </w:rPr>
              <w:t>医疗机构门诊、病房、手术室、各类检验室、病理解剖室、放射室、洗衣房、太平间等处排出的诊疗、生活及粪便污水。当医疗机构其他污水与上述污水混合排出时一律视为医疗机构污水</w:t>
            </w:r>
            <w:r>
              <w:rPr>
                <w:rFonts w:hint="eastAsia" w:cs="Times New Roman"/>
                <w:color w:val="000000"/>
                <w:sz w:val="24"/>
                <w:szCs w:val="24"/>
                <w:u w:val="none"/>
                <w:lang w:eastAsia="zh-CN"/>
              </w:rPr>
              <w:t>”</w:t>
            </w:r>
            <w:r>
              <w:rPr>
                <w:rFonts w:hint="eastAsia" w:ascii="Times New Roman" w:hAnsi="Times New Roman" w:eastAsia="宋体" w:cs="Times New Roman"/>
                <w:color w:val="000000"/>
                <w:sz w:val="24"/>
                <w:szCs w:val="24"/>
                <w:u w:val="none"/>
                <w:lang w:eastAsia="zh-CN"/>
              </w:rPr>
              <w:t>。</w:t>
            </w:r>
          </w:p>
          <w:p>
            <w:pPr>
              <w:keepNext w:val="0"/>
              <w:keepLines w:val="0"/>
              <w:pageBreakBefore w:val="0"/>
              <w:widowControl w:val="0"/>
              <w:kinsoku/>
              <w:wordWrap/>
              <w:overflowPunct/>
              <w:topLinePunct w:val="0"/>
              <w:autoSpaceDE/>
              <w:autoSpaceDN/>
              <w:bidi w:val="0"/>
              <w:snapToGrid/>
              <w:spacing w:line="360" w:lineRule="auto"/>
              <w:ind w:firstLine="482" w:firstLineChars="200"/>
              <w:jc w:val="both"/>
              <w:textAlignment w:val="auto"/>
              <w:rPr>
                <w:color w:val="000000"/>
                <w:sz w:val="24"/>
                <w:highlight w:val="none"/>
                <w:u w:val="none" w:color="auto"/>
              </w:rPr>
            </w:pPr>
            <w:r>
              <w:rPr>
                <w:rFonts w:hint="eastAsia"/>
                <w:b/>
                <w:bCs/>
                <w:color w:val="000000"/>
                <w:sz w:val="24"/>
                <w:highlight w:val="none"/>
                <w:u w:val="none" w:color="auto"/>
                <w:lang w:val="en-US" w:eastAsia="zh-CN"/>
              </w:rPr>
              <w:t>本项目不设</w:t>
            </w:r>
            <w:r>
              <w:rPr>
                <w:b/>
                <w:bCs/>
                <w:color w:val="000000"/>
                <w:sz w:val="24"/>
                <w:highlight w:val="none"/>
                <w:u w:val="none" w:color="auto"/>
                <w:lang w:val="zh-CN"/>
              </w:rPr>
              <w:t>同位素治疗及诊疗科室，</w:t>
            </w:r>
            <w:r>
              <w:rPr>
                <w:rFonts w:hint="eastAsia"/>
                <w:b/>
                <w:bCs/>
                <w:color w:val="000000"/>
                <w:sz w:val="24"/>
                <w:highlight w:val="none"/>
                <w:u w:val="none" w:color="auto"/>
                <w:lang w:val="en-US" w:eastAsia="zh-CN"/>
              </w:rPr>
              <w:t>无放射科、牙科、传染病房及化验室</w:t>
            </w:r>
            <w:r>
              <w:rPr>
                <w:b/>
                <w:bCs/>
                <w:color w:val="000000"/>
                <w:sz w:val="24"/>
                <w:highlight w:val="none"/>
                <w:u w:val="none" w:color="auto"/>
                <w:lang w:val="zh-CN"/>
              </w:rPr>
              <w:t>，项目建成后无放射性废水，无含银、汞等重金属污水产生，无传染病医疗污水</w:t>
            </w:r>
            <w:r>
              <w:rPr>
                <w:rFonts w:hint="eastAsia"/>
                <w:b/>
                <w:bCs/>
                <w:color w:val="000000"/>
                <w:sz w:val="24"/>
                <w:highlight w:val="none"/>
                <w:u w:val="none" w:color="auto"/>
                <w:lang w:val="en-US" w:eastAsia="zh-CN"/>
              </w:rPr>
              <w:t>及化验室废水</w:t>
            </w:r>
            <w:r>
              <w:rPr>
                <w:b/>
                <w:bCs/>
                <w:color w:val="000000"/>
                <w:sz w:val="24"/>
                <w:highlight w:val="none"/>
                <w:u w:val="none" w:color="auto"/>
                <w:lang w:val="zh-CN"/>
              </w:rPr>
              <w:t>。</w:t>
            </w:r>
          </w:p>
          <w:p>
            <w:pPr>
              <w:pStyle w:val="98"/>
              <w:ind w:firstLine="480"/>
              <w:rPr>
                <w:rFonts w:ascii="Times New Roman" w:hAnsi="Times New Roman" w:eastAsia="宋体" w:cs="Times New Roman"/>
                <w:color w:val="000000"/>
                <w:sz w:val="24"/>
                <w:szCs w:val="24"/>
                <w:u w:val="none"/>
              </w:rPr>
            </w:pPr>
            <w:r>
              <w:rPr>
                <w:rFonts w:hint="eastAsia" w:ascii="Times New Roman" w:hAnsi="Times New Roman" w:eastAsia="宋体" w:cs="Times New Roman"/>
                <w:color w:val="000000"/>
                <w:sz w:val="24"/>
                <w:szCs w:val="24"/>
                <w:u w:val="none"/>
                <w:lang w:val="en-US" w:eastAsia="zh-CN"/>
              </w:rPr>
              <w:t>本</w:t>
            </w:r>
            <w:r>
              <w:rPr>
                <w:rFonts w:ascii="Times New Roman" w:hAnsi="Times New Roman" w:eastAsia="宋体" w:cs="Times New Roman"/>
                <w:color w:val="000000"/>
                <w:sz w:val="24"/>
                <w:szCs w:val="24"/>
                <w:u w:val="none"/>
              </w:rPr>
              <w:t>项目产生废水为病房废水、医务人员</w:t>
            </w:r>
            <w:r>
              <w:rPr>
                <w:rFonts w:hint="eastAsia" w:ascii="Times New Roman" w:hAnsi="Times New Roman" w:eastAsia="宋体" w:cs="Times New Roman"/>
                <w:color w:val="000000"/>
                <w:sz w:val="24"/>
                <w:szCs w:val="24"/>
                <w:u w:val="none"/>
                <w:lang w:val="en-US" w:eastAsia="zh-CN"/>
              </w:rPr>
              <w:t>生活污水</w:t>
            </w:r>
            <w:r>
              <w:rPr>
                <w:rFonts w:ascii="Times New Roman" w:hAnsi="Times New Roman" w:eastAsia="宋体" w:cs="Times New Roman"/>
                <w:color w:val="000000"/>
                <w:sz w:val="24"/>
                <w:szCs w:val="24"/>
                <w:u w:val="none"/>
              </w:rPr>
              <w:t>。项目生活</w:t>
            </w:r>
            <w:r>
              <w:rPr>
                <w:rFonts w:hint="eastAsia" w:ascii="Times New Roman" w:hAnsi="Times New Roman" w:eastAsia="宋体" w:cs="Times New Roman"/>
                <w:color w:val="000000"/>
                <w:sz w:val="24"/>
                <w:szCs w:val="24"/>
                <w:u w:val="none"/>
                <w:lang w:val="en-US" w:eastAsia="zh-CN"/>
              </w:rPr>
              <w:t>污水</w:t>
            </w:r>
            <w:r>
              <w:rPr>
                <w:rFonts w:ascii="Times New Roman" w:hAnsi="Times New Roman" w:eastAsia="宋体" w:cs="Times New Roman"/>
                <w:color w:val="000000"/>
                <w:sz w:val="24"/>
                <w:szCs w:val="24"/>
                <w:u w:val="none"/>
              </w:rPr>
              <w:t>与医疗废水经化粪池预处理在进入污水处理站处理达标后接入市政管网，最终接入花垣县污水处理厂进行处理，故本项目除雨水、绿化用水外，其他的所有废水统称为医疗机构污水。</w:t>
            </w:r>
          </w:p>
          <w:p>
            <w:pPr>
              <w:pStyle w:val="98"/>
              <w:ind w:firstLine="480"/>
              <w:rPr>
                <w:rFonts w:hint="eastAsia" w:ascii="Times New Roman" w:hAnsi="Times New Roman" w:eastAsia="宋体" w:cs="Times New Roman"/>
                <w:b/>
                <w:bCs/>
                <w:color w:val="000000"/>
                <w:sz w:val="24"/>
                <w:szCs w:val="24"/>
                <w:u w:val="none"/>
                <w:lang w:val="en-US" w:eastAsia="zh-CN"/>
              </w:rPr>
            </w:pPr>
            <w:r>
              <w:rPr>
                <w:rFonts w:hint="eastAsia" w:ascii="Times New Roman" w:hAnsi="Times New Roman" w:eastAsia="宋体" w:cs="Times New Roman"/>
                <w:b/>
                <w:bCs/>
                <w:color w:val="000000"/>
                <w:sz w:val="24"/>
                <w:szCs w:val="24"/>
                <w:u w:val="none"/>
                <w:lang w:val="en-US" w:eastAsia="zh-CN"/>
              </w:rPr>
              <w:t>（</w:t>
            </w:r>
            <w:r>
              <w:rPr>
                <w:rFonts w:hint="eastAsia" w:ascii="Times New Roman" w:hAnsi="Times New Roman" w:eastAsia="宋体" w:cs="Times New Roman"/>
                <w:b/>
                <w:bCs/>
                <w:color w:val="000000"/>
                <w:sz w:val="24"/>
                <w:szCs w:val="24"/>
                <w:u w:val="none"/>
                <w:lang w:val="en-US"/>
              </w:rPr>
              <w:t>1）病房</w:t>
            </w:r>
            <w:r>
              <w:rPr>
                <w:rFonts w:hint="eastAsia" w:ascii="Times New Roman" w:hAnsi="Times New Roman" w:eastAsia="宋体" w:cs="Times New Roman"/>
                <w:b/>
                <w:bCs/>
                <w:color w:val="000000"/>
                <w:sz w:val="24"/>
                <w:szCs w:val="24"/>
                <w:u w:val="none"/>
                <w:lang w:val="en-US" w:eastAsia="zh-CN"/>
              </w:rPr>
              <w:t>废水</w:t>
            </w:r>
          </w:p>
          <w:p>
            <w:pPr>
              <w:pStyle w:val="98"/>
              <w:ind w:firstLine="480"/>
              <w:rPr>
                <w:rFonts w:hint="default" w:ascii="Times New Roman" w:hAnsi="Times New Roman" w:eastAsia="宋体" w:cs="Times New Roman"/>
                <w:color w:val="000000"/>
                <w:sz w:val="24"/>
                <w:szCs w:val="24"/>
                <w:u w:val="none"/>
                <w:lang w:val="en-US" w:eastAsia="zh-CN"/>
              </w:rPr>
            </w:pPr>
            <w:r>
              <w:rPr>
                <w:rFonts w:hint="default" w:ascii="Times New Roman" w:hAnsi="Times New Roman" w:eastAsia="宋体" w:cs="Times New Roman"/>
                <w:color w:val="000000"/>
                <w:sz w:val="24"/>
                <w:szCs w:val="24"/>
                <w:u w:val="none"/>
                <w:lang w:val="en-US" w:eastAsia="zh-CN"/>
              </w:rPr>
              <w:t>本项目病房每层设有公共卫生间、淋浴室，病房用水定额为250L/床•d，住院人数按满负荷计算，为48床，用水量为12m</w:t>
            </w:r>
            <w:r>
              <w:rPr>
                <w:rFonts w:hint="default" w:ascii="Times New Roman" w:hAnsi="Times New Roman" w:eastAsia="宋体" w:cs="Times New Roman"/>
                <w:color w:val="000000"/>
                <w:sz w:val="24"/>
                <w:szCs w:val="24"/>
                <w:u w:val="none"/>
                <w:vertAlign w:val="superscript"/>
                <w:lang w:val="en-US" w:eastAsia="zh-CN"/>
              </w:rPr>
              <w:t>3</w:t>
            </w:r>
            <w:r>
              <w:rPr>
                <w:rFonts w:hint="default" w:ascii="Times New Roman" w:hAnsi="Times New Roman" w:eastAsia="宋体" w:cs="Times New Roman"/>
                <w:color w:val="000000"/>
                <w:sz w:val="24"/>
                <w:szCs w:val="24"/>
                <w:u w:val="none"/>
                <w:lang w:val="en-US" w:eastAsia="zh-CN"/>
              </w:rPr>
              <w:t>/d（4380m</w:t>
            </w:r>
            <w:r>
              <w:rPr>
                <w:rFonts w:hint="default" w:ascii="Times New Roman" w:hAnsi="Times New Roman" w:eastAsia="宋体" w:cs="Times New Roman"/>
                <w:color w:val="000000"/>
                <w:sz w:val="24"/>
                <w:szCs w:val="24"/>
                <w:u w:val="none"/>
                <w:vertAlign w:val="superscript"/>
                <w:lang w:val="en-US" w:eastAsia="zh-CN"/>
              </w:rPr>
              <w:t>3</w:t>
            </w:r>
            <w:r>
              <w:rPr>
                <w:rFonts w:hint="default" w:ascii="Times New Roman" w:hAnsi="Times New Roman" w:eastAsia="宋体" w:cs="Times New Roman"/>
                <w:color w:val="000000"/>
                <w:sz w:val="24"/>
                <w:szCs w:val="24"/>
                <w:u w:val="none"/>
                <w:lang w:val="en-US" w:eastAsia="zh-CN"/>
              </w:rPr>
              <w:t>/a）</w:t>
            </w:r>
            <w:r>
              <w:rPr>
                <w:rFonts w:hint="default" w:ascii="Times New Roman" w:hAnsi="Times New Roman" w:eastAsia="宋体" w:cs="Times New Roman"/>
                <w:color w:val="000000"/>
                <w:sz w:val="24"/>
                <w:szCs w:val="24"/>
                <w:u w:val="none"/>
                <w:lang w:val="en-US"/>
              </w:rPr>
              <w:t>。</w:t>
            </w:r>
            <w:r>
              <w:rPr>
                <w:rFonts w:hint="default" w:ascii="Times New Roman" w:hAnsi="Times New Roman" w:eastAsia="宋体" w:cs="Times New Roman"/>
                <w:color w:val="000000"/>
                <w:sz w:val="24"/>
                <w:szCs w:val="24"/>
                <w:u w:val="none"/>
                <w:lang w:val="en-US" w:eastAsia="zh-CN"/>
              </w:rPr>
              <w:t>产污系数以0.8计，则病房废水产生量约为9.6m</w:t>
            </w:r>
            <w:r>
              <w:rPr>
                <w:rFonts w:hint="default" w:ascii="Times New Roman" w:hAnsi="Times New Roman" w:eastAsia="宋体" w:cs="Times New Roman"/>
                <w:color w:val="000000"/>
                <w:sz w:val="24"/>
                <w:szCs w:val="24"/>
                <w:u w:val="none"/>
                <w:vertAlign w:val="superscript"/>
                <w:lang w:val="en-US" w:eastAsia="zh-CN"/>
              </w:rPr>
              <w:t>3</w:t>
            </w:r>
            <w:r>
              <w:rPr>
                <w:rFonts w:hint="default" w:ascii="Times New Roman" w:hAnsi="Times New Roman" w:eastAsia="宋体" w:cs="Times New Roman"/>
                <w:color w:val="000000"/>
                <w:sz w:val="24"/>
                <w:szCs w:val="24"/>
                <w:u w:val="none"/>
                <w:lang w:val="en-US" w:eastAsia="zh-CN"/>
              </w:rPr>
              <w:t>/d（3504m</w:t>
            </w:r>
            <w:r>
              <w:rPr>
                <w:rFonts w:hint="default" w:ascii="Times New Roman" w:hAnsi="Times New Roman" w:eastAsia="宋体" w:cs="Times New Roman"/>
                <w:color w:val="000000"/>
                <w:sz w:val="24"/>
                <w:szCs w:val="24"/>
                <w:u w:val="none"/>
                <w:vertAlign w:val="superscript"/>
                <w:lang w:val="en-US" w:eastAsia="zh-CN"/>
              </w:rPr>
              <w:t>3</w:t>
            </w:r>
            <w:r>
              <w:rPr>
                <w:rFonts w:hint="default" w:ascii="Times New Roman" w:hAnsi="Times New Roman" w:eastAsia="宋体" w:cs="Times New Roman"/>
                <w:color w:val="000000"/>
                <w:sz w:val="24"/>
                <w:szCs w:val="24"/>
                <w:u w:val="none"/>
                <w:lang w:val="en-US" w:eastAsia="zh-CN"/>
              </w:rPr>
              <w:t>/a）</w:t>
            </w:r>
            <w:r>
              <w:rPr>
                <w:rFonts w:hint="default" w:ascii="Times New Roman" w:hAnsi="Times New Roman" w:eastAsia="宋体" w:cs="Times New Roman"/>
                <w:color w:val="000000"/>
                <w:sz w:val="24"/>
                <w:szCs w:val="24"/>
                <w:u w:val="none"/>
                <w:lang w:val="en-US"/>
              </w:rPr>
              <w:t>。</w:t>
            </w:r>
          </w:p>
          <w:p>
            <w:pPr>
              <w:pStyle w:val="98"/>
              <w:ind w:firstLine="480"/>
              <w:rPr>
                <w:rFonts w:ascii="Times New Roman" w:hAnsi="Times New Roman" w:eastAsia="宋体" w:cs="Times New Roman"/>
                <w:b/>
                <w:bCs/>
                <w:color w:val="000000"/>
                <w:sz w:val="24"/>
                <w:szCs w:val="24"/>
                <w:u w:val="none"/>
                <w:lang w:val="en-US"/>
              </w:rPr>
            </w:pPr>
            <w:r>
              <w:rPr>
                <w:rFonts w:hint="eastAsia" w:ascii="Times New Roman" w:hAnsi="Times New Roman" w:eastAsia="宋体" w:cs="Times New Roman"/>
                <w:b/>
                <w:bCs/>
                <w:color w:val="000000"/>
                <w:sz w:val="24"/>
                <w:szCs w:val="24"/>
                <w:u w:val="none"/>
                <w:lang w:val="en-US" w:eastAsia="zh-CN"/>
              </w:rPr>
              <w:t>（</w:t>
            </w:r>
            <w:r>
              <w:rPr>
                <w:rFonts w:hint="eastAsia" w:ascii="Times New Roman" w:hAnsi="Times New Roman" w:eastAsia="宋体" w:cs="Times New Roman"/>
                <w:b/>
                <w:bCs/>
                <w:color w:val="000000"/>
                <w:sz w:val="24"/>
                <w:szCs w:val="24"/>
                <w:u w:val="none"/>
                <w:lang w:val="en-US"/>
              </w:rPr>
              <w:t>2）医务人员</w:t>
            </w:r>
            <w:r>
              <w:rPr>
                <w:rFonts w:hint="default" w:ascii="Times New Roman" w:hAnsi="Times New Roman" w:eastAsia="宋体" w:cs="Times New Roman"/>
                <w:b/>
                <w:bCs/>
                <w:color w:val="000000"/>
                <w:sz w:val="24"/>
                <w:szCs w:val="24"/>
                <w:u w:val="none"/>
                <w:lang w:val="en-US"/>
              </w:rPr>
              <w:t>生活</w:t>
            </w:r>
            <w:r>
              <w:rPr>
                <w:rFonts w:hint="eastAsia" w:ascii="Times New Roman" w:hAnsi="Times New Roman" w:eastAsia="宋体" w:cs="Times New Roman"/>
                <w:b/>
                <w:bCs/>
                <w:color w:val="000000"/>
                <w:sz w:val="24"/>
                <w:szCs w:val="24"/>
                <w:u w:val="none"/>
                <w:lang w:val="en-US" w:eastAsia="zh-CN"/>
              </w:rPr>
              <w:t>污</w:t>
            </w:r>
            <w:r>
              <w:rPr>
                <w:rFonts w:hint="default" w:ascii="Times New Roman" w:hAnsi="Times New Roman" w:eastAsia="宋体" w:cs="Times New Roman"/>
                <w:b/>
                <w:bCs/>
                <w:color w:val="000000"/>
                <w:sz w:val="24"/>
                <w:szCs w:val="24"/>
                <w:u w:val="none"/>
                <w:lang w:val="en-US"/>
              </w:rPr>
              <w:t>水</w:t>
            </w:r>
          </w:p>
          <w:p>
            <w:pPr>
              <w:pStyle w:val="98"/>
              <w:ind w:firstLine="480"/>
              <w:rPr>
                <w:rFonts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lang w:val="en-US"/>
              </w:rPr>
              <w:t>项目运营期劳动定员</w:t>
            </w:r>
            <w:r>
              <w:rPr>
                <w:rFonts w:hint="default" w:ascii="Times New Roman" w:hAnsi="Times New Roman" w:eastAsia="宋体" w:cs="Times New Roman"/>
                <w:color w:val="000000"/>
                <w:sz w:val="24"/>
                <w:szCs w:val="24"/>
                <w:u w:val="none"/>
                <w:lang w:val="en-US" w:eastAsia="zh-CN"/>
              </w:rPr>
              <w:t>10</w:t>
            </w:r>
            <w:r>
              <w:rPr>
                <w:rFonts w:hint="default" w:ascii="Times New Roman" w:hAnsi="Times New Roman" w:eastAsia="宋体" w:cs="Times New Roman"/>
                <w:color w:val="000000"/>
                <w:sz w:val="24"/>
                <w:szCs w:val="24"/>
                <w:u w:val="none"/>
                <w:lang w:val="en-US"/>
              </w:rPr>
              <w:t>人</w:t>
            </w:r>
            <w:r>
              <w:rPr>
                <w:rFonts w:hint="default" w:ascii="Times New Roman" w:hAnsi="Times New Roman" w:eastAsia="宋体" w:cs="Times New Roman"/>
                <w:color w:val="000000"/>
                <w:sz w:val="24"/>
                <w:szCs w:val="24"/>
                <w:u w:val="none"/>
                <w:lang w:val="en-US" w:eastAsia="zh-CN"/>
              </w:rPr>
              <w:t>，</w:t>
            </w:r>
            <w:r>
              <w:rPr>
                <w:rFonts w:hint="default" w:ascii="Times New Roman" w:hAnsi="Times New Roman" w:eastAsia="宋体" w:cs="Times New Roman"/>
                <w:color w:val="000000"/>
                <w:sz w:val="24"/>
                <w:szCs w:val="24"/>
                <w:u w:val="none"/>
                <w:lang w:val="en-US"/>
              </w:rPr>
              <w:t>年工作时间365d。根据《湖南省用水定额（DB43/T388-2020）》</w:t>
            </w:r>
            <w:r>
              <w:rPr>
                <w:rFonts w:hint="default" w:ascii="Times New Roman" w:hAnsi="Times New Roman" w:eastAsia="宋体" w:cs="Times New Roman"/>
                <w:color w:val="000000"/>
                <w:sz w:val="24"/>
                <w:szCs w:val="24"/>
                <w:u w:val="none"/>
                <w:lang w:val="en-US" w:eastAsia="zh-CN"/>
              </w:rPr>
              <w:t>，表29：城镇居民生活用水定额（小城市），用水定额为145L/人·d（通用值），则医务人员总用水量为1.45m</w:t>
            </w:r>
            <w:r>
              <w:rPr>
                <w:rFonts w:hint="default" w:ascii="Times New Roman" w:hAnsi="Times New Roman" w:eastAsia="宋体" w:cs="Times New Roman"/>
                <w:color w:val="000000"/>
                <w:sz w:val="24"/>
                <w:szCs w:val="24"/>
                <w:u w:val="none"/>
                <w:vertAlign w:val="superscript"/>
                <w:lang w:val="en-US" w:eastAsia="zh-CN"/>
              </w:rPr>
              <w:t>3</w:t>
            </w:r>
            <w:r>
              <w:rPr>
                <w:rFonts w:hint="default" w:ascii="Times New Roman" w:hAnsi="Times New Roman" w:eastAsia="宋体" w:cs="Times New Roman"/>
                <w:color w:val="000000"/>
                <w:sz w:val="24"/>
                <w:szCs w:val="24"/>
                <w:u w:val="none"/>
                <w:lang w:val="en-US" w:eastAsia="zh-CN"/>
              </w:rPr>
              <w:t>/d（529.25m</w:t>
            </w:r>
            <w:r>
              <w:rPr>
                <w:rFonts w:hint="default" w:ascii="Times New Roman" w:hAnsi="Times New Roman" w:eastAsia="宋体" w:cs="Times New Roman"/>
                <w:color w:val="000000"/>
                <w:sz w:val="24"/>
                <w:szCs w:val="24"/>
                <w:u w:val="none"/>
                <w:vertAlign w:val="superscript"/>
                <w:lang w:val="en-US" w:eastAsia="zh-CN"/>
              </w:rPr>
              <w:t>3</w:t>
            </w:r>
            <w:r>
              <w:rPr>
                <w:rFonts w:hint="default" w:ascii="Times New Roman" w:hAnsi="Times New Roman" w:eastAsia="宋体" w:cs="Times New Roman"/>
                <w:color w:val="000000"/>
                <w:sz w:val="24"/>
                <w:szCs w:val="24"/>
                <w:u w:val="none"/>
                <w:lang w:val="en-US" w:eastAsia="zh-CN"/>
              </w:rPr>
              <w:t>/a）。产污系数以0.8计，则生活污水产生量约为1.16m</w:t>
            </w:r>
            <w:r>
              <w:rPr>
                <w:rFonts w:hint="default" w:ascii="Times New Roman" w:hAnsi="Times New Roman" w:eastAsia="宋体" w:cs="Times New Roman"/>
                <w:color w:val="000000"/>
                <w:sz w:val="24"/>
                <w:szCs w:val="24"/>
                <w:u w:val="none"/>
                <w:vertAlign w:val="superscript"/>
                <w:lang w:val="en-US" w:eastAsia="zh-CN"/>
              </w:rPr>
              <w:t>3</w:t>
            </w:r>
            <w:r>
              <w:rPr>
                <w:rFonts w:hint="default" w:ascii="Times New Roman" w:hAnsi="Times New Roman" w:eastAsia="宋体" w:cs="Times New Roman"/>
                <w:color w:val="000000"/>
                <w:sz w:val="24"/>
                <w:szCs w:val="24"/>
                <w:u w:val="none"/>
                <w:lang w:val="en-US" w:eastAsia="zh-CN"/>
              </w:rPr>
              <w:t>/d（423.4m</w:t>
            </w:r>
            <w:r>
              <w:rPr>
                <w:rFonts w:hint="default" w:ascii="Times New Roman" w:hAnsi="Times New Roman" w:eastAsia="宋体" w:cs="Times New Roman"/>
                <w:color w:val="000000"/>
                <w:sz w:val="24"/>
                <w:szCs w:val="24"/>
                <w:u w:val="none"/>
                <w:vertAlign w:val="superscript"/>
                <w:lang w:val="en-US" w:eastAsia="zh-CN"/>
              </w:rPr>
              <w:t>3</w:t>
            </w:r>
            <w:r>
              <w:rPr>
                <w:rFonts w:hint="default" w:ascii="Times New Roman" w:hAnsi="Times New Roman" w:eastAsia="宋体" w:cs="Times New Roman"/>
                <w:color w:val="000000"/>
                <w:sz w:val="24"/>
                <w:szCs w:val="24"/>
                <w:u w:val="none"/>
                <w:lang w:val="en-US" w:eastAsia="zh-CN"/>
              </w:rPr>
              <w:t>/a）</w:t>
            </w:r>
            <w:r>
              <w:rPr>
                <w:rFonts w:hint="default" w:ascii="Times New Roman" w:hAnsi="Times New Roman" w:eastAsia="宋体" w:cs="Times New Roman"/>
                <w:color w:val="000000"/>
                <w:sz w:val="24"/>
                <w:szCs w:val="24"/>
                <w:u w:val="none"/>
                <w:lang w:val="en-US"/>
              </w:rPr>
              <w:t>。</w:t>
            </w:r>
          </w:p>
          <w:p>
            <w:pPr>
              <w:pStyle w:val="51"/>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baseline"/>
              <w:rPr>
                <w:rFonts w:hint="default" w:ascii="Times New Roman" w:hAnsi="Times New Roman" w:eastAsia="宋体" w:cs="Times New Roman"/>
                <w:u w:val="none" w:color="auto"/>
                <w:lang w:val="en-US" w:eastAsia="zh-CN" w:bidi="zh-CN"/>
              </w:rPr>
            </w:pPr>
            <w:r>
              <w:rPr>
                <w:rFonts w:hint="eastAsia" w:ascii="Times New Roman" w:hAnsi="Times New Roman" w:eastAsia="宋体" w:cs="Times New Roman"/>
                <w:u w:val="none" w:color="auto"/>
                <w:lang w:val="en-US" w:eastAsia="zh-CN" w:bidi="zh-CN"/>
              </w:rPr>
              <w:t>本项目</w:t>
            </w:r>
            <w:r>
              <w:rPr>
                <w:rFonts w:ascii="Times New Roman" w:hAnsi="Times New Roman" w:eastAsia="宋体" w:cs="Times New Roman"/>
                <w:color w:val="000000"/>
                <w:sz w:val="24"/>
                <w:szCs w:val="24"/>
                <w:u w:val="none"/>
              </w:rPr>
              <w:t>生活</w:t>
            </w:r>
            <w:r>
              <w:rPr>
                <w:rFonts w:hint="eastAsia" w:ascii="Times New Roman" w:hAnsi="Times New Roman" w:eastAsia="宋体" w:cs="Times New Roman"/>
                <w:color w:val="000000"/>
                <w:sz w:val="24"/>
                <w:szCs w:val="24"/>
                <w:u w:val="none"/>
                <w:lang w:val="en-US" w:eastAsia="zh-CN"/>
              </w:rPr>
              <w:t>污水</w:t>
            </w:r>
            <w:r>
              <w:rPr>
                <w:rFonts w:ascii="Times New Roman" w:hAnsi="Times New Roman" w:eastAsia="宋体" w:cs="Times New Roman"/>
                <w:color w:val="000000"/>
                <w:sz w:val="24"/>
                <w:szCs w:val="24"/>
                <w:u w:val="none"/>
              </w:rPr>
              <w:t>与医疗废水经化粪池预处理在进入污水处理站处理达标后接入市政管网，最终接入花垣县污水处理厂进行处理</w:t>
            </w:r>
            <w:r>
              <w:rPr>
                <w:rFonts w:hint="eastAsia" w:ascii="Times New Roman" w:hAnsi="Times New Roman" w:eastAsia="宋体" w:cs="Times New Roman"/>
                <w:color w:val="000000"/>
                <w:sz w:val="24"/>
                <w:szCs w:val="24"/>
                <w:u w:val="none"/>
                <w:lang w:eastAsia="zh-CN"/>
              </w:rPr>
              <w:t>。</w:t>
            </w:r>
            <w:r>
              <w:rPr>
                <w:rFonts w:hint="eastAsia" w:ascii="Times New Roman" w:hAnsi="Times New Roman" w:eastAsia="宋体" w:cs="Times New Roman"/>
                <w:color w:val="000000"/>
                <w:sz w:val="24"/>
                <w:szCs w:val="24"/>
                <w:u w:val="none"/>
                <w:lang w:val="en-US" w:eastAsia="zh-CN"/>
              </w:rPr>
              <w:t>本项目废水排放量为10.76m</w:t>
            </w:r>
            <w:r>
              <w:rPr>
                <w:rFonts w:hint="eastAsia" w:ascii="Times New Roman" w:hAnsi="Times New Roman" w:eastAsia="宋体" w:cs="Times New Roman"/>
                <w:color w:val="000000"/>
                <w:sz w:val="24"/>
                <w:szCs w:val="24"/>
                <w:u w:val="none"/>
                <w:vertAlign w:val="superscript"/>
                <w:lang w:val="en-US" w:eastAsia="zh-CN"/>
              </w:rPr>
              <w:t>3</w:t>
            </w:r>
            <w:r>
              <w:rPr>
                <w:rFonts w:hint="eastAsia" w:ascii="Times New Roman" w:hAnsi="Times New Roman" w:eastAsia="宋体" w:cs="Times New Roman"/>
                <w:color w:val="000000"/>
                <w:sz w:val="24"/>
                <w:szCs w:val="24"/>
                <w:u w:val="none"/>
                <w:lang w:val="en-US" w:eastAsia="zh-CN"/>
              </w:rPr>
              <w:t>/d（3927.4m</w:t>
            </w:r>
            <w:r>
              <w:rPr>
                <w:rFonts w:hint="eastAsia" w:ascii="Times New Roman" w:hAnsi="Times New Roman" w:eastAsia="宋体" w:cs="Times New Roman"/>
                <w:color w:val="000000"/>
                <w:sz w:val="24"/>
                <w:szCs w:val="24"/>
                <w:u w:val="none"/>
                <w:vertAlign w:val="superscript"/>
                <w:lang w:val="en-US" w:eastAsia="zh-CN"/>
              </w:rPr>
              <w:t>3</w:t>
            </w:r>
            <w:r>
              <w:rPr>
                <w:rFonts w:hint="eastAsia" w:ascii="Times New Roman" w:hAnsi="Times New Roman" w:eastAsia="宋体" w:cs="Times New Roman"/>
                <w:color w:val="000000"/>
                <w:sz w:val="24"/>
                <w:szCs w:val="24"/>
                <w:u w:val="none"/>
                <w:lang w:val="en-US" w:eastAsia="zh-CN"/>
              </w:rPr>
              <w:t>/a）</w:t>
            </w:r>
            <w:r>
              <w:rPr>
                <w:rFonts w:hint="default" w:ascii="Times New Roman" w:hAnsi="Times New Roman" w:eastAsia="宋体" w:cs="Times New Roman"/>
                <w:color w:val="000000"/>
                <w:sz w:val="24"/>
                <w:szCs w:val="24"/>
                <w:u w:val="none"/>
                <w:lang w:val="en-US"/>
              </w:rPr>
              <w:t>。</w:t>
            </w:r>
          </w:p>
          <w:p>
            <w:pPr>
              <w:pStyle w:val="51"/>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baseline"/>
              <w:rPr>
                <w:rFonts w:hint="eastAsia" w:ascii="Times New Roman" w:hAnsi="Times New Roman" w:eastAsia="宋体" w:cs="Times New Roman"/>
                <w:u w:val="none" w:color="auto"/>
                <w:lang w:val="en-US" w:eastAsia="zh-CN" w:bidi="zh-CN"/>
              </w:rPr>
            </w:pPr>
            <w:r>
              <w:rPr>
                <w:rFonts w:hint="eastAsia" w:ascii="Times New Roman" w:hAnsi="Times New Roman" w:eastAsia="宋体" w:cs="Times New Roman"/>
                <w:u w:val="none" w:color="auto"/>
                <w:lang w:val="en-US" w:eastAsia="zh-CN" w:bidi="zh-CN"/>
              </w:rPr>
              <w:t>本环评结合《医院污水处理工程技术规范》（HJ 2029—2013）及类比同类型医院项目验收报告废水进水水质数据，本项目医疗机构污水主要水污染物及产排情况详见下表。</w:t>
            </w:r>
          </w:p>
          <w:p>
            <w:pPr>
              <w:pStyle w:val="5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b/>
                <w:bCs/>
                <w:color w:val="auto"/>
                <w:kern w:val="28"/>
                <w:sz w:val="21"/>
                <w:szCs w:val="21"/>
                <w:u w:val="none" w:color="auto"/>
                <w:lang w:val="en-US"/>
              </w:rPr>
            </w:pPr>
            <w:r>
              <w:rPr>
                <w:rFonts w:hint="default" w:ascii="Times New Roman" w:hAnsi="Times New Roman" w:eastAsia="宋体" w:cs="Times New Roman"/>
                <w:b/>
                <w:bCs/>
                <w:color w:val="auto"/>
                <w:kern w:val="28"/>
                <w:sz w:val="21"/>
                <w:szCs w:val="21"/>
                <w:u w:val="none" w:color="auto"/>
              </w:rPr>
              <w:t>表4-</w:t>
            </w:r>
            <w:r>
              <w:rPr>
                <w:rFonts w:hint="eastAsia" w:ascii="Times New Roman" w:hAnsi="Times New Roman" w:eastAsia="宋体" w:cs="Times New Roman"/>
                <w:b/>
                <w:bCs/>
                <w:color w:val="auto"/>
                <w:kern w:val="28"/>
                <w:sz w:val="21"/>
                <w:szCs w:val="21"/>
                <w:u w:val="none" w:color="auto"/>
                <w:lang w:val="en-US" w:eastAsia="zh-CN"/>
              </w:rPr>
              <w:t>1  废水水质类比情况一览表   单位：mg/L</w:t>
            </w:r>
          </w:p>
          <w:tbl>
            <w:tblPr>
              <w:tblStyle w:val="34"/>
              <w:tblW w:w="4989" w:type="pct"/>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21"/>
              <w:gridCol w:w="972"/>
              <w:gridCol w:w="1065"/>
              <w:gridCol w:w="1170"/>
              <w:gridCol w:w="1160"/>
              <w:gridCol w:w="1387"/>
            </w:tblGrid>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221"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color w:val="auto"/>
                      <w:kern w:val="21"/>
                      <w:sz w:val="21"/>
                      <w:szCs w:val="21"/>
                      <w:u w:val="none" w:color="auto"/>
                      <w:lang w:val="en-US" w:eastAsia="zh-CN"/>
                    </w:rPr>
                  </w:pPr>
                  <w:r>
                    <w:rPr>
                      <w:rFonts w:hint="default" w:ascii="Times New Roman" w:hAnsi="Times New Roman" w:eastAsia="宋体" w:cs="Times New Roman"/>
                      <w:b/>
                      <w:bCs w:val="0"/>
                      <w:color w:val="auto"/>
                      <w:kern w:val="21"/>
                      <w:sz w:val="21"/>
                      <w:szCs w:val="21"/>
                      <w:u w:val="none" w:color="auto"/>
                      <w:lang w:val="en-US" w:eastAsia="zh-CN"/>
                    </w:rPr>
                    <w:t>数据来源</w:t>
                  </w:r>
                </w:p>
              </w:tc>
              <w:tc>
                <w:tcPr>
                  <w:tcW w:w="972"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color w:val="auto"/>
                      <w:kern w:val="21"/>
                      <w:sz w:val="21"/>
                      <w:szCs w:val="21"/>
                      <w:u w:val="none" w:color="auto"/>
                      <w:lang w:val="en-US" w:eastAsia="zh-CN"/>
                    </w:rPr>
                  </w:pPr>
                  <w:r>
                    <w:rPr>
                      <w:rFonts w:hint="eastAsia" w:ascii="Times New Roman" w:hAnsi="Times New Roman" w:eastAsia="宋体" w:cs="Times New Roman"/>
                      <w:b/>
                      <w:bCs w:val="0"/>
                      <w:color w:val="auto"/>
                      <w:kern w:val="21"/>
                      <w:sz w:val="21"/>
                      <w:szCs w:val="21"/>
                      <w:u w:val="none" w:color="auto"/>
                      <w:lang w:val="en-US" w:eastAsia="zh-CN"/>
                    </w:rPr>
                    <w:t>SS</w:t>
                  </w:r>
                </w:p>
              </w:tc>
              <w:tc>
                <w:tcPr>
                  <w:tcW w:w="1065"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color w:val="auto"/>
                      <w:kern w:val="21"/>
                      <w:sz w:val="21"/>
                      <w:szCs w:val="21"/>
                      <w:u w:val="none" w:color="auto"/>
                      <w:lang w:val="en-US" w:eastAsia="zh-CN"/>
                    </w:rPr>
                  </w:pPr>
                  <w:r>
                    <w:rPr>
                      <w:rFonts w:hint="eastAsia" w:ascii="Times New Roman" w:hAnsi="Times New Roman" w:eastAsia="宋体" w:cs="Times New Roman"/>
                      <w:b/>
                      <w:bCs w:val="0"/>
                      <w:color w:val="auto"/>
                      <w:kern w:val="21"/>
                      <w:sz w:val="21"/>
                      <w:szCs w:val="21"/>
                      <w:u w:val="none" w:color="auto"/>
                      <w:lang w:val="en-US" w:eastAsia="zh-CN"/>
                    </w:rPr>
                    <w:t>COD</w:t>
                  </w:r>
                </w:p>
              </w:tc>
              <w:tc>
                <w:tcPr>
                  <w:tcW w:w="1170"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color w:val="auto"/>
                      <w:kern w:val="21"/>
                      <w:sz w:val="21"/>
                      <w:szCs w:val="21"/>
                      <w:u w:val="none" w:color="auto"/>
                      <w:lang w:val="en-US" w:eastAsia="zh-CN"/>
                    </w:rPr>
                  </w:pPr>
                  <w:r>
                    <w:rPr>
                      <w:rFonts w:hint="default" w:ascii="Times New Roman" w:hAnsi="Times New Roman" w:eastAsia="宋体" w:cs="Times New Roman"/>
                      <w:b/>
                      <w:bCs w:val="0"/>
                      <w:color w:val="auto"/>
                      <w:kern w:val="21"/>
                      <w:sz w:val="21"/>
                      <w:szCs w:val="21"/>
                      <w:u w:val="none" w:color="auto"/>
                      <w:lang w:val="en-US" w:eastAsia="zh-CN"/>
                    </w:rPr>
                    <w:t>BOD</w:t>
                  </w:r>
                  <w:r>
                    <w:rPr>
                      <w:rFonts w:hint="default" w:ascii="Times New Roman" w:hAnsi="Times New Roman" w:eastAsia="宋体" w:cs="Times New Roman"/>
                      <w:b/>
                      <w:bCs w:val="0"/>
                      <w:color w:val="auto"/>
                      <w:kern w:val="21"/>
                      <w:sz w:val="21"/>
                      <w:szCs w:val="21"/>
                      <w:u w:val="none" w:color="auto"/>
                      <w:vertAlign w:val="subscript"/>
                      <w:lang w:val="en-US" w:eastAsia="zh-CN"/>
                    </w:rPr>
                    <w:t>5</w:t>
                  </w:r>
                </w:p>
              </w:tc>
              <w:tc>
                <w:tcPr>
                  <w:tcW w:w="1160"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color w:val="auto"/>
                      <w:kern w:val="21"/>
                      <w:sz w:val="21"/>
                      <w:szCs w:val="21"/>
                      <w:u w:val="none" w:color="auto"/>
                      <w:lang w:val="en-US" w:eastAsia="zh-CN"/>
                    </w:rPr>
                  </w:pPr>
                  <w:r>
                    <w:rPr>
                      <w:rFonts w:hint="default" w:ascii="Times New Roman" w:hAnsi="Times New Roman" w:eastAsia="宋体" w:cs="Times New Roman"/>
                      <w:b/>
                      <w:bCs w:val="0"/>
                      <w:color w:val="auto"/>
                      <w:kern w:val="21"/>
                      <w:sz w:val="21"/>
                      <w:szCs w:val="21"/>
                      <w:u w:val="none" w:color="auto"/>
                      <w:lang w:val="en-US" w:eastAsia="zh-CN"/>
                    </w:rPr>
                    <w:t>NH</w:t>
                  </w:r>
                  <w:r>
                    <w:rPr>
                      <w:rFonts w:hint="default" w:ascii="Times New Roman" w:hAnsi="Times New Roman" w:eastAsia="宋体" w:cs="Times New Roman"/>
                      <w:b/>
                      <w:bCs w:val="0"/>
                      <w:color w:val="auto"/>
                      <w:kern w:val="21"/>
                      <w:sz w:val="21"/>
                      <w:szCs w:val="21"/>
                      <w:u w:val="none" w:color="auto"/>
                      <w:vertAlign w:val="subscript"/>
                      <w:lang w:val="en-US" w:eastAsia="zh-CN"/>
                    </w:rPr>
                    <w:t>3</w:t>
                  </w:r>
                  <w:r>
                    <w:rPr>
                      <w:rFonts w:hint="default" w:ascii="Times New Roman" w:hAnsi="Times New Roman" w:eastAsia="宋体" w:cs="Times New Roman"/>
                      <w:b/>
                      <w:bCs w:val="0"/>
                      <w:color w:val="auto"/>
                      <w:kern w:val="21"/>
                      <w:sz w:val="21"/>
                      <w:szCs w:val="21"/>
                      <w:u w:val="none" w:color="auto"/>
                      <w:lang w:val="en-US" w:eastAsia="zh-CN"/>
                    </w:rPr>
                    <w:t>-N</w:t>
                  </w:r>
                </w:p>
              </w:tc>
              <w:tc>
                <w:tcPr>
                  <w:tcW w:w="1387"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color w:val="auto"/>
                      <w:kern w:val="21"/>
                      <w:sz w:val="21"/>
                      <w:szCs w:val="21"/>
                      <w:u w:val="none" w:color="auto"/>
                      <w:lang w:val="en-US" w:eastAsia="zh-CN"/>
                    </w:rPr>
                  </w:pPr>
                  <w:r>
                    <w:rPr>
                      <w:rFonts w:hint="default" w:ascii="Times New Roman" w:hAnsi="Times New Roman" w:eastAsia="宋体" w:cs="Times New Roman"/>
                      <w:b/>
                      <w:bCs w:val="0"/>
                      <w:color w:val="auto"/>
                      <w:kern w:val="21"/>
                      <w:sz w:val="21"/>
                      <w:szCs w:val="21"/>
                      <w:u w:val="none" w:color="auto"/>
                      <w:lang w:val="en-US" w:eastAsia="zh-CN"/>
                    </w:rPr>
                    <w:t>粪大肠菌群（个/L）</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221" w:type="dxa"/>
                  <w:tcBorders>
                    <w:tl2br w:val="nil"/>
                    <w:tr2bl w:val="nil"/>
                  </w:tcBorders>
                  <w:noWrap w:val="0"/>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val="0"/>
                      <w:bCs/>
                      <w:color w:val="auto"/>
                      <w:kern w:val="21"/>
                      <w:sz w:val="21"/>
                      <w:szCs w:val="21"/>
                      <w:u w:val="none" w:color="auto"/>
                      <w:lang w:eastAsia="zh-CN"/>
                    </w:rPr>
                  </w:pPr>
                  <w:r>
                    <w:rPr>
                      <w:rFonts w:hint="eastAsia" w:ascii="Times New Roman" w:hAnsi="Times New Roman" w:cs="Times New Roman"/>
                      <w:color w:val="auto"/>
                      <w:spacing w:val="8"/>
                      <w:sz w:val="21"/>
                      <w:szCs w:val="21"/>
                      <w:lang w:val="en-US" w:eastAsia="zh-CN"/>
                    </w:rPr>
                    <w:t>平江中梓康复医院建设</w:t>
                  </w:r>
                  <w:r>
                    <w:rPr>
                      <w:rFonts w:hint="default" w:ascii="Times New Roman" w:hAnsi="Times New Roman" w:cs="Times New Roman"/>
                      <w:color w:val="auto"/>
                      <w:spacing w:val="8"/>
                      <w:sz w:val="21"/>
                      <w:szCs w:val="21"/>
                    </w:rPr>
                    <w:t>项目竣工环境保护验收监测报告</w:t>
                  </w:r>
                  <w:r>
                    <w:rPr>
                      <w:rFonts w:hint="default" w:ascii="Times New Roman" w:hAnsi="Times New Roman" w:cs="Times New Roman"/>
                      <w:color w:val="auto"/>
                      <w:spacing w:val="1"/>
                      <w:sz w:val="21"/>
                      <w:szCs w:val="21"/>
                    </w:rPr>
                    <w:t>表</w:t>
                  </w:r>
                  <w:r>
                    <w:rPr>
                      <w:rFonts w:hint="eastAsia" w:ascii="Times New Roman" w:hAnsi="Times New Roman" w:cs="Times New Roman"/>
                      <w:color w:val="auto"/>
                      <w:spacing w:val="1"/>
                      <w:sz w:val="21"/>
                      <w:szCs w:val="21"/>
                      <w:lang w:eastAsia="zh-CN"/>
                    </w:rPr>
                    <w:t>（</w:t>
                  </w:r>
                  <w:r>
                    <w:rPr>
                      <w:rFonts w:hint="eastAsia" w:ascii="Times New Roman" w:hAnsi="Times New Roman" w:cs="Times New Roman"/>
                      <w:color w:val="auto"/>
                      <w:spacing w:val="1"/>
                      <w:sz w:val="21"/>
                      <w:szCs w:val="21"/>
                      <w:lang w:val="en-US" w:eastAsia="zh-CN"/>
                    </w:rPr>
                    <w:t>2023.10</w:t>
                  </w:r>
                  <w:r>
                    <w:rPr>
                      <w:rFonts w:hint="eastAsia" w:ascii="Times New Roman" w:hAnsi="Times New Roman" w:cs="Times New Roman"/>
                      <w:color w:val="auto"/>
                      <w:spacing w:val="1"/>
                      <w:sz w:val="21"/>
                      <w:szCs w:val="21"/>
                      <w:lang w:eastAsia="zh-CN"/>
                    </w:rPr>
                    <w:t>）</w:t>
                  </w:r>
                </w:p>
              </w:tc>
              <w:tc>
                <w:tcPr>
                  <w:tcW w:w="9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color w:val="auto"/>
                      <w:kern w:val="21"/>
                      <w:sz w:val="21"/>
                      <w:szCs w:val="21"/>
                      <w:u w:val="none" w:color="auto"/>
                      <w:lang w:val="en-US" w:eastAsia="zh-CN"/>
                    </w:rPr>
                  </w:pPr>
                  <w:r>
                    <w:rPr>
                      <w:rFonts w:hint="eastAsia" w:eastAsia="宋体" w:cs="Times New Roman"/>
                      <w:color w:val="auto"/>
                      <w:spacing w:val="-5"/>
                      <w:sz w:val="21"/>
                      <w:szCs w:val="21"/>
                      <w:lang w:val="en-US" w:eastAsia="zh-CN"/>
                    </w:rPr>
                    <w:t>52</w:t>
                  </w:r>
                  <w:r>
                    <w:rPr>
                      <w:rFonts w:hint="default" w:ascii="Times New Roman" w:hAnsi="Times New Roman" w:eastAsia="Times New Roman" w:cs="Times New Roman"/>
                      <w:color w:val="auto"/>
                      <w:spacing w:val="-5"/>
                      <w:sz w:val="21"/>
                      <w:szCs w:val="21"/>
                    </w:rPr>
                    <w:t>~</w:t>
                  </w:r>
                  <w:r>
                    <w:rPr>
                      <w:rFonts w:hint="eastAsia" w:eastAsia="宋体" w:cs="Times New Roman"/>
                      <w:color w:val="auto"/>
                      <w:spacing w:val="-5"/>
                      <w:sz w:val="21"/>
                      <w:szCs w:val="21"/>
                      <w:lang w:val="en-US" w:eastAsia="zh-CN"/>
                    </w:rPr>
                    <w:t>58</w:t>
                  </w:r>
                </w:p>
              </w:tc>
              <w:tc>
                <w:tcPr>
                  <w:tcW w:w="10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Times New Roman" w:cs="Times New Roman"/>
                      <w:color w:val="auto"/>
                      <w:spacing w:val="1"/>
                      <w:sz w:val="21"/>
                      <w:szCs w:val="21"/>
                    </w:rPr>
                    <w:t>1</w:t>
                  </w:r>
                  <w:r>
                    <w:rPr>
                      <w:rFonts w:hint="eastAsia" w:eastAsia="宋体" w:cs="Times New Roman"/>
                      <w:color w:val="auto"/>
                      <w:spacing w:val="1"/>
                      <w:sz w:val="21"/>
                      <w:szCs w:val="21"/>
                      <w:lang w:val="en-US" w:eastAsia="zh-CN"/>
                    </w:rPr>
                    <w:t>27</w:t>
                  </w:r>
                  <w:r>
                    <w:rPr>
                      <w:rFonts w:hint="default" w:ascii="Times New Roman" w:hAnsi="Times New Roman" w:eastAsia="Times New Roman" w:cs="Times New Roman"/>
                      <w:color w:val="auto"/>
                      <w:spacing w:val="1"/>
                      <w:sz w:val="21"/>
                      <w:szCs w:val="21"/>
                    </w:rPr>
                    <w:t>~</w:t>
                  </w:r>
                  <w:r>
                    <w:rPr>
                      <w:rFonts w:hint="eastAsia" w:eastAsia="宋体" w:cs="Times New Roman"/>
                      <w:color w:val="auto"/>
                      <w:spacing w:val="1"/>
                      <w:sz w:val="21"/>
                      <w:szCs w:val="21"/>
                      <w:lang w:val="en-US" w:eastAsia="zh-CN"/>
                    </w:rPr>
                    <w:t>139</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color w:val="auto"/>
                      <w:kern w:val="21"/>
                      <w:sz w:val="21"/>
                      <w:szCs w:val="21"/>
                      <w:u w:val="none" w:color="auto"/>
                      <w:lang w:val="en-US" w:eastAsia="zh-CN"/>
                    </w:rPr>
                  </w:pPr>
                  <w:r>
                    <w:rPr>
                      <w:rFonts w:hint="eastAsia" w:eastAsia="宋体" w:cs="Times New Roman"/>
                      <w:color w:val="auto"/>
                      <w:spacing w:val="3"/>
                      <w:sz w:val="21"/>
                      <w:szCs w:val="21"/>
                      <w:lang w:val="en-US" w:eastAsia="zh-CN"/>
                    </w:rPr>
                    <w:t>42.4</w:t>
                  </w:r>
                  <w:r>
                    <w:rPr>
                      <w:rFonts w:hint="default" w:ascii="Times New Roman" w:hAnsi="Times New Roman" w:eastAsia="Times New Roman" w:cs="Times New Roman"/>
                      <w:color w:val="auto"/>
                      <w:spacing w:val="3"/>
                      <w:sz w:val="21"/>
                      <w:szCs w:val="21"/>
                    </w:rPr>
                    <w:t>~</w:t>
                  </w:r>
                  <w:r>
                    <w:rPr>
                      <w:rFonts w:hint="eastAsia" w:eastAsia="宋体" w:cs="Times New Roman"/>
                      <w:color w:val="auto"/>
                      <w:spacing w:val="3"/>
                      <w:sz w:val="21"/>
                      <w:szCs w:val="21"/>
                      <w:lang w:val="en-US" w:eastAsia="zh-CN"/>
                    </w:rPr>
                    <w:t>47.2</w:t>
                  </w:r>
                </w:p>
              </w:tc>
              <w:tc>
                <w:tcPr>
                  <w:tcW w:w="11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b w:val="0"/>
                      <w:bCs/>
                      <w:color w:val="auto"/>
                      <w:kern w:val="21"/>
                      <w:sz w:val="21"/>
                      <w:szCs w:val="21"/>
                      <w:u w:val="none" w:color="auto"/>
                      <w:lang w:val="en-US" w:eastAsia="zh-CN"/>
                    </w:rPr>
                  </w:pPr>
                  <w:r>
                    <w:rPr>
                      <w:rFonts w:hint="default" w:ascii="Times New Roman" w:hAnsi="Times New Roman" w:eastAsia="Times New Roman" w:cs="Times New Roman"/>
                      <w:color w:val="auto"/>
                      <w:spacing w:val="-1"/>
                      <w:sz w:val="21"/>
                      <w:szCs w:val="21"/>
                    </w:rPr>
                    <w:t>1</w:t>
                  </w:r>
                  <w:r>
                    <w:rPr>
                      <w:rFonts w:hint="eastAsia" w:eastAsia="宋体" w:cs="Times New Roman"/>
                      <w:color w:val="auto"/>
                      <w:spacing w:val="-1"/>
                      <w:sz w:val="21"/>
                      <w:szCs w:val="21"/>
                      <w:lang w:val="en-US" w:eastAsia="zh-CN"/>
                    </w:rPr>
                    <w:t>1</w:t>
                  </w:r>
                  <w:r>
                    <w:rPr>
                      <w:rFonts w:hint="default" w:ascii="Times New Roman" w:hAnsi="Times New Roman" w:eastAsia="Times New Roman" w:cs="Times New Roman"/>
                      <w:color w:val="auto"/>
                      <w:spacing w:val="-1"/>
                      <w:sz w:val="21"/>
                      <w:szCs w:val="21"/>
                    </w:rPr>
                    <w:t>.5~1</w:t>
                  </w:r>
                  <w:r>
                    <w:rPr>
                      <w:rFonts w:hint="eastAsia" w:eastAsia="宋体" w:cs="Times New Roman"/>
                      <w:color w:val="auto"/>
                      <w:spacing w:val="-1"/>
                      <w:sz w:val="21"/>
                      <w:szCs w:val="21"/>
                      <w:lang w:val="en-US" w:eastAsia="zh-CN"/>
                    </w:rPr>
                    <w:t>2</w:t>
                  </w:r>
                  <w:r>
                    <w:rPr>
                      <w:rFonts w:hint="default" w:ascii="Times New Roman" w:hAnsi="Times New Roman" w:eastAsia="Times New Roman" w:cs="Times New Roman"/>
                      <w:color w:val="auto"/>
                      <w:spacing w:val="-1"/>
                      <w:sz w:val="21"/>
                      <w:szCs w:val="21"/>
                    </w:rPr>
                    <w:t>.</w:t>
                  </w:r>
                  <w:r>
                    <w:rPr>
                      <w:rFonts w:hint="eastAsia" w:eastAsia="宋体" w:cs="Times New Roman"/>
                      <w:color w:val="auto"/>
                      <w:spacing w:val="-1"/>
                      <w:sz w:val="21"/>
                      <w:szCs w:val="21"/>
                      <w:lang w:val="en-US" w:eastAsia="zh-CN"/>
                    </w:rPr>
                    <w:t>8</w:t>
                  </w:r>
                </w:p>
              </w:tc>
              <w:tc>
                <w:tcPr>
                  <w:tcW w:w="13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1"/>
                      <w:sz w:val="21"/>
                      <w:szCs w:val="21"/>
                      <w:u w:val="none" w:color="auto"/>
                      <w:lang w:val="en-US" w:eastAsia="zh-CN"/>
                    </w:rPr>
                  </w:pPr>
                  <w:r>
                    <w:rPr>
                      <w:rFonts w:hint="eastAsia" w:eastAsia="宋体" w:cs="Times New Roman"/>
                      <w:color w:val="auto"/>
                      <w:spacing w:val="-2"/>
                      <w:sz w:val="21"/>
                      <w:szCs w:val="21"/>
                      <w:lang w:val="en-US" w:eastAsia="zh-CN"/>
                    </w:rPr>
                    <w:t>1</w:t>
                  </w:r>
                  <w:r>
                    <w:rPr>
                      <w:rFonts w:hint="default" w:ascii="Times New Roman" w:hAnsi="Times New Roman" w:eastAsia="Times New Roman" w:cs="Times New Roman"/>
                      <w:color w:val="auto"/>
                      <w:spacing w:val="-2"/>
                      <w:sz w:val="21"/>
                      <w:szCs w:val="21"/>
                    </w:rPr>
                    <w:t>.</w:t>
                  </w:r>
                  <w:r>
                    <w:rPr>
                      <w:rFonts w:hint="eastAsia" w:eastAsia="宋体" w:cs="Times New Roman"/>
                      <w:color w:val="auto"/>
                      <w:spacing w:val="-2"/>
                      <w:sz w:val="21"/>
                      <w:szCs w:val="21"/>
                      <w:lang w:val="en-US" w:eastAsia="zh-CN"/>
                    </w:rPr>
                    <w:t>6</w:t>
                  </w:r>
                  <w:r>
                    <w:rPr>
                      <w:rFonts w:hint="default" w:ascii="Times New Roman" w:hAnsi="Times New Roman" w:eastAsia="Times New Roman" w:cs="Times New Roman"/>
                      <w:color w:val="auto"/>
                      <w:spacing w:val="-2"/>
                      <w:sz w:val="21"/>
                      <w:szCs w:val="21"/>
                    </w:rPr>
                    <w:t>×10</w:t>
                  </w:r>
                  <w:r>
                    <w:rPr>
                      <w:rFonts w:hint="eastAsia" w:eastAsia="宋体" w:cs="Times New Roman"/>
                      <w:color w:val="auto"/>
                      <w:spacing w:val="-2"/>
                      <w:sz w:val="21"/>
                      <w:szCs w:val="21"/>
                      <w:vertAlign w:val="superscript"/>
                      <w:lang w:val="en-US" w:eastAsia="zh-CN"/>
                    </w:rPr>
                    <w:t>4</w:t>
                  </w:r>
                  <w:r>
                    <w:rPr>
                      <w:rFonts w:hint="eastAsia" w:eastAsia="宋体" w:cs="Times New Roman"/>
                      <w:color w:val="auto"/>
                      <w:spacing w:val="-2"/>
                      <w:sz w:val="21"/>
                      <w:szCs w:val="21"/>
                      <w:lang w:val="en-US" w:eastAsia="zh-CN"/>
                    </w:rPr>
                    <w:t>~2.4</w:t>
                  </w:r>
                  <w:r>
                    <w:rPr>
                      <w:rFonts w:hint="default" w:ascii="Times New Roman" w:hAnsi="Times New Roman" w:eastAsia="Times New Roman" w:cs="Times New Roman"/>
                      <w:color w:val="auto"/>
                      <w:spacing w:val="-2"/>
                      <w:sz w:val="21"/>
                      <w:szCs w:val="21"/>
                    </w:rPr>
                    <w:t>×10</w:t>
                  </w:r>
                  <w:r>
                    <w:rPr>
                      <w:rFonts w:hint="eastAsia" w:eastAsia="宋体" w:cs="Times New Roman"/>
                      <w:color w:val="auto"/>
                      <w:spacing w:val="-2"/>
                      <w:sz w:val="21"/>
                      <w:szCs w:val="21"/>
                      <w:vertAlign w:val="superscript"/>
                      <w:lang w:val="en-US" w:eastAsia="zh-CN"/>
                    </w:rPr>
                    <w:t>4</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221" w:type="dxa"/>
                  <w:tcBorders>
                    <w:tl2br w:val="nil"/>
                    <w:tr2bl w:val="nil"/>
                  </w:tcBorders>
                  <w:noWrap w:val="0"/>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val="0"/>
                      <w:bCs/>
                      <w:color w:val="auto"/>
                      <w:kern w:val="21"/>
                      <w:sz w:val="21"/>
                      <w:szCs w:val="21"/>
                      <w:u w:val="none" w:color="auto"/>
                      <w:lang w:eastAsia="zh-CN"/>
                    </w:rPr>
                  </w:pPr>
                  <w:r>
                    <w:rPr>
                      <w:rFonts w:hint="eastAsia" w:ascii="Times New Roman" w:hAnsi="Times New Roman" w:cs="Times New Roman"/>
                      <w:color w:val="auto"/>
                      <w:spacing w:val="7"/>
                      <w:sz w:val="21"/>
                      <w:szCs w:val="21"/>
                      <w:lang w:val="en-US" w:eastAsia="zh-CN"/>
                    </w:rPr>
                    <w:t>资兴仁信康复医院建设</w:t>
                  </w:r>
                  <w:r>
                    <w:rPr>
                      <w:rFonts w:hint="default" w:ascii="Times New Roman" w:hAnsi="Times New Roman" w:cs="Times New Roman"/>
                      <w:color w:val="auto"/>
                      <w:spacing w:val="7"/>
                      <w:sz w:val="21"/>
                      <w:szCs w:val="21"/>
                    </w:rPr>
                    <w:t>项目</w:t>
                  </w:r>
                  <w:r>
                    <w:rPr>
                      <w:rFonts w:hint="default" w:ascii="Times New Roman" w:hAnsi="Times New Roman" w:cs="Times New Roman"/>
                      <w:color w:val="auto"/>
                      <w:spacing w:val="8"/>
                      <w:sz w:val="21"/>
                      <w:szCs w:val="21"/>
                    </w:rPr>
                    <w:t>竣工环境保护验收</w:t>
                  </w:r>
                  <w:r>
                    <w:rPr>
                      <w:rFonts w:hint="default" w:ascii="Times New Roman" w:hAnsi="Times New Roman" w:cs="Times New Roman"/>
                      <w:color w:val="auto"/>
                      <w:spacing w:val="7"/>
                      <w:sz w:val="21"/>
                      <w:szCs w:val="21"/>
                    </w:rPr>
                    <w:t>监测报告表</w:t>
                  </w:r>
                  <w:r>
                    <w:rPr>
                      <w:rFonts w:hint="eastAsia" w:ascii="Times New Roman" w:hAnsi="Times New Roman" w:cs="Times New Roman"/>
                      <w:color w:val="auto"/>
                      <w:spacing w:val="7"/>
                      <w:sz w:val="21"/>
                      <w:szCs w:val="21"/>
                      <w:lang w:eastAsia="zh-CN"/>
                    </w:rPr>
                    <w:t>（</w:t>
                  </w:r>
                  <w:r>
                    <w:rPr>
                      <w:rFonts w:hint="eastAsia" w:ascii="Times New Roman" w:hAnsi="Times New Roman" w:cs="Times New Roman"/>
                      <w:color w:val="auto"/>
                      <w:spacing w:val="7"/>
                      <w:sz w:val="21"/>
                      <w:szCs w:val="21"/>
                      <w:lang w:val="en-US" w:eastAsia="zh-CN"/>
                    </w:rPr>
                    <w:t>2024.2</w:t>
                  </w:r>
                  <w:r>
                    <w:rPr>
                      <w:rFonts w:hint="eastAsia" w:ascii="Times New Roman" w:hAnsi="Times New Roman" w:cs="Times New Roman"/>
                      <w:color w:val="auto"/>
                      <w:spacing w:val="7"/>
                      <w:sz w:val="21"/>
                      <w:szCs w:val="21"/>
                      <w:lang w:eastAsia="zh-CN"/>
                    </w:rPr>
                    <w:t>）</w:t>
                  </w:r>
                </w:p>
              </w:tc>
              <w:tc>
                <w:tcPr>
                  <w:tcW w:w="9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color w:val="auto"/>
                      <w:kern w:val="21"/>
                      <w:sz w:val="21"/>
                      <w:szCs w:val="21"/>
                      <w:u w:val="none" w:color="auto"/>
                      <w:lang w:val="en-US" w:eastAsia="zh-CN"/>
                    </w:rPr>
                  </w:pPr>
                  <w:r>
                    <w:rPr>
                      <w:rFonts w:hint="eastAsia" w:eastAsia="宋体" w:cs="Times New Roman"/>
                      <w:color w:val="auto"/>
                      <w:spacing w:val="-2"/>
                      <w:sz w:val="21"/>
                      <w:szCs w:val="21"/>
                      <w:lang w:val="en-US" w:eastAsia="zh-CN"/>
                    </w:rPr>
                    <w:t>63</w:t>
                  </w:r>
                  <w:r>
                    <w:rPr>
                      <w:rFonts w:hint="default" w:ascii="Times New Roman" w:hAnsi="Times New Roman" w:eastAsia="Times New Roman" w:cs="Times New Roman"/>
                      <w:color w:val="auto"/>
                      <w:spacing w:val="-2"/>
                      <w:sz w:val="21"/>
                      <w:szCs w:val="21"/>
                    </w:rPr>
                    <w:t>~</w:t>
                  </w:r>
                  <w:r>
                    <w:rPr>
                      <w:rFonts w:hint="eastAsia" w:eastAsia="宋体" w:cs="Times New Roman"/>
                      <w:color w:val="auto"/>
                      <w:spacing w:val="-2"/>
                      <w:sz w:val="21"/>
                      <w:szCs w:val="21"/>
                      <w:lang w:val="en-US" w:eastAsia="zh-CN"/>
                    </w:rPr>
                    <w:t>72</w:t>
                  </w:r>
                </w:p>
              </w:tc>
              <w:tc>
                <w:tcPr>
                  <w:tcW w:w="10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pacing w:val="4"/>
                      <w:sz w:val="21"/>
                      <w:szCs w:val="21"/>
                      <w:lang w:val="en-US" w:eastAsia="zh-CN"/>
                    </w:rPr>
                    <w:t>125</w:t>
                  </w:r>
                  <w:r>
                    <w:rPr>
                      <w:rFonts w:hint="default" w:ascii="Times New Roman" w:hAnsi="Times New Roman" w:eastAsia="Times New Roman" w:cs="Times New Roman"/>
                      <w:color w:val="auto"/>
                      <w:spacing w:val="4"/>
                      <w:sz w:val="21"/>
                      <w:szCs w:val="21"/>
                    </w:rPr>
                    <w:t>~</w:t>
                  </w:r>
                  <w:r>
                    <w:rPr>
                      <w:rFonts w:hint="eastAsia" w:eastAsia="宋体" w:cs="Times New Roman"/>
                      <w:color w:val="auto"/>
                      <w:spacing w:val="4"/>
                      <w:sz w:val="21"/>
                      <w:szCs w:val="21"/>
                      <w:lang w:val="en-US" w:eastAsia="zh-CN"/>
                    </w:rPr>
                    <w:t>140</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pacing w:val="3"/>
                      <w:sz w:val="21"/>
                      <w:szCs w:val="21"/>
                      <w:lang w:val="en-US" w:eastAsia="zh-CN"/>
                    </w:rPr>
                    <w:t>50.3</w:t>
                  </w:r>
                  <w:r>
                    <w:rPr>
                      <w:rFonts w:hint="default" w:ascii="Times New Roman" w:hAnsi="Times New Roman" w:eastAsia="Times New Roman" w:cs="Times New Roman"/>
                      <w:color w:val="auto"/>
                      <w:spacing w:val="3"/>
                      <w:sz w:val="21"/>
                      <w:szCs w:val="21"/>
                    </w:rPr>
                    <w:t>~</w:t>
                  </w:r>
                  <w:r>
                    <w:rPr>
                      <w:rFonts w:hint="eastAsia" w:eastAsia="宋体" w:cs="Times New Roman"/>
                      <w:color w:val="auto"/>
                      <w:spacing w:val="3"/>
                      <w:sz w:val="21"/>
                      <w:szCs w:val="21"/>
                      <w:lang w:val="en-US" w:eastAsia="zh-CN"/>
                    </w:rPr>
                    <w:t>56.8</w:t>
                  </w:r>
                </w:p>
              </w:tc>
              <w:tc>
                <w:tcPr>
                  <w:tcW w:w="11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pacing w:val="3"/>
                      <w:sz w:val="21"/>
                      <w:szCs w:val="21"/>
                      <w:lang w:val="en-US" w:eastAsia="zh-CN"/>
                    </w:rPr>
                    <w:t>15.4</w:t>
                  </w:r>
                  <w:r>
                    <w:rPr>
                      <w:rFonts w:hint="default" w:ascii="Times New Roman" w:hAnsi="Times New Roman" w:eastAsia="Times New Roman" w:cs="Times New Roman"/>
                      <w:color w:val="auto"/>
                      <w:spacing w:val="3"/>
                      <w:sz w:val="21"/>
                      <w:szCs w:val="21"/>
                    </w:rPr>
                    <w:t>~</w:t>
                  </w:r>
                  <w:r>
                    <w:rPr>
                      <w:rFonts w:hint="eastAsia" w:eastAsia="宋体" w:cs="Times New Roman"/>
                      <w:color w:val="auto"/>
                      <w:spacing w:val="3"/>
                      <w:sz w:val="21"/>
                      <w:szCs w:val="21"/>
                      <w:lang w:val="en-US" w:eastAsia="zh-CN"/>
                    </w:rPr>
                    <w:t>19.5</w:t>
                  </w:r>
                </w:p>
              </w:tc>
              <w:tc>
                <w:tcPr>
                  <w:tcW w:w="13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Times New Roman" w:cs="Times New Roman"/>
                      <w:color w:val="auto"/>
                      <w:spacing w:val="-7"/>
                      <w:sz w:val="21"/>
                      <w:szCs w:val="21"/>
                    </w:rPr>
                    <w:t>1.</w:t>
                  </w:r>
                  <w:r>
                    <w:rPr>
                      <w:rFonts w:hint="eastAsia" w:eastAsia="宋体" w:cs="Times New Roman"/>
                      <w:color w:val="auto"/>
                      <w:spacing w:val="-7"/>
                      <w:sz w:val="21"/>
                      <w:szCs w:val="21"/>
                      <w:lang w:val="en-US" w:eastAsia="zh-CN"/>
                    </w:rPr>
                    <w:t>1</w:t>
                  </w:r>
                  <w:r>
                    <w:rPr>
                      <w:rFonts w:hint="default" w:ascii="Times New Roman" w:hAnsi="Times New Roman" w:eastAsia="Times New Roman" w:cs="Times New Roman"/>
                      <w:color w:val="auto"/>
                      <w:spacing w:val="-7"/>
                      <w:sz w:val="21"/>
                      <w:szCs w:val="21"/>
                    </w:rPr>
                    <w:t>×10</w:t>
                  </w:r>
                  <w:r>
                    <w:rPr>
                      <w:rFonts w:hint="default" w:ascii="Times New Roman" w:hAnsi="Times New Roman" w:eastAsia="Times New Roman" w:cs="Times New Roman"/>
                      <w:color w:val="auto"/>
                      <w:spacing w:val="-4"/>
                      <w:position w:val="6"/>
                      <w:sz w:val="21"/>
                      <w:szCs w:val="21"/>
                      <w:vertAlign w:val="superscript"/>
                    </w:rPr>
                    <w:t>4</w:t>
                  </w:r>
                  <w:r>
                    <w:rPr>
                      <w:rFonts w:hint="default" w:ascii="Times New Roman" w:hAnsi="Times New Roman" w:eastAsia="Times New Roman" w:cs="Times New Roman"/>
                      <w:color w:val="auto"/>
                      <w:spacing w:val="-3"/>
                      <w:sz w:val="21"/>
                      <w:szCs w:val="21"/>
                    </w:rPr>
                    <w:t>~</w:t>
                  </w:r>
                  <w:r>
                    <w:rPr>
                      <w:rFonts w:hint="default" w:ascii="Times New Roman" w:hAnsi="Times New Roman" w:eastAsia="Times New Roman" w:cs="Times New Roman"/>
                      <w:color w:val="auto"/>
                      <w:spacing w:val="-4"/>
                      <w:sz w:val="21"/>
                      <w:szCs w:val="21"/>
                    </w:rPr>
                    <w:t>1.</w:t>
                  </w:r>
                  <w:r>
                    <w:rPr>
                      <w:rFonts w:hint="eastAsia" w:eastAsia="宋体" w:cs="Times New Roman"/>
                      <w:color w:val="auto"/>
                      <w:spacing w:val="-4"/>
                      <w:sz w:val="21"/>
                      <w:szCs w:val="21"/>
                      <w:lang w:val="en-US" w:eastAsia="zh-CN"/>
                    </w:rPr>
                    <w:t>8</w:t>
                  </w:r>
                  <w:r>
                    <w:rPr>
                      <w:rFonts w:hint="default" w:ascii="Times New Roman" w:hAnsi="Times New Roman" w:eastAsia="Times New Roman" w:cs="Times New Roman"/>
                      <w:color w:val="auto"/>
                      <w:spacing w:val="-4"/>
                      <w:sz w:val="21"/>
                      <w:szCs w:val="21"/>
                    </w:rPr>
                    <w:t>×10</w:t>
                  </w:r>
                  <w:r>
                    <w:rPr>
                      <w:rFonts w:hint="default" w:ascii="Times New Roman" w:hAnsi="Times New Roman" w:eastAsia="宋体" w:cs="Times New Roman"/>
                      <w:color w:val="auto"/>
                      <w:spacing w:val="-4"/>
                      <w:sz w:val="21"/>
                      <w:szCs w:val="21"/>
                      <w:vertAlign w:val="superscript"/>
                      <w:lang w:val="en-US" w:eastAsia="zh-CN"/>
                    </w:rPr>
                    <w:t>4</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221" w:type="dxa"/>
                  <w:tcBorders>
                    <w:tl2br w:val="nil"/>
                    <w:tr2bl w:val="nil"/>
                  </w:tcBorders>
                  <w:noWrap w:val="0"/>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color w:val="auto"/>
                      <w:kern w:val="21"/>
                      <w:sz w:val="21"/>
                      <w:szCs w:val="21"/>
                      <w:u w:val="none" w:color="auto"/>
                      <w:lang w:val="en-US" w:eastAsia="zh-CN"/>
                    </w:rPr>
                  </w:pPr>
                  <w:r>
                    <w:rPr>
                      <w:rFonts w:hint="default" w:ascii="Times New Roman" w:hAnsi="Times New Roman" w:eastAsia="宋体" w:cs="Times New Roman"/>
                      <w:b w:val="0"/>
                      <w:bCs/>
                      <w:color w:val="auto"/>
                      <w:kern w:val="21"/>
                      <w:sz w:val="21"/>
                      <w:szCs w:val="21"/>
                      <w:u w:val="none" w:color="auto"/>
                      <w:lang w:val="en-US" w:eastAsia="zh-CN"/>
                    </w:rPr>
                    <w:t>《医院污水处理工程技术规范》（HJ 2029—2013）</w:t>
                  </w:r>
                </w:p>
              </w:tc>
              <w:tc>
                <w:tcPr>
                  <w:tcW w:w="9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color w:val="auto"/>
                      <w:kern w:val="21"/>
                      <w:sz w:val="21"/>
                      <w:szCs w:val="21"/>
                      <w:u w:val="none" w:color="auto"/>
                      <w:lang w:val="en-US" w:eastAsia="zh-CN"/>
                    </w:rPr>
                  </w:pPr>
                  <w:r>
                    <w:rPr>
                      <w:rFonts w:hint="default" w:ascii="Times New Roman" w:hAnsi="Times New Roman" w:eastAsia="Times New Roman" w:cs="Times New Roman"/>
                      <w:color w:val="auto"/>
                      <w:sz w:val="21"/>
                      <w:szCs w:val="21"/>
                    </w:rPr>
                    <w:t>40</w:t>
                  </w:r>
                  <w:r>
                    <w:rPr>
                      <w:rFonts w:hint="eastAsia" w:eastAsia="宋体" w:cs="Times New Roman"/>
                      <w:color w:val="auto"/>
                      <w:sz w:val="21"/>
                      <w:szCs w:val="21"/>
                      <w:lang w:val="en-US" w:eastAsia="zh-CN"/>
                    </w:rPr>
                    <w:t>~</w:t>
                  </w:r>
                  <w:r>
                    <w:rPr>
                      <w:rFonts w:hint="default" w:ascii="Times New Roman" w:hAnsi="Times New Roman" w:eastAsia="Times New Roman" w:cs="Times New Roman"/>
                      <w:color w:val="auto"/>
                      <w:sz w:val="21"/>
                      <w:szCs w:val="21"/>
                    </w:rPr>
                    <w:t>120</w:t>
                  </w:r>
                </w:p>
              </w:tc>
              <w:tc>
                <w:tcPr>
                  <w:tcW w:w="10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Times New Roman" w:cs="Times New Roman"/>
                      <w:color w:val="auto"/>
                      <w:spacing w:val="1"/>
                      <w:sz w:val="21"/>
                      <w:szCs w:val="21"/>
                    </w:rPr>
                    <w:t>150</w:t>
                  </w:r>
                  <w:r>
                    <w:rPr>
                      <w:rFonts w:hint="eastAsia" w:eastAsia="宋体" w:cs="Times New Roman"/>
                      <w:color w:val="auto"/>
                      <w:spacing w:val="1"/>
                      <w:sz w:val="21"/>
                      <w:szCs w:val="21"/>
                      <w:lang w:val="en-US" w:eastAsia="zh-CN"/>
                    </w:rPr>
                    <w:t>~</w:t>
                  </w:r>
                  <w:r>
                    <w:rPr>
                      <w:rFonts w:hint="default" w:ascii="Times New Roman" w:hAnsi="Times New Roman" w:eastAsia="Times New Roman" w:cs="Times New Roman"/>
                      <w:color w:val="auto"/>
                      <w:spacing w:val="1"/>
                      <w:sz w:val="21"/>
                      <w:szCs w:val="21"/>
                    </w:rPr>
                    <w:t>300</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Times New Roman" w:cs="Times New Roman"/>
                      <w:color w:val="auto"/>
                      <w:spacing w:val="-2"/>
                      <w:sz w:val="21"/>
                      <w:szCs w:val="21"/>
                    </w:rPr>
                    <w:t>80</w:t>
                  </w:r>
                  <w:r>
                    <w:rPr>
                      <w:rFonts w:hint="eastAsia" w:eastAsia="宋体" w:cs="Times New Roman"/>
                      <w:color w:val="auto"/>
                      <w:spacing w:val="-2"/>
                      <w:sz w:val="21"/>
                      <w:szCs w:val="21"/>
                      <w:lang w:val="en-US" w:eastAsia="zh-CN"/>
                    </w:rPr>
                    <w:t>~</w:t>
                  </w:r>
                  <w:r>
                    <w:rPr>
                      <w:rFonts w:hint="default" w:ascii="Times New Roman" w:hAnsi="Times New Roman" w:eastAsia="Times New Roman" w:cs="Times New Roman"/>
                      <w:color w:val="auto"/>
                      <w:spacing w:val="-2"/>
                      <w:sz w:val="21"/>
                      <w:szCs w:val="21"/>
                    </w:rPr>
                    <w:t>150</w:t>
                  </w:r>
                </w:p>
              </w:tc>
              <w:tc>
                <w:tcPr>
                  <w:tcW w:w="11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Times New Roman" w:cs="Times New Roman"/>
                      <w:color w:val="auto"/>
                      <w:spacing w:val="-1"/>
                      <w:sz w:val="21"/>
                      <w:szCs w:val="21"/>
                    </w:rPr>
                    <w:t>10</w:t>
                  </w:r>
                  <w:r>
                    <w:rPr>
                      <w:rFonts w:hint="eastAsia" w:eastAsia="宋体" w:cs="Times New Roman"/>
                      <w:color w:val="auto"/>
                      <w:spacing w:val="-1"/>
                      <w:sz w:val="21"/>
                      <w:szCs w:val="21"/>
                      <w:lang w:val="en-US" w:eastAsia="zh-CN"/>
                    </w:rPr>
                    <w:t>~</w:t>
                  </w:r>
                  <w:r>
                    <w:rPr>
                      <w:rFonts w:hint="default" w:ascii="Times New Roman" w:hAnsi="Times New Roman" w:eastAsia="Times New Roman" w:cs="Times New Roman"/>
                      <w:color w:val="auto"/>
                      <w:spacing w:val="-1"/>
                      <w:sz w:val="21"/>
                      <w:szCs w:val="21"/>
                    </w:rPr>
                    <w:t>50</w:t>
                  </w:r>
                </w:p>
              </w:tc>
              <w:tc>
                <w:tcPr>
                  <w:tcW w:w="13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Times New Roman" w:cs="Times New Roman"/>
                      <w:color w:val="auto"/>
                      <w:spacing w:val="-7"/>
                      <w:sz w:val="21"/>
                      <w:szCs w:val="21"/>
                    </w:rPr>
                    <w:t>1.0×10</w:t>
                  </w:r>
                  <w:r>
                    <w:rPr>
                      <w:rFonts w:hint="default" w:ascii="Times New Roman" w:hAnsi="Times New Roman" w:eastAsia="Times New Roman" w:cs="Times New Roman"/>
                      <w:color w:val="auto"/>
                      <w:spacing w:val="-1"/>
                      <w:position w:val="6"/>
                      <w:sz w:val="21"/>
                      <w:szCs w:val="21"/>
                      <w:vertAlign w:val="superscript"/>
                    </w:rPr>
                    <w:t>6</w:t>
                  </w:r>
                  <w:r>
                    <w:rPr>
                      <w:rFonts w:hint="default" w:ascii="Times New Roman" w:hAnsi="Times New Roman" w:eastAsia="Times New Roman" w:cs="Times New Roman"/>
                      <w:color w:val="auto"/>
                      <w:spacing w:val="-1"/>
                      <w:sz w:val="21"/>
                      <w:szCs w:val="21"/>
                    </w:rPr>
                    <w:t>~3.0×</w:t>
                  </w:r>
                  <w:r>
                    <w:rPr>
                      <w:rFonts w:hint="default" w:ascii="Times New Roman" w:hAnsi="Times New Roman" w:eastAsia="Times New Roman" w:cs="Times New Roman"/>
                      <w:color w:val="auto"/>
                      <w:spacing w:val="-7"/>
                      <w:sz w:val="21"/>
                      <w:szCs w:val="21"/>
                    </w:rPr>
                    <w:t>10</w:t>
                  </w:r>
                  <w:r>
                    <w:rPr>
                      <w:rFonts w:hint="eastAsia" w:ascii="Times New Roman" w:hAnsi="Times New Roman" w:eastAsia="宋体" w:cs="Times New Roman"/>
                      <w:color w:val="auto"/>
                      <w:spacing w:val="-7"/>
                      <w:sz w:val="21"/>
                      <w:szCs w:val="21"/>
                      <w:vertAlign w:val="superscript"/>
                      <w:lang w:val="en-US" w:eastAsia="zh-CN"/>
                    </w:rPr>
                    <w:t>8</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221"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color w:val="auto"/>
                      <w:kern w:val="21"/>
                      <w:sz w:val="21"/>
                      <w:szCs w:val="21"/>
                      <w:u w:val="none" w:color="auto"/>
                      <w:lang w:val="en-US" w:eastAsia="zh-CN"/>
                    </w:rPr>
                  </w:pPr>
                  <w:r>
                    <w:rPr>
                      <w:rFonts w:hint="eastAsia" w:ascii="Times New Roman" w:hAnsi="Times New Roman" w:eastAsia="宋体" w:cs="Times New Roman"/>
                      <w:b w:val="0"/>
                      <w:bCs/>
                      <w:color w:val="auto"/>
                      <w:kern w:val="21"/>
                      <w:sz w:val="21"/>
                      <w:szCs w:val="21"/>
                      <w:u w:val="none" w:color="auto"/>
                      <w:lang w:val="en-US" w:eastAsia="zh-CN"/>
                    </w:rPr>
                    <w:t>本项目废水污染物产生浓度取值</w:t>
                  </w:r>
                </w:p>
              </w:tc>
              <w:tc>
                <w:tcPr>
                  <w:tcW w:w="972"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color w:val="auto"/>
                      <w:kern w:val="21"/>
                      <w:sz w:val="21"/>
                      <w:szCs w:val="21"/>
                      <w:u w:val="none" w:color="auto"/>
                      <w:lang w:val="en-US" w:eastAsia="zh-CN"/>
                    </w:rPr>
                  </w:pPr>
                  <w:r>
                    <w:rPr>
                      <w:rFonts w:hint="eastAsia" w:ascii="Times New Roman" w:hAnsi="Times New Roman" w:eastAsia="宋体" w:cs="Times New Roman"/>
                      <w:b w:val="0"/>
                      <w:bCs/>
                      <w:color w:val="auto"/>
                      <w:kern w:val="21"/>
                      <w:sz w:val="21"/>
                      <w:szCs w:val="21"/>
                      <w:u w:val="none" w:color="auto"/>
                      <w:lang w:val="en-US" w:eastAsia="zh-CN"/>
                    </w:rPr>
                    <w:t>120</w:t>
                  </w:r>
                </w:p>
              </w:tc>
              <w:tc>
                <w:tcPr>
                  <w:tcW w:w="1065"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300</w:t>
                  </w:r>
                </w:p>
              </w:tc>
              <w:tc>
                <w:tcPr>
                  <w:tcW w:w="1170"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eastAsia="宋体" w:cs="Times New Roman"/>
                      <w:b w:val="0"/>
                      <w:bCs/>
                      <w:color w:val="auto"/>
                      <w:kern w:val="21"/>
                      <w:sz w:val="21"/>
                      <w:szCs w:val="21"/>
                      <w:u w:val="none" w:color="auto"/>
                      <w:lang w:val="en-US" w:eastAsia="zh-CN"/>
                    </w:rPr>
                    <w:t>150</w:t>
                  </w:r>
                </w:p>
              </w:tc>
              <w:tc>
                <w:tcPr>
                  <w:tcW w:w="1160"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50</w:t>
                  </w:r>
                </w:p>
              </w:tc>
              <w:tc>
                <w:tcPr>
                  <w:tcW w:w="1387"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2</w:t>
                  </w:r>
                  <w:r>
                    <w:rPr>
                      <w:rFonts w:hint="eastAsia" w:ascii="Times New Roman" w:hAnsi="Times New Roman" w:cs="Times New Roman"/>
                      <w:color w:val="auto"/>
                      <w:sz w:val="21"/>
                      <w:szCs w:val="21"/>
                      <w:u w:val="none" w:color="auto"/>
                      <w:lang w:val="en-US" w:eastAsia="zh-CN"/>
                    </w:rPr>
                    <w:t>.4</w:t>
                  </w:r>
                  <w:r>
                    <w:rPr>
                      <w:rFonts w:hint="default" w:ascii="Times New Roman" w:hAnsi="Times New Roman" w:eastAsia="Times New Roman" w:cs="Times New Roman"/>
                      <w:color w:val="auto"/>
                      <w:spacing w:val="-1"/>
                      <w:sz w:val="21"/>
                      <w:szCs w:val="21"/>
                    </w:rPr>
                    <w:t>×</w:t>
                  </w:r>
                  <w:r>
                    <w:rPr>
                      <w:rFonts w:hint="default" w:ascii="Times New Roman" w:hAnsi="Times New Roman" w:eastAsia="Times New Roman" w:cs="Times New Roman"/>
                      <w:color w:val="auto"/>
                      <w:spacing w:val="-7"/>
                      <w:sz w:val="21"/>
                      <w:szCs w:val="21"/>
                    </w:rPr>
                    <w:t>10</w:t>
                  </w:r>
                  <w:r>
                    <w:rPr>
                      <w:rFonts w:hint="eastAsia" w:ascii="Times New Roman" w:eastAsia="宋体" w:cs="Times New Roman"/>
                      <w:color w:val="auto"/>
                      <w:spacing w:val="-7"/>
                      <w:sz w:val="21"/>
                      <w:szCs w:val="21"/>
                      <w:vertAlign w:val="superscript"/>
                      <w:lang w:val="en-US" w:eastAsia="zh-CN"/>
                    </w:rPr>
                    <w:t>4</w:t>
                  </w:r>
                </w:p>
              </w:tc>
            </w:tr>
          </w:tbl>
          <w:p>
            <w:pPr>
              <w:pStyle w:val="5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b/>
                <w:bCs/>
                <w:color w:val="auto"/>
                <w:kern w:val="28"/>
                <w:sz w:val="21"/>
                <w:szCs w:val="21"/>
                <w:u w:val="none" w:color="auto"/>
                <w:lang w:val="en-US"/>
              </w:rPr>
            </w:pPr>
            <w:r>
              <w:rPr>
                <w:rFonts w:hint="default" w:ascii="Times New Roman" w:hAnsi="Times New Roman" w:eastAsia="宋体" w:cs="Times New Roman"/>
                <w:b/>
                <w:bCs/>
                <w:color w:val="auto"/>
                <w:kern w:val="28"/>
                <w:sz w:val="21"/>
                <w:szCs w:val="21"/>
                <w:u w:val="none" w:color="auto"/>
              </w:rPr>
              <w:t>表4-</w:t>
            </w:r>
            <w:r>
              <w:rPr>
                <w:rFonts w:hint="eastAsia" w:ascii="Times New Roman" w:hAnsi="Times New Roman" w:eastAsia="宋体" w:cs="Times New Roman"/>
                <w:b/>
                <w:bCs/>
                <w:color w:val="auto"/>
                <w:kern w:val="28"/>
                <w:sz w:val="21"/>
                <w:szCs w:val="21"/>
                <w:u w:val="none" w:color="auto"/>
                <w:lang w:val="en-US" w:eastAsia="zh-CN"/>
              </w:rPr>
              <w:t>2  废水主要污染物产生及排放一览表   单位：mg/L</w:t>
            </w:r>
          </w:p>
          <w:tbl>
            <w:tblPr>
              <w:tblStyle w:val="34"/>
              <w:tblW w:w="4994" w:type="pct"/>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747"/>
              <w:gridCol w:w="799"/>
              <w:gridCol w:w="930"/>
              <w:gridCol w:w="855"/>
              <w:gridCol w:w="870"/>
              <w:gridCol w:w="1697"/>
            </w:tblGrid>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085"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lang w:val="en-US" w:eastAsia="zh-CN"/>
                    </w:rPr>
                  </w:pPr>
                  <w:r>
                    <w:rPr>
                      <w:rFonts w:hint="eastAsia" w:ascii="Times New Roman" w:hAnsi="Times New Roman" w:eastAsia="宋体" w:cs="Times New Roman"/>
                      <w:b/>
                      <w:bCs w:val="0"/>
                      <w:kern w:val="21"/>
                      <w:sz w:val="21"/>
                      <w:szCs w:val="21"/>
                      <w:u w:val="none" w:color="auto"/>
                      <w:lang w:val="en-US" w:eastAsia="zh-CN"/>
                    </w:rPr>
                    <w:t>废水类型</w:t>
                  </w:r>
                </w:p>
              </w:tc>
              <w:tc>
                <w:tcPr>
                  <w:tcW w:w="747"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lang w:val="en-US" w:eastAsia="zh-CN"/>
                    </w:rPr>
                  </w:pPr>
                  <w:r>
                    <w:rPr>
                      <w:rFonts w:hint="eastAsia" w:ascii="Times New Roman" w:hAnsi="Times New Roman" w:eastAsia="宋体" w:cs="Times New Roman"/>
                      <w:b/>
                      <w:bCs w:val="0"/>
                      <w:kern w:val="21"/>
                      <w:sz w:val="21"/>
                      <w:szCs w:val="21"/>
                      <w:u w:val="none" w:color="auto"/>
                      <w:lang w:val="en-US" w:eastAsia="zh-CN"/>
                    </w:rPr>
                    <w:t>COD</w:t>
                  </w:r>
                </w:p>
              </w:tc>
              <w:tc>
                <w:tcPr>
                  <w:tcW w:w="799"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lang w:val="en-US" w:eastAsia="zh-CN"/>
                    </w:rPr>
                  </w:pPr>
                  <w:r>
                    <w:rPr>
                      <w:rFonts w:hint="default" w:ascii="Times New Roman" w:hAnsi="Times New Roman" w:eastAsia="宋体" w:cs="Times New Roman"/>
                      <w:b/>
                      <w:bCs w:val="0"/>
                      <w:kern w:val="21"/>
                      <w:sz w:val="21"/>
                      <w:szCs w:val="21"/>
                      <w:u w:val="none" w:color="auto"/>
                      <w:lang w:val="en-US" w:eastAsia="zh-CN"/>
                    </w:rPr>
                    <w:t>BOD</w:t>
                  </w:r>
                  <w:r>
                    <w:rPr>
                      <w:rFonts w:hint="default" w:ascii="Times New Roman" w:hAnsi="Times New Roman" w:eastAsia="宋体" w:cs="Times New Roman"/>
                      <w:b/>
                      <w:bCs w:val="0"/>
                      <w:kern w:val="21"/>
                      <w:sz w:val="21"/>
                      <w:szCs w:val="21"/>
                      <w:u w:val="none" w:color="auto"/>
                      <w:vertAlign w:val="subscript"/>
                      <w:lang w:val="en-US" w:eastAsia="zh-CN"/>
                    </w:rPr>
                    <w:t>5</w:t>
                  </w:r>
                </w:p>
              </w:tc>
              <w:tc>
                <w:tcPr>
                  <w:tcW w:w="930"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lang w:val="en-US" w:eastAsia="zh-CN"/>
                    </w:rPr>
                  </w:pPr>
                  <w:r>
                    <w:rPr>
                      <w:rFonts w:hint="default" w:ascii="Times New Roman" w:hAnsi="Times New Roman" w:eastAsia="宋体" w:cs="Times New Roman"/>
                      <w:b/>
                      <w:bCs w:val="0"/>
                      <w:kern w:val="21"/>
                      <w:sz w:val="21"/>
                      <w:szCs w:val="21"/>
                      <w:u w:val="none" w:color="auto"/>
                      <w:lang w:val="en-US" w:eastAsia="zh-CN"/>
                    </w:rPr>
                    <w:t>粪大肠菌群（个/L）</w:t>
                  </w:r>
                </w:p>
              </w:tc>
              <w:tc>
                <w:tcPr>
                  <w:tcW w:w="855"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lang w:val="en-US" w:eastAsia="zh-CN"/>
                    </w:rPr>
                  </w:pPr>
                  <w:r>
                    <w:rPr>
                      <w:rFonts w:hint="default" w:ascii="Times New Roman" w:hAnsi="Times New Roman" w:eastAsia="宋体" w:cs="Times New Roman"/>
                      <w:b/>
                      <w:bCs w:val="0"/>
                      <w:kern w:val="21"/>
                      <w:sz w:val="21"/>
                      <w:szCs w:val="21"/>
                      <w:u w:val="none" w:color="auto"/>
                      <w:lang w:val="en-US" w:eastAsia="zh-CN"/>
                    </w:rPr>
                    <w:t>NH</w:t>
                  </w:r>
                  <w:r>
                    <w:rPr>
                      <w:rFonts w:hint="default" w:ascii="Times New Roman" w:hAnsi="Times New Roman" w:eastAsia="宋体" w:cs="Times New Roman"/>
                      <w:b/>
                      <w:bCs w:val="0"/>
                      <w:kern w:val="21"/>
                      <w:sz w:val="21"/>
                      <w:szCs w:val="21"/>
                      <w:u w:val="none" w:color="auto"/>
                      <w:vertAlign w:val="subscript"/>
                      <w:lang w:val="en-US" w:eastAsia="zh-CN"/>
                    </w:rPr>
                    <w:t>3</w:t>
                  </w:r>
                  <w:r>
                    <w:rPr>
                      <w:rFonts w:hint="default" w:ascii="Times New Roman" w:hAnsi="Times New Roman" w:eastAsia="宋体" w:cs="Times New Roman"/>
                      <w:b/>
                      <w:bCs w:val="0"/>
                      <w:kern w:val="21"/>
                      <w:sz w:val="21"/>
                      <w:szCs w:val="21"/>
                      <w:u w:val="none" w:color="auto"/>
                      <w:lang w:val="en-US" w:eastAsia="zh-CN"/>
                    </w:rPr>
                    <w:t>-N</w:t>
                  </w:r>
                </w:p>
              </w:tc>
              <w:tc>
                <w:tcPr>
                  <w:tcW w:w="870"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lang w:val="en-US" w:eastAsia="zh-CN"/>
                    </w:rPr>
                  </w:pPr>
                  <w:r>
                    <w:rPr>
                      <w:rFonts w:hint="eastAsia" w:ascii="Times New Roman" w:hAnsi="Times New Roman" w:eastAsia="宋体" w:cs="Times New Roman"/>
                      <w:b/>
                      <w:bCs w:val="0"/>
                      <w:kern w:val="21"/>
                      <w:sz w:val="21"/>
                      <w:szCs w:val="21"/>
                      <w:u w:val="none" w:color="auto"/>
                      <w:lang w:val="en-US" w:eastAsia="zh-CN"/>
                    </w:rPr>
                    <w:t>SS</w:t>
                  </w:r>
                </w:p>
              </w:tc>
              <w:tc>
                <w:tcPr>
                  <w:tcW w:w="1697"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lang w:val="en-US" w:eastAsia="zh-CN"/>
                    </w:rPr>
                  </w:pPr>
                  <w:r>
                    <w:rPr>
                      <w:rFonts w:hint="eastAsia" w:ascii="Times New Roman" w:hAnsi="Times New Roman" w:eastAsia="宋体" w:cs="Times New Roman"/>
                      <w:b/>
                      <w:bCs w:val="0"/>
                      <w:kern w:val="21"/>
                      <w:sz w:val="21"/>
                      <w:szCs w:val="21"/>
                      <w:u w:val="none" w:color="auto"/>
                      <w:lang w:val="en-US" w:eastAsia="zh-CN"/>
                    </w:rPr>
                    <w:t>备注</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085" w:type="dxa"/>
                  <w:tcBorders>
                    <w:tl2br w:val="nil"/>
                    <w:tr2bl w:val="nil"/>
                  </w:tcBorders>
                  <w:noWrap w:val="0"/>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废水排放量</w:t>
                  </w:r>
                  <w:r>
                    <w:rPr>
                      <w:rFonts w:hint="eastAsia" w:ascii="Times New Roman" w:hAnsi="Times New Roman" w:cs="Times New Roman"/>
                      <w:b w:val="0"/>
                      <w:bCs/>
                      <w:kern w:val="21"/>
                      <w:sz w:val="21"/>
                      <w:szCs w:val="21"/>
                      <w:u w:val="none" w:color="auto"/>
                      <w:lang w:val="en-US" w:eastAsia="zh-CN"/>
                    </w:rPr>
                    <w:t>（m</w:t>
                  </w:r>
                  <w:r>
                    <w:rPr>
                      <w:rFonts w:hint="eastAsia" w:ascii="Times New Roman" w:hAnsi="Times New Roman" w:cs="Times New Roman"/>
                      <w:b w:val="0"/>
                      <w:bCs/>
                      <w:kern w:val="21"/>
                      <w:sz w:val="21"/>
                      <w:szCs w:val="21"/>
                      <w:u w:val="none" w:color="auto"/>
                      <w:vertAlign w:val="superscript"/>
                      <w:lang w:val="en-US" w:eastAsia="zh-CN"/>
                    </w:rPr>
                    <w:t>3</w:t>
                  </w:r>
                  <w:r>
                    <w:rPr>
                      <w:rFonts w:hint="eastAsia" w:ascii="Times New Roman" w:hAnsi="Times New Roman" w:cs="Times New Roman"/>
                      <w:b w:val="0"/>
                      <w:bCs/>
                      <w:kern w:val="21"/>
                      <w:sz w:val="21"/>
                      <w:szCs w:val="21"/>
                      <w:u w:val="none" w:color="auto"/>
                      <w:lang w:val="en-US" w:eastAsia="zh-CN"/>
                    </w:rPr>
                    <w:t>/a）</w:t>
                  </w:r>
                </w:p>
              </w:tc>
              <w:tc>
                <w:tcPr>
                  <w:tcW w:w="5898"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cs="Times New Roman"/>
                      <w:b w:val="0"/>
                      <w:bCs/>
                      <w:kern w:val="21"/>
                      <w:sz w:val="21"/>
                      <w:szCs w:val="21"/>
                      <w:u w:val="none" w:color="auto"/>
                      <w:lang w:val="en-US" w:eastAsia="zh-CN"/>
                    </w:rPr>
                    <w:t>3927.4</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085" w:type="dxa"/>
                  <w:tcBorders>
                    <w:tl2br w:val="nil"/>
                    <w:tr2bl w:val="nil"/>
                  </w:tcBorders>
                  <w:noWrap w:val="0"/>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cs="Times New Roman"/>
                      <w:b w:val="0"/>
                      <w:bCs/>
                      <w:kern w:val="21"/>
                      <w:sz w:val="21"/>
                      <w:szCs w:val="21"/>
                      <w:u w:val="none" w:color="auto"/>
                      <w:lang w:val="en-US" w:eastAsia="zh-CN"/>
                    </w:rPr>
                    <w:t>产生浓度（mg/L）</w:t>
                  </w:r>
                </w:p>
              </w:tc>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cs="Times New Roman"/>
                      <w:b w:val="0"/>
                      <w:bCs/>
                      <w:kern w:val="21"/>
                      <w:sz w:val="21"/>
                      <w:szCs w:val="21"/>
                      <w:u w:val="none" w:color="auto"/>
                      <w:lang w:val="en-US" w:eastAsia="zh-CN"/>
                    </w:rPr>
                    <w:t>300</w:t>
                  </w:r>
                </w:p>
              </w:tc>
              <w:tc>
                <w:tcPr>
                  <w:tcW w:w="79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150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24000</w:t>
                  </w:r>
                </w:p>
              </w:tc>
              <w:tc>
                <w:tcPr>
                  <w:tcW w:w="8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50</w:t>
                  </w:r>
                </w:p>
              </w:tc>
              <w:tc>
                <w:tcPr>
                  <w:tcW w:w="8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1</w:t>
                  </w:r>
                  <w:r>
                    <w:rPr>
                      <w:rFonts w:hint="eastAsia" w:cs="Times New Roman"/>
                      <w:spacing w:val="3"/>
                      <w:sz w:val="21"/>
                      <w:szCs w:val="21"/>
                      <w:lang w:val="en-US" w:eastAsia="zh-CN"/>
                    </w:rPr>
                    <w:t>20</w:t>
                  </w:r>
                </w:p>
              </w:tc>
              <w:tc>
                <w:tcPr>
                  <w:tcW w:w="169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类比同类型医院项目</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085" w:type="dxa"/>
                  <w:tcBorders>
                    <w:tl2br w:val="nil"/>
                    <w:tr2bl w:val="nil"/>
                  </w:tcBorders>
                  <w:noWrap w:val="0"/>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cs="Times New Roman"/>
                      <w:b w:val="0"/>
                      <w:bCs/>
                      <w:kern w:val="21"/>
                      <w:sz w:val="21"/>
                      <w:szCs w:val="21"/>
                      <w:u w:val="none" w:color="auto"/>
                      <w:lang w:val="en-US" w:eastAsia="zh-CN"/>
                    </w:rPr>
                    <w:t>产生量（t/a）</w:t>
                  </w:r>
                </w:p>
              </w:tc>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cs="Times New Roman"/>
                      <w:b w:val="0"/>
                      <w:bCs/>
                      <w:kern w:val="21"/>
                      <w:sz w:val="21"/>
                      <w:szCs w:val="21"/>
                      <w:u w:val="none" w:color="auto"/>
                      <w:lang w:val="en-US" w:eastAsia="zh-CN"/>
                    </w:rPr>
                    <w:t>1.178</w:t>
                  </w:r>
                </w:p>
              </w:tc>
              <w:tc>
                <w:tcPr>
                  <w:tcW w:w="79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0.589</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w:t>
                  </w:r>
                </w:p>
              </w:tc>
              <w:tc>
                <w:tcPr>
                  <w:tcW w:w="8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0.196</w:t>
                  </w:r>
                </w:p>
              </w:tc>
              <w:tc>
                <w:tcPr>
                  <w:tcW w:w="8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lang w:val="en-US" w:eastAsia="zh-CN"/>
                    </w:rPr>
                  </w:pPr>
                  <w:r>
                    <w:rPr>
                      <w:rFonts w:hint="eastAsia" w:cs="Times New Roman"/>
                      <w:spacing w:val="-1"/>
                      <w:sz w:val="21"/>
                      <w:szCs w:val="21"/>
                      <w:lang w:val="en-US" w:eastAsia="zh-CN"/>
                    </w:rPr>
                    <w:t>0.471</w:t>
                  </w:r>
                </w:p>
              </w:tc>
              <w:tc>
                <w:tcPr>
                  <w:tcW w:w="16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color="auto"/>
                      <w:lang w:val="en-US" w:eastAsia="zh-CN"/>
                    </w:rPr>
                  </w:pP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085" w:type="dxa"/>
                  <w:tcBorders>
                    <w:tl2br w:val="nil"/>
                    <w:tr2bl w:val="nil"/>
                  </w:tcBorders>
                  <w:noWrap w:val="0"/>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cs="Times New Roman"/>
                      <w:b w:val="0"/>
                      <w:bCs/>
                      <w:kern w:val="21"/>
                      <w:sz w:val="21"/>
                      <w:szCs w:val="21"/>
                      <w:u w:val="none" w:color="auto"/>
                      <w:lang w:val="en-US" w:eastAsia="zh-CN"/>
                    </w:rPr>
                    <w:t>入管网许可排放浓度（mg/L）</w:t>
                  </w:r>
                </w:p>
              </w:tc>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cs="Times New Roman"/>
                      <w:b w:val="0"/>
                      <w:bCs/>
                      <w:kern w:val="21"/>
                      <w:sz w:val="21"/>
                      <w:szCs w:val="21"/>
                      <w:u w:val="none" w:color="auto"/>
                      <w:lang w:val="en-US" w:eastAsia="zh-CN"/>
                    </w:rPr>
                    <w:t>250</w:t>
                  </w:r>
                </w:p>
              </w:tc>
              <w:tc>
                <w:tcPr>
                  <w:tcW w:w="79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100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5000</w:t>
                  </w:r>
                </w:p>
              </w:tc>
              <w:tc>
                <w:tcPr>
                  <w:tcW w:w="8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45</w:t>
                  </w:r>
                </w:p>
              </w:tc>
              <w:tc>
                <w:tcPr>
                  <w:tcW w:w="8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lang w:val="en-US" w:eastAsia="zh-CN"/>
                    </w:rPr>
                  </w:pPr>
                  <w:r>
                    <w:rPr>
                      <w:rFonts w:hint="eastAsia" w:eastAsia="宋体" w:cs="Times New Roman"/>
                      <w:spacing w:val="-1"/>
                      <w:sz w:val="21"/>
                      <w:szCs w:val="21"/>
                      <w:lang w:val="en-US" w:eastAsia="zh-CN"/>
                    </w:rPr>
                    <w:t>60</w:t>
                  </w:r>
                </w:p>
              </w:tc>
              <w:tc>
                <w:tcPr>
                  <w:tcW w:w="169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《医疗机构水污染物排放标准》（GB18466-2005）表2中的预处理标准及《污水排入城镇下水道水质标准》（GB/T31962-2015）</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085"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入管网许可排放量（t/a）</w:t>
                  </w:r>
                </w:p>
              </w:tc>
              <w:tc>
                <w:tcPr>
                  <w:tcW w:w="747"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0.982</w:t>
                  </w:r>
                </w:p>
              </w:tc>
              <w:tc>
                <w:tcPr>
                  <w:tcW w:w="799"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21"/>
                      <w:szCs w:val="21"/>
                      <w:u w:val="none" w:color="auto"/>
                      <w:lang w:val="en-US" w:eastAsia="zh-CN"/>
                    </w:rPr>
                    <w:t>0.393</w:t>
                  </w:r>
                </w:p>
              </w:tc>
              <w:tc>
                <w:tcPr>
                  <w:tcW w:w="930"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w:t>
                  </w:r>
                </w:p>
              </w:tc>
              <w:tc>
                <w:tcPr>
                  <w:tcW w:w="855"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21"/>
                      <w:szCs w:val="21"/>
                      <w:u w:val="none" w:color="auto"/>
                      <w:lang w:val="en-US" w:eastAsia="zh-CN"/>
                    </w:rPr>
                    <w:t>0.177</w:t>
                  </w:r>
                </w:p>
              </w:tc>
              <w:tc>
                <w:tcPr>
                  <w:tcW w:w="870"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21"/>
                      <w:szCs w:val="21"/>
                      <w:u w:val="none" w:color="auto"/>
                      <w:lang w:val="en-US" w:eastAsia="zh-CN"/>
                    </w:rPr>
                    <w:t>0.236</w:t>
                  </w:r>
                </w:p>
              </w:tc>
              <w:tc>
                <w:tcPr>
                  <w:tcW w:w="1697" w:type="dxa"/>
                  <w:vMerge w:val="continue"/>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eastAsia" w:ascii="Times New Roman" w:hAnsi="Times New Roman" w:eastAsia="宋体" w:cs="Times New Roman"/>
                      <w:sz w:val="21"/>
                      <w:szCs w:val="21"/>
                      <w:u w:val="none" w:color="auto"/>
                      <w:lang w:val="en-US" w:eastAsia="zh-CN"/>
                    </w:rPr>
                  </w:pP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085"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花垣县污水处理厂排放浓度（</w:t>
                  </w:r>
                  <w:r>
                    <w:rPr>
                      <w:rFonts w:hint="eastAsia" w:ascii="Times New Roman" w:hAnsi="Times New Roman" w:cs="Times New Roman"/>
                      <w:b w:val="0"/>
                      <w:bCs/>
                      <w:kern w:val="21"/>
                      <w:sz w:val="21"/>
                      <w:szCs w:val="21"/>
                      <w:u w:val="none" w:color="auto"/>
                      <w:lang w:val="en-US" w:eastAsia="zh-CN"/>
                    </w:rPr>
                    <w:t>mg/L</w:t>
                  </w:r>
                  <w:r>
                    <w:rPr>
                      <w:rFonts w:hint="eastAsia" w:ascii="Times New Roman" w:hAnsi="Times New Roman" w:eastAsia="宋体" w:cs="Times New Roman"/>
                      <w:b w:val="0"/>
                      <w:bCs/>
                      <w:kern w:val="21"/>
                      <w:sz w:val="21"/>
                      <w:szCs w:val="21"/>
                      <w:u w:val="none" w:color="auto"/>
                      <w:lang w:val="en-US" w:eastAsia="zh-CN"/>
                    </w:rPr>
                    <w:t>）</w:t>
                  </w:r>
                </w:p>
              </w:tc>
              <w:tc>
                <w:tcPr>
                  <w:tcW w:w="747"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50</w:t>
                  </w:r>
                </w:p>
              </w:tc>
              <w:tc>
                <w:tcPr>
                  <w:tcW w:w="799"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21"/>
                      <w:szCs w:val="21"/>
                      <w:u w:val="none" w:color="auto"/>
                      <w:lang w:val="en-US" w:eastAsia="zh-CN"/>
                    </w:rPr>
                    <w:t>10</w:t>
                  </w:r>
                </w:p>
              </w:tc>
              <w:tc>
                <w:tcPr>
                  <w:tcW w:w="930"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1000</w:t>
                  </w:r>
                </w:p>
              </w:tc>
              <w:tc>
                <w:tcPr>
                  <w:tcW w:w="855"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21"/>
                      <w:szCs w:val="21"/>
                      <w:u w:val="none" w:color="auto"/>
                      <w:lang w:val="en-US" w:eastAsia="zh-CN"/>
                    </w:rPr>
                    <w:t>5（8）</w:t>
                  </w:r>
                </w:p>
              </w:tc>
              <w:tc>
                <w:tcPr>
                  <w:tcW w:w="870"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21"/>
                      <w:szCs w:val="21"/>
                      <w:u w:val="none" w:color="auto"/>
                      <w:lang w:val="en-US" w:eastAsia="zh-CN"/>
                    </w:rPr>
                    <w:t>10</w:t>
                  </w:r>
                </w:p>
              </w:tc>
              <w:tc>
                <w:tcPr>
                  <w:tcW w:w="1697" w:type="dxa"/>
                  <w:vMerge w:val="restart"/>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一体化污水处理设施处理后接入市政污水管网，进入</w:t>
                  </w:r>
                  <w:r>
                    <w:rPr>
                      <w:rFonts w:hint="eastAsia" w:ascii="Times New Roman" w:eastAsia="宋体" w:cs="Times New Roman"/>
                      <w:sz w:val="21"/>
                      <w:szCs w:val="21"/>
                      <w:u w:val="none" w:color="auto"/>
                      <w:lang w:val="en-US" w:eastAsia="zh-CN"/>
                    </w:rPr>
                    <w:t>花垣县污水处理厂</w:t>
                  </w:r>
                  <w:r>
                    <w:rPr>
                      <w:rFonts w:hint="eastAsia" w:ascii="Times New Roman" w:hAnsi="Times New Roman" w:eastAsia="宋体" w:cs="Times New Roman"/>
                      <w:sz w:val="21"/>
                      <w:szCs w:val="21"/>
                      <w:u w:val="none" w:color="auto"/>
                      <w:lang w:val="en-US" w:eastAsia="zh-CN"/>
                    </w:rPr>
                    <w:t>进行深度处理，最后外排至</w:t>
                  </w:r>
                  <w:r>
                    <w:rPr>
                      <w:rFonts w:hint="eastAsia" w:ascii="Times New Roman" w:eastAsia="宋体" w:cs="Times New Roman"/>
                      <w:sz w:val="21"/>
                      <w:szCs w:val="21"/>
                      <w:u w:val="none" w:color="auto"/>
                      <w:lang w:val="en-US" w:eastAsia="zh-CN"/>
                    </w:rPr>
                    <w:t>花垣河</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085"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入河许可排放量（t/a）</w:t>
                  </w:r>
                </w:p>
              </w:tc>
              <w:tc>
                <w:tcPr>
                  <w:tcW w:w="747"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0.196</w:t>
                  </w:r>
                </w:p>
              </w:tc>
              <w:tc>
                <w:tcPr>
                  <w:tcW w:w="799"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21"/>
                      <w:szCs w:val="21"/>
                      <w:u w:val="none" w:color="auto"/>
                      <w:lang w:val="en-US" w:eastAsia="zh-CN"/>
                    </w:rPr>
                    <w:t>0.039</w:t>
                  </w:r>
                </w:p>
              </w:tc>
              <w:tc>
                <w:tcPr>
                  <w:tcW w:w="930"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w:t>
                  </w:r>
                </w:p>
              </w:tc>
              <w:tc>
                <w:tcPr>
                  <w:tcW w:w="855"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18"/>
                      <w:szCs w:val="18"/>
                      <w:u w:val="none" w:color="auto"/>
                      <w:lang w:val="en-US" w:eastAsia="zh-CN"/>
                    </w:rPr>
                    <w:t>0.02（0.031）</w:t>
                  </w:r>
                </w:p>
              </w:tc>
              <w:tc>
                <w:tcPr>
                  <w:tcW w:w="870"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21"/>
                      <w:szCs w:val="21"/>
                      <w:u w:val="none" w:color="auto"/>
                      <w:lang w:val="en-US" w:eastAsia="zh-CN"/>
                    </w:rPr>
                    <w:t>0.039</w:t>
                  </w:r>
                </w:p>
              </w:tc>
              <w:tc>
                <w:tcPr>
                  <w:tcW w:w="1697" w:type="dxa"/>
                  <w:vMerge w:val="continue"/>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eastAsia" w:ascii="Times New Roman" w:hAnsi="Times New Roman" w:eastAsia="宋体" w:cs="Times New Roman"/>
                      <w:sz w:val="21"/>
                      <w:szCs w:val="21"/>
                      <w:u w:val="none" w:color="auto"/>
                      <w:lang w:val="en-US" w:eastAsia="zh-CN"/>
                    </w:rPr>
                  </w:pP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085"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《医疗机构水污染物排放标准》（GB18466-2005）表2中的预处理标准及《污水排入城镇下水道水质标准》（GB/T31962-2015）</w:t>
                  </w:r>
                </w:p>
              </w:tc>
              <w:tc>
                <w:tcPr>
                  <w:tcW w:w="747"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250</w:t>
                  </w:r>
                </w:p>
              </w:tc>
              <w:tc>
                <w:tcPr>
                  <w:tcW w:w="799"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21"/>
                      <w:szCs w:val="21"/>
                      <w:u w:val="none" w:color="auto"/>
                      <w:lang w:val="en-US" w:eastAsia="zh-CN"/>
                    </w:rPr>
                    <w:t>100</w:t>
                  </w:r>
                </w:p>
              </w:tc>
              <w:tc>
                <w:tcPr>
                  <w:tcW w:w="930"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5000</w:t>
                  </w:r>
                </w:p>
              </w:tc>
              <w:tc>
                <w:tcPr>
                  <w:tcW w:w="855"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21"/>
                      <w:szCs w:val="21"/>
                      <w:u w:val="none" w:color="auto"/>
                      <w:lang w:val="en-US" w:eastAsia="zh-CN"/>
                    </w:rPr>
                    <w:t>45</w:t>
                  </w:r>
                </w:p>
              </w:tc>
              <w:tc>
                <w:tcPr>
                  <w:tcW w:w="870"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cs="Times New Roman"/>
                      <w:sz w:val="21"/>
                      <w:szCs w:val="21"/>
                      <w:u w:val="none" w:color="auto"/>
                      <w:lang w:val="en-US" w:eastAsia="zh-CN"/>
                    </w:rPr>
                  </w:pPr>
                  <w:r>
                    <w:rPr>
                      <w:rFonts w:hint="eastAsia" w:ascii="Times New Roman" w:cs="Times New Roman"/>
                      <w:sz w:val="21"/>
                      <w:szCs w:val="21"/>
                      <w:u w:val="none" w:color="auto"/>
                      <w:lang w:val="en-US" w:eastAsia="zh-CN"/>
                    </w:rPr>
                    <w:t>60</w:t>
                  </w:r>
                </w:p>
              </w:tc>
              <w:tc>
                <w:tcPr>
                  <w:tcW w:w="1697"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eastAsia" w:ascii="Times New Roman" w:hAnsi="Times New Roman" w:eastAsia="宋体" w:cs="Times New Roman"/>
                      <w:sz w:val="21"/>
                      <w:szCs w:val="21"/>
                      <w:u w:val="none" w:color="auto"/>
                      <w:lang w:val="en-US" w:eastAsia="zh-CN"/>
                    </w:rPr>
                  </w:pPr>
                  <w:r>
                    <w:rPr>
                      <w:rFonts w:hint="eastAsia" w:ascii="Times New Roman" w:eastAsia="宋体" w:cs="Times New Roman"/>
                      <w:sz w:val="21"/>
                      <w:szCs w:val="21"/>
                      <w:u w:val="none" w:color="auto"/>
                      <w:lang w:val="en-US" w:eastAsia="zh-CN"/>
                    </w:rPr>
                    <w:t>一</w:t>
                  </w:r>
                  <w:r>
                    <w:rPr>
                      <w:rFonts w:hint="eastAsia" w:ascii="Times New Roman" w:hAnsi="Times New Roman" w:eastAsia="宋体" w:cs="Times New Roman"/>
                      <w:sz w:val="21"/>
                      <w:szCs w:val="21"/>
                      <w:u w:val="none" w:color="auto"/>
                      <w:lang w:val="en-US" w:eastAsia="zh-CN"/>
                    </w:rPr>
                    <w:t>体化污水处理设施执行标准</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085"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《城镇污水处理厂污染物排放标准》（GB18918-2002）一级A标准</w:t>
                  </w:r>
                </w:p>
              </w:tc>
              <w:tc>
                <w:tcPr>
                  <w:tcW w:w="747"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50</w:t>
                  </w:r>
                </w:p>
              </w:tc>
              <w:tc>
                <w:tcPr>
                  <w:tcW w:w="799"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cs="Times New Roman"/>
                      <w:sz w:val="21"/>
                      <w:szCs w:val="21"/>
                      <w:u w:val="none" w:color="auto"/>
                      <w:lang w:val="en-US" w:eastAsia="zh-CN"/>
                    </w:rPr>
                  </w:pPr>
                  <w:r>
                    <w:rPr>
                      <w:rFonts w:hint="eastAsia" w:ascii="Times New Roman" w:cs="Times New Roman"/>
                      <w:sz w:val="21"/>
                      <w:szCs w:val="21"/>
                      <w:u w:val="none" w:color="auto"/>
                      <w:lang w:val="en-US" w:eastAsia="zh-CN"/>
                    </w:rPr>
                    <w:t>10</w:t>
                  </w:r>
                </w:p>
              </w:tc>
              <w:tc>
                <w:tcPr>
                  <w:tcW w:w="930" w:type="dxa"/>
                  <w:tcBorders>
                    <w:tl2br w:val="nil"/>
                    <w:tr2bl w:val="nil"/>
                  </w:tcBorders>
                  <w:noWrap w:val="0"/>
                  <w:vAlign w:val="center"/>
                </w:tcPr>
                <w:p>
                  <w:pPr>
                    <w:pStyle w:val="51"/>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1000</w:t>
                  </w:r>
                </w:p>
              </w:tc>
              <w:tc>
                <w:tcPr>
                  <w:tcW w:w="855"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cs="Times New Roman"/>
                      <w:sz w:val="21"/>
                      <w:szCs w:val="21"/>
                      <w:u w:val="none" w:color="auto"/>
                      <w:lang w:val="en-US" w:eastAsia="zh-CN"/>
                    </w:rPr>
                  </w:pPr>
                  <w:r>
                    <w:rPr>
                      <w:rFonts w:hint="eastAsia" w:ascii="Times New Roman" w:cs="Times New Roman"/>
                      <w:sz w:val="21"/>
                      <w:szCs w:val="21"/>
                      <w:u w:val="none" w:color="auto"/>
                      <w:lang w:val="en-US" w:eastAsia="zh-CN"/>
                    </w:rPr>
                    <w:t>5（8）</w:t>
                  </w:r>
                </w:p>
              </w:tc>
              <w:tc>
                <w:tcPr>
                  <w:tcW w:w="870"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cs="Times New Roman"/>
                      <w:sz w:val="21"/>
                      <w:szCs w:val="21"/>
                      <w:u w:val="none" w:color="auto"/>
                      <w:lang w:val="en-US" w:eastAsia="zh-CN"/>
                    </w:rPr>
                  </w:pPr>
                  <w:r>
                    <w:rPr>
                      <w:rFonts w:hint="eastAsia" w:ascii="Times New Roman" w:cs="Times New Roman"/>
                      <w:sz w:val="21"/>
                      <w:szCs w:val="21"/>
                      <w:u w:val="none" w:color="auto"/>
                      <w:lang w:val="en-US" w:eastAsia="zh-CN"/>
                    </w:rPr>
                    <w:t>10</w:t>
                  </w:r>
                </w:p>
              </w:tc>
              <w:tc>
                <w:tcPr>
                  <w:tcW w:w="1697" w:type="dxa"/>
                  <w:tcBorders>
                    <w:tl2br w:val="nil"/>
                    <w:tr2bl w:val="nil"/>
                  </w:tcBorders>
                  <w:noWrap w:val="0"/>
                  <w:vAlign w:val="center"/>
                </w:tcPr>
                <w:p>
                  <w:pPr>
                    <w:pStyle w:val="90"/>
                    <w:keepNext w:val="0"/>
                    <w:keepLines w:val="0"/>
                    <w:pageBreakBefore w:val="0"/>
                    <w:kinsoku/>
                    <w:overflowPunct/>
                    <w:topLinePunct w:val="0"/>
                    <w:bidi w:val="0"/>
                    <w:spacing w:beforeLines="0" w:afterLines="0" w:line="240" w:lineRule="auto"/>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eastAsia="宋体" w:cs="Times New Roman"/>
                      <w:sz w:val="21"/>
                      <w:szCs w:val="21"/>
                      <w:u w:val="none" w:color="auto"/>
                      <w:lang w:val="en-US" w:eastAsia="zh-CN"/>
                    </w:rPr>
                    <w:t>花垣县污水处理厂出水标准</w:t>
                  </w:r>
                </w:p>
              </w:tc>
            </w:tr>
          </w:tbl>
          <w:p>
            <w:pPr>
              <w:widowControl w:val="0"/>
              <w:tabs>
                <w:tab w:val="left" w:pos="3794"/>
              </w:tabs>
              <w:spacing w:line="360" w:lineRule="auto"/>
              <w:contextualSpacing/>
              <w:jc w:val="both"/>
              <w:rPr>
                <w:rFonts w:hint="default" w:ascii="Times New Roman" w:hAnsi="Times New Roman" w:eastAsia="宋体" w:cs="Times New Roman"/>
                <w:b/>
                <w:bCs/>
                <w:color w:val="000000"/>
                <w:kern w:val="2"/>
                <w:sz w:val="24"/>
                <w:szCs w:val="20"/>
                <w:u w:val="none" w:color="auto"/>
                <w:lang w:val="en-US" w:eastAsia="zh-CN" w:bidi="ar-SA"/>
              </w:rPr>
            </w:pPr>
            <w:r>
              <w:rPr>
                <w:rFonts w:hint="eastAsia" w:cs="Times New Roman"/>
                <w:b/>
                <w:bCs/>
                <w:color w:val="000000"/>
                <w:kern w:val="2"/>
                <w:sz w:val="24"/>
                <w:szCs w:val="20"/>
                <w:u w:val="none" w:color="auto"/>
                <w:lang w:val="en-US" w:eastAsia="zh-CN" w:bidi="ar-SA"/>
              </w:rPr>
              <w:t>2</w:t>
            </w:r>
            <w:r>
              <w:rPr>
                <w:rFonts w:ascii="Times New Roman" w:hAnsi="Times New Roman" w:eastAsia="宋体" w:cs="Times New Roman"/>
                <w:b/>
                <w:bCs/>
                <w:color w:val="000000"/>
                <w:kern w:val="2"/>
                <w:sz w:val="24"/>
                <w:szCs w:val="20"/>
                <w:u w:val="none" w:color="auto"/>
                <w:lang w:val="en-US" w:eastAsia="zh-CN" w:bidi="ar-SA"/>
              </w:rPr>
              <w:t>.</w:t>
            </w:r>
            <w:r>
              <w:rPr>
                <w:rFonts w:hint="eastAsia" w:cs="Times New Roman"/>
                <w:b/>
                <w:bCs/>
                <w:color w:val="000000"/>
                <w:kern w:val="2"/>
                <w:sz w:val="24"/>
                <w:szCs w:val="20"/>
                <w:u w:val="none" w:color="auto"/>
                <w:lang w:val="en-US" w:eastAsia="zh-CN" w:bidi="ar-SA"/>
              </w:rPr>
              <w:t>2废水</w:t>
            </w:r>
            <w:r>
              <w:rPr>
                <w:rFonts w:hint="eastAsia" w:ascii="Times New Roman" w:hAnsi="Times New Roman" w:eastAsia="宋体" w:cs="Times New Roman"/>
                <w:b/>
                <w:bCs/>
                <w:color w:val="000000"/>
                <w:kern w:val="2"/>
                <w:sz w:val="24"/>
                <w:szCs w:val="20"/>
                <w:u w:val="none" w:color="auto"/>
                <w:lang w:val="en-US" w:eastAsia="zh-CN" w:bidi="ar-SA"/>
              </w:rPr>
              <w:t>治理措施情况</w:t>
            </w:r>
          </w:p>
          <w:p>
            <w:pPr>
              <w:pStyle w:val="98"/>
              <w:ind w:firstLine="480"/>
              <w:rPr>
                <w:rFonts w:hint="eastAsia"/>
                <w:sz w:val="24"/>
                <w:szCs w:val="24"/>
                <w:u w:val="none"/>
              </w:rPr>
            </w:pPr>
            <w:r>
              <w:rPr>
                <w:sz w:val="24"/>
                <w:szCs w:val="24"/>
                <w:u w:val="none"/>
              </w:rPr>
              <w:t>项目</w:t>
            </w:r>
            <w:r>
              <w:rPr>
                <w:rFonts w:hint="eastAsia"/>
                <w:sz w:val="24"/>
                <w:szCs w:val="24"/>
                <w:u w:val="none"/>
                <w:lang w:val="en-US" w:eastAsia="zh-CN"/>
              </w:rPr>
              <w:t>采用雨污分流，雨水经雨水管网收集排至市政雨水管道；项目医疗废水、医务人员生活污水一起经过化粪池后进入一体化污水处理站处理，处理后接入市政管网，进入花垣县污水处理厂处理后排入花垣河</w:t>
            </w:r>
            <w:r>
              <w:rPr>
                <w:rFonts w:hint="eastAsia"/>
                <w:sz w:val="24"/>
                <w:szCs w:val="24"/>
                <w:u w:val="none"/>
              </w:rPr>
              <w:t>。</w:t>
            </w:r>
          </w:p>
          <w:p>
            <w:pPr>
              <w:pStyle w:val="5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b/>
                <w:bCs/>
                <w:color w:val="auto"/>
                <w:kern w:val="28"/>
                <w:sz w:val="21"/>
                <w:szCs w:val="21"/>
                <w:u w:val="none" w:color="auto"/>
                <w:lang w:val="en-US"/>
              </w:rPr>
            </w:pPr>
            <w:r>
              <w:rPr>
                <w:rFonts w:hint="default" w:ascii="Times New Roman" w:hAnsi="Times New Roman" w:eastAsia="宋体" w:cs="Times New Roman"/>
                <w:b/>
                <w:bCs/>
                <w:color w:val="auto"/>
                <w:kern w:val="28"/>
                <w:sz w:val="21"/>
                <w:szCs w:val="21"/>
                <w:u w:val="none" w:color="auto"/>
              </w:rPr>
              <w:t>表4-</w:t>
            </w:r>
            <w:r>
              <w:rPr>
                <w:rFonts w:hint="eastAsia" w:ascii="Times New Roman" w:hAnsi="Times New Roman" w:eastAsia="宋体" w:cs="Times New Roman"/>
                <w:b/>
                <w:bCs/>
                <w:color w:val="auto"/>
                <w:kern w:val="28"/>
                <w:sz w:val="21"/>
                <w:szCs w:val="21"/>
                <w:u w:val="none" w:color="auto"/>
                <w:lang w:val="en-US" w:eastAsia="zh-CN"/>
              </w:rPr>
              <w:t>3  废水治理措施情况一览表</w:t>
            </w:r>
          </w:p>
          <w:tbl>
            <w:tblPr>
              <w:tblStyle w:val="149"/>
              <w:tblW w:w="49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3"/>
              <w:gridCol w:w="1558"/>
              <w:gridCol w:w="913"/>
              <w:gridCol w:w="1640"/>
              <w:gridCol w:w="1897"/>
              <w:gridCol w:w="9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1023"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spacing w:val="7"/>
                      <w:sz w:val="21"/>
                      <w:szCs w:val="21"/>
                      <w:lang w:val="en-US" w:eastAsia="zh-CN"/>
                    </w:rPr>
                  </w:pPr>
                  <w:r>
                    <w:rPr>
                      <w:rFonts w:hint="eastAsia" w:ascii="Times New Roman" w:hAnsi="Times New Roman" w:cs="Times New Roman"/>
                      <w:spacing w:val="7"/>
                      <w:sz w:val="21"/>
                      <w:szCs w:val="21"/>
                      <w:lang w:val="en-US" w:eastAsia="zh-CN"/>
                    </w:rPr>
                    <w:t>处理</w:t>
                  </w:r>
                </w:p>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7"/>
                      <w:sz w:val="21"/>
                      <w:szCs w:val="21"/>
                      <w:lang w:val="en-US" w:eastAsia="zh-CN"/>
                    </w:rPr>
                  </w:pPr>
                  <w:r>
                    <w:rPr>
                      <w:rFonts w:hint="eastAsia" w:ascii="Times New Roman" w:hAnsi="Times New Roman" w:cs="Times New Roman"/>
                      <w:spacing w:val="7"/>
                      <w:sz w:val="21"/>
                      <w:szCs w:val="21"/>
                      <w:lang w:val="en-US" w:eastAsia="zh-CN"/>
                    </w:rPr>
                    <w:t>工序</w:t>
                  </w:r>
                </w:p>
              </w:tc>
              <w:tc>
                <w:tcPr>
                  <w:tcW w:w="1559"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治理设施名称</w:t>
                  </w:r>
                </w:p>
              </w:tc>
              <w:tc>
                <w:tcPr>
                  <w:tcW w:w="913"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处理能力</w:t>
                  </w:r>
                </w:p>
              </w:tc>
              <w:tc>
                <w:tcPr>
                  <w:tcW w:w="1641"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治理工艺</w:t>
                  </w:r>
                </w:p>
              </w:tc>
              <w:tc>
                <w:tcPr>
                  <w:tcW w:w="1898"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治理效率</w:t>
                  </w:r>
                </w:p>
              </w:tc>
              <w:tc>
                <w:tcPr>
                  <w:tcW w:w="951"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是否为可</w:t>
                  </w:r>
                </w:p>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行技术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023" w:type="dxa"/>
                  <w:vMerge w:val="restart"/>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cs="Times New Roman"/>
                      <w:spacing w:val="6"/>
                      <w:sz w:val="21"/>
                      <w:szCs w:val="21"/>
                      <w:lang w:val="en-US" w:eastAsia="zh-CN"/>
                    </w:rPr>
                    <w:t>医疗机构污水（包括病房废水、生活污水）</w:t>
                  </w:r>
                </w:p>
              </w:tc>
              <w:tc>
                <w:tcPr>
                  <w:tcW w:w="1559"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化粪池</w:t>
                  </w:r>
                </w:p>
              </w:tc>
              <w:tc>
                <w:tcPr>
                  <w:tcW w:w="913" w:type="dxa"/>
                  <w:vAlign w:val="center"/>
                </w:tcPr>
                <w:p>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20m</w:t>
                  </w:r>
                  <w:r>
                    <w:rPr>
                      <w:rFonts w:hint="default" w:ascii="Times New Roman" w:hAnsi="Times New Roman" w:eastAsia="Times New Roman" w:cs="Times New Roman"/>
                      <w:spacing w:val="3"/>
                      <w:position w:val="6"/>
                      <w:sz w:val="21"/>
                      <w:szCs w:val="21"/>
                      <w:vertAlign w:val="superscript"/>
                    </w:rPr>
                    <w:t>3</w:t>
                  </w:r>
                  <w:r>
                    <w:rPr>
                      <w:rFonts w:hint="default" w:ascii="Times New Roman" w:hAnsi="Times New Roman" w:eastAsia="Times New Roman" w:cs="Times New Roman"/>
                      <w:spacing w:val="3"/>
                      <w:sz w:val="21"/>
                      <w:szCs w:val="21"/>
                    </w:rPr>
                    <w:t>/d</w:t>
                  </w:r>
                </w:p>
              </w:tc>
              <w:tc>
                <w:tcPr>
                  <w:tcW w:w="1641"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沉淀</w:t>
                  </w:r>
                </w:p>
              </w:tc>
              <w:tc>
                <w:tcPr>
                  <w:tcW w:w="1898" w:type="dxa"/>
                  <w:vMerge w:val="restart"/>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Times New Roman" w:cs="Times New Roman"/>
                      <w:sz w:val="21"/>
                      <w:szCs w:val="21"/>
                    </w:rPr>
                    <w:t>CODcr</w:t>
                  </w:r>
                  <w:r>
                    <w:rPr>
                      <w:rFonts w:hint="default" w:ascii="Times New Roman" w:hAnsi="Times New Roman" w:cs="Times New Roman"/>
                      <w:spacing w:val="3"/>
                      <w:sz w:val="21"/>
                      <w:szCs w:val="21"/>
                    </w:rPr>
                    <w:t>：≥</w:t>
                  </w:r>
                  <w:r>
                    <w:rPr>
                      <w:rFonts w:hint="eastAsia" w:ascii="Times New Roman" w:hAnsi="Times New Roman" w:cs="Times New Roman"/>
                      <w:spacing w:val="3"/>
                      <w:sz w:val="21"/>
                      <w:szCs w:val="21"/>
                      <w:lang w:val="en-US" w:eastAsia="zh-CN"/>
                    </w:rPr>
                    <w:t>17%</w:t>
                  </w:r>
                </w:p>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Times New Roman" w:cs="Times New Roman"/>
                      <w:spacing w:val="-1"/>
                      <w:position w:val="4"/>
                      <w:sz w:val="21"/>
                      <w:szCs w:val="21"/>
                    </w:rPr>
                    <w:t>BOD</w:t>
                  </w:r>
                  <w:r>
                    <w:rPr>
                      <w:rFonts w:hint="default" w:ascii="Times New Roman" w:hAnsi="Times New Roman" w:eastAsia="Times New Roman" w:cs="Times New Roman"/>
                      <w:spacing w:val="-1"/>
                      <w:position w:val="3"/>
                      <w:sz w:val="21"/>
                      <w:szCs w:val="21"/>
                      <w:vertAlign w:val="subscript"/>
                    </w:rPr>
                    <w:t>5</w:t>
                  </w:r>
                  <w:r>
                    <w:rPr>
                      <w:rFonts w:hint="default" w:ascii="Times New Roman" w:hAnsi="Times New Roman" w:cs="Times New Roman"/>
                      <w:spacing w:val="-1"/>
                      <w:position w:val="4"/>
                      <w:sz w:val="21"/>
                      <w:szCs w:val="21"/>
                    </w:rPr>
                    <w:t>：</w:t>
                  </w:r>
                  <w:r>
                    <w:rPr>
                      <w:rFonts w:hint="default" w:ascii="Times New Roman" w:hAnsi="Times New Roman" w:cs="Times New Roman"/>
                      <w:spacing w:val="3"/>
                      <w:sz w:val="21"/>
                      <w:szCs w:val="21"/>
                    </w:rPr>
                    <w:t>≥</w:t>
                  </w:r>
                  <w:r>
                    <w:rPr>
                      <w:rFonts w:hint="eastAsia" w:ascii="Times New Roman" w:hAnsi="Times New Roman" w:cs="Times New Roman"/>
                      <w:spacing w:val="3"/>
                      <w:sz w:val="21"/>
                      <w:szCs w:val="21"/>
                      <w:lang w:val="en-US" w:eastAsia="zh-CN"/>
                    </w:rPr>
                    <w:t>33.3%</w:t>
                  </w:r>
                </w:p>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SS</w:t>
                  </w:r>
                  <w:r>
                    <w:rPr>
                      <w:rFonts w:hint="default" w:ascii="Times New Roman" w:hAnsi="Times New Roman" w:cs="Times New Roman"/>
                      <w:spacing w:val="-1"/>
                      <w:sz w:val="21"/>
                      <w:szCs w:val="21"/>
                    </w:rPr>
                    <w:t>：</w:t>
                  </w:r>
                  <w:r>
                    <w:rPr>
                      <w:rFonts w:hint="default" w:ascii="Times New Roman" w:hAnsi="Times New Roman" w:eastAsia="Times New Roman" w:cs="Times New Roman"/>
                      <w:spacing w:val="5"/>
                      <w:sz w:val="21"/>
                      <w:szCs w:val="21"/>
                    </w:rPr>
                    <w:t>≥</w:t>
                  </w:r>
                  <w:r>
                    <w:rPr>
                      <w:rFonts w:hint="eastAsia" w:ascii="Times New Roman" w:hAnsi="Times New Roman" w:eastAsia="宋体" w:cs="Times New Roman"/>
                      <w:spacing w:val="5"/>
                      <w:sz w:val="21"/>
                      <w:szCs w:val="21"/>
                      <w:lang w:val="en-US" w:eastAsia="zh-CN"/>
                    </w:rPr>
                    <w:t>5</w:t>
                  </w:r>
                  <w:r>
                    <w:rPr>
                      <w:rFonts w:hint="default" w:ascii="Times New Roman" w:hAnsi="Times New Roman" w:eastAsia="Times New Roman" w:cs="Times New Roman"/>
                      <w:spacing w:val="-1"/>
                      <w:sz w:val="21"/>
                      <w:szCs w:val="21"/>
                    </w:rPr>
                    <w:t>0%</w:t>
                  </w:r>
                </w:p>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氨氮：</w:t>
                  </w:r>
                  <w:r>
                    <w:rPr>
                      <w:rFonts w:hint="default" w:ascii="Times New Roman" w:hAnsi="Times New Roman" w:cs="Times New Roman"/>
                      <w:spacing w:val="3"/>
                      <w:sz w:val="21"/>
                      <w:szCs w:val="21"/>
                    </w:rPr>
                    <w:t>≥</w:t>
                  </w:r>
                  <w:r>
                    <w:rPr>
                      <w:rFonts w:hint="eastAsia" w:ascii="Times New Roman" w:hAnsi="Times New Roman" w:cs="Times New Roman"/>
                      <w:spacing w:val="3"/>
                      <w:sz w:val="21"/>
                      <w:szCs w:val="21"/>
                      <w:lang w:val="en-US" w:eastAsia="zh-CN"/>
                    </w:rPr>
                    <w:t>10%</w:t>
                  </w:r>
                </w:p>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6"/>
                      <w:sz w:val="21"/>
                      <w:szCs w:val="21"/>
                    </w:rPr>
                    <w:t>类大肠菌群：</w:t>
                  </w:r>
                  <w:r>
                    <w:rPr>
                      <w:rFonts w:hint="default" w:ascii="Times New Roman" w:hAnsi="Times New Roman" w:eastAsia="Times New Roman" w:cs="Times New Roman"/>
                      <w:color w:val="auto"/>
                      <w:spacing w:val="6"/>
                      <w:sz w:val="21"/>
                      <w:szCs w:val="21"/>
                    </w:rPr>
                    <w:t>≥</w:t>
                  </w:r>
                  <w:r>
                    <w:rPr>
                      <w:rFonts w:hint="eastAsia" w:ascii="Times New Roman" w:hAnsi="Times New Roman" w:eastAsia="宋体" w:cs="Times New Roman"/>
                      <w:color w:val="auto"/>
                      <w:spacing w:val="6"/>
                      <w:sz w:val="21"/>
                      <w:szCs w:val="21"/>
                      <w:lang w:val="en-US" w:eastAsia="zh-CN"/>
                    </w:rPr>
                    <w:t>79</w:t>
                  </w:r>
                  <w:r>
                    <w:rPr>
                      <w:rFonts w:hint="default" w:ascii="Times New Roman" w:hAnsi="Times New Roman" w:eastAsia="Times New Roman" w:cs="Times New Roman"/>
                      <w:color w:val="auto"/>
                      <w:spacing w:val="6"/>
                      <w:sz w:val="21"/>
                      <w:szCs w:val="21"/>
                    </w:rPr>
                    <w:t>.</w:t>
                  </w:r>
                  <w:r>
                    <w:rPr>
                      <w:rFonts w:hint="eastAsia" w:ascii="Times New Roman" w:hAnsi="Times New Roman" w:eastAsia="宋体" w:cs="Times New Roman"/>
                      <w:color w:val="auto"/>
                      <w:spacing w:val="6"/>
                      <w:sz w:val="21"/>
                      <w:szCs w:val="21"/>
                      <w:lang w:val="en-US" w:eastAsia="zh-CN"/>
                    </w:rPr>
                    <w:t>17</w:t>
                  </w:r>
                  <w:r>
                    <w:rPr>
                      <w:rFonts w:hint="default" w:ascii="Times New Roman" w:hAnsi="Times New Roman" w:eastAsia="Times New Roman" w:cs="Times New Roman"/>
                      <w:color w:val="auto"/>
                      <w:spacing w:val="6"/>
                      <w:sz w:val="21"/>
                      <w:szCs w:val="21"/>
                    </w:rPr>
                    <w:t>%</w:t>
                  </w:r>
                </w:p>
              </w:tc>
              <w:tc>
                <w:tcPr>
                  <w:tcW w:w="951" w:type="dxa"/>
                  <w:vMerge w:val="restart"/>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jc w:val="center"/>
              </w:trPr>
              <w:tc>
                <w:tcPr>
                  <w:tcW w:w="1023" w:type="dxa"/>
                  <w:vMerge w:val="continue"/>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auto"/>
                      <w:spacing w:val="7"/>
                      <w:sz w:val="21"/>
                      <w:szCs w:val="21"/>
                      <w:lang w:val="en-US" w:eastAsia="zh-CN"/>
                    </w:rPr>
                  </w:pPr>
                </w:p>
              </w:tc>
              <w:tc>
                <w:tcPr>
                  <w:tcW w:w="1559"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pacing w:val="7"/>
                      <w:sz w:val="21"/>
                      <w:szCs w:val="21"/>
                      <w:lang w:val="en-US" w:eastAsia="zh-CN"/>
                    </w:rPr>
                    <w:t>一体化</w:t>
                  </w:r>
                  <w:r>
                    <w:rPr>
                      <w:rFonts w:hint="default" w:ascii="Times New Roman" w:hAnsi="Times New Roman" w:cs="Times New Roman"/>
                      <w:color w:val="auto"/>
                      <w:spacing w:val="7"/>
                      <w:sz w:val="21"/>
                      <w:szCs w:val="21"/>
                    </w:rPr>
                    <w:t>污水处理站</w:t>
                  </w:r>
                </w:p>
              </w:tc>
              <w:tc>
                <w:tcPr>
                  <w:tcW w:w="913" w:type="dxa"/>
                  <w:vAlign w:val="center"/>
                </w:tcPr>
                <w:p>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eastAsia" w:cs="Times New Roman"/>
                      <w:color w:val="auto"/>
                      <w:sz w:val="21"/>
                      <w:szCs w:val="21"/>
                      <w:lang w:val="en-US" w:eastAsia="zh-CN"/>
                    </w:rPr>
                    <w:t>15</w:t>
                  </w:r>
                  <w:r>
                    <w:rPr>
                      <w:rFonts w:hint="default" w:ascii="Times New Roman" w:hAnsi="Times New Roman" w:eastAsia="Times New Roman" w:cs="Times New Roman"/>
                      <w:color w:val="auto"/>
                      <w:sz w:val="21"/>
                      <w:szCs w:val="21"/>
                    </w:rPr>
                    <w:t>m</w:t>
                  </w:r>
                  <w:r>
                    <w:rPr>
                      <w:rFonts w:hint="default" w:ascii="Times New Roman" w:hAnsi="Times New Roman" w:eastAsia="Times New Roman" w:cs="Times New Roman"/>
                      <w:color w:val="auto"/>
                      <w:position w:val="6"/>
                      <w:sz w:val="21"/>
                      <w:szCs w:val="21"/>
                      <w:vertAlign w:val="superscript"/>
                    </w:rPr>
                    <w:t>3</w:t>
                  </w:r>
                  <w:r>
                    <w:rPr>
                      <w:rFonts w:hint="default" w:ascii="Times New Roman" w:hAnsi="Times New Roman" w:eastAsia="Times New Roman" w:cs="Times New Roman"/>
                      <w:color w:val="auto"/>
                      <w:sz w:val="21"/>
                      <w:szCs w:val="21"/>
                    </w:rPr>
                    <w:t>/d</w:t>
                  </w:r>
                </w:p>
              </w:tc>
              <w:tc>
                <w:tcPr>
                  <w:tcW w:w="1641"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pacing w:val="21"/>
                      <w:sz w:val="21"/>
                      <w:szCs w:val="21"/>
                      <w:lang w:val="en-US" w:eastAsia="zh-CN"/>
                    </w:rPr>
                    <w:t>A</w:t>
                  </w:r>
                  <w:r>
                    <w:rPr>
                      <w:rFonts w:hint="eastAsia" w:ascii="Times New Roman" w:hAnsi="Times New Roman" w:eastAsia="宋体" w:cs="Times New Roman"/>
                      <w:color w:val="auto"/>
                      <w:spacing w:val="21"/>
                      <w:sz w:val="21"/>
                      <w:szCs w:val="21"/>
                      <w:vertAlign w:val="superscript"/>
                      <w:lang w:val="en-US" w:eastAsia="zh-CN"/>
                    </w:rPr>
                    <w:t>2</w:t>
                  </w:r>
                  <w:r>
                    <w:rPr>
                      <w:rFonts w:hint="eastAsia" w:ascii="Times New Roman" w:hAnsi="Times New Roman" w:eastAsia="宋体" w:cs="Times New Roman"/>
                      <w:color w:val="auto"/>
                      <w:spacing w:val="21"/>
                      <w:sz w:val="21"/>
                      <w:szCs w:val="21"/>
                      <w:lang w:val="en-US" w:eastAsia="zh-CN"/>
                    </w:rPr>
                    <w:t>O</w:t>
                  </w:r>
                  <w:r>
                    <w:rPr>
                      <w:rFonts w:hint="default" w:ascii="Times New Roman" w:hAnsi="Times New Roman" w:eastAsia="Times New Roman" w:cs="Times New Roman"/>
                      <w:color w:val="auto"/>
                      <w:spacing w:val="21"/>
                      <w:sz w:val="21"/>
                      <w:szCs w:val="21"/>
                    </w:rPr>
                    <w:t>+</w:t>
                  </w:r>
                  <w:r>
                    <w:rPr>
                      <w:rFonts w:hint="eastAsia" w:ascii="Times New Roman" w:hAnsi="Times New Roman" w:eastAsia="宋体" w:cs="Times New Roman"/>
                      <w:color w:val="auto"/>
                      <w:spacing w:val="21"/>
                      <w:sz w:val="21"/>
                      <w:szCs w:val="21"/>
                      <w:lang w:val="en-US" w:eastAsia="zh-CN"/>
                    </w:rPr>
                    <w:t>沉淀+</w:t>
                  </w:r>
                  <w:r>
                    <w:rPr>
                      <w:rFonts w:hint="default" w:ascii="Times New Roman" w:hAnsi="Times New Roman" w:cs="Times New Roman"/>
                      <w:color w:val="auto"/>
                      <w:spacing w:val="21"/>
                      <w:sz w:val="21"/>
                      <w:szCs w:val="21"/>
                    </w:rPr>
                    <w:t>消毒</w:t>
                  </w:r>
                </w:p>
              </w:tc>
              <w:tc>
                <w:tcPr>
                  <w:tcW w:w="1898" w:type="dxa"/>
                  <w:vMerge w:val="continue"/>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p>
              </w:tc>
              <w:tc>
                <w:tcPr>
                  <w:tcW w:w="951" w:type="dxa"/>
                  <w:vMerge w:val="continue"/>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r>
          </w:tbl>
          <w:p>
            <w:pPr>
              <w:pStyle w:val="98"/>
              <w:ind w:firstLine="480"/>
              <w:rPr>
                <w:rFonts w:hint="eastAsia"/>
                <w:sz w:val="24"/>
                <w:szCs w:val="24"/>
                <w:u w:val="none"/>
                <w:lang w:eastAsia="zh-CN"/>
              </w:rPr>
            </w:pPr>
            <w:r>
              <w:rPr>
                <w:rFonts w:hint="eastAsia"/>
                <w:sz w:val="24"/>
                <w:szCs w:val="24"/>
                <w:u w:val="none"/>
              </w:rPr>
              <w:t>根据《排污许可证申请与核发技术规范-医疗机构》（HJ1105-2020）中6.3.1可行技术：医疗机构排污单位的污水污染防治可行技术参考附录A中的表A.2，具体见下表</w:t>
            </w:r>
            <w:r>
              <w:rPr>
                <w:rFonts w:hint="eastAsia"/>
                <w:sz w:val="24"/>
                <w:szCs w:val="24"/>
                <w:u w:val="none"/>
                <w:lang w:eastAsia="zh-CN"/>
              </w:rPr>
              <w:t>。</w:t>
            </w:r>
          </w:p>
          <w:p>
            <w:pPr>
              <w:pStyle w:val="5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b/>
                <w:bCs/>
                <w:color w:val="auto"/>
                <w:kern w:val="28"/>
                <w:sz w:val="21"/>
                <w:szCs w:val="21"/>
                <w:u w:val="none" w:color="auto"/>
                <w:lang w:val="en-US"/>
              </w:rPr>
            </w:pPr>
            <w:r>
              <w:rPr>
                <w:rFonts w:hint="default" w:ascii="Times New Roman" w:hAnsi="Times New Roman" w:eastAsia="宋体" w:cs="Times New Roman"/>
                <w:b/>
                <w:bCs/>
                <w:color w:val="auto"/>
                <w:kern w:val="28"/>
                <w:sz w:val="21"/>
                <w:szCs w:val="21"/>
                <w:u w:val="none" w:color="auto"/>
              </w:rPr>
              <w:t>表4-</w:t>
            </w:r>
            <w:r>
              <w:rPr>
                <w:rFonts w:hint="eastAsia" w:ascii="Times New Roman" w:hAnsi="Times New Roman" w:eastAsia="宋体" w:cs="Times New Roman"/>
                <w:b/>
                <w:bCs/>
                <w:color w:val="auto"/>
                <w:kern w:val="28"/>
                <w:sz w:val="21"/>
                <w:szCs w:val="21"/>
                <w:u w:val="none" w:color="auto"/>
                <w:lang w:val="en-US" w:eastAsia="zh-CN"/>
              </w:rPr>
              <w:t>4  废水污染物治理技术可行性一览表</w:t>
            </w:r>
          </w:p>
          <w:tbl>
            <w:tblPr>
              <w:tblStyle w:val="149"/>
              <w:tblW w:w="498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4"/>
              <w:gridCol w:w="2119"/>
              <w:gridCol w:w="2830"/>
              <w:gridCol w:w="1722"/>
              <w:gridCol w:w="6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654"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污水</w:t>
                  </w:r>
                </w:p>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类型</w:t>
                  </w:r>
                </w:p>
              </w:tc>
              <w:tc>
                <w:tcPr>
                  <w:tcW w:w="2120"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污染物种类</w:t>
                  </w:r>
                </w:p>
              </w:tc>
              <w:tc>
                <w:tcPr>
                  <w:tcW w:w="2831"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推荐可行技术</w:t>
                  </w:r>
                </w:p>
              </w:tc>
              <w:tc>
                <w:tcPr>
                  <w:tcW w:w="1723"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本项目采取技术</w:t>
                  </w:r>
                </w:p>
              </w:tc>
              <w:tc>
                <w:tcPr>
                  <w:tcW w:w="660"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6"/>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是否</w:t>
                  </w:r>
                </w:p>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可</w:t>
                  </w:r>
                  <w:r>
                    <w:rPr>
                      <w:rFonts w:hint="default" w:ascii="Times New Roman" w:hAnsi="Times New Roman" w:cs="Times New Roman"/>
                      <w:color w:val="000000" w:themeColor="text1"/>
                      <w:spacing w:val="5"/>
                      <w:sz w:val="21"/>
                      <w:szCs w:val="21"/>
                      <w14:textFill>
                        <w14:solidFill>
                          <w14:schemeClr w14:val="tx1"/>
                        </w14:solidFill>
                      </w14:textFill>
                    </w:rP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jc w:val="center"/>
              </w:trPr>
              <w:tc>
                <w:tcPr>
                  <w:tcW w:w="654"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医疗</w:t>
                  </w:r>
                </w:p>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废水</w:t>
                  </w:r>
                </w:p>
              </w:tc>
              <w:tc>
                <w:tcPr>
                  <w:tcW w:w="2120" w:type="dxa"/>
                  <w:vAlign w:val="center"/>
                </w:tcPr>
                <w:p>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粪大肠菌群数、肠道致病菌、肠道病毒、化学需氧量、生化需氧量、氨氮、pH值、悬浮物、五日生化需氧量等</w:t>
                  </w:r>
                </w:p>
              </w:tc>
              <w:tc>
                <w:tcPr>
                  <w:tcW w:w="2831"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入城镇污水处理厂采取：一级处理/一级强化处理+消毒工艺。一级处理包括：筛滤法；沉淀法；气浮法；预曝气法。一级强化处理包括：化学混凝处理、机械过滤或不完全生物处理。消毒工艺：加氯消毒，臭氧法消毒，次氯酸钠法、二氧化氯法消毒、紫外线消毒等。</w:t>
                  </w:r>
                </w:p>
              </w:tc>
              <w:tc>
                <w:tcPr>
                  <w:tcW w:w="1723"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本项目一体化污水处理设施工艺采用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化粪池+</w:t>
                  </w:r>
                  <w:r>
                    <w:rPr>
                      <w:rFonts w:hint="eastAsia" w:ascii="Times New Roman" w:hAnsi="Times New Roman" w:eastAsia="宋体" w:cs="Times New Roman"/>
                      <w:color w:val="auto"/>
                      <w:spacing w:val="21"/>
                      <w:sz w:val="21"/>
                      <w:szCs w:val="21"/>
                      <w:lang w:val="en-US" w:eastAsia="zh-CN"/>
                    </w:rPr>
                    <w:t>A</w:t>
                  </w:r>
                  <w:r>
                    <w:rPr>
                      <w:rFonts w:hint="eastAsia" w:ascii="Times New Roman" w:hAnsi="Times New Roman" w:eastAsia="宋体" w:cs="Times New Roman"/>
                      <w:color w:val="auto"/>
                      <w:spacing w:val="21"/>
                      <w:sz w:val="21"/>
                      <w:szCs w:val="21"/>
                      <w:vertAlign w:val="superscript"/>
                      <w:lang w:val="en-US" w:eastAsia="zh-CN"/>
                    </w:rPr>
                    <w:t>2</w:t>
                  </w:r>
                  <w:r>
                    <w:rPr>
                      <w:rFonts w:hint="eastAsia" w:ascii="Times New Roman" w:hAnsi="Times New Roman" w:eastAsia="宋体" w:cs="Times New Roman"/>
                      <w:color w:val="auto"/>
                      <w:spacing w:val="21"/>
                      <w:sz w:val="21"/>
                      <w:szCs w:val="21"/>
                      <w:lang w:val="en-US" w:eastAsia="zh-CN"/>
                    </w:rPr>
                    <w:t>O</w:t>
                  </w:r>
                  <w:r>
                    <w:rPr>
                      <w:rFonts w:hint="default" w:ascii="Times New Roman" w:hAnsi="Times New Roman" w:eastAsia="Times New Roman" w:cs="Times New Roman"/>
                      <w:color w:val="auto"/>
                      <w:spacing w:val="21"/>
                      <w:sz w:val="21"/>
                      <w:szCs w:val="21"/>
                    </w:rPr>
                    <w:t>+</w:t>
                  </w:r>
                  <w:r>
                    <w:rPr>
                      <w:rFonts w:hint="eastAsia" w:ascii="Times New Roman" w:hAnsi="Times New Roman" w:eastAsia="宋体" w:cs="Times New Roman"/>
                      <w:color w:val="auto"/>
                      <w:spacing w:val="21"/>
                      <w:sz w:val="21"/>
                      <w:szCs w:val="21"/>
                      <w:lang w:val="en-US" w:eastAsia="zh-CN"/>
                    </w:rPr>
                    <w:t>沉淀+</w:t>
                  </w:r>
                  <w:r>
                    <w:rPr>
                      <w:rFonts w:hint="default" w:ascii="Times New Roman" w:hAnsi="Times New Roman" w:cs="Times New Roman"/>
                      <w:color w:val="auto"/>
                      <w:spacing w:val="21"/>
                      <w:sz w:val="21"/>
                      <w:szCs w:val="21"/>
                    </w:rPr>
                    <w:t>消毒</w:t>
                  </w:r>
                  <w:r>
                    <w:rPr>
                      <w:rFonts w:hint="eastAsia" w:ascii="Times New Roman" w:hAnsi="Times New Roman" w:cs="Times New Roman"/>
                      <w:color w:val="auto"/>
                      <w:spacing w:val="21"/>
                      <w:sz w:val="21"/>
                      <w:szCs w:val="21"/>
                      <w:lang w:eastAsia="zh-CN"/>
                    </w:rPr>
                    <w:t>（</w:t>
                  </w:r>
                  <w:r>
                    <w:rPr>
                      <w:rFonts w:hint="eastAsia" w:ascii="Times New Roman" w:hAnsi="Times New Roman" w:cs="Times New Roman"/>
                      <w:color w:val="auto"/>
                      <w:spacing w:val="21"/>
                      <w:sz w:val="21"/>
                      <w:szCs w:val="21"/>
                      <w:lang w:val="en-US" w:eastAsia="zh-CN"/>
                    </w:rPr>
                    <w:t>次氯酸钠</w:t>
                  </w:r>
                  <w:r>
                    <w:rPr>
                      <w:rFonts w:hint="eastAsia" w:ascii="Times New Roman" w:hAnsi="Times New Roman" w:cs="Times New Roman"/>
                      <w:color w:val="auto"/>
                      <w:spacing w:val="21"/>
                      <w:sz w:val="21"/>
                      <w:szCs w:val="21"/>
                      <w:lang w:eastAsia="zh-CN"/>
                    </w:rPr>
                    <w:t>）</w:t>
                  </w:r>
                </w:p>
              </w:tc>
              <w:tc>
                <w:tcPr>
                  <w:tcW w:w="660"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jc w:val="center"/>
              </w:trPr>
              <w:tc>
                <w:tcPr>
                  <w:tcW w:w="654"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生活</w:t>
                  </w:r>
                </w:p>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污水</w:t>
                  </w:r>
                </w:p>
              </w:tc>
              <w:tc>
                <w:tcPr>
                  <w:tcW w:w="2120" w:type="dxa"/>
                  <w:vAlign w:val="center"/>
                </w:tcPr>
                <w:p>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pH值、化学需氧量、五日生化需氧量、悬浮物、氨氮、动植物油</w:t>
                  </w:r>
                </w:p>
              </w:tc>
              <w:tc>
                <w:tcPr>
                  <w:tcW w:w="2831"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723"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经化粪池预处理后排入一体化污水处理设施</w:t>
                  </w:r>
                </w:p>
              </w:tc>
              <w:tc>
                <w:tcPr>
                  <w:tcW w:w="660"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w:t>
                  </w:r>
                </w:p>
              </w:tc>
            </w:tr>
          </w:tbl>
          <w:p>
            <w:pPr>
              <w:pStyle w:val="9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auto"/>
                <w:sz w:val="24"/>
                <w:szCs w:val="24"/>
                <w:u w:val="none" w:color="auto"/>
                <w:lang w:val="en-US" w:eastAsia="zh-CN" w:bidi="zh-CN"/>
              </w:rPr>
            </w:pPr>
            <w:r>
              <w:rPr>
                <w:rFonts w:hint="eastAsia" w:ascii="Times New Roman" w:hAnsi="Times New Roman" w:eastAsia="宋体" w:cs="Times New Roman"/>
                <w:color w:val="auto"/>
                <w:sz w:val="24"/>
                <w:szCs w:val="24"/>
                <w:u w:val="none" w:color="auto"/>
                <w:lang w:val="en-US" w:eastAsia="zh-CN" w:bidi="zh-CN"/>
              </w:rPr>
              <w:t>本项目医疗废水采用“化粪池+A</w:t>
            </w:r>
            <w:r>
              <w:rPr>
                <w:rFonts w:hint="eastAsia" w:ascii="Times New Roman" w:hAnsi="Times New Roman" w:eastAsia="宋体" w:cs="Times New Roman"/>
                <w:color w:val="auto"/>
                <w:sz w:val="24"/>
                <w:szCs w:val="24"/>
                <w:u w:val="none" w:color="auto"/>
                <w:vertAlign w:val="superscript"/>
                <w:lang w:val="en-US" w:eastAsia="zh-CN" w:bidi="zh-CN"/>
              </w:rPr>
              <w:t>2</w:t>
            </w:r>
            <w:r>
              <w:rPr>
                <w:rFonts w:hint="eastAsia" w:ascii="Times New Roman" w:hAnsi="Times New Roman" w:eastAsia="宋体" w:cs="Times New Roman"/>
                <w:color w:val="auto"/>
                <w:sz w:val="24"/>
                <w:szCs w:val="24"/>
                <w:u w:val="none" w:color="auto"/>
                <w:lang w:val="en-US" w:eastAsia="zh-CN" w:bidi="zh-CN"/>
              </w:rPr>
              <w:t>O+沉淀+消毒”处理工艺，其中消毒药剂采用次氯酸钠，一级强化处理采用“不完全生物处理”。参照《排污许可证申请与核发技术规范-医疗机构》（HJ1105-2020）中“表A.2医疗机构排污单位污水治理可行技术参照表”，本项目污染治理技术可行。</w:t>
            </w:r>
          </w:p>
          <w:p>
            <w:pPr>
              <w:widowControl w:val="0"/>
              <w:tabs>
                <w:tab w:val="left" w:pos="3794"/>
              </w:tabs>
              <w:spacing w:line="360" w:lineRule="auto"/>
              <w:contextualSpacing/>
              <w:jc w:val="both"/>
              <w:rPr>
                <w:rFonts w:hint="default" w:ascii="Times New Roman" w:hAnsi="Times New Roman" w:eastAsia="宋体" w:cs="Times New Roman"/>
                <w:b/>
                <w:bCs/>
                <w:color w:val="000000"/>
                <w:kern w:val="2"/>
                <w:sz w:val="24"/>
                <w:szCs w:val="20"/>
                <w:u w:val="none" w:color="auto"/>
                <w:lang w:val="en-US" w:eastAsia="zh-CN" w:bidi="ar-SA"/>
              </w:rPr>
            </w:pPr>
            <w:r>
              <w:rPr>
                <w:rFonts w:hint="eastAsia" w:cs="Times New Roman"/>
                <w:b/>
                <w:bCs/>
                <w:color w:val="000000"/>
                <w:kern w:val="2"/>
                <w:sz w:val="24"/>
                <w:szCs w:val="20"/>
                <w:u w:val="none" w:color="auto"/>
                <w:lang w:val="en-US" w:eastAsia="zh-CN" w:bidi="ar-SA"/>
              </w:rPr>
              <w:t>2</w:t>
            </w:r>
            <w:r>
              <w:rPr>
                <w:rFonts w:ascii="Times New Roman" w:hAnsi="Times New Roman" w:eastAsia="宋体" w:cs="Times New Roman"/>
                <w:b/>
                <w:bCs/>
                <w:color w:val="000000"/>
                <w:kern w:val="2"/>
                <w:sz w:val="24"/>
                <w:szCs w:val="20"/>
                <w:u w:val="none" w:color="auto"/>
                <w:lang w:val="en-US" w:eastAsia="zh-CN" w:bidi="ar-SA"/>
              </w:rPr>
              <w:t>.</w:t>
            </w:r>
            <w:r>
              <w:rPr>
                <w:rFonts w:hint="eastAsia" w:cs="Times New Roman"/>
                <w:b/>
                <w:bCs/>
                <w:color w:val="000000"/>
                <w:kern w:val="2"/>
                <w:sz w:val="24"/>
                <w:szCs w:val="20"/>
                <w:u w:val="none" w:color="auto"/>
                <w:lang w:val="en-US" w:eastAsia="zh-CN" w:bidi="ar-SA"/>
              </w:rPr>
              <w:t>3废水纳入花垣县污水处理厂的可行性分析</w:t>
            </w:r>
          </w:p>
          <w:p>
            <w:pPr>
              <w:pStyle w:val="9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sz w:val="24"/>
                <w:szCs w:val="24"/>
                <w:u w:val="none"/>
              </w:rPr>
            </w:pPr>
            <w:r>
              <w:rPr>
                <w:rFonts w:hint="eastAsia"/>
                <w:sz w:val="24"/>
                <w:szCs w:val="24"/>
                <w:u w:val="none"/>
              </w:rPr>
              <w:t>花垣县城市污水处理工程位于花垣县花垣镇川心城，占地51亩，总投资10211万元，工程规划总规模为40000t/d，分两期进行建设，设计规模近期为日处理污水2万吨，于2009年3月开工建设，2010年9月竣工投入使用。工程主要包括该县县城区污水干管改造及新城区干管铺设和污水处理厂两大部分，工程服务范围集中在县城区，总汇水面积达15平方公里。花垣县污水处理厂采用微曝氧化沟处理工艺，经过滤渣、沉淀、消毒等10多道工序处理，经过收集花垣县城市污水处理厂相关资料，目前该污水处理厂运转正常，出水水质可满足《城镇污水处理厂污染物排放标准》及其修改单（GB18918-2002）一级A标准后外排至花垣河。</w:t>
            </w:r>
          </w:p>
          <w:p>
            <w:pPr>
              <w:pStyle w:val="9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sz w:val="24"/>
                <w:szCs w:val="24"/>
                <w:u w:val="none"/>
              </w:rPr>
            </w:pPr>
            <w:r>
              <w:rPr>
                <w:rFonts w:hint="eastAsia"/>
                <w:sz w:val="24"/>
                <w:szCs w:val="24"/>
                <w:u w:val="none"/>
              </w:rPr>
              <w:t>根据202</w:t>
            </w:r>
            <w:r>
              <w:rPr>
                <w:rFonts w:hint="eastAsia"/>
                <w:sz w:val="24"/>
                <w:szCs w:val="24"/>
                <w:u w:val="none"/>
                <w:lang w:val="en-US" w:eastAsia="zh-CN"/>
              </w:rPr>
              <w:t>4</w:t>
            </w:r>
            <w:r>
              <w:rPr>
                <w:rFonts w:hint="eastAsia"/>
                <w:sz w:val="24"/>
                <w:szCs w:val="24"/>
                <w:u w:val="none"/>
              </w:rPr>
              <w:t>年</w:t>
            </w:r>
            <w:r>
              <w:rPr>
                <w:rFonts w:hint="eastAsia"/>
                <w:sz w:val="24"/>
                <w:szCs w:val="24"/>
                <w:u w:val="none"/>
                <w:lang w:val="en-US" w:eastAsia="zh-CN"/>
              </w:rPr>
              <w:t>2</w:t>
            </w:r>
            <w:r>
              <w:rPr>
                <w:rFonts w:hint="eastAsia"/>
                <w:sz w:val="24"/>
                <w:szCs w:val="24"/>
                <w:u w:val="none"/>
              </w:rPr>
              <w:t>月湘西州地表水控制断面水质状况，花垣县污水处理厂排污口上游省控断面（川心城断面）和下游国控断面（狮子桥坝下断面）水质达到</w:t>
            </w:r>
            <w:r>
              <w:rPr>
                <w:rFonts w:hint="eastAsia"/>
                <w:sz w:val="24"/>
                <w:szCs w:val="24"/>
                <w:u w:val="none"/>
              </w:rPr>
              <w:fldChar w:fldCharType="begin"/>
            </w:r>
            <w:r>
              <w:rPr>
                <w:rFonts w:hint="eastAsia"/>
                <w:sz w:val="24"/>
                <w:szCs w:val="24"/>
                <w:u w:val="none"/>
              </w:rPr>
              <w:instrText xml:space="preserve"> = 2 \* ROMAN \* MERGEFORMAT </w:instrText>
            </w:r>
            <w:r>
              <w:rPr>
                <w:rFonts w:hint="eastAsia"/>
                <w:sz w:val="24"/>
                <w:szCs w:val="24"/>
                <w:u w:val="none"/>
              </w:rPr>
              <w:fldChar w:fldCharType="separate"/>
            </w:r>
            <w:r>
              <w:t>II</w:t>
            </w:r>
            <w:r>
              <w:rPr>
                <w:rFonts w:hint="eastAsia"/>
                <w:sz w:val="24"/>
                <w:szCs w:val="24"/>
                <w:u w:val="none"/>
              </w:rPr>
              <w:fldChar w:fldCharType="end"/>
            </w:r>
            <w:r>
              <w:rPr>
                <w:rFonts w:hint="eastAsia"/>
                <w:sz w:val="24"/>
                <w:szCs w:val="24"/>
                <w:u w:val="none"/>
              </w:rPr>
              <w:t>类</w:t>
            </w:r>
            <w:r>
              <w:rPr>
                <w:rFonts w:hint="eastAsia"/>
                <w:sz w:val="24"/>
                <w:szCs w:val="24"/>
                <w:u w:val="none"/>
                <w:lang w:val="en-US" w:eastAsia="zh-CN"/>
              </w:rPr>
              <w:t>水质标准</w:t>
            </w:r>
            <w:r>
              <w:rPr>
                <w:rFonts w:hint="eastAsia"/>
                <w:sz w:val="24"/>
                <w:szCs w:val="24"/>
                <w:u w:val="none"/>
              </w:rPr>
              <w:t>。</w:t>
            </w:r>
          </w:p>
          <w:p>
            <w:pPr>
              <w:pStyle w:val="9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sz w:val="24"/>
                <w:szCs w:val="24"/>
                <w:u w:val="none"/>
                <w:lang w:eastAsia="zh-CN"/>
              </w:rPr>
            </w:pPr>
            <w:r>
              <w:rPr>
                <w:rFonts w:hint="eastAsia"/>
                <w:sz w:val="24"/>
                <w:szCs w:val="24"/>
                <w:u w:val="none"/>
                <w:lang w:eastAsia="zh-CN"/>
              </w:rPr>
              <w:fldChar w:fldCharType="begin"/>
            </w:r>
            <w:r>
              <w:rPr>
                <w:rFonts w:hint="eastAsia"/>
                <w:sz w:val="24"/>
                <w:szCs w:val="24"/>
                <w:u w:val="none"/>
                <w:lang w:eastAsia="zh-CN"/>
              </w:rPr>
              <w:instrText xml:space="preserve"> = 1 \* GB3 \* MERGEFORMAT </w:instrText>
            </w:r>
            <w:r>
              <w:rPr>
                <w:rFonts w:hint="eastAsia"/>
                <w:sz w:val="24"/>
                <w:szCs w:val="24"/>
                <w:u w:val="none"/>
                <w:lang w:eastAsia="zh-CN"/>
              </w:rPr>
              <w:fldChar w:fldCharType="separate"/>
            </w:r>
            <w:r>
              <w:rPr>
                <w:rFonts w:hint="eastAsia"/>
                <w:sz w:val="24"/>
                <w:szCs w:val="24"/>
                <w:u w:val="none"/>
                <w:lang w:eastAsia="zh-CN"/>
              </w:rPr>
              <w:t>①</w:t>
            </w:r>
            <w:r>
              <w:rPr>
                <w:rFonts w:hint="eastAsia"/>
                <w:sz w:val="24"/>
                <w:szCs w:val="24"/>
                <w:u w:val="none"/>
                <w:lang w:eastAsia="zh-CN"/>
              </w:rPr>
              <w:fldChar w:fldCharType="end"/>
            </w:r>
            <w:r>
              <w:rPr>
                <w:rFonts w:hint="eastAsia"/>
                <w:sz w:val="24"/>
                <w:szCs w:val="24"/>
                <w:u w:val="none"/>
                <w:lang w:eastAsia="zh-CN"/>
              </w:rPr>
              <w:t>接管可行性分析</w:t>
            </w:r>
          </w:p>
          <w:p>
            <w:pPr>
              <w:pStyle w:val="9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sz w:val="24"/>
                <w:szCs w:val="24"/>
                <w:u w:val="none"/>
                <w:lang w:eastAsia="zh-CN"/>
              </w:rPr>
            </w:pPr>
            <w:r>
              <w:rPr>
                <w:rFonts w:hint="eastAsia"/>
                <w:color w:val="auto"/>
                <w:sz w:val="24"/>
                <w:szCs w:val="24"/>
                <w:u w:val="none"/>
                <w:lang w:eastAsia="zh-CN"/>
              </w:rPr>
              <w:t>根据花垣县污水处理厂管网分布图，</w:t>
            </w:r>
            <w:r>
              <w:rPr>
                <w:rFonts w:hint="eastAsia"/>
                <w:color w:val="auto"/>
                <w:sz w:val="24"/>
                <w:szCs w:val="24"/>
                <w:u w:val="none"/>
              </w:rPr>
              <w:t>本项目位于截污范围内（</w:t>
            </w:r>
            <w:r>
              <w:rPr>
                <w:rFonts w:hint="eastAsia"/>
                <w:color w:val="auto"/>
                <w:sz w:val="24"/>
                <w:szCs w:val="24"/>
                <w:u w:val="none"/>
                <w:lang w:eastAsia="zh-CN"/>
              </w:rPr>
              <w:t>见附图</w:t>
            </w:r>
            <w:r>
              <w:rPr>
                <w:rFonts w:hint="eastAsia"/>
                <w:color w:val="auto"/>
                <w:sz w:val="24"/>
                <w:szCs w:val="24"/>
                <w:u w:val="none"/>
                <w:lang w:val="en-US" w:eastAsia="zh-CN"/>
              </w:rPr>
              <w:t>8</w:t>
            </w:r>
            <w:r>
              <w:rPr>
                <w:rFonts w:hint="eastAsia"/>
                <w:color w:val="auto"/>
                <w:sz w:val="24"/>
                <w:szCs w:val="24"/>
                <w:u w:val="none"/>
              </w:rPr>
              <w:t>）</w:t>
            </w:r>
            <w:r>
              <w:rPr>
                <w:rFonts w:hint="eastAsia"/>
                <w:sz w:val="24"/>
                <w:szCs w:val="24"/>
                <w:u w:val="none"/>
                <w:lang w:eastAsia="zh-CN"/>
              </w:rPr>
              <w:t>。</w:t>
            </w:r>
          </w:p>
          <w:p>
            <w:pPr>
              <w:pStyle w:val="9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sz w:val="24"/>
                <w:szCs w:val="24"/>
                <w:u w:val="none"/>
                <w:lang w:eastAsia="zh-CN"/>
              </w:rPr>
            </w:pPr>
            <w:r>
              <w:rPr>
                <w:rFonts w:hint="eastAsia"/>
                <w:sz w:val="24"/>
                <w:szCs w:val="24"/>
                <w:u w:val="none"/>
                <w:lang w:eastAsia="zh-CN"/>
              </w:rPr>
              <w:fldChar w:fldCharType="begin"/>
            </w:r>
            <w:r>
              <w:rPr>
                <w:rFonts w:hint="eastAsia"/>
                <w:sz w:val="24"/>
                <w:szCs w:val="24"/>
                <w:u w:val="none"/>
                <w:lang w:eastAsia="zh-CN"/>
              </w:rPr>
              <w:instrText xml:space="preserve"> = 2 \* GB3 \* MERGEFORMAT </w:instrText>
            </w:r>
            <w:r>
              <w:rPr>
                <w:rFonts w:hint="eastAsia"/>
                <w:sz w:val="24"/>
                <w:szCs w:val="24"/>
                <w:u w:val="none"/>
                <w:lang w:eastAsia="zh-CN"/>
              </w:rPr>
              <w:fldChar w:fldCharType="separate"/>
            </w:r>
            <w:r>
              <w:rPr>
                <w:rFonts w:hint="eastAsia"/>
                <w:sz w:val="24"/>
                <w:szCs w:val="24"/>
                <w:u w:val="none"/>
                <w:lang w:eastAsia="zh-CN"/>
              </w:rPr>
              <w:t>②</w:t>
            </w:r>
            <w:r>
              <w:rPr>
                <w:rFonts w:hint="eastAsia"/>
                <w:sz w:val="24"/>
                <w:szCs w:val="24"/>
                <w:u w:val="none"/>
                <w:lang w:eastAsia="zh-CN"/>
              </w:rPr>
              <w:fldChar w:fldCharType="end"/>
            </w:r>
            <w:r>
              <w:rPr>
                <w:rFonts w:hint="eastAsia"/>
                <w:sz w:val="24"/>
                <w:szCs w:val="24"/>
                <w:u w:val="none"/>
                <w:lang w:eastAsia="zh-CN"/>
              </w:rPr>
              <w:t>接纳能力可行性分析</w:t>
            </w:r>
          </w:p>
          <w:p>
            <w:pPr>
              <w:pStyle w:val="9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sz w:val="24"/>
                <w:szCs w:val="24"/>
                <w:u w:val="none"/>
              </w:rPr>
            </w:pPr>
            <w:r>
              <w:rPr>
                <w:rFonts w:hint="eastAsia"/>
                <w:sz w:val="24"/>
                <w:szCs w:val="24"/>
                <w:u w:val="none"/>
                <w:lang w:val="en-US" w:eastAsia="zh-CN"/>
              </w:rPr>
              <w:t>根据收集资料调查，</w:t>
            </w:r>
            <w:r>
              <w:rPr>
                <w:rFonts w:hint="eastAsia"/>
                <w:sz w:val="24"/>
                <w:szCs w:val="24"/>
                <w:u w:val="none"/>
              </w:rPr>
              <w:t>花垣县城市污水处理工程</w:t>
            </w:r>
            <w:r>
              <w:rPr>
                <w:rFonts w:hint="eastAsia"/>
                <w:sz w:val="24"/>
                <w:szCs w:val="24"/>
                <w:u w:val="none"/>
                <w:lang w:eastAsia="zh-CN"/>
              </w:rPr>
              <w:t>处理规模</w:t>
            </w:r>
            <w:r>
              <w:rPr>
                <w:rFonts w:hint="eastAsia"/>
                <w:sz w:val="24"/>
                <w:szCs w:val="24"/>
                <w:u w:val="none"/>
              </w:rPr>
              <w:t>为2万</w:t>
            </w:r>
            <w:r>
              <w:rPr>
                <w:rFonts w:hint="eastAsia"/>
                <w:sz w:val="24"/>
                <w:szCs w:val="24"/>
                <w:u w:val="none"/>
                <w:lang w:val="en-US" w:eastAsia="zh-CN"/>
              </w:rPr>
              <w:t>t</w:t>
            </w:r>
            <w:r>
              <w:rPr>
                <w:rFonts w:hint="eastAsia"/>
                <w:sz w:val="24"/>
                <w:szCs w:val="24"/>
                <w:u w:val="none"/>
              </w:rPr>
              <w:t>/d，</w:t>
            </w:r>
            <w:r>
              <w:rPr>
                <w:rFonts w:hint="eastAsia"/>
                <w:sz w:val="24"/>
                <w:szCs w:val="24"/>
                <w:u w:val="none"/>
                <w:lang w:val="en-US" w:eastAsia="zh-CN"/>
              </w:rPr>
              <w:t>花垣县污水处理厂现日处理量约为1.3万t/d，余量约为7000t/d，</w:t>
            </w:r>
            <w:r>
              <w:rPr>
                <w:rFonts w:hint="eastAsia"/>
                <w:sz w:val="24"/>
                <w:szCs w:val="24"/>
                <w:u w:val="none"/>
              </w:rPr>
              <w:t>本项目废水产生量为</w:t>
            </w:r>
            <w:r>
              <w:rPr>
                <w:rFonts w:hint="eastAsia"/>
                <w:sz w:val="24"/>
                <w:szCs w:val="24"/>
                <w:u w:val="none"/>
                <w:lang w:val="en-US" w:eastAsia="zh-CN"/>
              </w:rPr>
              <w:t>10.76</w:t>
            </w:r>
            <w:r>
              <w:rPr>
                <w:rFonts w:hint="eastAsia"/>
                <w:sz w:val="24"/>
                <w:szCs w:val="24"/>
                <w:u w:val="none"/>
              </w:rPr>
              <w:t>t/d，</w:t>
            </w:r>
            <w:r>
              <w:rPr>
                <w:rFonts w:hint="eastAsia"/>
                <w:sz w:val="24"/>
                <w:szCs w:val="24"/>
                <w:u w:val="none"/>
                <w:lang w:eastAsia="zh-CN"/>
              </w:rPr>
              <w:t>项目</w:t>
            </w:r>
            <w:r>
              <w:rPr>
                <w:rFonts w:hint="eastAsia"/>
                <w:sz w:val="24"/>
                <w:szCs w:val="24"/>
                <w:u w:val="none"/>
                <w:lang w:val="en-US" w:eastAsia="zh-CN"/>
              </w:rPr>
              <w:t>一体化</w:t>
            </w:r>
            <w:r>
              <w:rPr>
                <w:rFonts w:hint="eastAsia"/>
                <w:sz w:val="24"/>
                <w:szCs w:val="24"/>
                <w:u w:val="none"/>
                <w:lang w:eastAsia="zh-CN"/>
              </w:rPr>
              <w:t>污水处理规模为</w:t>
            </w:r>
            <w:r>
              <w:rPr>
                <w:rFonts w:hint="eastAsia"/>
                <w:sz w:val="24"/>
                <w:szCs w:val="24"/>
                <w:u w:val="none"/>
                <w:lang w:val="en-US" w:eastAsia="zh-CN"/>
              </w:rPr>
              <w:t>15t/d，以15t/d分析，则本项目可以接入花垣县污水处理厂进行处理。</w:t>
            </w:r>
            <w:r>
              <w:rPr>
                <w:rFonts w:hint="eastAsia"/>
                <w:sz w:val="24"/>
                <w:szCs w:val="24"/>
                <w:u w:val="none"/>
              </w:rPr>
              <w:t>废水处理达到《医疗机构水污染物排放标准》（GB18466-2005）中预处理水质标准，排放的废水水质不会对污水处理厂的处理系统产生较大影响。因此本项目废水经预处理后排入花垣县城市污水处理工程可得到及时、有效的处理。</w:t>
            </w:r>
          </w:p>
          <w:p>
            <w:pPr>
              <w:pStyle w:val="9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auto"/>
                <w:sz w:val="24"/>
                <w:szCs w:val="24"/>
                <w:u w:val="none" w:color="auto"/>
                <w:lang w:val="en-US" w:eastAsia="zh-CN" w:bidi="zh-CN"/>
              </w:rPr>
            </w:pPr>
            <w:r>
              <w:rPr>
                <w:rFonts w:hint="eastAsia"/>
                <w:sz w:val="24"/>
                <w:szCs w:val="24"/>
                <w:u w:val="none"/>
              </w:rPr>
              <w:t>综上所述，项目废水的排放满足水污染控制和水环境影响减缓措施有效性评价以及依托污水处理设施的环境可行性，本环评认为地表水环境影响可以接受。</w:t>
            </w:r>
          </w:p>
          <w:p>
            <w:pPr>
              <w:pStyle w:val="98"/>
              <w:ind w:left="0" w:leftChars="0" w:firstLine="0" w:firstLineChars="0"/>
              <w:rPr>
                <w:rFonts w:hint="default" w:cs="Times New Roman"/>
                <w:b/>
                <w:bCs/>
                <w:color w:val="000000"/>
                <w:kern w:val="2"/>
                <w:sz w:val="24"/>
                <w:szCs w:val="20"/>
                <w:u w:val="none" w:color="auto"/>
                <w:lang w:val="en-US" w:eastAsia="zh-CN" w:bidi="ar-SA"/>
              </w:rPr>
            </w:pPr>
            <w:r>
              <w:rPr>
                <w:rFonts w:hint="eastAsia" w:cs="Times New Roman"/>
                <w:b/>
                <w:bCs/>
                <w:color w:val="000000"/>
                <w:kern w:val="2"/>
                <w:sz w:val="24"/>
                <w:szCs w:val="20"/>
                <w:u w:val="none" w:color="auto"/>
                <w:lang w:val="en-US" w:eastAsia="zh-CN" w:bidi="ar-SA"/>
              </w:rPr>
              <w:t>2</w:t>
            </w:r>
            <w:r>
              <w:rPr>
                <w:rFonts w:ascii="Times New Roman" w:hAnsi="Times New Roman" w:eastAsia="宋体" w:cs="Times New Roman"/>
                <w:b/>
                <w:bCs/>
                <w:color w:val="000000"/>
                <w:kern w:val="2"/>
                <w:sz w:val="24"/>
                <w:szCs w:val="20"/>
                <w:u w:val="none" w:color="auto"/>
                <w:lang w:val="en-US" w:eastAsia="zh-CN" w:bidi="ar-SA"/>
              </w:rPr>
              <w:t>.</w:t>
            </w:r>
            <w:r>
              <w:rPr>
                <w:rFonts w:hint="eastAsia" w:ascii="Times New Roman" w:hAnsi="Times New Roman" w:eastAsia="宋体" w:cs="Times New Roman"/>
                <w:b/>
                <w:bCs/>
                <w:color w:val="000000"/>
                <w:kern w:val="2"/>
                <w:sz w:val="24"/>
                <w:szCs w:val="20"/>
                <w:u w:val="none" w:color="auto"/>
                <w:lang w:val="en-US" w:eastAsia="zh-CN" w:bidi="ar-SA"/>
              </w:rPr>
              <w:t>4</w:t>
            </w:r>
            <w:r>
              <w:rPr>
                <w:rFonts w:hint="eastAsia" w:cs="Times New Roman"/>
                <w:b/>
                <w:bCs/>
                <w:color w:val="000000"/>
                <w:kern w:val="2"/>
                <w:sz w:val="24"/>
                <w:szCs w:val="20"/>
                <w:u w:val="none" w:color="auto"/>
                <w:lang w:val="en-US" w:eastAsia="zh-CN" w:bidi="ar-SA"/>
              </w:rPr>
              <w:t>废水排放口及污染物排放情况</w:t>
            </w:r>
          </w:p>
          <w:p>
            <w:pPr>
              <w:jc w:val="center"/>
              <w:rPr>
                <w:b/>
                <w:bCs/>
                <w:color w:val="000000"/>
                <w:sz w:val="21"/>
                <w:szCs w:val="21"/>
              </w:rPr>
            </w:pPr>
            <w:r>
              <w:rPr>
                <w:rFonts w:hint="eastAsia"/>
                <w:b/>
                <w:bCs/>
                <w:color w:val="000000"/>
                <w:sz w:val="21"/>
                <w:szCs w:val="21"/>
              </w:rPr>
              <w:t>表4-</w:t>
            </w:r>
            <w:r>
              <w:rPr>
                <w:rFonts w:hint="eastAsia"/>
                <w:b/>
                <w:bCs/>
                <w:color w:val="000000"/>
                <w:sz w:val="21"/>
                <w:szCs w:val="21"/>
                <w:lang w:val="en-US" w:eastAsia="zh-CN"/>
              </w:rPr>
              <w:t xml:space="preserve">5 </w:t>
            </w:r>
            <w:r>
              <w:rPr>
                <w:rFonts w:hint="eastAsia"/>
                <w:b/>
                <w:bCs/>
                <w:color w:val="000000"/>
                <w:sz w:val="21"/>
                <w:szCs w:val="21"/>
              </w:rPr>
              <w:t>废水类别、污染物及污染治理设施信息表</w:t>
            </w:r>
          </w:p>
          <w:tbl>
            <w:tblPr>
              <w:tblStyle w:val="34"/>
              <w:tblW w:w="4991"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0"/>
              <w:gridCol w:w="961"/>
              <w:gridCol w:w="702"/>
              <w:gridCol w:w="967"/>
              <w:gridCol w:w="855"/>
              <w:gridCol w:w="856"/>
              <w:gridCol w:w="847"/>
              <w:gridCol w:w="802"/>
              <w:gridCol w:w="839"/>
              <w:gridCol w:w="5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jc w:val="center"/>
              </w:trPr>
              <w:tc>
                <w:tcPr>
                  <w:tcW w:w="3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类别</w:t>
                  </w:r>
                </w:p>
              </w:tc>
              <w:tc>
                <w:tcPr>
                  <w:tcW w:w="60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污染物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种类</w:t>
                  </w:r>
                </w:p>
              </w:tc>
              <w:tc>
                <w:tcPr>
                  <w:tcW w:w="4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去向</w:t>
                  </w:r>
                </w:p>
              </w:tc>
              <w:tc>
                <w:tcPr>
                  <w:tcW w:w="6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排放规律</w:t>
                  </w:r>
                </w:p>
              </w:tc>
              <w:tc>
                <w:tcPr>
                  <w:tcW w:w="160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污染治理设施</w:t>
                  </w:r>
                </w:p>
              </w:tc>
              <w:tc>
                <w:tcPr>
                  <w:tcW w:w="5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排放口编号</w:t>
                  </w:r>
                </w:p>
              </w:tc>
              <w:tc>
                <w:tcPr>
                  <w:tcW w:w="5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排放口设置是否符合要求</w:t>
                  </w:r>
                </w:p>
              </w:tc>
              <w:tc>
                <w:tcPr>
                  <w:tcW w:w="3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排放口类型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0" w:hRule="atLeast"/>
                <w:jc w:val="center"/>
              </w:trPr>
              <w:tc>
                <w:tcPr>
                  <w:tcW w:w="3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p>
              </w:tc>
              <w:tc>
                <w:tcPr>
                  <w:tcW w:w="60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p>
              </w:tc>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p>
              </w:tc>
              <w:tc>
                <w:tcPr>
                  <w:tcW w:w="6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p>
              </w:tc>
              <w:tc>
                <w:tcPr>
                  <w:tcW w:w="5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污染治理设施编号</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污染治</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理设施名称</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污染治理设施工艺</w:t>
                  </w: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p>
              </w:tc>
              <w:tc>
                <w:tcPr>
                  <w:tcW w:w="3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8" w:hRule="atLeast"/>
                <w:jc w:val="center"/>
              </w:trPr>
              <w:tc>
                <w:tcPr>
                  <w:tcW w:w="3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医疗机构污水（病房废水、生活污水）</w:t>
                  </w: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rPr>
                  </w:pPr>
                  <w:r>
                    <w:rPr>
                      <w:rFonts w:ascii="Times New Roman" w:hAnsi="Times New Roman" w:eastAsia="宋体"/>
                      <w:sz w:val="21"/>
                    </w:rPr>
                    <w:t>COD、SS</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lang w:val="en-US" w:eastAsia="zh-CN"/>
                    </w:rPr>
                  </w:pPr>
                  <w:r>
                    <w:rPr>
                      <w:rFonts w:ascii="Times New Roman" w:hAnsi="Times New Roman" w:eastAsia="宋体"/>
                      <w:sz w:val="21"/>
                    </w:rPr>
                    <w:t>NH</w:t>
                  </w:r>
                  <w:r>
                    <w:rPr>
                      <w:rFonts w:ascii="Times New Roman" w:hAnsi="Times New Roman" w:eastAsia="宋体"/>
                      <w:sz w:val="21"/>
                      <w:vertAlign w:val="subscript"/>
                    </w:rPr>
                    <w:t>3</w:t>
                  </w:r>
                  <w:r>
                    <w:rPr>
                      <w:rFonts w:ascii="Times New Roman" w:hAnsi="Times New Roman" w:eastAsia="宋体"/>
                      <w:sz w:val="21"/>
                    </w:rPr>
                    <w:t>-N</w:t>
                  </w:r>
                  <w:r>
                    <w:rPr>
                      <w:rFonts w:hint="eastAsia" w:ascii="Times New Roman" w:hAnsi="Times New Roman" w:eastAsia="宋体"/>
                      <w:sz w:val="21"/>
                      <w:lang w:eastAsia="zh-CN"/>
                    </w:rPr>
                    <w:t>、</w:t>
                  </w:r>
                  <w:r>
                    <w:rPr>
                      <w:rFonts w:hint="eastAsia" w:ascii="Times New Roman" w:hAnsi="Times New Roman" w:eastAsia="宋体"/>
                      <w:sz w:val="21"/>
                      <w:lang w:val="en-US" w:eastAsia="zh-CN"/>
                    </w:rPr>
                    <w:t>BOD</w:t>
                  </w:r>
                  <w:r>
                    <w:rPr>
                      <w:rFonts w:hint="eastAsia" w:ascii="Times New Roman" w:hAnsi="Times New Roman" w:eastAsia="宋体"/>
                      <w:sz w:val="21"/>
                      <w:vertAlign w:val="subscript"/>
                      <w:lang w:val="en-US" w:eastAsia="zh-CN"/>
                    </w:rPr>
                    <w:t>5</w:t>
                  </w:r>
                  <w:r>
                    <w:rPr>
                      <w:rFonts w:hint="eastAsia" w:ascii="Times New Roman" w:hAnsi="Times New Roman" w:eastAsia="宋体"/>
                      <w:sz w:val="21"/>
                      <w:lang w:eastAsia="zh-CN"/>
                    </w:rPr>
                    <w:t>、</w:t>
                  </w:r>
                  <w:r>
                    <w:rPr>
                      <w:rFonts w:hint="eastAsia" w:ascii="Times New Roman" w:hAnsi="Times New Roman" w:eastAsia="宋体"/>
                      <w:sz w:val="21"/>
                      <w:lang w:val="en-US" w:eastAsia="zh-CN"/>
                    </w:rPr>
                    <w:t>粪大肠菌群等</w:t>
                  </w: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花垣县污水处理厂</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lang w:val="en-US" w:eastAsia="zh-CN"/>
                    </w:rPr>
                  </w:pPr>
                  <w:r>
                    <w:rPr>
                      <w:rFonts w:ascii="Times New Roman" w:hAnsi="Times New Roman" w:eastAsia="宋体"/>
                      <w:sz w:val="21"/>
                    </w:rPr>
                    <w:t>间断排放，排放期间流量不稳定且无规律，但不属于冲击型排放</w:t>
                  </w:r>
                </w:p>
              </w:tc>
              <w:tc>
                <w:tcPr>
                  <w:tcW w:w="5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u w:val="none"/>
                      <w:lang w:val="en-US" w:eastAsia="zh-CN"/>
                    </w:rPr>
                  </w:pPr>
                  <w:r>
                    <w:rPr>
                      <w:rFonts w:hint="eastAsia"/>
                      <w:color w:val="auto"/>
                      <w:sz w:val="21"/>
                      <w:u w:val="none"/>
                      <w:lang w:val="en-US" w:eastAsia="zh-CN"/>
                    </w:rPr>
                    <w:t>TW001</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化粪池+一体化污水处理站</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+化粪池+A</w:t>
                  </w:r>
                  <w:r>
                    <w:rPr>
                      <w:rFonts w:hint="eastAsia" w:ascii="Times New Roman" w:hAnsi="Times New Roman" w:eastAsia="宋体"/>
                      <w:color w:val="auto"/>
                      <w:sz w:val="21"/>
                      <w:u w:val="none"/>
                      <w:vertAlign w:val="superscript"/>
                      <w:lang w:val="en-US" w:eastAsia="zh-CN"/>
                    </w:rPr>
                    <w:t>2</w:t>
                  </w:r>
                  <w:r>
                    <w:rPr>
                      <w:rFonts w:hint="eastAsia" w:ascii="Times New Roman" w:hAnsi="Times New Roman" w:eastAsia="宋体"/>
                      <w:color w:val="auto"/>
                      <w:sz w:val="21"/>
                      <w:u w:val="none"/>
                      <w:lang w:val="en-US" w:eastAsia="zh-CN"/>
                    </w:rPr>
                    <w:t>O+沉淀+消毒</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DW001</w:t>
                  </w:r>
                </w:p>
              </w:tc>
              <w:tc>
                <w:tcPr>
                  <w:tcW w:w="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u w:val="none"/>
                      <w:lang w:val="en-US" w:eastAsia="zh-CN"/>
                    </w:rPr>
                  </w:pPr>
                  <w:r>
                    <w:rPr>
                      <w:rFonts w:hint="eastAsia"/>
                      <w:color w:val="auto"/>
                      <w:sz w:val="21"/>
                      <w:u w:val="none"/>
                      <w:lang w:val="en-US" w:eastAsia="zh-CN"/>
                    </w:rPr>
                    <w:t>是</w:t>
                  </w:r>
                </w:p>
              </w:tc>
              <w:tc>
                <w:tcPr>
                  <w:tcW w:w="3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一般排放口（间接排放）</w:t>
                  </w:r>
                </w:p>
              </w:tc>
            </w:tr>
          </w:tbl>
          <w:p>
            <w:pPr>
              <w:jc w:val="center"/>
              <w:rPr>
                <w:b/>
                <w:bCs/>
                <w:color w:val="000000"/>
                <w:sz w:val="21"/>
                <w:szCs w:val="21"/>
              </w:rPr>
            </w:pPr>
            <w:r>
              <w:rPr>
                <w:rFonts w:hint="eastAsia"/>
                <w:b/>
                <w:bCs/>
                <w:color w:val="000000"/>
                <w:sz w:val="21"/>
                <w:szCs w:val="21"/>
              </w:rPr>
              <w:t>表4-</w:t>
            </w:r>
            <w:r>
              <w:rPr>
                <w:rFonts w:hint="eastAsia"/>
                <w:b/>
                <w:bCs/>
                <w:color w:val="000000"/>
                <w:sz w:val="21"/>
                <w:szCs w:val="21"/>
                <w:lang w:val="en-US" w:eastAsia="zh-CN"/>
              </w:rPr>
              <w:t xml:space="preserve">6  </w:t>
            </w:r>
            <w:r>
              <w:rPr>
                <w:rFonts w:hint="eastAsia"/>
                <w:b/>
                <w:bCs/>
                <w:color w:val="000000"/>
                <w:sz w:val="21"/>
                <w:szCs w:val="21"/>
              </w:rPr>
              <w:t>废水间接排放口基本情况表</w:t>
            </w:r>
          </w:p>
          <w:tbl>
            <w:tblPr>
              <w:tblStyle w:val="34"/>
              <w:tblW w:w="4995"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0"/>
              <w:gridCol w:w="692"/>
              <w:gridCol w:w="867"/>
              <w:gridCol w:w="819"/>
              <w:gridCol w:w="886"/>
              <w:gridCol w:w="463"/>
              <w:gridCol w:w="1037"/>
              <w:gridCol w:w="818"/>
              <w:gridCol w:w="95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6" w:type="pct"/>
                  <w:vMerge w:val="restar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排放口编号</w:t>
                  </w:r>
                </w:p>
              </w:tc>
              <w:tc>
                <w:tcPr>
                  <w:tcW w:w="902" w:type="pct"/>
                  <w:gridSpan w:val="2"/>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排放口地理</w:t>
                  </w:r>
                </w:p>
                <w:p>
                  <w:pPr>
                    <w:jc w:val="center"/>
                    <w:rPr>
                      <w:color w:val="000000"/>
                      <w:sz w:val="21"/>
                      <w:szCs w:val="21"/>
                    </w:rPr>
                  </w:pPr>
                  <w:r>
                    <w:rPr>
                      <w:color w:val="000000"/>
                      <w:sz w:val="21"/>
                      <w:szCs w:val="21"/>
                    </w:rPr>
                    <w:t>坐标</w:t>
                  </w:r>
                </w:p>
              </w:tc>
              <w:tc>
                <w:tcPr>
                  <w:tcW w:w="542" w:type="pct"/>
                  <w:vMerge w:val="restar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废水排放量（万t/a）</w:t>
                  </w:r>
                </w:p>
              </w:tc>
              <w:tc>
                <w:tcPr>
                  <w:tcW w:w="512" w:type="pct"/>
                  <w:vMerge w:val="restar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排放</w:t>
                  </w:r>
                </w:p>
                <w:p>
                  <w:pPr>
                    <w:jc w:val="center"/>
                    <w:rPr>
                      <w:color w:val="000000"/>
                      <w:sz w:val="21"/>
                      <w:szCs w:val="21"/>
                    </w:rPr>
                  </w:pPr>
                  <w:r>
                    <w:rPr>
                      <w:color w:val="000000"/>
                      <w:sz w:val="21"/>
                      <w:szCs w:val="21"/>
                    </w:rPr>
                    <w:t>去向</w:t>
                  </w:r>
                </w:p>
              </w:tc>
              <w:tc>
                <w:tcPr>
                  <w:tcW w:w="554" w:type="pct"/>
                  <w:vMerge w:val="restar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排放规律</w:t>
                  </w:r>
                </w:p>
              </w:tc>
              <w:tc>
                <w:tcPr>
                  <w:tcW w:w="289" w:type="pct"/>
                  <w:vMerge w:val="restar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间歇排放时段</w:t>
                  </w:r>
                </w:p>
              </w:tc>
              <w:tc>
                <w:tcPr>
                  <w:tcW w:w="1760" w:type="pct"/>
                  <w:gridSpan w:val="3"/>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受纳污水处理厂信息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6" w:type="pct"/>
                  <w:vMerge w:val="continue"/>
                  <w:tcBorders>
                    <w:tl2br w:val="nil"/>
                    <w:tr2bl w:val="nil"/>
                  </w:tcBorders>
                  <w:noWrap w:val="0"/>
                  <w:tcMar>
                    <w:top w:w="15" w:type="dxa"/>
                    <w:left w:w="15" w:type="dxa"/>
                    <w:right w:w="15" w:type="dxa"/>
                  </w:tcMar>
                  <w:vAlign w:val="center"/>
                </w:tcPr>
                <w:p>
                  <w:pPr>
                    <w:jc w:val="center"/>
                    <w:rPr>
                      <w:color w:val="000000"/>
                      <w:sz w:val="21"/>
                      <w:szCs w:val="21"/>
                    </w:rPr>
                  </w:pPr>
                </w:p>
              </w:tc>
              <w:tc>
                <w:tcPr>
                  <w:tcW w:w="469" w:type="pc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经度</w:t>
                  </w:r>
                </w:p>
              </w:tc>
              <w:tc>
                <w:tcPr>
                  <w:tcW w:w="433" w:type="pc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纬度</w:t>
                  </w:r>
                </w:p>
              </w:tc>
              <w:tc>
                <w:tcPr>
                  <w:tcW w:w="542" w:type="pct"/>
                  <w:vMerge w:val="continue"/>
                  <w:tcBorders>
                    <w:tl2br w:val="nil"/>
                    <w:tr2bl w:val="nil"/>
                  </w:tcBorders>
                  <w:noWrap w:val="0"/>
                  <w:tcMar>
                    <w:top w:w="15" w:type="dxa"/>
                    <w:left w:w="15" w:type="dxa"/>
                    <w:right w:w="15" w:type="dxa"/>
                  </w:tcMar>
                  <w:vAlign w:val="center"/>
                </w:tcPr>
                <w:p>
                  <w:pPr>
                    <w:jc w:val="center"/>
                    <w:rPr>
                      <w:color w:val="000000"/>
                      <w:sz w:val="21"/>
                      <w:szCs w:val="21"/>
                    </w:rPr>
                  </w:pPr>
                </w:p>
              </w:tc>
              <w:tc>
                <w:tcPr>
                  <w:tcW w:w="512" w:type="pct"/>
                  <w:vMerge w:val="continue"/>
                  <w:tcBorders>
                    <w:tl2br w:val="nil"/>
                    <w:tr2bl w:val="nil"/>
                  </w:tcBorders>
                  <w:noWrap w:val="0"/>
                  <w:tcMar>
                    <w:top w:w="15" w:type="dxa"/>
                    <w:left w:w="15" w:type="dxa"/>
                    <w:right w:w="15" w:type="dxa"/>
                  </w:tcMar>
                  <w:vAlign w:val="center"/>
                </w:tcPr>
                <w:p>
                  <w:pPr>
                    <w:jc w:val="center"/>
                    <w:rPr>
                      <w:color w:val="000000"/>
                      <w:sz w:val="21"/>
                      <w:szCs w:val="21"/>
                    </w:rPr>
                  </w:pPr>
                </w:p>
              </w:tc>
              <w:tc>
                <w:tcPr>
                  <w:tcW w:w="554" w:type="pct"/>
                  <w:vMerge w:val="continue"/>
                  <w:tcBorders>
                    <w:tl2br w:val="nil"/>
                    <w:tr2bl w:val="nil"/>
                  </w:tcBorders>
                  <w:noWrap w:val="0"/>
                  <w:tcMar>
                    <w:top w:w="15" w:type="dxa"/>
                    <w:left w:w="15" w:type="dxa"/>
                    <w:right w:w="15" w:type="dxa"/>
                  </w:tcMar>
                  <w:vAlign w:val="center"/>
                </w:tcPr>
                <w:p>
                  <w:pPr>
                    <w:jc w:val="center"/>
                    <w:rPr>
                      <w:color w:val="000000"/>
                      <w:sz w:val="21"/>
                      <w:szCs w:val="21"/>
                    </w:rPr>
                  </w:pPr>
                </w:p>
              </w:tc>
              <w:tc>
                <w:tcPr>
                  <w:tcW w:w="289" w:type="pct"/>
                  <w:vMerge w:val="continue"/>
                  <w:tcBorders>
                    <w:tl2br w:val="nil"/>
                    <w:tr2bl w:val="nil"/>
                  </w:tcBorders>
                  <w:noWrap w:val="0"/>
                  <w:tcMar>
                    <w:top w:w="15" w:type="dxa"/>
                    <w:left w:w="15" w:type="dxa"/>
                    <w:right w:w="15" w:type="dxa"/>
                  </w:tcMar>
                  <w:vAlign w:val="center"/>
                </w:tcPr>
                <w:p>
                  <w:pPr>
                    <w:jc w:val="center"/>
                    <w:rPr>
                      <w:color w:val="000000"/>
                      <w:sz w:val="21"/>
                      <w:szCs w:val="21"/>
                    </w:rPr>
                  </w:pPr>
                </w:p>
              </w:tc>
              <w:tc>
                <w:tcPr>
                  <w:tcW w:w="649" w:type="pc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名称</w:t>
                  </w:r>
                </w:p>
              </w:tc>
              <w:tc>
                <w:tcPr>
                  <w:tcW w:w="512" w:type="pc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污染物种类</w:t>
                  </w:r>
                </w:p>
              </w:tc>
              <w:tc>
                <w:tcPr>
                  <w:tcW w:w="598" w:type="pc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国家或地方污染物排放标准浓度限值（</w:t>
                  </w:r>
                  <w:r>
                    <w:rPr>
                      <w:rFonts w:hint="eastAsia"/>
                      <w:color w:val="000000"/>
                      <w:sz w:val="21"/>
                      <w:szCs w:val="21"/>
                    </w:rPr>
                    <w:t>mg/L</w:t>
                  </w:r>
                  <w:r>
                    <w:rPr>
                      <w:color w:val="00000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6" w:type="pc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DW001</w:t>
                  </w:r>
                </w:p>
              </w:tc>
              <w:tc>
                <w:tcPr>
                  <w:tcW w:w="469" w:type="pct"/>
                  <w:tcBorders>
                    <w:tl2br w:val="nil"/>
                    <w:tr2bl w:val="nil"/>
                  </w:tcBorders>
                  <w:noWrap w:val="0"/>
                  <w:tcMar>
                    <w:top w:w="15" w:type="dxa"/>
                    <w:left w:w="15" w:type="dxa"/>
                    <w:right w:w="15" w:type="dxa"/>
                  </w:tcMar>
                  <w:vAlign w:val="center"/>
                </w:tcPr>
                <w:p>
                  <w:pPr>
                    <w:jc w:val="center"/>
                    <w:rPr>
                      <w:rFonts w:cs="Times New Roman"/>
                      <w:color w:val="000000"/>
                      <w:sz w:val="15"/>
                      <w:szCs w:val="15"/>
                    </w:rPr>
                  </w:pPr>
                  <w:r>
                    <w:rPr>
                      <w:rFonts w:cs="Times New Roman"/>
                      <w:color w:val="000000"/>
                      <w:sz w:val="15"/>
                      <w:szCs w:val="15"/>
                    </w:rPr>
                    <w:t>109</w:t>
                  </w:r>
                  <w:r>
                    <w:rPr>
                      <w:rFonts w:hint="eastAsia" w:cs="Times New Roman"/>
                      <w:color w:val="000000"/>
                      <w:sz w:val="15"/>
                      <w:szCs w:val="15"/>
                      <w:lang w:val="en-US" w:eastAsia="zh-CN"/>
                    </w:rPr>
                    <w:t>.4610</w:t>
                  </w:r>
                  <w:r>
                    <w:rPr>
                      <w:rFonts w:cs="Times New Roman"/>
                      <w:color w:val="000000"/>
                      <w:sz w:val="15"/>
                      <w:szCs w:val="15"/>
                    </w:rPr>
                    <w:t>°</w:t>
                  </w:r>
                </w:p>
              </w:tc>
              <w:tc>
                <w:tcPr>
                  <w:tcW w:w="433" w:type="pct"/>
                  <w:tcBorders>
                    <w:tl2br w:val="nil"/>
                    <w:tr2bl w:val="nil"/>
                  </w:tcBorders>
                  <w:noWrap w:val="0"/>
                  <w:tcMar>
                    <w:top w:w="15" w:type="dxa"/>
                    <w:left w:w="15" w:type="dxa"/>
                    <w:right w:w="15" w:type="dxa"/>
                  </w:tcMar>
                  <w:vAlign w:val="center"/>
                </w:tcPr>
                <w:p>
                  <w:pPr>
                    <w:jc w:val="center"/>
                    <w:rPr>
                      <w:rFonts w:cs="Times New Roman"/>
                      <w:color w:val="000000"/>
                      <w:sz w:val="15"/>
                      <w:szCs w:val="15"/>
                    </w:rPr>
                  </w:pPr>
                  <w:r>
                    <w:rPr>
                      <w:rFonts w:cs="Times New Roman"/>
                      <w:color w:val="000000"/>
                      <w:sz w:val="15"/>
                      <w:szCs w:val="15"/>
                    </w:rPr>
                    <w:t>28</w:t>
                  </w:r>
                  <w:r>
                    <w:rPr>
                      <w:rFonts w:hint="eastAsia" w:cs="Times New Roman"/>
                      <w:color w:val="000000"/>
                      <w:sz w:val="15"/>
                      <w:szCs w:val="15"/>
                      <w:lang w:val="en-US" w:eastAsia="zh-CN"/>
                    </w:rPr>
                    <w:t>.5886</w:t>
                  </w:r>
                  <w:r>
                    <w:rPr>
                      <w:rFonts w:cs="Times New Roman"/>
                      <w:color w:val="000000"/>
                      <w:sz w:val="15"/>
                      <w:szCs w:val="15"/>
                    </w:rPr>
                    <w:t>°</w:t>
                  </w:r>
                </w:p>
              </w:tc>
              <w:tc>
                <w:tcPr>
                  <w:tcW w:w="542" w:type="pct"/>
                  <w:tcBorders>
                    <w:tl2br w:val="nil"/>
                    <w:tr2bl w:val="nil"/>
                  </w:tcBorders>
                  <w:noWrap w:val="0"/>
                  <w:tcMar>
                    <w:top w:w="15" w:type="dxa"/>
                    <w:left w:w="15" w:type="dxa"/>
                    <w:right w:w="15" w:type="dxa"/>
                  </w:tcMar>
                  <w:vAlign w:val="center"/>
                </w:tcPr>
                <w:p>
                  <w:pPr>
                    <w:jc w:val="center"/>
                    <w:rPr>
                      <w:rFonts w:hint="default" w:eastAsia="宋体"/>
                      <w:color w:val="000000"/>
                      <w:sz w:val="21"/>
                      <w:szCs w:val="21"/>
                      <w:lang w:val="en-US" w:eastAsia="zh-CN"/>
                    </w:rPr>
                  </w:pPr>
                  <w:r>
                    <w:rPr>
                      <w:rFonts w:hint="eastAsia"/>
                      <w:color w:val="000000"/>
                      <w:sz w:val="18"/>
                      <w:szCs w:val="18"/>
                    </w:rPr>
                    <w:t>0.</w:t>
                  </w:r>
                  <w:r>
                    <w:rPr>
                      <w:rFonts w:hint="eastAsia"/>
                      <w:color w:val="000000"/>
                      <w:sz w:val="18"/>
                      <w:szCs w:val="18"/>
                      <w:lang w:val="en-US" w:eastAsia="zh-CN"/>
                    </w:rPr>
                    <w:t>39274</w:t>
                  </w:r>
                </w:p>
              </w:tc>
              <w:tc>
                <w:tcPr>
                  <w:tcW w:w="512" w:type="pct"/>
                  <w:tcBorders>
                    <w:tl2br w:val="nil"/>
                    <w:tr2bl w:val="nil"/>
                  </w:tcBorders>
                  <w:noWrap w:val="0"/>
                  <w:tcMar>
                    <w:top w:w="15" w:type="dxa"/>
                    <w:left w:w="15" w:type="dxa"/>
                    <w:right w:w="15" w:type="dxa"/>
                  </w:tcMar>
                  <w:vAlign w:val="center"/>
                </w:tcPr>
                <w:p>
                  <w:pPr>
                    <w:jc w:val="center"/>
                    <w:rPr>
                      <w:color w:val="000000"/>
                      <w:sz w:val="21"/>
                      <w:szCs w:val="21"/>
                    </w:rPr>
                  </w:pPr>
                  <w:r>
                    <w:rPr>
                      <w:rFonts w:hint="eastAsia"/>
                      <w:color w:val="000000"/>
                      <w:sz w:val="21"/>
                      <w:szCs w:val="21"/>
                    </w:rPr>
                    <w:t>城镇</w:t>
                  </w:r>
                  <w:r>
                    <w:rPr>
                      <w:color w:val="000000"/>
                      <w:sz w:val="21"/>
                      <w:szCs w:val="21"/>
                    </w:rPr>
                    <w:t>污水处理厂</w:t>
                  </w:r>
                </w:p>
              </w:tc>
              <w:tc>
                <w:tcPr>
                  <w:tcW w:w="554" w:type="pc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间歇排放，流量不稳定</w:t>
                  </w:r>
                </w:p>
              </w:tc>
              <w:tc>
                <w:tcPr>
                  <w:tcW w:w="289" w:type="pc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w:t>
                  </w:r>
                </w:p>
              </w:tc>
              <w:tc>
                <w:tcPr>
                  <w:tcW w:w="649" w:type="pct"/>
                  <w:tcBorders>
                    <w:tl2br w:val="nil"/>
                    <w:tr2bl w:val="nil"/>
                  </w:tcBorders>
                  <w:noWrap w:val="0"/>
                  <w:tcMar>
                    <w:top w:w="15" w:type="dxa"/>
                    <w:left w:w="15" w:type="dxa"/>
                    <w:right w:w="15" w:type="dxa"/>
                  </w:tcMar>
                  <w:vAlign w:val="center"/>
                </w:tcPr>
                <w:p>
                  <w:pPr>
                    <w:jc w:val="center"/>
                    <w:rPr>
                      <w:color w:val="000000"/>
                      <w:sz w:val="21"/>
                      <w:szCs w:val="21"/>
                    </w:rPr>
                  </w:pPr>
                  <w:r>
                    <w:rPr>
                      <w:rFonts w:hint="eastAsia"/>
                      <w:color w:val="000000"/>
                      <w:sz w:val="21"/>
                      <w:szCs w:val="21"/>
                      <w:lang w:val="en-US" w:eastAsia="zh-CN"/>
                    </w:rPr>
                    <w:t>花垣县</w:t>
                  </w:r>
                  <w:r>
                    <w:rPr>
                      <w:rFonts w:hint="eastAsia"/>
                      <w:color w:val="000000"/>
                      <w:sz w:val="21"/>
                      <w:szCs w:val="21"/>
                    </w:rPr>
                    <w:t>污水处理厂</w:t>
                  </w:r>
                </w:p>
              </w:tc>
              <w:tc>
                <w:tcPr>
                  <w:tcW w:w="512" w:type="pc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COD、</w:t>
                  </w:r>
                  <w:r>
                    <w:rPr>
                      <w:rFonts w:hint="eastAsia"/>
                      <w:color w:val="000000"/>
                      <w:sz w:val="21"/>
                      <w:szCs w:val="21"/>
                    </w:rPr>
                    <w:t>NH</w:t>
                  </w:r>
                  <w:r>
                    <w:rPr>
                      <w:rFonts w:hint="eastAsia"/>
                      <w:color w:val="000000"/>
                      <w:sz w:val="21"/>
                      <w:szCs w:val="21"/>
                      <w:vertAlign w:val="subscript"/>
                    </w:rPr>
                    <w:t>3</w:t>
                  </w:r>
                  <w:r>
                    <w:rPr>
                      <w:rFonts w:hint="eastAsia"/>
                      <w:color w:val="000000"/>
                      <w:sz w:val="21"/>
                      <w:szCs w:val="21"/>
                    </w:rPr>
                    <w:t>-N</w:t>
                  </w:r>
                </w:p>
              </w:tc>
              <w:tc>
                <w:tcPr>
                  <w:tcW w:w="598" w:type="pct"/>
                  <w:tcBorders>
                    <w:tl2br w:val="nil"/>
                    <w:tr2bl w:val="nil"/>
                  </w:tcBorders>
                  <w:noWrap w:val="0"/>
                  <w:tcMar>
                    <w:top w:w="15" w:type="dxa"/>
                    <w:left w:w="15" w:type="dxa"/>
                    <w:right w:w="15" w:type="dxa"/>
                  </w:tcMar>
                  <w:vAlign w:val="center"/>
                </w:tcPr>
                <w:p>
                  <w:pPr>
                    <w:jc w:val="center"/>
                    <w:rPr>
                      <w:color w:val="000000"/>
                      <w:sz w:val="21"/>
                      <w:szCs w:val="21"/>
                    </w:rPr>
                  </w:pPr>
                  <w:r>
                    <w:rPr>
                      <w:color w:val="000000"/>
                      <w:sz w:val="21"/>
                      <w:szCs w:val="21"/>
                    </w:rPr>
                    <w:t>50、</w:t>
                  </w:r>
                </w:p>
                <w:p>
                  <w:pPr>
                    <w:jc w:val="center"/>
                    <w:rPr>
                      <w:rFonts w:hint="eastAsia" w:eastAsia="宋体"/>
                      <w:color w:val="000000"/>
                      <w:sz w:val="21"/>
                      <w:szCs w:val="21"/>
                      <w:lang w:eastAsia="zh-CN"/>
                    </w:rPr>
                  </w:pPr>
                  <w:r>
                    <w:rPr>
                      <w:color w:val="000000"/>
                      <w:sz w:val="21"/>
                      <w:szCs w:val="21"/>
                    </w:rPr>
                    <w:t>5</w:t>
                  </w:r>
                  <w:r>
                    <w:rPr>
                      <w:rFonts w:hint="eastAsia"/>
                      <w:color w:val="000000"/>
                      <w:sz w:val="21"/>
                      <w:szCs w:val="21"/>
                      <w:lang w:eastAsia="zh-CN"/>
                    </w:rPr>
                    <w:t>（</w:t>
                  </w:r>
                  <w:r>
                    <w:rPr>
                      <w:rFonts w:hint="eastAsia"/>
                      <w:color w:val="000000"/>
                      <w:sz w:val="21"/>
                      <w:szCs w:val="21"/>
                      <w:lang w:val="en-US" w:eastAsia="zh-CN"/>
                    </w:rPr>
                    <w:t>8</w:t>
                  </w:r>
                  <w:r>
                    <w:rPr>
                      <w:rFonts w:hint="eastAsia"/>
                      <w:color w:val="000000"/>
                      <w:sz w:val="21"/>
                      <w:szCs w:val="21"/>
                      <w:lang w:eastAsia="zh-CN"/>
                    </w:rPr>
                    <w:t>）</w:t>
                  </w:r>
                </w:p>
              </w:tc>
            </w:tr>
          </w:tbl>
          <w:p>
            <w:pPr>
              <w:jc w:val="center"/>
              <w:rPr>
                <w:b/>
                <w:bCs/>
                <w:color w:val="000000"/>
                <w:sz w:val="21"/>
                <w:szCs w:val="21"/>
              </w:rPr>
            </w:pPr>
            <w:r>
              <w:rPr>
                <w:rFonts w:hint="eastAsia"/>
                <w:b/>
                <w:bCs/>
                <w:color w:val="000000"/>
                <w:sz w:val="21"/>
                <w:szCs w:val="21"/>
              </w:rPr>
              <w:t>表4</w:t>
            </w:r>
            <w:r>
              <w:rPr>
                <w:rFonts w:hint="eastAsia"/>
                <w:b/>
                <w:bCs/>
                <w:color w:val="000000"/>
                <w:sz w:val="21"/>
                <w:szCs w:val="21"/>
                <w:lang w:val="en-US" w:eastAsia="zh-CN"/>
              </w:rPr>
              <w:t xml:space="preserve">-7  </w:t>
            </w:r>
            <w:r>
              <w:rPr>
                <w:rFonts w:hint="eastAsia"/>
                <w:b/>
                <w:bCs/>
                <w:color w:val="000000"/>
                <w:sz w:val="21"/>
                <w:szCs w:val="21"/>
              </w:rPr>
              <w:t>废水</w:t>
            </w:r>
            <w:r>
              <w:rPr>
                <w:rFonts w:hint="eastAsia"/>
                <w:b/>
                <w:bCs/>
                <w:color w:val="000000"/>
                <w:sz w:val="21"/>
                <w:szCs w:val="21"/>
                <w:lang w:val="en-US" w:eastAsia="zh-CN"/>
              </w:rPr>
              <w:t>污染物排放信息一览</w:t>
            </w:r>
            <w:r>
              <w:rPr>
                <w:rFonts w:hint="eastAsia"/>
                <w:b/>
                <w:bCs/>
                <w:color w:val="000000"/>
                <w:sz w:val="21"/>
                <w:szCs w:val="21"/>
              </w:rPr>
              <w:t>表</w:t>
            </w:r>
          </w:p>
          <w:tbl>
            <w:tblPr>
              <w:tblStyle w:val="149"/>
              <w:tblW w:w="498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73"/>
              <w:gridCol w:w="1199"/>
              <w:gridCol w:w="1831"/>
              <w:gridCol w:w="1604"/>
              <w:gridCol w:w="1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581"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序号</w:t>
                  </w:r>
                </w:p>
              </w:tc>
              <w:tc>
                <w:tcPr>
                  <w:tcW w:w="1173"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排放口编号</w:t>
                  </w:r>
                </w:p>
              </w:tc>
              <w:tc>
                <w:tcPr>
                  <w:tcW w:w="1199"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污染物种类</w:t>
                  </w:r>
                </w:p>
              </w:tc>
              <w:tc>
                <w:tcPr>
                  <w:tcW w:w="1832"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排放浓度</w:t>
                  </w:r>
                  <w:r>
                    <w:rPr>
                      <w:rFonts w:hint="default" w:ascii="Times New Roman" w:hAnsi="Times New Roman" w:eastAsia="Times New Roman" w:cs="Times New Roman"/>
                      <w:spacing w:val="7"/>
                      <w:sz w:val="21"/>
                      <w:szCs w:val="21"/>
                    </w:rPr>
                    <w:t>/</w:t>
                  </w:r>
                  <w:r>
                    <w:rPr>
                      <w:rFonts w:hint="default" w:ascii="Times New Roman" w:hAnsi="Times New Roman" w:cs="Times New Roman"/>
                      <w:spacing w:val="7"/>
                      <w:sz w:val="21"/>
                      <w:szCs w:val="21"/>
                    </w:rPr>
                    <w:t>（</w:t>
                  </w:r>
                  <w:r>
                    <w:rPr>
                      <w:rFonts w:hint="default" w:ascii="Times New Roman" w:hAnsi="Times New Roman" w:eastAsia="Times New Roman" w:cs="Times New Roman"/>
                      <w:sz w:val="21"/>
                      <w:szCs w:val="21"/>
                    </w:rPr>
                    <w:t>mg</w:t>
                  </w:r>
                  <w:r>
                    <w:rPr>
                      <w:rFonts w:hint="default" w:ascii="Times New Roman" w:hAnsi="Times New Roman" w:eastAsia="Times New Roman" w:cs="Times New Roman"/>
                      <w:spacing w:val="7"/>
                      <w:sz w:val="21"/>
                      <w:szCs w:val="21"/>
                    </w:rPr>
                    <w:t>/L</w:t>
                  </w:r>
                  <w:r>
                    <w:rPr>
                      <w:rFonts w:hint="default" w:ascii="Times New Roman" w:hAnsi="Times New Roman" w:cs="Times New Roman"/>
                      <w:spacing w:val="7"/>
                      <w:sz w:val="21"/>
                      <w:szCs w:val="21"/>
                    </w:rPr>
                    <w:t>）</w:t>
                  </w:r>
                </w:p>
              </w:tc>
              <w:tc>
                <w:tcPr>
                  <w:tcW w:w="1605"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日排放量</w:t>
                  </w:r>
                  <w:r>
                    <w:rPr>
                      <w:rFonts w:hint="default" w:ascii="Times New Roman" w:hAnsi="Times New Roman" w:eastAsia="Times New Roman" w:cs="Times New Roman"/>
                      <w:spacing w:val="1"/>
                      <w:sz w:val="21"/>
                      <w:szCs w:val="21"/>
                    </w:rPr>
                    <w:t>/</w:t>
                  </w:r>
                  <w:r>
                    <w:rPr>
                      <w:rFonts w:hint="default" w:ascii="Times New Roman" w:hAnsi="Times New Roman" w:cs="Times New Roman"/>
                      <w:spacing w:val="1"/>
                      <w:sz w:val="21"/>
                      <w:szCs w:val="21"/>
                    </w:rPr>
                    <w:t>（</w:t>
                  </w:r>
                  <w:r>
                    <w:rPr>
                      <w:rFonts w:hint="default" w:ascii="Times New Roman" w:hAnsi="Times New Roman" w:eastAsia="Times New Roman" w:cs="Times New Roman"/>
                      <w:spacing w:val="1"/>
                      <w:sz w:val="21"/>
                      <w:szCs w:val="21"/>
                    </w:rPr>
                    <w:t>t/d</w:t>
                  </w:r>
                  <w:r>
                    <w:rPr>
                      <w:rFonts w:hint="default" w:ascii="Times New Roman" w:hAnsi="Times New Roman" w:cs="Times New Roman"/>
                      <w:spacing w:val="1"/>
                      <w:sz w:val="21"/>
                      <w:szCs w:val="21"/>
                    </w:rPr>
                    <w:t>）</w:t>
                  </w:r>
                </w:p>
              </w:tc>
              <w:tc>
                <w:tcPr>
                  <w:tcW w:w="1601"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年排放量</w:t>
                  </w:r>
                  <w:r>
                    <w:rPr>
                      <w:rFonts w:hint="default" w:ascii="Times New Roman" w:hAnsi="Times New Roman" w:eastAsia="Times New Roman" w:cs="Times New Roman"/>
                      <w:spacing w:val="5"/>
                      <w:sz w:val="21"/>
                      <w:szCs w:val="21"/>
                    </w:rPr>
                    <w:t>/</w:t>
                  </w:r>
                  <w:r>
                    <w:rPr>
                      <w:rFonts w:hint="default" w:ascii="Times New Roman" w:hAnsi="Times New Roman" w:cs="Times New Roman"/>
                      <w:spacing w:val="5"/>
                      <w:sz w:val="21"/>
                      <w:szCs w:val="21"/>
                    </w:rPr>
                    <w:t>（</w:t>
                  </w:r>
                  <w:r>
                    <w:rPr>
                      <w:rFonts w:hint="default" w:ascii="Times New Roman" w:hAnsi="Times New Roman" w:eastAsia="Times New Roman" w:cs="Times New Roman"/>
                      <w:spacing w:val="5"/>
                      <w:sz w:val="21"/>
                      <w:szCs w:val="21"/>
                    </w:rPr>
                    <w:t>t/a</w:t>
                  </w:r>
                  <w:r>
                    <w:rPr>
                      <w:rFonts w:hint="default" w:ascii="Times New Roman" w:hAnsi="Times New Roman" w:cs="Times New Roman"/>
                      <w:spacing w:val="5"/>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581"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w:t>
                  </w:r>
                </w:p>
              </w:tc>
              <w:tc>
                <w:tcPr>
                  <w:tcW w:w="1173" w:type="dxa"/>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DW</w:t>
                  </w:r>
                  <w:r>
                    <w:rPr>
                      <w:rFonts w:hint="default" w:ascii="Times New Roman" w:hAnsi="Times New Roman" w:eastAsia="Times New Roman" w:cs="Times New Roman"/>
                      <w:spacing w:val="8"/>
                      <w:sz w:val="21"/>
                      <w:szCs w:val="21"/>
                    </w:rPr>
                    <w:t>001</w:t>
                  </w:r>
                </w:p>
              </w:tc>
              <w:tc>
                <w:tcPr>
                  <w:tcW w:w="1199"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COD</w:t>
                  </w:r>
                </w:p>
              </w:tc>
              <w:tc>
                <w:tcPr>
                  <w:tcW w:w="1832"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250</w:t>
                  </w:r>
                </w:p>
              </w:tc>
              <w:tc>
                <w:tcPr>
                  <w:tcW w:w="1605"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w:t>
                  </w:r>
                </w:p>
              </w:tc>
              <w:tc>
                <w:tcPr>
                  <w:tcW w:w="16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581"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w:t>
                  </w:r>
                </w:p>
              </w:tc>
              <w:tc>
                <w:tcPr>
                  <w:tcW w:w="1173" w:type="dxa"/>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p>
              </w:tc>
              <w:tc>
                <w:tcPr>
                  <w:tcW w:w="1199"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BOD</w:t>
                  </w:r>
                  <w:r>
                    <w:rPr>
                      <w:rFonts w:hint="default" w:ascii="Times New Roman" w:hAnsi="Times New Roman" w:eastAsia="Times New Roman" w:cs="Times New Roman"/>
                      <w:spacing w:val="5"/>
                      <w:position w:val="-1"/>
                      <w:sz w:val="21"/>
                      <w:szCs w:val="21"/>
                      <w:vertAlign w:val="subscript"/>
                    </w:rPr>
                    <w:t>5</w:t>
                  </w:r>
                </w:p>
              </w:tc>
              <w:tc>
                <w:tcPr>
                  <w:tcW w:w="1832"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100</w:t>
                  </w:r>
                </w:p>
              </w:tc>
              <w:tc>
                <w:tcPr>
                  <w:tcW w:w="1605"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w:t>
                  </w:r>
                </w:p>
              </w:tc>
              <w:tc>
                <w:tcPr>
                  <w:tcW w:w="16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3"/>
                      <w:sz w:val="21"/>
                      <w:szCs w:val="21"/>
                      <w:lang w:val="en-US" w:eastAsia="zh-CN"/>
                    </w:rPr>
                    <w:t>0.393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581"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3</w:t>
                  </w:r>
                </w:p>
              </w:tc>
              <w:tc>
                <w:tcPr>
                  <w:tcW w:w="1173" w:type="dxa"/>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p>
              </w:tc>
              <w:tc>
                <w:tcPr>
                  <w:tcW w:w="1199"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SS</w:t>
                  </w:r>
                </w:p>
              </w:tc>
              <w:tc>
                <w:tcPr>
                  <w:tcW w:w="1832"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60</w:t>
                  </w:r>
                </w:p>
              </w:tc>
              <w:tc>
                <w:tcPr>
                  <w:tcW w:w="1605"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w:t>
                  </w:r>
                </w:p>
              </w:tc>
              <w:tc>
                <w:tcPr>
                  <w:tcW w:w="16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Times New Roman" w:cs="Times New Roman"/>
                      <w:spacing w:val="3"/>
                      <w:sz w:val="21"/>
                      <w:szCs w:val="21"/>
                    </w:rPr>
                    <w:t>0.</w:t>
                  </w:r>
                  <w:r>
                    <w:rPr>
                      <w:rFonts w:hint="eastAsia" w:ascii="Times New Roman" w:hAnsi="Times New Roman" w:eastAsia="宋体" w:cs="Times New Roman"/>
                      <w:spacing w:val="3"/>
                      <w:sz w:val="21"/>
                      <w:szCs w:val="21"/>
                      <w:lang w:val="en-US" w:eastAsia="zh-CN"/>
                    </w:rPr>
                    <w:t>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581"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4</w:t>
                  </w:r>
                </w:p>
              </w:tc>
              <w:tc>
                <w:tcPr>
                  <w:tcW w:w="1173" w:type="dxa"/>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p>
              </w:tc>
              <w:tc>
                <w:tcPr>
                  <w:tcW w:w="1199"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NH</w:t>
                  </w:r>
                  <w:r>
                    <w:rPr>
                      <w:rFonts w:hint="default" w:ascii="Times New Roman" w:hAnsi="Times New Roman" w:eastAsia="Times New Roman" w:cs="Times New Roman"/>
                      <w:spacing w:val="10"/>
                      <w:position w:val="-1"/>
                      <w:sz w:val="21"/>
                      <w:szCs w:val="21"/>
                      <w:vertAlign w:val="subscript"/>
                    </w:rPr>
                    <w:t>3</w:t>
                  </w:r>
                  <w:r>
                    <w:rPr>
                      <w:rFonts w:hint="default" w:ascii="Times New Roman" w:hAnsi="Times New Roman" w:eastAsia="Times New Roman" w:cs="Times New Roman"/>
                      <w:spacing w:val="10"/>
                      <w:sz w:val="21"/>
                      <w:szCs w:val="21"/>
                    </w:rPr>
                    <w:t>-N</w:t>
                  </w:r>
                </w:p>
              </w:tc>
              <w:tc>
                <w:tcPr>
                  <w:tcW w:w="1832"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45</w:t>
                  </w:r>
                </w:p>
              </w:tc>
              <w:tc>
                <w:tcPr>
                  <w:tcW w:w="1605"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w:t>
                  </w:r>
                </w:p>
              </w:tc>
              <w:tc>
                <w:tcPr>
                  <w:tcW w:w="16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Times New Roman" w:cs="Times New Roman"/>
                      <w:spacing w:val="3"/>
                      <w:sz w:val="21"/>
                      <w:szCs w:val="21"/>
                    </w:rPr>
                    <w:t>0.</w:t>
                  </w:r>
                  <w:r>
                    <w:rPr>
                      <w:rFonts w:hint="eastAsia" w:ascii="Times New Roman" w:hAnsi="Times New Roman" w:eastAsia="宋体" w:cs="Times New Roman"/>
                      <w:spacing w:val="3"/>
                      <w:sz w:val="21"/>
                      <w:szCs w:val="21"/>
                      <w:lang w:val="en-US" w:eastAsia="zh-CN"/>
                    </w:rPr>
                    <w:t>177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754" w:type="dxa"/>
                  <w:gridSpan w:val="2"/>
                  <w:vMerge w:val="restart"/>
                  <w:tcBorders>
                    <w:bottom w:val="nil"/>
                  </w:tcBorders>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全厂排放口合计</w:t>
                  </w:r>
                </w:p>
              </w:tc>
              <w:tc>
                <w:tcPr>
                  <w:tcW w:w="4636"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COD</w:t>
                  </w:r>
                </w:p>
              </w:tc>
              <w:tc>
                <w:tcPr>
                  <w:tcW w:w="16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754" w:type="dxa"/>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p>
              </w:tc>
              <w:tc>
                <w:tcPr>
                  <w:tcW w:w="4636"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BOD</w:t>
                  </w:r>
                  <w:r>
                    <w:rPr>
                      <w:rFonts w:hint="default" w:ascii="Times New Roman" w:hAnsi="Times New Roman" w:eastAsia="Times New Roman" w:cs="Times New Roman"/>
                      <w:spacing w:val="19"/>
                      <w:position w:val="-1"/>
                      <w:sz w:val="21"/>
                      <w:szCs w:val="21"/>
                      <w:vertAlign w:val="subscript"/>
                    </w:rPr>
                    <w:t>5</w:t>
                  </w:r>
                </w:p>
              </w:tc>
              <w:tc>
                <w:tcPr>
                  <w:tcW w:w="16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sz w:val="21"/>
                      <w:szCs w:val="21"/>
                    </w:rPr>
                  </w:pPr>
                  <w:r>
                    <w:rPr>
                      <w:rFonts w:hint="eastAsia" w:ascii="Times New Roman" w:hAnsi="Times New Roman" w:eastAsia="宋体" w:cs="Times New Roman"/>
                      <w:spacing w:val="3"/>
                      <w:sz w:val="21"/>
                      <w:szCs w:val="21"/>
                      <w:lang w:val="en-US" w:eastAsia="zh-CN"/>
                    </w:rPr>
                    <w:t>0.393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754" w:type="dxa"/>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p>
              </w:tc>
              <w:tc>
                <w:tcPr>
                  <w:tcW w:w="4636"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SS</w:t>
                  </w:r>
                </w:p>
              </w:tc>
              <w:tc>
                <w:tcPr>
                  <w:tcW w:w="16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0.</w:t>
                  </w:r>
                  <w:r>
                    <w:rPr>
                      <w:rFonts w:hint="eastAsia" w:ascii="Times New Roman" w:hAnsi="Times New Roman" w:eastAsia="宋体" w:cs="Times New Roman"/>
                      <w:spacing w:val="3"/>
                      <w:sz w:val="21"/>
                      <w:szCs w:val="21"/>
                      <w:lang w:val="en-US" w:eastAsia="zh-CN"/>
                    </w:rPr>
                    <w:t>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1754" w:type="dxa"/>
                  <w:gridSpan w:val="2"/>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p>
              </w:tc>
              <w:tc>
                <w:tcPr>
                  <w:tcW w:w="4636"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NH</w:t>
                  </w:r>
                  <w:r>
                    <w:rPr>
                      <w:rFonts w:hint="default" w:ascii="Times New Roman" w:hAnsi="Times New Roman" w:eastAsia="Times New Roman" w:cs="Times New Roman"/>
                      <w:spacing w:val="10"/>
                      <w:position w:val="-1"/>
                      <w:sz w:val="21"/>
                      <w:szCs w:val="21"/>
                      <w:vertAlign w:val="subscript"/>
                    </w:rPr>
                    <w:t>3</w:t>
                  </w:r>
                  <w:r>
                    <w:rPr>
                      <w:rFonts w:hint="default" w:ascii="Times New Roman" w:hAnsi="Times New Roman" w:eastAsia="Times New Roman" w:cs="Times New Roman"/>
                      <w:spacing w:val="10"/>
                      <w:sz w:val="21"/>
                      <w:szCs w:val="21"/>
                    </w:rPr>
                    <w:t>-N</w:t>
                  </w:r>
                </w:p>
              </w:tc>
              <w:tc>
                <w:tcPr>
                  <w:tcW w:w="16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0.</w:t>
                  </w:r>
                  <w:r>
                    <w:rPr>
                      <w:rFonts w:hint="eastAsia" w:ascii="Times New Roman" w:hAnsi="Times New Roman" w:eastAsia="宋体" w:cs="Times New Roman"/>
                      <w:spacing w:val="3"/>
                      <w:sz w:val="21"/>
                      <w:szCs w:val="21"/>
                      <w:lang w:val="en-US" w:eastAsia="zh-CN"/>
                    </w:rPr>
                    <w:t>177</w:t>
                  </w:r>
                </w:p>
              </w:tc>
            </w:tr>
          </w:tbl>
          <w:p>
            <w:pPr>
              <w:widowControl w:val="0"/>
              <w:tabs>
                <w:tab w:val="left" w:pos="3794"/>
              </w:tabs>
              <w:spacing w:line="360" w:lineRule="auto"/>
              <w:contextualSpacing/>
              <w:jc w:val="both"/>
              <w:rPr>
                <w:rFonts w:hint="default" w:ascii="Times New Roman" w:hAnsi="Times New Roman" w:eastAsia="宋体" w:cs="Times New Roman"/>
                <w:b/>
                <w:bCs/>
                <w:color w:val="000000"/>
                <w:kern w:val="2"/>
                <w:sz w:val="24"/>
                <w:szCs w:val="20"/>
                <w:u w:val="none" w:color="auto"/>
                <w:lang w:val="en-US" w:eastAsia="zh-CN" w:bidi="ar-SA"/>
              </w:rPr>
            </w:pPr>
            <w:r>
              <w:rPr>
                <w:rFonts w:hint="eastAsia" w:cs="Times New Roman"/>
                <w:b/>
                <w:bCs/>
                <w:color w:val="000000"/>
                <w:kern w:val="2"/>
                <w:sz w:val="24"/>
                <w:szCs w:val="20"/>
                <w:u w:val="none" w:color="auto"/>
                <w:lang w:val="en-US" w:eastAsia="zh-CN" w:bidi="ar-SA"/>
              </w:rPr>
              <w:t>2</w:t>
            </w:r>
            <w:r>
              <w:rPr>
                <w:rFonts w:ascii="Times New Roman" w:hAnsi="Times New Roman" w:eastAsia="宋体" w:cs="Times New Roman"/>
                <w:b/>
                <w:bCs/>
                <w:color w:val="000000"/>
                <w:kern w:val="2"/>
                <w:sz w:val="24"/>
                <w:szCs w:val="20"/>
                <w:u w:val="none" w:color="auto"/>
                <w:lang w:val="en-US" w:eastAsia="zh-CN" w:bidi="ar-SA"/>
              </w:rPr>
              <w:t>.</w:t>
            </w:r>
            <w:r>
              <w:rPr>
                <w:rFonts w:hint="eastAsia" w:cs="Times New Roman"/>
                <w:b/>
                <w:bCs/>
                <w:color w:val="000000"/>
                <w:kern w:val="2"/>
                <w:sz w:val="24"/>
                <w:szCs w:val="20"/>
                <w:u w:val="none" w:color="auto"/>
                <w:lang w:val="en-US" w:eastAsia="zh-CN" w:bidi="ar-SA"/>
              </w:rPr>
              <w:t>3废水监测计划</w:t>
            </w:r>
          </w:p>
          <w:p>
            <w:pPr>
              <w:pStyle w:val="98"/>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sz w:val="24"/>
                <w:szCs w:val="24"/>
                <w:u w:val="none"/>
              </w:rPr>
            </w:pPr>
            <w:r>
              <w:rPr>
                <w:rFonts w:hint="eastAsia"/>
                <w:sz w:val="24"/>
                <w:szCs w:val="24"/>
                <w:u w:val="none"/>
              </w:rPr>
              <w:t>根据《排污许可证申请与核发技术规范-医疗机构》（HJ1105-2020）中第7节自行监测管理要求及《排污单位自行监测技术指南-总则》（HJ819-2017）第5条监测方案制定，单独的非病区生活污水排放口无需进行监测。根据《固定污染源排污许可分类管理名录》，</w:t>
            </w:r>
            <w:r>
              <w:rPr>
                <w:rFonts w:hint="eastAsia"/>
                <w:color w:val="auto"/>
                <w:sz w:val="24"/>
                <w:szCs w:val="24"/>
                <w:u w:val="none"/>
              </w:rPr>
              <w:t>本项目</w:t>
            </w:r>
            <w:r>
              <w:rPr>
                <w:rFonts w:hint="eastAsia"/>
                <w:color w:val="auto"/>
                <w:sz w:val="24"/>
                <w:szCs w:val="24"/>
                <w:u w:val="none"/>
                <w:lang w:val="en-US" w:eastAsia="zh-CN"/>
              </w:rPr>
              <w:t>床位数为48张，</w:t>
            </w:r>
            <w:r>
              <w:rPr>
                <w:rFonts w:hint="eastAsia"/>
                <w:color w:val="auto"/>
                <w:sz w:val="24"/>
                <w:szCs w:val="24"/>
                <w:u w:val="none"/>
              </w:rPr>
              <w:t>为</w:t>
            </w:r>
            <w:r>
              <w:rPr>
                <w:rFonts w:hint="eastAsia"/>
                <w:color w:val="auto"/>
                <w:sz w:val="24"/>
                <w:szCs w:val="24"/>
                <w:u w:val="none"/>
                <w:lang w:val="en-US" w:eastAsia="zh-CN"/>
              </w:rPr>
              <w:t>登记</w:t>
            </w:r>
            <w:r>
              <w:rPr>
                <w:rFonts w:hint="eastAsia"/>
                <w:color w:val="auto"/>
                <w:sz w:val="24"/>
                <w:szCs w:val="24"/>
                <w:u w:val="none"/>
              </w:rPr>
              <w:t>管理类</w:t>
            </w:r>
            <w:r>
              <w:rPr>
                <w:rFonts w:hint="eastAsia"/>
                <w:sz w:val="24"/>
                <w:szCs w:val="24"/>
                <w:u w:val="none"/>
              </w:rPr>
              <w:t>，项目污水经一体化污水处理设施处理达标后外排至市政污水管网，</w:t>
            </w:r>
            <w:r>
              <w:rPr>
                <w:rFonts w:hint="eastAsia"/>
                <w:sz w:val="24"/>
                <w:szCs w:val="24"/>
                <w:u w:val="none"/>
                <w:lang w:val="en-US" w:eastAsia="zh-CN"/>
              </w:rPr>
              <w:t>经花垣县污水</w:t>
            </w:r>
            <w:r>
              <w:rPr>
                <w:rFonts w:hint="eastAsia"/>
                <w:sz w:val="24"/>
                <w:szCs w:val="24"/>
                <w:u w:val="none"/>
              </w:rPr>
              <w:t>处理厂进行深度处理，最后外排至</w:t>
            </w:r>
            <w:r>
              <w:rPr>
                <w:rFonts w:hint="eastAsia"/>
                <w:sz w:val="24"/>
                <w:szCs w:val="24"/>
                <w:u w:val="none"/>
                <w:lang w:val="en-US" w:eastAsia="zh-CN"/>
              </w:rPr>
              <w:t>花垣</w:t>
            </w:r>
            <w:r>
              <w:rPr>
                <w:rFonts w:hint="eastAsia"/>
                <w:sz w:val="24"/>
                <w:szCs w:val="24"/>
                <w:u w:val="none"/>
              </w:rPr>
              <w:t>河。项目自行监测计划主要对一体化污水处理设施总出水口进行监测，具体监测计划如下表所示。</w:t>
            </w:r>
          </w:p>
          <w:p>
            <w:pPr>
              <w:widowControl w:val="0"/>
              <w:adjustRightInd w:val="0"/>
              <w:snapToGrid w:val="0"/>
              <w:spacing w:line="312" w:lineRule="auto"/>
              <w:ind w:left="113" w:right="113" w:firstLine="422"/>
              <w:jc w:val="center"/>
              <w:textAlignment w:val="baseline"/>
              <w:rPr>
                <w:rFonts w:ascii="Times New Roman" w:hAnsi="Times New Roman" w:eastAsia="宋体" w:cs="Times New Roman"/>
                <w:b/>
                <w:bCs/>
                <w:kern w:val="0"/>
                <w:sz w:val="21"/>
                <w:szCs w:val="16"/>
                <w:u w:val="none" w:color="auto"/>
                <w:lang w:val="en-US" w:eastAsia="zh-CN" w:bidi="ar-SA"/>
              </w:rPr>
            </w:pPr>
            <w:r>
              <w:rPr>
                <w:rFonts w:ascii="Times New Roman" w:hAnsi="Times New Roman" w:eastAsia="宋体" w:cs="Times New Roman"/>
                <w:b/>
                <w:bCs/>
                <w:kern w:val="0"/>
                <w:sz w:val="21"/>
                <w:szCs w:val="16"/>
                <w:u w:val="none" w:color="auto"/>
                <w:lang w:val="en-US" w:eastAsia="zh-CN" w:bidi="ar-SA"/>
              </w:rPr>
              <w:t>表</w:t>
            </w:r>
            <w:r>
              <w:rPr>
                <w:rFonts w:hint="eastAsia" w:ascii="Times New Roman" w:hAnsi="Times New Roman" w:eastAsia="宋体" w:cs="Times New Roman"/>
                <w:b/>
                <w:bCs/>
                <w:kern w:val="0"/>
                <w:sz w:val="21"/>
                <w:szCs w:val="16"/>
                <w:u w:val="none" w:color="auto"/>
                <w:lang w:val="en-US" w:eastAsia="zh-CN" w:bidi="ar-SA"/>
              </w:rPr>
              <w:t>4</w:t>
            </w:r>
            <w:r>
              <w:rPr>
                <w:rFonts w:ascii="Times New Roman" w:hAnsi="Times New Roman" w:eastAsia="宋体" w:cs="Times New Roman"/>
                <w:b/>
                <w:bCs/>
                <w:kern w:val="0"/>
                <w:sz w:val="21"/>
                <w:szCs w:val="16"/>
                <w:u w:val="none" w:color="auto"/>
                <w:lang w:val="en-US" w:eastAsia="zh-CN" w:bidi="ar-SA"/>
              </w:rPr>
              <w:t>-</w:t>
            </w:r>
            <w:r>
              <w:rPr>
                <w:rFonts w:hint="eastAsia" w:cs="Times New Roman"/>
                <w:b/>
                <w:bCs/>
                <w:kern w:val="0"/>
                <w:sz w:val="21"/>
                <w:szCs w:val="16"/>
                <w:u w:val="none" w:color="auto"/>
                <w:lang w:val="en-US" w:eastAsia="zh-CN" w:bidi="ar-SA"/>
              </w:rPr>
              <w:t xml:space="preserve">8 </w:t>
            </w:r>
            <w:r>
              <w:rPr>
                <w:rFonts w:hint="eastAsia" w:ascii="Times New Roman" w:hAnsi="Times New Roman" w:eastAsia="宋体" w:cs="Times New Roman"/>
                <w:b/>
                <w:bCs/>
                <w:kern w:val="0"/>
                <w:sz w:val="21"/>
                <w:szCs w:val="16"/>
                <w:u w:val="none" w:color="auto"/>
                <w:lang w:val="en-US" w:eastAsia="zh-CN" w:bidi="ar-SA"/>
              </w:rPr>
              <w:t xml:space="preserve"> 废水排放口监测要求一览表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420"/>
              <w:gridCol w:w="3723"/>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06" w:type="pct"/>
                  <w:noWrap w:val="0"/>
                  <w:vAlign w:val="center"/>
                </w:tcPr>
                <w:p>
                  <w:pPr>
                    <w:widowControl w:val="0"/>
                    <w:spacing w:line="360" w:lineRule="exact"/>
                    <w:jc w:val="center"/>
                    <w:rPr>
                      <w:rFonts w:ascii="Times New Roman" w:hAnsi="Times New Roman" w:eastAsia="宋体" w:cs="Times New Roman"/>
                      <w:b/>
                      <w:kern w:val="2"/>
                      <w:sz w:val="21"/>
                      <w:szCs w:val="21"/>
                      <w:u w:val="none" w:color="auto"/>
                    </w:rPr>
                  </w:pPr>
                  <w:r>
                    <w:rPr>
                      <w:rFonts w:ascii="Times New Roman" w:hAnsi="Times New Roman" w:eastAsia="宋体" w:cs="Times New Roman"/>
                      <w:b/>
                      <w:bCs/>
                      <w:kern w:val="2"/>
                      <w:sz w:val="21"/>
                      <w:szCs w:val="21"/>
                      <w:u w:val="none" w:color="auto"/>
                    </w:rPr>
                    <w:t>序号</w:t>
                  </w:r>
                </w:p>
              </w:tc>
              <w:tc>
                <w:tcPr>
                  <w:tcW w:w="887" w:type="pct"/>
                  <w:noWrap w:val="0"/>
                  <w:vAlign w:val="center"/>
                </w:tcPr>
                <w:p>
                  <w:pPr>
                    <w:widowControl w:val="0"/>
                    <w:spacing w:line="360" w:lineRule="exact"/>
                    <w:jc w:val="center"/>
                    <w:rPr>
                      <w:rFonts w:ascii="Times New Roman" w:hAnsi="Times New Roman" w:eastAsia="宋体" w:cs="Times New Roman"/>
                      <w:b/>
                      <w:kern w:val="2"/>
                      <w:sz w:val="21"/>
                      <w:szCs w:val="21"/>
                      <w:u w:val="none" w:color="auto"/>
                    </w:rPr>
                  </w:pPr>
                  <w:r>
                    <w:rPr>
                      <w:rFonts w:ascii="Times New Roman" w:hAnsi="Times New Roman" w:eastAsia="宋体" w:cs="Times New Roman"/>
                      <w:b/>
                      <w:bCs/>
                      <w:kern w:val="2"/>
                      <w:sz w:val="21"/>
                      <w:szCs w:val="21"/>
                      <w:u w:val="none" w:color="auto"/>
                    </w:rPr>
                    <w:t>监测点位</w:t>
                  </w:r>
                </w:p>
              </w:tc>
              <w:tc>
                <w:tcPr>
                  <w:tcW w:w="2326" w:type="pct"/>
                  <w:noWrap w:val="0"/>
                  <w:vAlign w:val="center"/>
                </w:tcPr>
                <w:p>
                  <w:pPr>
                    <w:widowControl w:val="0"/>
                    <w:spacing w:line="360" w:lineRule="exact"/>
                    <w:jc w:val="center"/>
                    <w:rPr>
                      <w:rFonts w:ascii="Times New Roman" w:hAnsi="Times New Roman" w:eastAsia="宋体" w:cs="Times New Roman"/>
                      <w:b/>
                      <w:kern w:val="2"/>
                      <w:sz w:val="21"/>
                      <w:szCs w:val="21"/>
                      <w:u w:val="none" w:color="auto"/>
                    </w:rPr>
                  </w:pPr>
                  <w:r>
                    <w:rPr>
                      <w:rFonts w:hint="eastAsia" w:ascii="Times New Roman" w:hAnsi="Times New Roman" w:eastAsia="宋体" w:cs="Times New Roman"/>
                      <w:b/>
                      <w:bCs/>
                      <w:kern w:val="2"/>
                      <w:sz w:val="21"/>
                      <w:szCs w:val="21"/>
                      <w:u w:val="none" w:color="auto"/>
                    </w:rPr>
                    <w:t>监测指标</w:t>
                  </w:r>
                </w:p>
              </w:tc>
              <w:tc>
                <w:tcPr>
                  <w:tcW w:w="1379" w:type="pct"/>
                  <w:noWrap w:val="0"/>
                  <w:vAlign w:val="center"/>
                </w:tcPr>
                <w:p>
                  <w:pPr>
                    <w:widowControl w:val="0"/>
                    <w:spacing w:line="360" w:lineRule="exact"/>
                    <w:jc w:val="center"/>
                    <w:rPr>
                      <w:rFonts w:ascii="Times New Roman" w:hAnsi="Times New Roman" w:eastAsia="宋体" w:cs="Times New Roman"/>
                      <w:b/>
                      <w:bCs/>
                      <w:kern w:val="2"/>
                      <w:sz w:val="21"/>
                      <w:szCs w:val="21"/>
                      <w:u w:val="none" w:color="auto"/>
                    </w:rPr>
                  </w:pPr>
                  <w:r>
                    <w:rPr>
                      <w:rFonts w:ascii="Times New Roman" w:hAnsi="Times New Roman" w:eastAsia="宋体" w:cs="Times New Roman"/>
                      <w:b/>
                      <w:bCs/>
                      <w:kern w:val="2"/>
                      <w:sz w:val="21"/>
                      <w:szCs w:val="21"/>
                      <w:u w:val="none" w:color="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06" w:type="pct"/>
                  <w:vMerge w:val="restart"/>
                  <w:noWrap w:val="0"/>
                  <w:vAlign w:val="center"/>
                </w:tcPr>
                <w:p>
                  <w:pPr>
                    <w:widowControl w:val="0"/>
                    <w:spacing w:line="360" w:lineRule="exact"/>
                    <w:jc w:val="center"/>
                    <w:rPr>
                      <w:rFonts w:ascii="Times New Roman" w:hAnsi="Times New Roman" w:eastAsia="宋体" w:cs="Times New Roman"/>
                      <w:kern w:val="2"/>
                      <w:sz w:val="21"/>
                      <w:szCs w:val="21"/>
                      <w:u w:val="none" w:color="auto"/>
                    </w:rPr>
                  </w:pPr>
                  <w:r>
                    <w:rPr>
                      <w:rFonts w:ascii="Times New Roman" w:hAnsi="Times New Roman" w:eastAsia="宋体" w:cs="Times New Roman"/>
                      <w:kern w:val="2"/>
                      <w:sz w:val="21"/>
                      <w:szCs w:val="21"/>
                      <w:u w:val="none" w:color="auto"/>
                    </w:rPr>
                    <w:t>1</w:t>
                  </w:r>
                </w:p>
              </w:tc>
              <w:tc>
                <w:tcPr>
                  <w:tcW w:w="887" w:type="pct"/>
                  <w:vMerge w:val="restart"/>
                  <w:noWrap w:val="0"/>
                  <w:vAlign w:val="center"/>
                </w:tcPr>
                <w:p>
                  <w:pPr>
                    <w:widowControl w:val="0"/>
                    <w:spacing w:line="360" w:lineRule="exact"/>
                    <w:jc w:val="center"/>
                    <w:rPr>
                      <w:rFonts w:ascii="Times New Roman" w:hAnsi="Times New Roman" w:eastAsia="宋体" w:cs="Times New Roman"/>
                      <w:kern w:val="2"/>
                      <w:sz w:val="21"/>
                      <w:szCs w:val="21"/>
                      <w:u w:val="none" w:color="auto"/>
                    </w:rPr>
                  </w:pPr>
                  <w:r>
                    <w:rPr>
                      <w:rFonts w:hint="eastAsia" w:ascii="Times New Roman" w:hAnsi="Times New Roman" w:eastAsia="宋体" w:cs="Times New Roman"/>
                      <w:kern w:val="2"/>
                      <w:sz w:val="21"/>
                      <w:szCs w:val="21"/>
                      <w:u w:val="none" w:color="auto"/>
                      <w:lang w:val="en-US" w:eastAsia="zh-CN"/>
                    </w:rPr>
                    <w:t>污水总</w:t>
                  </w:r>
                  <w:r>
                    <w:rPr>
                      <w:rFonts w:ascii="Times New Roman" w:hAnsi="Times New Roman" w:eastAsia="宋体" w:cs="Times New Roman"/>
                      <w:kern w:val="2"/>
                      <w:sz w:val="21"/>
                      <w:szCs w:val="21"/>
                      <w:u w:val="none" w:color="auto"/>
                    </w:rPr>
                    <w:t>排口</w:t>
                  </w:r>
                  <w:r>
                    <w:rPr>
                      <w:rFonts w:hint="eastAsia" w:ascii="Times New Roman" w:hAnsi="Times New Roman" w:eastAsia="宋体" w:cs="Times New Roman"/>
                      <w:kern w:val="2"/>
                      <w:sz w:val="21"/>
                      <w:szCs w:val="21"/>
                      <w:u w:val="none" w:color="auto"/>
                      <w:lang w:val="en-US" w:eastAsia="zh-CN"/>
                    </w:rPr>
                    <w:t>DW001</w:t>
                  </w:r>
                </w:p>
              </w:tc>
              <w:tc>
                <w:tcPr>
                  <w:tcW w:w="2326" w:type="pct"/>
                  <w:noWrap w:val="0"/>
                  <w:vAlign w:val="center"/>
                </w:tcPr>
                <w:p>
                  <w:pPr>
                    <w:widowControl w:val="0"/>
                    <w:spacing w:line="360" w:lineRule="exact"/>
                    <w:jc w:val="center"/>
                    <w:rPr>
                      <w:rFonts w:ascii="Times New Roman" w:hAnsi="Times New Roman" w:eastAsia="宋体" w:cs="Times New Roman"/>
                      <w:kern w:val="2"/>
                      <w:sz w:val="21"/>
                      <w:szCs w:val="21"/>
                      <w:u w:val="none" w:color="auto"/>
                    </w:rPr>
                  </w:pPr>
                  <w:r>
                    <w:rPr>
                      <w:rFonts w:hint="eastAsia" w:ascii="Times New Roman" w:hAnsi="Times New Roman" w:eastAsia="宋体" w:cs="Times New Roman"/>
                      <w:kern w:val="2"/>
                      <w:sz w:val="21"/>
                      <w:szCs w:val="21"/>
                      <w:u w:val="none" w:color="auto"/>
                    </w:rPr>
                    <w:t>流量</w:t>
                  </w:r>
                </w:p>
              </w:tc>
              <w:tc>
                <w:tcPr>
                  <w:tcW w:w="1379" w:type="pct"/>
                  <w:noWrap w:val="0"/>
                  <w:vAlign w:val="center"/>
                </w:tcPr>
                <w:p>
                  <w:pPr>
                    <w:widowControl w:val="0"/>
                    <w:spacing w:line="360" w:lineRule="exact"/>
                    <w:jc w:val="center"/>
                    <w:rPr>
                      <w:rFonts w:ascii="Times New Roman" w:hAnsi="Times New Roman" w:eastAsia="宋体" w:cs="Times New Roman"/>
                      <w:kern w:val="2"/>
                      <w:sz w:val="21"/>
                      <w:szCs w:val="21"/>
                      <w:u w:val="none" w:color="auto"/>
                    </w:rPr>
                  </w:pPr>
                  <w:r>
                    <w:rPr>
                      <w:rFonts w:hint="eastAsia" w:ascii="Times New Roman" w:hAnsi="Times New Roman" w:eastAsia="宋体" w:cs="Times New Roman"/>
                      <w:kern w:val="2"/>
                      <w:sz w:val="21"/>
                      <w:szCs w:val="21"/>
                      <w:u w:val="none" w:color="auto"/>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06" w:type="pct"/>
                  <w:vMerge w:val="continue"/>
                  <w:noWrap w:val="0"/>
                  <w:vAlign w:val="center"/>
                </w:tcPr>
                <w:p>
                  <w:pPr>
                    <w:widowControl w:val="0"/>
                    <w:spacing w:line="360" w:lineRule="exact"/>
                    <w:jc w:val="center"/>
                    <w:rPr>
                      <w:rFonts w:ascii="Times New Roman" w:hAnsi="Times New Roman" w:eastAsia="宋体" w:cs="Times New Roman"/>
                      <w:kern w:val="2"/>
                      <w:sz w:val="21"/>
                      <w:szCs w:val="21"/>
                      <w:u w:val="none" w:color="auto"/>
                    </w:rPr>
                  </w:pPr>
                </w:p>
              </w:tc>
              <w:tc>
                <w:tcPr>
                  <w:tcW w:w="887" w:type="pct"/>
                  <w:vMerge w:val="continue"/>
                  <w:noWrap w:val="0"/>
                  <w:vAlign w:val="center"/>
                </w:tcPr>
                <w:p>
                  <w:pPr>
                    <w:widowControl w:val="0"/>
                    <w:spacing w:line="360" w:lineRule="exact"/>
                    <w:jc w:val="center"/>
                    <w:rPr>
                      <w:rFonts w:ascii="Times New Roman" w:hAnsi="Times New Roman" w:eastAsia="宋体" w:cs="Times New Roman"/>
                      <w:kern w:val="2"/>
                      <w:sz w:val="21"/>
                      <w:szCs w:val="21"/>
                      <w:u w:val="none" w:color="auto"/>
                    </w:rPr>
                  </w:pPr>
                </w:p>
              </w:tc>
              <w:tc>
                <w:tcPr>
                  <w:tcW w:w="2326" w:type="pct"/>
                  <w:noWrap w:val="0"/>
                  <w:vAlign w:val="center"/>
                </w:tcPr>
                <w:p>
                  <w:pPr>
                    <w:widowControl w:val="0"/>
                    <w:spacing w:line="360" w:lineRule="exact"/>
                    <w:jc w:val="center"/>
                    <w:rPr>
                      <w:rFonts w:ascii="Times New Roman" w:hAnsi="Times New Roman" w:eastAsia="宋体" w:cs="Times New Roman"/>
                      <w:kern w:val="2"/>
                      <w:sz w:val="21"/>
                      <w:szCs w:val="21"/>
                      <w:u w:val="none" w:color="auto"/>
                    </w:rPr>
                  </w:pPr>
                  <w:r>
                    <w:rPr>
                      <w:rFonts w:ascii="Times New Roman" w:hAnsi="Times New Roman" w:eastAsia="宋体" w:cs="Times New Roman"/>
                      <w:kern w:val="2"/>
                      <w:sz w:val="21"/>
                      <w:szCs w:val="21"/>
                      <w:u w:val="none" w:color="auto"/>
                    </w:rPr>
                    <w:t>pH</w:t>
                  </w:r>
                  <w:r>
                    <w:rPr>
                      <w:rFonts w:hint="eastAsia" w:ascii="Times New Roman" w:hAnsi="Times New Roman" w:eastAsia="宋体" w:cs="Times New Roman"/>
                      <w:kern w:val="2"/>
                      <w:sz w:val="21"/>
                      <w:szCs w:val="21"/>
                      <w:u w:val="none" w:color="auto"/>
                    </w:rPr>
                    <w:t>值</w:t>
                  </w:r>
                </w:p>
              </w:tc>
              <w:tc>
                <w:tcPr>
                  <w:tcW w:w="1379" w:type="pct"/>
                  <w:noWrap w:val="0"/>
                  <w:vAlign w:val="center"/>
                </w:tcPr>
                <w:p>
                  <w:pPr>
                    <w:widowControl w:val="0"/>
                    <w:spacing w:line="360" w:lineRule="exact"/>
                    <w:jc w:val="center"/>
                    <w:rPr>
                      <w:rFonts w:ascii="Times New Roman" w:hAnsi="Times New Roman" w:eastAsia="宋体" w:cs="Times New Roman"/>
                      <w:kern w:val="2"/>
                      <w:sz w:val="21"/>
                      <w:szCs w:val="21"/>
                      <w:u w:val="none" w:color="auto"/>
                    </w:rPr>
                  </w:pPr>
                  <w:r>
                    <w:rPr>
                      <w:rFonts w:hint="eastAsia" w:ascii="Times New Roman" w:hAnsi="Times New Roman" w:eastAsia="宋体" w:cs="Times New Roman"/>
                      <w:kern w:val="2"/>
                      <w:sz w:val="21"/>
                      <w:szCs w:val="21"/>
                      <w:u w:val="none" w:color="auto"/>
                    </w:rPr>
                    <w:t>1次/12小时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06" w:type="pct"/>
                  <w:vMerge w:val="continue"/>
                  <w:noWrap w:val="0"/>
                  <w:vAlign w:val="center"/>
                </w:tcPr>
                <w:p>
                  <w:pPr>
                    <w:widowControl w:val="0"/>
                    <w:spacing w:line="360" w:lineRule="exact"/>
                    <w:jc w:val="center"/>
                    <w:rPr>
                      <w:rFonts w:ascii="Times New Roman" w:hAnsi="Times New Roman" w:eastAsia="宋体" w:cs="Times New Roman"/>
                      <w:kern w:val="2"/>
                      <w:sz w:val="21"/>
                      <w:szCs w:val="21"/>
                      <w:u w:val="none" w:color="auto"/>
                    </w:rPr>
                  </w:pPr>
                </w:p>
              </w:tc>
              <w:tc>
                <w:tcPr>
                  <w:tcW w:w="887" w:type="pct"/>
                  <w:vMerge w:val="continue"/>
                  <w:noWrap w:val="0"/>
                  <w:vAlign w:val="center"/>
                </w:tcPr>
                <w:p>
                  <w:pPr>
                    <w:widowControl w:val="0"/>
                    <w:spacing w:line="360" w:lineRule="exact"/>
                    <w:jc w:val="center"/>
                    <w:rPr>
                      <w:rFonts w:ascii="Times New Roman" w:hAnsi="Times New Roman" w:eastAsia="宋体" w:cs="Times New Roman"/>
                      <w:kern w:val="2"/>
                      <w:sz w:val="21"/>
                      <w:szCs w:val="21"/>
                      <w:u w:val="none" w:color="auto"/>
                    </w:rPr>
                  </w:pPr>
                </w:p>
              </w:tc>
              <w:tc>
                <w:tcPr>
                  <w:tcW w:w="2326" w:type="pct"/>
                  <w:noWrap w:val="0"/>
                  <w:vAlign w:val="center"/>
                </w:tcPr>
                <w:p>
                  <w:pPr>
                    <w:widowControl w:val="0"/>
                    <w:spacing w:line="360" w:lineRule="exact"/>
                    <w:jc w:val="center"/>
                    <w:rPr>
                      <w:rFonts w:ascii="Times New Roman" w:hAnsi="Times New Roman" w:eastAsia="宋体" w:cs="Times New Roman"/>
                      <w:kern w:val="2"/>
                      <w:sz w:val="21"/>
                      <w:szCs w:val="21"/>
                      <w:u w:val="none" w:color="auto"/>
                    </w:rPr>
                  </w:pPr>
                  <w:r>
                    <w:rPr>
                      <w:rFonts w:ascii="Times New Roman" w:hAnsi="Times New Roman" w:eastAsia="宋体" w:cs="Times New Roman"/>
                      <w:kern w:val="2"/>
                      <w:sz w:val="21"/>
                      <w:szCs w:val="21"/>
                      <w:u w:val="none" w:color="auto"/>
                    </w:rPr>
                    <w:t>化学需氧量</w:t>
                  </w:r>
                  <w:r>
                    <w:rPr>
                      <w:rFonts w:hint="eastAsia" w:ascii="Times New Roman" w:hAnsi="Times New Roman" w:eastAsia="宋体" w:cs="Times New Roman"/>
                      <w:kern w:val="2"/>
                      <w:sz w:val="21"/>
                      <w:szCs w:val="21"/>
                      <w:u w:val="none" w:color="auto"/>
                    </w:rPr>
                    <w:t>、</w:t>
                  </w:r>
                  <w:r>
                    <w:rPr>
                      <w:rFonts w:ascii="Times New Roman" w:hAnsi="Times New Roman" w:eastAsia="宋体" w:cs="Times New Roman"/>
                      <w:kern w:val="2"/>
                      <w:sz w:val="21"/>
                      <w:szCs w:val="21"/>
                      <w:u w:val="none" w:color="auto"/>
                    </w:rPr>
                    <w:t>悬浮物</w:t>
                  </w:r>
                </w:p>
              </w:tc>
              <w:tc>
                <w:tcPr>
                  <w:tcW w:w="1379" w:type="pct"/>
                  <w:noWrap w:val="0"/>
                  <w:vAlign w:val="center"/>
                </w:tcPr>
                <w:p>
                  <w:pPr>
                    <w:widowControl w:val="0"/>
                    <w:spacing w:line="360" w:lineRule="exact"/>
                    <w:jc w:val="center"/>
                    <w:rPr>
                      <w:rFonts w:ascii="Times New Roman" w:hAnsi="Times New Roman" w:eastAsia="宋体" w:cs="Times New Roman"/>
                      <w:kern w:val="2"/>
                      <w:sz w:val="21"/>
                      <w:szCs w:val="21"/>
                      <w:u w:val="none" w:color="auto"/>
                    </w:rPr>
                  </w:pPr>
                  <w:r>
                    <w:rPr>
                      <w:rFonts w:hint="eastAsia" w:ascii="Times New Roman" w:hAnsi="Times New Roman" w:eastAsia="宋体" w:cs="Times New Roman"/>
                      <w:kern w:val="2"/>
                      <w:sz w:val="21"/>
                      <w:szCs w:val="21"/>
                      <w:u w:val="none" w:color="auto"/>
                    </w:rPr>
                    <w:t>1次/周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06" w:type="pct"/>
                  <w:vMerge w:val="continue"/>
                  <w:noWrap w:val="0"/>
                  <w:vAlign w:val="center"/>
                </w:tcPr>
                <w:p>
                  <w:pPr>
                    <w:widowControl w:val="0"/>
                    <w:spacing w:line="360" w:lineRule="exact"/>
                    <w:jc w:val="center"/>
                    <w:rPr>
                      <w:rFonts w:ascii="Times New Roman" w:hAnsi="Times New Roman" w:eastAsia="宋体" w:cs="Times New Roman"/>
                      <w:kern w:val="2"/>
                      <w:sz w:val="21"/>
                      <w:szCs w:val="21"/>
                      <w:u w:val="none" w:color="auto"/>
                    </w:rPr>
                  </w:pPr>
                </w:p>
              </w:tc>
              <w:tc>
                <w:tcPr>
                  <w:tcW w:w="887" w:type="pct"/>
                  <w:vMerge w:val="continue"/>
                  <w:noWrap w:val="0"/>
                  <w:vAlign w:val="center"/>
                </w:tcPr>
                <w:p>
                  <w:pPr>
                    <w:widowControl w:val="0"/>
                    <w:spacing w:line="360" w:lineRule="exact"/>
                    <w:jc w:val="center"/>
                    <w:rPr>
                      <w:rFonts w:ascii="Times New Roman" w:hAnsi="Times New Roman" w:eastAsia="宋体" w:cs="Times New Roman"/>
                      <w:kern w:val="2"/>
                      <w:sz w:val="21"/>
                      <w:szCs w:val="21"/>
                      <w:u w:val="none" w:color="auto"/>
                    </w:rPr>
                  </w:pPr>
                </w:p>
              </w:tc>
              <w:tc>
                <w:tcPr>
                  <w:tcW w:w="2326" w:type="pct"/>
                  <w:noWrap w:val="0"/>
                  <w:vAlign w:val="center"/>
                </w:tcPr>
                <w:p>
                  <w:pPr>
                    <w:widowControl w:val="0"/>
                    <w:spacing w:line="360" w:lineRule="exact"/>
                    <w:jc w:val="center"/>
                    <w:rPr>
                      <w:rFonts w:ascii="Times New Roman" w:hAnsi="Times New Roman" w:eastAsia="宋体" w:cs="Times New Roman"/>
                      <w:kern w:val="2"/>
                      <w:sz w:val="21"/>
                      <w:szCs w:val="21"/>
                      <w:u w:val="none" w:color="auto"/>
                    </w:rPr>
                  </w:pPr>
                  <w:r>
                    <w:rPr>
                      <w:rFonts w:hint="eastAsia" w:ascii="Times New Roman" w:hAnsi="Times New Roman" w:eastAsia="宋体" w:cs="Times New Roman"/>
                      <w:kern w:val="2"/>
                      <w:sz w:val="21"/>
                      <w:szCs w:val="21"/>
                      <w:u w:val="none" w:color="auto"/>
                    </w:rPr>
                    <w:t>粪大肠菌群数</w:t>
                  </w:r>
                </w:p>
              </w:tc>
              <w:tc>
                <w:tcPr>
                  <w:tcW w:w="1379" w:type="pct"/>
                  <w:noWrap w:val="0"/>
                  <w:vAlign w:val="center"/>
                </w:tcPr>
                <w:p>
                  <w:pPr>
                    <w:widowControl w:val="0"/>
                    <w:spacing w:line="360" w:lineRule="exact"/>
                    <w:jc w:val="center"/>
                    <w:rPr>
                      <w:rFonts w:ascii="Times New Roman" w:hAnsi="Times New Roman" w:eastAsia="宋体" w:cs="Times New Roman"/>
                      <w:kern w:val="2"/>
                      <w:sz w:val="21"/>
                      <w:szCs w:val="21"/>
                      <w:u w:val="none" w:color="auto"/>
                    </w:rPr>
                  </w:pPr>
                  <w:r>
                    <w:rPr>
                      <w:rFonts w:hint="eastAsia" w:ascii="Times New Roman" w:hAnsi="Times New Roman" w:eastAsia="宋体" w:cs="Times New Roman"/>
                      <w:kern w:val="2"/>
                      <w:sz w:val="21"/>
                      <w:szCs w:val="21"/>
                      <w:u w:val="none" w:color="auto"/>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06" w:type="pct"/>
                  <w:vMerge w:val="continue"/>
                  <w:noWrap w:val="0"/>
                  <w:vAlign w:val="center"/>
                </w:tcPr>
                <w:p>
                  <w:pPr>
                    <w:widowControl w:val="0"/>
                    <w:spacing w:line="360" w:lineRule="exact"/>
                    <w:jc w:val="center"/>
                    <w:rPr>
                      <w:rFonts w:ascii="Times New Roman" w:hAnsi="Times New Roman" w:eastAsia="宋体" w:cs="Times New Roman"/>
                      <w:kern w:val="2"/>
                      <w:sz w:val="21"/>
                      <w:szCs w:val="21"/>
                      <w:u w:val="none" w:color="auto"/>
                    </w:rPr>
                  </w:pPr>
                </w:p>
              </w:tc>
              <w:tc>
                <w:tcPr>
                  <w:tcW w:w="887" w:type="pct"/>
                  <w:vMerge w:val="continue"/>
                  <w:noWrap w:val="0"/>
                  <w:vAlign w:val="center"/>
                </w:tcPr>
                <w:p>
                  <w:pPr>
                    <w:widowControl w:val="0"/>
                    <w:spacing w:line="360" w:lineRule="exact"/>
                    <w:jc w:val="center"/>
                    <w:rPr>
                      <w:rFonts w:ascii="Times New Roman" w:hAnsi="Times New Roman" w:eastAsia="宋体" w:cs="Times New Roman"/>
                      <w:kern w:val="2"/>
                      <w:sz w:val="21"/>
                      <w:szCs w:val="21"/>
                      <w:u w:val="none" w:color="auto"/>
                    </w:rPr>
                  </w:pPr>
                </w:p>
              </w:tc>
              <w:tc>
                <w:tcPr>
                  <w:tcW w:w="2326" w:type="pct"/>
                  <w:noWrap w:val="0"/>
                  <w:vAlign w:val="center"/>
                </w:tcPr>
                <w:p>
                  <w:pPr>
                    <w:widowControl w:val="0"/>
                    <w:spacing w:line="360" w:lineRule="exact"/>
                    <w:jc w:val="center"/>
                    <w:rPr>
                      <w:rFonts w:hint="eastAsia" w:ascii="Times New Roman" w:hAnsi="Times New Roman" w:eastAsia="宋体" w:cs="Times New Roman"/>
                      <w:kern w:val="2"/>
                      <w:sz w:val="21"/>
                      <w:szCs w:val="21"/>
                      <w:u w:val="none" w:color="auto"/>
                    </w:rPr>
                  </w:pPr>
                  <w:r>
                    <w:rPr>
                      <w:rFonts w:ascii="Times New Roman" w:hAnsi="Times New Roman" w:eastAsia="宋体" w:cs="Times New Roman"/>
                      <w:kern w:val="2"/>
                      <w:sz w:val="21"/>
                      <w:szCs w:val="21"/>
                      <w:u w:val="none" w:color="auto"/>
                    </w:rPr>
                    <w:t>五日生化需氧量</w:t>
                  </w:r>
                  <w:r>
                    <w:rPr>
                      <w:rFonts w:hint="eastAsia" w:ascii="Times New Roman" w:hAnsi="Times New Roman" w:eastAsia="宋体" w:cs="Times New Roman"/>
                      <w:kern w:val="2"/>
                      <w:sz w:val="21"/>
                      <w:szCs w:val="21"/>
                      <w:u w:val="none" w:color="auto"/>
                    </w:rPr>
                    <w:t>、</w:t>
                  </w:r>
                  <w:r>
                    <w:rPr>
                      <w:rFonts w:hint="eastAsia" w:ascii="Times New Roman" w:hAnsi="Times New Roman" w:eastAsia="宋体" w:cs="Times New Roman"/>
                      <w:kern w:val="2"/>
                      <w:sz w:val="21"/>
                      <w:szCs w:val="21"/>
                      <w:u w:val="none" w:color="auto"/>
                      <w:lang w:val="en-US" w:eastAsia="zh-CN"/>
                    </w:rPr>
                    <w:t>氨氮、</w:t>
                  </w:r>
                  <w:r>
                    <w:rPr>
                      <w:rFonts w:ascii="Times New Roman" w:hAnsi="Times New Roman" w:eastAsia="宋体" w:cs="Times New Roman"/>
                      <w:kern w:val="2"/>
                      <w:sz w:val="21"/>
                      <w:szCs w:val="21"/>
                      <w:u w:val="none" w:color="auto"/>
                    </w:rPr>
                    <w:t>动植物油</w:t>
                  </w:r>
                  <w:r>
                    <w:rPr>
                      <w:rFonts w:hint="eastAsia" w:ascii="Times New Roman" w:hAnsi="Times New Roman" w:eastAsia="宋体" w:cs="Times New Roman"/>
                      <w:kern w:val="2"/>
                      <w:sz w:val="21"/>
                      <w:szCs w:val="21"/>
                      <w:u w:val="none" w:color="auto"/>
                    </w:rPr>
                    <w:t>、</w:t>
                  </w:r>
                  <w:r>
                    <w:rPr>
                      <w:rFonts w:hint="eastAsia" w:ascii="Times New Roman" w:hAnsi="Times New Roman" w:eastAsia="宋体" w:cs="Times New Roman"/>
                      <w:kern w:val="2"/>
                      <w:sz w:val="21"/>
                      <w:szCs w:val="21"/>
                      <w:u w:val="none" w:color="auto"/>
                      <w:lang w:val="en-US" w:eastAsia="zh-CN"/>
                    </w:rPr>
                    <w:t>总余氯</w:t>
                  </w:r>
                  <w:r>
                    <w:rPr>
                      <w:rFonts w:hint="eastAsia" w:ascii="Times New Roman" w:hAnsi="Times New Roman" w:eastAsia="宋体" w:cs="Times New Roman"/>
                      <w:kern w:val="2"/>
                      <w:sz w:val="21"/>
                      <w:szCs w:val="21"/>
                      <w:u w:val="none" w:color="auto"/>
                    </w:rPr>
                    <w:t>、阴离子表面活性剂、挥发酚、</w:t>
                  </w:r>
                </w:p>
                <w:p>
                  <w:pPr>
                    <w:widowControl w:val="0"/>
                    <w:spacing w:line="360" w:lineRule="exact"/>
                    <w:jc w:val="center"/>
                    <w:rPr>
                      <w:rFonts w:ascii="Times New Roman" w:hAnsi="Times New Roman" w:eastAsia="宋体" w:cs="Times New Roman"/>
                      <w:kern w:val="2"/>
                      <w:sz w:val="21"/>
                      <w:szCs w:val="21"/>
                      <w:u w:val="none" w:color="auto"/>
                    </w:rPr>
                  </w:pPr>
                  <w:r>
                    <w:rPr>
                      <w:rFonts w:hint="eastAsia" w:ascii="Times New Roman" w:hAnsi="Times New Roman" w:eastAsia="宋体" w:cs="Times New Roman"/>
                      <w:kern w:val="2"/>
                      <w:sz w:val="21"/>
                      <w:szCs w:val="21"/>
                      <w:u w:val="none" w:color="auto"/>
                    </w:rPr>
                    <w:t>总氰化物</w:t>
                  </w:r>
                </w:p>
              </w:tc>
              <w:tc>
                <w:tcPr>
                  <w:tcW w:w="1379" w:type="pct"/>
                  <w:noWrap w:val="0"/>
                  <w:vAlign w:val="center"/>
                </w:tcPr>
                <w:p>
                  <w:pPr>
                    <w:widowControl w:val="0"/>
                    <w:spacing w:line="360" w:lineRule="exact"/>
                    <w:jc w:val="center"/>
                    <w:rPr>
                      <w:rFonts w:ascii="Times New Roman" w:hAnsi="Times New Roman" w:eastAsia="宋体" w:cs="Times New Roman"/>
                      <w:kern w:val="2"/>
                      <w:sz w:val="21"/>
                      <w:szCs w:val="21"/>
                      <w:u w:val="none" w:color="auto"/>
                    </w:rPr>
                  </w:pPr>
                  <w:r>
                    <w:rPr>
                      <w:rFonts w:hint="eastAsia" w:ascii="Times New Roman" w:hAnsi="Times New Roman" w:eastAsia="宋体" w:cs="Times New Roman"/>
                      <w:kern w:val="2"/>
                      <w:sz w:val="21"/>
                      <w:szCs w:val="21"/>
                      <w:u w:val="none" w:color="auto"/>
                    </w:rPr>
                    <w:t>1次/季</w:t>
                  </w:r>
                </w:p>
              </w:tc>
            </w:tr>
          </w:tbl>
          <w:p>
            <w:pPr>
              <w:pStyle w:val="161"/>
              <w:ind w:left="0" w:leftChars="0" w:firstLine="0" w:firstLineChars="0"/>
              <w:rPr>
                <w:rFonts w:cs="宋体"/>
                <w:lang w:val="en-US" w:eastAsia="zh-CN"/>
              </w:rPr>
            </w:pPr>
            <w:r>
              <w:rPr>
                <w:rFonts w:hint="default" w:ascii="Times New Roman" w:hAnsi="Times New Roman" w:cs="Times New Roman"/>
                <w:lang w:val="en-US" w:eastAsia="zh-CN"/>
              </w:rPr>
              <w:t>3</w:t>
            </w:r>
            <w:r>
              <w:rPr>
                <w:rFonts w:hint="eastAsia" w:ascii="Times New Roman" w:hAnsi="Times New Roman" w:cs="Times New Roman"/>
                <w:lang w:val="en-US" w:eastAsia="zh-CN"/>
              </w:rPr>
              <w:t>、</w:t>
            </w:r>
            <w:r>
              <w:rPr>
                <w:rFonts w:hint="default" w:ascii="Times New Roman" w:hAnsi="Times New Roman" w:cs="Times New Roman"/>
                <w:lang w:val="en-US" w:eastAsia="zh-CN"/>
              </w:rPr>
              <w:t>声环境影响和保护措施分析</w:t>
            </w:r>
          </w:p>
          <w:p>
            <w:pPr>
              <w:widowControl w:val="0"/>
              <w:tabs>
                <w:tab w:val="left" w:pos="3794"/>
              </w:tabs>
              <w:spacing w:line="360" w:lineRule="auto"/>
              <w:contextualSpacing/>
              <w:jc w:val="both"/>
              <w:rPr>
                <w:rFonts w:hint="default" w:ascii="Times New Roman" w:hAnsi="Times New Roman" w:eastAsia="宋体" w:cs="Times New Roman"/>
                <w:b/>
                <w:bCs/>
                <w:color w:val="000000"/>
                <w:kern w:val="2"/>
                <w:sz w:val="24"/>
                <w:szCs w:val="20"/>
                <w:u w:val="none" w:color="auto"/>
                <w:lang w:val="en-US" w:eastAsia="zh-CN" w:bidi="ar-SA"/>
              </w:rPr>
            </w:pPr>
            <w:r>
              <w:rPr>
                <w:rFonts w:hint="eastAsia" w:ascii="Times New Roman" w:hAnsi="Times New Roman" w:eastAsia="宋体" w:cs="Times New Roman"/>
                <w:b/>
                <w:bCs/>
                <w:color w:val="000000"/>
                <w:kern w:val="2"/>
                <w:sz w:val="24"/>
                <w:szCs w:val="20"/>
                <w:u w:val="none" w:color="auto"/>
                <w:lang w:val="en-US" w:eastAsia="zh-CN" w:bidi="ar-SA"/>
              </w:rPr>
              <w:t>3</w:t>
            </w:r>
            <w:r>
              <w:rPr>
                <w:rFonts w:ascii="Times New Roman" w:hAnsi="Times New Roman" w:eastAsia="宋体" w:cs="Times New Roman"/>
                <w:b/>
                <w:bCs/>
                <w:color w:val="000000"/>
                <w:kern w:val="2"/>
                <w:sz w:val="24"/>
                <w:szCs w:val="20"/>
                <w:u w:val="none" w:color="auto"/>
                <w:lang w:val="en-US" w:eastAsia="zh-CN" w:bidi="ar-SA"/>
              </w:rPr>
              <w:t>.</w:t>
            </w:r>
            <w:r>
              <w:rPr>
                <w:rFonts w:hint="eastAsia" w:ascii="Times New Roman" w:hAnsi="Times New Roman" w:eastAsia="宋体" w:cs="Times New Roman"/>
                <w:b/>
                <w:bCs/>
                <w:color w:val="000000"/>
                <w:kern w:val="2"/>
                <w:sz w:val="24"/>
                <w:szCs w:val="20"/>
                <w:u w:val="none" w:color="auto"/>
                <w:lang w:val="en-US" w:eastAsia="zh-CN" w:bidi="ar-SA"/>
              </w:rPr>
              <w:t>1项目噪声源强</w:t>
            </w:r>
          </w:p>
          <w:p>
            <w:pPr>
              <w:widowControl w:val="0"/>
              <w:wordWrap/>
              <w:overflowPunct w:val="0"/>
              <w:topLinePunct w:val="0"/>
              <w:autoSpaceDE w:val="0"/>
              <w:autoSpaceDN w:val="0"/>
              <w:spacing w:line="360" w:lineRule="auto"/>
              <w:ind w:firstLine="480" w:firstLineChars="200"/>
              <w:jc w:val="both"/>
              <w:rPr>
                <w:rFonts w:hint="default" w:ascii="Times New Roman" w:hAnsi="Times New Roman" w:eastAsia="宋体" w:cs="Times New Roman"/>
                <w:color w:val="auto"/>
                <w:u w:val="none" w:color="auto"/>
                <w:lang w:val="en-US" w:bidi="zh-CN"/>
              </w:rPr>
            </w:pPr>
            <w:r>
              <w:rPr>
                <w:rFonts w:hint="eastAsia" w:cs="Times New Roman"/>
                <w:color w:val="auto"/>
                <w:u w:val="none" w:color="auto"/>
                <w:lang w:val="en-US" w:bidi="zh-CN"/>
              </w:rPr>
              <w:t>（1）设备噪声</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24"/>
                <w:u w:val="none" w:color="auto"/>
                <w:lang w:eastAsia="zh-CN"/>
              </w:rPr>
            </w:pPr>
            <w:r>
              <w:rPr>
                <w:rFonts w:hint="default" w:ascii="Times New Roman" w:hAnsi="Times New Roman" w:eastAsia="宋体" w:cs="Times New Roman"/>
                <w:color w:val="000000"/>
                <w:sz w:val="24"/>
                <w:u w:val="none" w:color="auto"/>
              </w:rPr>
              <w:t>项目运营期设备噪声污染源主要为</w:t>
            </w:r>
            <w:r>
              <w:rPr>
                <w:rFonts w:hint="eastAsia" w:cs="Times New Roman"/>
                <w:color w:val="000000"/>
                <w:sz w:val="24"/>
                <w:u w:val="none" w:color="auto"/>
                <w:lang w:val="en-US" w:eastAsia="zh-CN"/>
              </w:rPr>
              <w:t>医疗设备、空调外机、配电设备</w:t>
            </w:r>
            <w:r>
              <w:rPr>
                <w:rFonts w:hint="default" w:ascii="Times New Roman" w:hAnsi="Times New Roman" w:eastAsia="宋体" w:cs="Times New Roman"/>
                <w:color w:val="000000"/>
                <w:sz w:val="24"/>
                <w:u w:val="none" w:color="auto"/>
              </w:rPr>
              <w:t>等噪声</w:t>
            </w:r>
            <w:r>
              <w:rPr>
                <w:rFonts w:hint="eastAsia" w:cs="Times New Roman"/>
                <w:color w:val="000000"/>
                <w:sz w:val="24"/>
                <w:u w:val="none" w:color="auto"/>
                <w:lang w:eastAsia="zh-CN"/>
              </w:rPr>
              <w:t>。医疗设备均属于低噪声的先进设备，且均位于室内，本项目不予考虑。</w:t>
            </w:r>
            <w:r>
              <w:rPr>
                <w:rFonts w:hint="default" w:ascii="Times New Roman" w:hAnsi="Times New Roman" w:eastAsia="宋体" w:cs="Times New Roman"/>
                <w:color w:val="000000"/>
                <w:sz w:val="24"/>
                <w:u w:val="none" w:color="auto"/>
              </w:rPr>
              <w:t>参考《污染源源强核算技术指南准则》（HJ884-2018）及部分行业污染源源强技术指南，</w:t>
            </w:r>
            <w:r>
              <w:rPr>
                <w:rFonts w:hint="eastAsia" w:cs="Times New Roman"/>
                <w:color w:val="000000"/>
                <w:sz w:val="24"/>
                <w:u w:val="none" w:color="auto"/>
                <w:lang w:val="en-US" w:eastAsia="zh-CN"/>
              </w:rPr>
              <w:t>本项目</w:t>
            </w:r>
            <w:r>
              <w:rPr>
                <w:rFonts w:hint="default" w:ascii="Times New Roman" w:hAnsi="Times New Roman" w:eastAsia="宋体" w:cs="Times New Roman"/>
                <w:color w:val="000000"/>
                <w:sz w:val="24"/>
                <w:u w:val="none" w:color="auto"/>
              </w:rPr>
              <w:t>噪声值约为</w:t>
            </w:r>
            <w:r>
              <w:rPr>
                <w:rFonts w:hint="eastAsia" w:cs="Times New Roman"/>
                <w:color w:val="000000"/>
                <w:sz w:val="24"/>
                <w:u w:val="none" w:color="auto"/>
                <w:lang w:val="en-US" w:eastAsia="zh-CN"/>
              </w:rPr>
              <w:t>55~80d</w:t>
            </w:r>
            <w:r>
              <w:rPr>
                <w:rFonts w:hint="default" w:ascii="Times New Roman" w:hAnsi="Times New Roman" w:eastAsia="宋体" w:cs="Times New Roman"/>
                <w:color w:val="000000"/>
                <w:sz w:val="24"/>
                <w:u w:val="none" w:color="auto"/>
              </w:rPr>
              <w:t>B（A），详见下表</w:t>
            </w:r>
            <w:r>
              <w:rPr>
                <w:rFonts w:hint="eastAsia" w:ascii="Times New Roman" w:hAnsi="Times New Roman" w:eastAsia="宋体" w:cs="Times New Roman"/>
                <w:color w:val="000000"/>
                <w:sz w:val="24"/>
                <w:u w:val="none" w:color="auto"/>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textAlignment w:val="auto"/>
              <w:rPr>
                <w:rFonts w:ascii="宋体" w:hAnsi="宋体" w:eastAsia="宋体" w:cs="宋体"/>
                <w:b/>
                <w:bCs/>
                <w:spacing w:val="7"/>
                <w:sz w:val="21"/>
                <w:szCs w:val="21"/>
                <w:u w:val="none" w:color="auto"/>
              </w:rPr>
            </w:pPr>
            <w:r>
              <w:rPr>
                <w:rFonts w:ascii="宋体" w:hAnsi="宋体" w:eastAsia="宋体" w:cs="宋体"/>
                <w:b/>
                <w:bCs/>
                <w:spacing w:val="7"/>
                <w:sz w:val="21"/>
                <w:szCs w:val="21"/>
                <w:u w:val="none" w:color="auto"/>
              </w:rPr>
              <w:t>表</w:t>
            </w:r>
            <w:r>
              <w:rPr>
                <w:rFonts w:ascii="宋体" w:hAnsi="宋体" w:eastAsia="宋体" w:cs="宋体"/>
                <w:b/>
                <w:bCs/>
                <w:spacing w:val="-41"/>
                <w:sz w:val="21"/>
                <w:szCs w:val="21"/>
                <w:u w:val="none" w:color="auto"/>
              </w:rPr>
              <w:t xml:space="preserve"> </w:t>
            </w:r>
            <w:r>
              <w:rPr>
                <w:rFonts w:ascii="Times New Roman" w:hAnsi="Times New Roman" w:eastAsia="Times New Roman" w:cs="Times New Roman"/>
                <w:b/>
                <w:bCs/>
                <w:spacing w:val="7"/>
                <w:sz w:val="21"/>
                <w:szCs w:val="21"/>
                <w:u w:val="none" w:color="auto"/>
              </w:rPr>
              <w:t>4</w:t>
            </w:r>
            <w:r>
              <w:rPr>
                <w:rFonts w:hint="eastAsia" w:ascii="Times New Roman" w:hAnsi="Times New Roman" w:eastAsia="宋体" w:cs="Times New Roman"/>
                <w:b/>
                <w:bCs/>
                <w:spacing w:val="7"/>
                <w:sz w:val="21"/>
                <w:szCs w:val="21"/>
                <w:u w:val="none" w:color="auto"/>
                <w:lang w:val="en-US" w:eastAsia="zh-CN"/>
              </w:rPr>
              <w:t>-</w:t>
            </w:r>
            <w:r>
              <w:rPr>
                <w:rFonts w:hint="eastAsia" w:cs="Times New Roman"/>
                <w:b/>
                <w:bCs/>
                <w:spacing w:val="7"/>
                <w:sz w:val="21"/>
                <w:szCs w:val="21"/>
                <w:u w:val="none" w:color="auto"/>
                <w:lang w:val="en-US" w:eastAsia="zh-CN"/>
              </w:rPr>
              <w:t xml:space="preserve">9 </w:t>
            </w:r>
            <w:r>
              <w:rPr>
                <w:rFonts w:ascii="Times New Roman" w:hAnsi="Times New Roman" w:eastAsia="Times New Roman" w:cs="Times New Roman"/>
                <w:b/>
                <w:bCs/>
                <w:spacing w:val="7"/>
                <w:sz w:val="21"/>
                <w:szCs w:val="21"/>
                <w:u w:val="none" w:color="auto"/>
              </w:rPr>
              <w:t xml:space="preserve"> </w:t>
            </w:r>
            <w:r>
              <w:rPr>
                <w:rFonts w:ascii="宋体" w:hAnsi="宋体" w:eastAsia="宋体" w:cs="宋体"/>
                <w:b/>
                <w:bCs/>
                <w:spacing w:val="7"/>
                <w:sz w:val="21"/>
                <w:szCs w:val="21"/>
                <w:u w:val="none" w:color="auto"/>
              </w:rPr>
              <w:t>噪声源强调查清单</w:t>
            </w:r>
          </w:p>
          <w:tbl>
            <w:tblPr>
              <w:tblStyle w:val="35"/>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106"/>
              <w:gridCol w:w="955"/>
              <w:gridCol w:w="1059"/>
              <w:gridCol w:w="2023"/>
              <w:gridCol w:w="886"/>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4" w:type="dxa"/>
                  <w:gridSpan w:val="2"/>
                  <w:vMerge w:val="restart"/>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ascii="Times New Roman" w:hAnsi="Times New Roman" w:eastAsia="宋体" w:cs="Times New Roman"/>
                      <w:sz w:val="21"/>
                      <w:szCs w:val="21"/>
                      <w:u w:val="none" w:color="auto"/>
                      <w:lang w:val="en-US" w:eastAsia="zh-CN" w:bidi="zh-CN"/>
                    </w:rPr>
                    <w:t>主要噪声源</w:t>
                  </w:r>
                </w:p>
              </w:tc>
              <w:tc>
                <w:tcPr>
                  <w:tcW w:w="5842" w:type="dxa"/>
                  <w:gridSpan w:val="5"/>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ascii="Times New Roman" w:hAnsi="Times New Roman" w:eastAsia="宋体" w:cs="Times New Roman"/>
                      <w:sz w:val="21"/>
                      <w:szCs w:val="21"/>
                      <w:u w:val="none" w:color="auto"/>
                      <w:lang w:val="en-US" w:eastAsia="zh-CN" w:bidi="zh-CN"/>
                    </w:rPr>
                    <w:t>噪声级（单机），单位：dB（A）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4" w:type="dxa"/>
                  <w:gridSpan w:val="2"/>
                  <w:vMerge w:val="continue"/>
                  <w:vAlign w:val="center"/>
                </w:tcPr>
                <w:p>
                  <w:pPr>
                    <w:pStyle w:val="180"/>
                    <w:jc w:val="center"/>
                    <w:rPr>
                      <w:rFonts w:hint="default" w:ascii="Times New Roman" w:hAnsi="Times New Roman" w:eastAsia="宋体" w:cs="Times New Roman"/>
                      <w:sz w:val="21"/>
                      <w:szCs w:val="21"/>
                      <w:u w:val="none" w:color="auto"/>
                      <w:lang w:val="en-US" w:eastAsia="zh-CN" w:bidi="zh-CN"/>
                    </w:rPr>
                  </w:pPr>
                </w:p>
              </w:tc>
              <w:tc>
                <w:tcPr>
                  <w:tcW w:w="955" w:type="dxa"/>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ascii="Times New Roman" w:hAnsi="Times New Roman" w:eastAsia="宋体" w:cs="Times New Roman"/>
                      <w:sz w:val="21"/>
                      <w:szCs w:val="21"/>
                      <w:u w:val="none" w:color="auto"/>
                      <w:lang w:val="en-US" w:eastAsia="zh-CN" w:bidi="zh-CN"/>
                    </w:rPr>
                    <w:t>源强</w:t>
                  </w:r>
                </w:p>
              </w:tc>
              <w:tc>
                <w:tcPr>
                  <w:tcW w:w="1059" w:type="dxa"/>
                  <w:vAlign w:val="center"/>
                </w:tcPr>
                <w:p>
                  <w:pPr>
                    <w:pStyle w:val="180"/>
                    <w:jc w:val="center"/>
                    <w:rPr>
                      <w:rFonts w:hint="eastAsia" w:ascii="Times New Roman" w:hAnsi="Times New Roman" w:eastAsia="宋体" w:cs="Times New Roman"/>
                      <w:sz w:val="21"/>
                      <w:szCs w:val="21"/>
                      <w:u w:val="none" w:color="auto"/>
                      <w:lang w:val="en-US" w:eastAsia="zh-CN" w:bidi="zh-CN"/>
                    </w:rPr>
                  </w:pPr>
                  <w:r>
                    <w:rPr>
                      <w:rFonts w:hint="eastAsia" w:ascii="Times New Roman" w:hAnsi="Times New Roman" w:eastAsia="宋体" w:cs="Times New Roman"/>
                      <w:sz w:val="21"/>
                      <w:szCs w:val="21"/>
                      <w:u w:val="none" w:color="auto"/>
                      <w:lang w:val="en-US" w:eastAsia="zh-CN" w:bidi="zh-CN"/>
                    </w:rPr>
                    <w:t>据厂界距离（m）</w:t>
                  </w:r>
                </w:p>
              </w:tc>
              <w:tc>
                <w:tcPr>
                  <w:tcW w:w="2023" w:type="dxa"/>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ascii="Times New Roman" w:hAnsi="Times New Roman" w:eastAsia="宋体" w:cs="Times New Roman"/>
                      <w:sz w:val="21"/>
                      <w:szCs w:val="21"/>
                      <w:u w:val="none" w:color="auto"/>
                      <w:lang w:val="en-US" w:eastAsia="zh-CN" w:bidi="zh-CN"/>
                    </w:rPr>
                    <w:t>治理措施</w:t>
                  </w:r>
                </w:p>
              </w:tc>
              <w:tc>
                <w:tcPr>
                  <w:tcW w:w="886" w:type="dxa"/>
                  <w:vAlign w:val="center"/>
                </w:tcPr>
                <w:p>
                  <w:pPr>
                    <w:pStyle w:val="180"/>
                    <w:jc w:val="center"/>
                    <w:rPr>
                      <w:rFonts w:hint="eastAsia" w:ascii="Times New Roman" w:hAnsi="Times New Roman" w:eastAsia="宋体" w:cs="Times New Roman"/>
                      <w:sz w:val="21"/>
                      <w:szCs w:val="21"/>
                      <w:u w:val="none" w:color="auto"/>
                      <w:lang w:val="en-US" w:eastAsia="zh-CN" w:bidi="zh-CN"/>
                    </w:rPr>
                  </w:pPr>
                  <w:r>
                    <w:rPr>
                      <w:rFonts w:hint="eastAsia" w:ascii="Times New Roman" w:hAnsi="Times New Roman" w:eastAsia="宋体" w:cs="Times New Roman"/>
                      <w:sz w:val="21"/>
                      <w:szCs w:val="21"/>
                      <w:u w:val="none" w:color="auto"/>
                      <w:lang w:val="en-US" w:eastAsia="zh-CN" w:bidi="zh-CN"/>
                    </w:rPr>
                    <w:t>治理</w:t>
                  </w:r>
                </w:p>
                <w:p>
                  <w:pPr>
                    <w:pStyle w:val="180"/>
                    <w:jc w:val="center"/>
                    <w:rPr>
                      <w:rFonts w:hint="default" w:ascii="Times New Roman" w:hAnsi="Times New Roman" w:eastAsia="宋体" w:cs="Times New Roman"/>
                      <w:sz w:val="21"/>
                      <w:szCs w:val="21"/>
                      <w:u w:val="none" w:color="auto"/>
                      <w:lang w:val="en-US" w:eastAsia="zh-CN" w:bidi="zh-CN"/>
                    </w:rPr>
                  </w:pPr>
                  <w:r>
                    <w:rPr>
                      <w:rFonts w:hint="eastAsia" w:ascii="Times New Roman" w:hAnsi="Times New Roman" w:eastAsia="宋体" w:cs="Times New Roman"/>
                      <w:sz w:val="21"/>
                      <w:szCs w:val="21"/>
                      <w:u w:val="none" w:color="auto"/>
                      <w:lang w:val="en-US" w:eastAsia="zh-CN" w:bidi="zh-CN"/>
                    </w:rPr>
                    <w:t>效果</w:t>
                  </w:r>
                </w:p>
              </w:tc>
              <w:tc>
                <w:tcPr>
                  <w:tcW w:w="919" w:type="dxa"/>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ascii="Times New Roman" w:hAnsi="Times New Roman" w:eastAsia="宋体" w:cs="Times New Roman"/>
                      <w:sz w:val="21"/>
                      <w:szCs w:val="21"/>
                      <w:u w:val="none" w:color="auto"/>
                      <w:lang w:val="en-US" w:eastAsia="zh-CN" w:bidi="zh-CN"/>
                    </w:rPr>
                    <w:t>治理后源强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38" w:type="dxa"/>
                  <w:vMerge w:val="restart"/>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ascii="Times New Roman" w:hAnsi="Times New Roman" w:eastAsia="宋体" w:cs="Times New Roman"/>
                      <w:sz w:val="21"/>
                      <w:szCs w:val="21"/>
                      <w:u w:val="none" w:color="auto"/>
                      <w:lang w:val="en-US" w:eastAsia="zh-CN" w:bidi="zh-CN"/>
                    </w:rPr>
                    <w:t>精神卫生楼</w:t>
                  </w:r>
                </w:p>
              </w:tc>
              <w:tc>
                <w:tcPr>
                  <w:tcW w:w="1106" w:type="dxa"/>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ascii="Times New Roman" w:hAnsi="Times New Roman" w:eastAsia="宋体" w:cs="Times New Roman"/>
                      <w:sz w:val="21"/>
                      <w:szCs w:val="21"/>
                      <w:u w:val="none" w:color="auto"/>
                      <w:lang w:val="en-US" w:eastAsia="zh-CN" w:bidi="zh-CN"/>
                    </w:rPr>
                    <w:t>空调外机</w:t>
                  </w:r>
                </w:p>
              </w:tc>
              <w:tc>
                <w:tcPr>
                  <w:tcW w:w="955" w:type="dxa"/>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cs="Times New Roman"/>
                      <w:sz w:val="21"/>
                      <w:szCs w:val="21"/>
                      <w:u w:val="none" w:color="auto"/>
                      <w:lang w:val="en-US" w:eastAsia="zh-CN" w:bidi="zh-CN"/>
                    </w:rPr>
                    <w:t>55</w:t>
                  </w:r>
                </w:p>
              </w:tc>
              <w:tc>
                <w:tcPr>
                  <w:tcW w:w="1059" w:type="dxa"/>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ascii="Times New Roman" w:hAnsi="Times New Roman" w:eastAsia="宋体" w:cs="Times New Roman"/>
                      <w:sz w:val="21"/>
                      <w:szCs w:val="21"/>
                      <w:u w:val="none" w:color="auto"/>
                      <w:lang w:val="en-US" w:eastAsia="zh-CN" w:bidi="zh-CN"/>
                    </w:rPr>
                    <w:t>7</w:t>
                  </w:r>
                </w:p>
              </w:tc>
              <w:tc>
                <w:tcPr>
                  <w:tcW w:w="2023" w:type="dxa"/>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ascii="宋体" w:hAnsi="宋体" w:eastAsia="宋体" w:cs="宋体"/>
                      <w:color w:val="000000"/>
                      <w:kern w:val="0"/>
                      <w:sz w:val="21"/>
                      <w:szCs w:val="21"/>
                      <w:u w:val="none" w:color="auto"/>
                      <w:lang w:val="en-US" w:eastAsia="zh-CN" w:bidi="ar"/>
                    </w:rPr>
                    <w:t>低噪设备、</w:t>
                  </w:r>
                  <w:r>
                    <w:rPr>
                      <w:rFonts w:hint="eastAsia" w:ascii="宋体" w:hAnsi="宋体" w:cs="宋体"/>
                      <w:color w:val="000000"/>
                      <w:kern w:val="0"/>
                      <w:sz w:val="21"/>
                      <w:szCs w:val="21"/>
                      <w:u w:val="none" w:color="auto"/>
                      <w:lang w:val="en-US" w:eastAsia="zh-CN" w:bidi="ar"/>
                    </w:rPr>
                    <w:t>控制风速</w:t>
                  </w:r>
                </w:p>
              </w:tc>
              <w:tc>
                <w:tcPr>
                  <w:tcW w:w="886" w:type="dxa"/>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cs="Times New Roman"/>
                      <w:sz w:val="21"/>
                      <w:szCs w:val="21"/>
                      <w:u w:val="none" w:color="auto"/>
                      <w:lang w:val="en-US" w:eastAsia="zh-CN" w:bidi="zh-CN"/>
                    </w:rPr>
                    <w:t>5</w:t>
                  </w:r>
                </w:p>
              </w:tc>
              <w:tc>
                <w:tcPr>
                  <w:tcW w:w="919" w:type="dxa"/>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cs="Times New Roman"/>
                      <w:sz w:val="21"/>
                      <w:szCs w:val="21"/>
                      <w:u w:val="none" w:color="auto"/>
                      <w:lang w:val="en-US" w:eastAsia="zh-CN" w:bidi="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38" w:type="dxa"/>
                  <w:vMerge w:val="continue"/>
                  <w:vAlign w:val="center"/>
                </w:tcPr>
                <w:p>
                  <w:pPr>
                    <w:pStyle w:val="180"/>
                    <w:jc w:val="center"/>
                    <w:rPr>
                      <w:rFonts w:hint="eastAsia" w:ascii="Times New Roman" w:hAnsi="Times New Roman" w:eastAsia="宋体" w:cs="Times New Roman"/>
                      <w:sz w:val="21"/>
                      <w:szCs w:val="21"/>
                      <w:u w:val="none" w:color="auto"/>
                      <w:lang w:val="en-US" w:eastAsia="zh-CN" w:bidi="zh-CN"/>
                    </w:rPr>
                  </w:pPr>
                </w:p>
              </w:tc>
              <w:tc>
                <w:tcPr>
                  <w:tcW w:w="1106" w:type="dxa"/>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cs="Times New Roman"/>
                      <w:sz w:val="21"/>
                      <w:szCs w:val="21"/>
                      <w:u w:val="none" w:color="auto"/>
                      <w:lang w:val="en-US" w:eastAsia="zh-CN" w:bidi="zh-CN"/>
                    </w:rPr>
                    <w:t>配电设备</w:t>
                  </w:r>
                </w:p>
              </w:tc>
              <w:tc>
                <w:tcPr>
                  <w:tcW w:w="955" w:type="dxa"/>
                  <w:vAlign w:val="center"/>
                </w:tcPr>
                <w:p>
                  <w:pPr>
                    <w:pStyle w:val="180"/>
                    <w:jc w:val="center"/>
                    <w:rPr>
                      <w:rFonts w:hint="default" w:cs="Times New Roman"/>
                      <w:sz w:val="21"/>
                      <w:szCs w:val="21"/>
                      <w:u w:val="none" w:color="auto"/>
                      <w:lang w:val="en-US" w:eastAsia="zh-CN" w:bidi="zh-CN"/>
                    </w:rPr>
                  </w:pPr>
                  <w:r>
                    <w:rPr>
                      <w:rFonts w:hint="eastAsia" w:cs="Times New Roman"/>
                      <w:sz w:val="21"/>
                      <w:szCs w:val="21"/>
                      <w:u w:val="none" w:color="auto"/>
                      <w:lang w:val="en-US" w:eastAsia="zh-CN" w:bidi="zh-CN"/>
                    </w:rPr>
                    <w:t>75~80</w:t>
                  </w:r>
                </w:p>
              </w:tc>
              <w:tc>
                <w:tcPr>
                  <w:tcW w:w="1059" w:type="dxa"/>
                  <w:vAlign w:val="center"/>
                </w:tcPr>
                <w:p>
                  <w:pPr>
                    <w:pStyle w:val="180"/>
                    <w:jc w:val="center"/>
                    <w:rPr>
                      <w:rFonts w:hint="default" w:ascii="Times New Roman" w:hAnsi="Times New Roman" w:eastAsia="宋体" w:cs="Times New Roman"/>
                      <w:sz w:val="21"/>
                      <w:szCs w:val="21"/>
                      <w:u w:val="none" w:color="auto"/>
                      <w:lang w:val="en-US" w:eastAsia="zh-CN" w:bidi="zh-CN"/>
                    </w:rPr>
                  </w:pPr>
                  <w:r>
                    <w:rPr>
                      <w:rFonts w:hint="eastAsia" w:cs="Times New Roman"/>
                      <w:sz w:val="21"/>
                      <w:szCs w:val="21"/>
                      <w:u w:val="none" w:color="auto"/>
                      <w:lang w:val="en-US" w:eastAsia="zh-CN" w:bidi="zh-CN"/>
                    </w:rPr>
                    <w:t>10</w:t>
                  </w:r>
                </w:p>
              </w:tc>
              <w:tc>
                <w:tcPr>
                  <w:tcW w:w="2023" w:type="dxa"/>
                  <w:vAlign w:val="center"/>
                </w:tcPr>
                <w:p>
                  <w:pPr>
                    <w:pStyle w:val="180"/>
                    <w:jc w:val="center"/>
                    <w:rPr>
                      <w:rFonts w:hint="default" w:ascii="宋体" w:hAnsi="宋体" w:eastAsia="宋体" w:cs="宋体"/>
                      <w:color w:val="000000"/>
                      <w:kern w:val="0"/>
                      <w:sz w:val="21"/>
                      <w:szCs w:val="21"/>
                      <w:u w:val="none" w:color="auto"/>
                      <w:lang w:val="en-US" w:eastAsia="zh-CN" w:bidi="ar"/>
                    </w:rPr>
                  </w:pPr>
                  <w:r>
                    <w:rPr>
                      <w:rFonts w:hint="eastAsia" w:ascii="宋体" w:hAnsi="宋体" w:cs="宋体"/>
                      <w:color w:val="000000"/>
                      <w:kern w:val="0"/>
                      <w:sz w:val="21"/>
                      <w:szCs w:val="21"/>
                      <w:u w:val="none" w:color="auto"/>
                      <w:lang w:val="en-US" w:eastAsia="zh-CN" w:bidi="ar"/>
                    </w:rPr>
                    <w:t>墙体隔声</w:t>
                  </w:r>
                </w:p>
              </w:tc>
              <w:tc>
                <w:tcPr>
                  <w:tcW w:w="886" w:type="dxa"/>
                  <w:vAlign w:val="center"/>
                </w:tcPr>
                <w:p>
                  <w:pPr>
                    <w:pStyle w:val="180"/>
                    <w:jc w:val="center"/>
                    <w:rPr>
                      <w:rFonts w:hint="default" w:cs="Times New Roman"/>
                      <w:sz w:val="21"/>
                      <w:szCs w:val="21"/>
                      <w:u w:val="none" w:color="auto"/>
                      <w:lang w:val="en-US" w:eastAsia="zh-CN" w:bidi="zh-CN"/>
                    </w:rPr>
                  </w:pPr>
                  <w:r>
                    <w:rPr>
                      <w:rFonts w:hint="eastAsia" w:cs="Times New Roman"/>
                      <w:sz w:val="21"/>
                      <w:szCs w:val="21"/>
                      <w:u w:val="none" w:color="auto"/>
                      <w:lang w:val="en-US" w:eastAsia="zh-CN" w:bidi="zh-CN"/>
                    </w:rPr>
                    <w:t>20</w:t>
                  </w:r>
                </w:p>
              </w:tc>
              <w:tc>
                <w:tcPr>
                  <w:tcW w:w="919" w:type="dxa"/>
                  <w:vAlign w:val="center"/>
                </w:tcPr>
                <w:p>
                  <w:pPr>
                    <w:pStyle w:val="180"/>
                    <w:jc w:val="center"/>
                    <w:rPr>
                      <w:rFonts w:hint="default" w:cs="Times New Roman"/>
                      <w:sz w:val="21"/>
                      <w:szCs w:val="21"/>
                      <w:u w:val="none" w:color="auto"/>
                      <w:lang w:val="en-US" w:eastAsia="zh-CN" w:bidi="zh-CN"/>
                    </w:rPr>
                  </w:pPr>
                  <w:r>
                    <w:rPr>
                      <w:rFonts w:hint="eastAsia" w:cs="Times New Roman"/>
                      <w:sz w:val="21"/>
                      <w:szCs w:val="21"/>
                      <w:u w:val="none" w:color="auto"/>
                      <w:lang w:val="en-US" w:eastAsia="zh-CN" w:bidi="zh-CN"/>
                    </w:rPr>
                    <w:t>60</w:t>
                  </w:r>
                </w:p>
              </w:tc>
            </w:tr>
          </w:tbl>
          <w:p>
            <w:pPr>
              <w:widowControl w:val="0"/>
              <w:tabs>
                <w:tab w:val="left" w:pos="3794"/>
              </w:tabs>
              <w:spacing w:line="360" w:lineRule="auto"/>
              <w:contextualSpacing/>
              <w:jc w:val="both"/>
              <w:rPr>
                <w:rFonts w:hint="default" w:ascii="Times New Roman" w:hAnsi="Times New Roman" w:eastAsia="宋体" w:cs="Times New Roman"/>
                <w:b/>
                <w:bCs/>
                <w:color w:val="000000"/>
                <w:kern w:val="2"/>
                <w:sz w:val="24"/>
                <w:szCs w:val="20"/>
                <w:u w:val="none" w:color="auto"/>
                <w:lang w:val="en-US" w:eastAsia="zh-CN" w:bidi="ar-SA"/>
              </w:rPr>
            </w:pPr>
            <w:r>
              <w:rPr>
                <w:rFonts w:hint="eastAsia" w:ascii="Times New Roman" w:hAnsi="Times New Roman" w:eastAsia="宋体" w:cs="Times New Roman"/>
                <w:b/>
                <w:bCs/>
                <w:color w:val="000000"/>
                <w:kern w:val="2"/>
                <w:sz w:val="24"/>
                <w:szCs w:val="20"/>
                <w:u w:val="none" w:color="auto"/>
                <w:lang w:val="en-US" w:eastAsia="zh-CN" w:bidi="ar-SA"/>
              </w:rPr>
              <w:t>3</w:t>
            </w:r>
            <w:r>
              <w:rPr>
                <w:rFonts w:ascii="Times New Roman" w:hAnsi="Times New Roman" w:eastAsia="宋体" w:cs="Times New Roman"/>
                <w:b/>
                <w:bCs/>
                <w:color w:val="000000"/>
                <w:kern w:val="2"/>
                <w:sz w:val="24"/>
                <w:szCs w:val="20"/>
                <w:u w:val="none" w:color="auto"/>
                <w:lang w:val="en-US" w:eastAsia="zh-CN" w:bidi="ar-SA"/>
              </w:rPr>
              <w:t>.</w:t>
            </w:r>
            <w:r>
              <w:rPr>
                <w:rFonts w:hint="eastAsia" w:ascii="Times New Roman" w:hAnsi="Times New Roman" w:eastAsia="宋体" w:cs="Times New Roman"/>
                <w:b/>
                <w:bCs/>
                <w:color w:val="000000"/>
                <w:kern w:val="2"/>
                <w:sz w:val="24"/>
                <w:szCs w:val="20"/>
                <w:u w:val="none" w:color="auto"/>
                <w:lang w:val="en-US" w:eastAsia="zh-CN" w:bidi="ar-SA"/>
              </w:rPr>
              <w:t>2项目噪声环境影响分析</w:t>
            </w:r>
          </w:p>
          <w:p>
            <w:pPr>
              <w:widowControl w:val="0"/>
              <w:wordWrap w:val="0"/>
              <w:topLinePunct/>
              <w:spacing w:line="360" w:lineRule="auto"/>
              <w:ind w:firstLine="480" w:firstLineChars="200"/>
              <w:jc w:val="both"/>
              <w:rPr>
                <w:rFonts w:hint="default" w:ascii="Times New Roman" w:hAnsi="Times New Roman" w:eastAsia="宋体" w:cs="Times New Roman"/>
                <w:color w:val="auto"/>
                <w:u w:val="none" w:color="auto"/>
                <w:lang w:val="en-US" w:bidi="zh-CN"/>
              </w:rPr>
            </w:pPr>
            <w:r>
              <w:rPr>
                <w:rFonts w:hint="eastAsia" w:cs="Times New Roman"/>
                <w:color w:val="auto"/>
                <w:u w:val="none" w:color="auto"/>
                <w:lang w:val="en-US" w:bidi="zh-CN"/>
              </w:rPr>
              <w:t>（1）</w:t>
            </w:r>
            <w:r>
              <w:rPr>
                <w:rFonts w:hint="eastAsia" w:ascii="Times New Roman" w:hAnsi="Times New Roman" w:eastAsia="宋体" w:cs="Times New Roman"/>
                <w:color w:val="auto"/>
                <w:u w:val="none" w:color="auto"/>
                <w:lang w:val="en-US" w:bidi="zh-CN"/>
              </w:rPr>
              <w:t>厂界</w:t>
            </w:r>
            <w:r>
              <w:rPr>
                <w:rFonts w:hint="default" w:ascii="Times New Roman" w:hAnsi="Times New Roman" w:eastAsia="宋体" w:cs="Times New Roman"/>
                <w:color w:val="auto"/>
                <w:u w:val="none" w:color="auto"/>
                <w:lang w:val="en-US" w:bidi="zh-CN"/>
              </w:rPr>
              <w:t>噪声</w:t>
            </w:r>
            <w:r>
              <w:rPr>
                <w:rFonts w:hint="eastAsia" w:ascii="Times New Roman" w:hAnsi="Times New Roman" w:eastAsia="宋体" w:cs="Times New Roman"/>
                <w:color w:val="auto"/>
                <w:u w:val="none" w:color="auto"/>
                <w:lang w:val="en-US" w:bidi="zh-CN"/>
              </w:rPr>
              <w:t>预测模式</w:t>
            </w:r>
          </w:p>
          <w:p>
            <w:pPr>
              <w:keepNext w:val="0"/>
              <w:keepLines w:val="0"/>
              <w:pageBreakBefore w:val="0"/>
              <w:widowControl w:val="0"/>
              <w:kinsoku/>
              <w:wordWrap w:val="0"/>
              <w:overflowPunct/>
              <w:topLinePunct/>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u w:val="none" w:color="auto"/>
                <w:lang w:val="en-US" w:eastAsia="zh-CN" w:bidi="zh-CN"/>
              </w:rPr>
            </w:pPr>
            <w:r>
              <w:rPr>
                <w:rFonts w:hint="default" w:ascii="Times New Roman" w:hAnsi="Times New Roman" w:eastAsia="宋体" w:cs="Times New Roman"/>
                <w:u w:val="none" w:color="auto"/>
                <w:lang w:val="en-US" w:eastAsia="zh-CN" w:bidi="zh-CN"/>
              </w:rPr>
              <w:t>根据项目噪声源分布及源强参数，采用模式计算，预测厂界的噪声级。预测模式采用《环境影响评价技术导则声环境》（HJ2.4－2021）所推荐的模式进行预测计算。预测模式如下：</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fldChar w:fldCharType="begin"/>
            </w:r>
            <w:r>
              <w:rPr>
                <w:rFonts w:hint="eastAsia" w:ascii="Times New Roman" w:hAnsi="Times New Roman" w:eastAsia="宋体" w:cs="Times New Roman"/>
                <w:color w:val="auto"/>
                <w:sz w:val="24"/>
                <w:szCs w:val="24"/>
                <w:u w:val="none" w:color="auto"/>
                <w:lang w:val="en-US" w:eastAsia="zh-CN"/>
              </w:rPr>
              <w:instrText xml:space="preserve"> = 1 \* GB3 \* MERGEFORMAT </w:instrText>
            </w:r>
            <w:r>
              <w:rPr>
                <w:rFonts w:hint="eastAsia" w:ascii="Times New Roman" w:hAnsi="Times New Roman" w:eastAsia="宋体" w:cs="Times New Roman"/>
                <w:color w:val="auto"/>
                <w:sz w:val="24"/>
                <w:szCs w:val="24"/>
                <w:u w:val="none" w:color="auto"/>
                <w:lang w:val="en-US" w:eastAsia="zh-CN"/>
              </w:rPr>
              <w:fldChar w:fldCharType="separate"/>
            </w:r>
            <w:r>
              <w:rPr>
                <w:u w:val="none" w:color="auto"/>
              </w:rPr>
              <w:t>①</w:t>
            </w:r>
            <w:r>
              <w:rPr>
                <w:rFonts w:hint="eastAsia" w:ascii="Times New Roman" w:hAnsi="Times New Roman" w:eastAsia="宋体" w:cs="Times New Roman"/>
                <w:color w:val="auto"/>
                <w:sz w:val="24"/>
                <w:szCs w:val="24"/>
                <w:u w:val="none" w:color="auto"/>
                <w:lang w:val="en-US" w:eastAsia="zh-CN"/>
              </w:rPr>
              <w:fldChar w:fldCharType="end"/>
            </w:r>
            <w:r>
              <w:rPr>
                <w:rFonts w:hint="eastAsia" w:ascii="Times New Roman" w:hAnsi="Times New Roman" w:eastAsia="宋体" w:cs="Times New Roman"/>
                <w:color w:val="auto"/>
                <w:sz w:val="24"/>
                <w:szCs w:val="24"/>
                <w:u w:val="none" w:color="auto"/>
                <w:lang w:val="en-US" w:eastAsia="zh-CN"/>
              </w:rPr>
              <w:t>室外点声源</w:t>
            </w:r>
            <w:r>
              <w:rPr>
                <w:rFonts w:hint="default" w:ascii="Times New Roman" w:hAnsi="Times New Roman" w:eastAsia="宋体" w:cs="Times New Roman"/>
                <w:color w:val="auto"/>
                <w:sz w:val="24"/>
                <w:szCs w:val="24"/>
                <w:u w:val="none" w:color="auto"/>
                <w:lang w:val="en-US" w:eastAsia="zh-CN"/>
              </w:rPr>
              <w:t>在预测点产生的声级计算公式：</w:t>
            </w:r>
          </w:p>
          <w:p>
            <w:pPr>
              <w:keepNext w:val="0"/>
              <w:keepLines w:val="0"/>
              <w:pageBreakBefore w:val="0"/>
              <w:kinsoku/>
              <w:overflowPunct/>
              <w:autoSpaceDE/>
              <w:autoSpaceDN/>
              <w:bidi w:val="0"/>
              <w:adjustRightInd/>
              <w:snapToGrid/>
              <w:spacing w:line="360" w:lineRule="auto"/>
              <w:ind w:leftChars="0" w:firstLine="480" w:firstLineChars="200"/>
              <w:jc w:val="center"/>
              <w:textAlignment w:val="auto"/>
              <w:rPr>
                <w:rFonts w:hint="default"/>
                <w:sz w:val="24"/>
                <w:szCs w:val="24"/>
                <w:u w:val="none" w:color="auto"/>
                <w:lang w:val="en-US" w:eastAsia="zh-CN"/>
              </w:rPr>
            </w:pPr>
            <w:r>
              <w:rPr>
                <w:rFonts w:hint="default"/>
                <w:position w:val="-14"/>
                <w:sz w:val="24"/>
                <w:szCs w:val="24"/>
                <w:u w:val="none" w:color="auto"/>
                <w:lang w:val="en-US" w:eastAsia="zh-CN"/>
              </w:rPr>
              <w:object>
                <v:shape id="_x0000_i1025" o:spt="75" type="#_x0000_t75" style="height:19pt;width:233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5" r:id="rId18">
                  <o:LockedField>false</o:LockedField>
                </o:OLEObject>
              </w:objec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sz w:val="24"/>
                <w:szCs w:val="24"/>
                <w:u w:val="none" w:color="auto"/>
                <w:lang w:val="en-US" w:eastAsia="zh-CN"/>
              </w:rPr>
            </w:pPr>
            <w:r>
              <w:rPr>
                <w:rFonts w:hint="eastAsia"/>
                <w:sz w:val="24"/>
                <w:szCs w:val="24"/>
                <w:u w:val="none" w:color="auto"/>
                <w:lang w:val="en-US" w:eastAsia="zh-CN"/>
              </w:rPr>
              <w:t>式中：</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sz w:val="24"/>
                <w:szCs w:val="24"/>
                <w:u w:val="none" w:color="auto"/>
                <w:lang w:val="en-US" w:eastAsia="zh-CN"/>
              </w:rPr>
            </w:pPr>
            <w:r>
              <w:rPr>
                <w:rFonts w:hint="eastAsia"/>
                <w:sz w:val="24"/>
                <w:szCs w:val="24"/>
                <w:u w:val="none" w:color="auto"/>
                <w:lang w:val="en-US" w:eastAsia="zh-CN"/>
              </w:rPr>
              <w:t>L</w:t>
            </w:r>
            <w:r>
              <w:rPr>
                <w:rFonts w:hint="eastAsia"/>
                <w:sz w:val="24"/>
                <w:szCs w:val="24"/>
                <w:u w:val="none" w:color="auto"/>
                <w:vertAlign w:val="subscript"/>
                <w:lang w:val="en-US" w:eastAsia="zh-CN"/>
              </w:rPr>
              <w:t>p</w:t>
            </w:r>
            <w:r>
              <w:rPr>
                <w:rFonts w:hint="eastAsia"/>
                <w:sz w:val="24"/>
                <w:szCs w:val="24"/>
                <w:u w:val="none" w:color="auto"/>
                <w:lang w:val="en-US" w:eastAsia="zh-CN"/>
              </w:rPr>
              <w:t>（r）</w:t>
            </w:r>
            <w:r>
              <w:rPr>
                <w:rFonts w:hint="default" w:ascii="Times New Roman" w:hAnsi="Times New Roman" w:cs="Times New Roman"/>
                <w:sz w:val="24"/>
                <w:szCs w:val="24"/>
                <w:u w:val="none" w:color="auto"/>
                <w:lang w:val="en-US" w:eastAsia="zh-CN"/>
              </w:rPr>
              <w:t>——</w:t>
            </w:r>
            <w:r>
              <w:rPr>
                <w:rFonts w:hint="eastAsia"/>
                <w:sz w:val="24"/>
                <w:szCs w:val="24"/>
                <w:u w:val="none" w:color="auto"/>
                <w:lang w:val="en-US" w:eastAsia="zh-CN"/>
              </w:rPr>
              <w:t>预测点处声压级，dB；</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sz w:val="24"/>
                <w:szCs w:val="24"/>
                <w:u w:val="none" w:color="auto"/>
                <w:lang w:val="en-US" w:eastAsia="zh-CN"/>
              </w:rPr>
            </w:pPr>
            <w:r>
              <w:rPr>
                <w:rFonts w:hint="eastAsia"/>
                <w:sz w:val="24"/>
                <w:szCs w:val="24"/>
                <w:u w:val="none" w:color="auto"/>
                <w:lang w:val="en-US" w:eastAsia="zh-CN"/>
              </w:rPr>
              <w:t>L</w:t>
            </w:r>
            <w:r>
              <w:rPr>
                <w:rFonts w:hint="eastAsia"/>
                <w:sz w:val="24"/>
                <w:szCs w:val="24"/>
                <w:u w:val="none" w:color="auto"/>
                <w:vertAlign w:val="subscript"/>
                <w:lang w:val="en-US" w:eastAsia="zh-CN"/>
              </w:rPr>
              <w:t>w</w:t>
            </w:r>
            <w:r>
              <w:rPr>
                <w:rFonts w:hint="default" w:ascii="Times New Roman" w:hAnsi="Times New Roman" w:cs="Times New Roman"/>
                <w:sz w:val="24"/>
                <w:szCs w:val="24"/>
                <w:u w:val="none" w:color="auto"/>
                <w:lang w:val="en-US" w:eastAsia="zh-CN"/>
              </w:rPr>
              <w:t>——</w:t>
            </w:r>
            <w:r>
              <w:rPr>
                <w:rFonts w:hint="eastAsia"/>
                <w:sz w:val="24"/>
                <w:szCs w:val="24"/>
                <w:u w:val="none" w:color="auto"/>
                <w:lang w:val="en-US" w:eastAsia="zh-CN"/>
              </w:rPr>
              <w:t>由点声源产生的升功率级（A计权或倍频带），dB；</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sz w:val="24"/>
                <w:szCs w:val="24"/>
                <w:u w:val="none" w:color="auto"/>
                <w:lang w:val="en-US" w:eastAsia="zh-CN"/>
              </w:rPr>
            </w:pPr>
            <w:r>
              <w:rPr>
                <w:rFonts w:hint="eastAsia"/>
                <w:sz w:val="24"/>
                <w:szCs w:val="24"/>
                <w:u w:val="none" w:color="auto"/>
                <w:lang w:val="en-US" w:eastAsia="zh-CN"/>
              </w:rPr>
              <w:t>D</w:t>
            </w:r>
            <w:r>
              <w:rPr>
                <w:rFonts w:hint="eastAsia"/>
                <w:sz w:val="24"/>
                <w:szCs w:val="24"/>
                <w:u w:val="none" w:color="auto"/>
                <w:vertAlign w:val="subscript"/>
                <w:lang w:val="en-US" w:eastAsia="zh-CN"/>
              </w:rPr>
              <w:t>C</w:t>
            </w:r>
            <w:r>
              <w:rPr>
                <w:rFonts w:hint="default" w:ascii="Times New Roman" w:hAnsi="Times New Roman" w:cs="Times New Roman"/>
                <w:sz w:val="24"/>
                <w:szCs w:val="24"/>
                <w:u w:val="none" w:color="auto"/>
                <w:lang w:val="en-US" w:eastAsia="zh-CN"/>
              </w:rPr>
              <w:t>——</w:t>
            </w:r>
            <w:r>
              <w:rPr>
                <w:rFonts w:hint="eastAsia"/>
                <w:sz w:val="24"/>
                <w:szCs w:val="24"/>
                <w:u w:val="none" w:color="auto"/>
                <w:lang w:val="en-US" w:eastAsia="zh-CN"/>
              </w:rPr>
              <w:t>指向性校正，它描述点声源的等效连续声压级与产生升功率级Lw的全向点声源在规定方向的声级的偏差程度，dB；</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sz w:val="24"/>
                <w:szCs w:val="24"/>
                <w:u w:val="none" w:color="auto"/>
                <w:lang w:val="en-US" w:eastAsia="zh-CN"/>
              </w:rPr>
            </w:pPr>
            <w:r>
              <w:rPr>
                <w:rFonts w:hint="eastAsia"/>
                <w:sz w:val="24"/>
                <w:szCs w:val="24"/>
                <w:u w:val="none" w:color="auto"/>
                <w:lang w:val="en-US" w:eastAsia="zh-CN"/>
              </w:rPr>
              <w:t>A</w:t>
            </w:r>
            <w:r>
              <w:rPr>
                <w:rFonts w:hint="eastAsia"/>
                <w:sz w:val="24"/>
                <w:szCs w:val="24"/>
                <w:u w:val="none" w:color="auto"/>
                <w:vertAlign w:val="subscript"/>
                <w:lang w:val="en-US" w:eastAsia="zh-CN"/>
              </w:rPr>
              <w:t>div</w:t>
            </w:r>
            <w:r>
              <w:rPr>
                <w:rFonts w:hint="eastAsia"/>
                <w:sz w:val="24"/>
                <w:szCs w:val="24"/>
                <w:u w:val="none" w:color="auto"/>
                <w:lang w:val="en-US" w:eastAsia="zh-CN"/>
              </w:rPr>
              <w:t>——几何发散引起的衰减，dB；</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sz w:val="24"/>
                <w:szCs w:val="24"/>
                <w:u w:val="none" w:color="auto"/>
                <w:lang w:val="en-US" w:eastAsia="zh-CN"/>
              </w:rPr>
            </w:pPr>
            <w:r>
              <w:rPr>
                <w:rFonts w:hint="eastAsia"/>
                <w:sz w:val="24"/>
                <w:szCs w:val="24"/>
                <w:u w:val="none" w:color="auto"/>
                <w:lang w:val="en-US" w:eastAsia="zh-CN"/>
              </w:rPr>
              <w:t>A</w:t>
            </w:r>
            <w:r>
              <w:rPr>
                <w:rFonts w:hint="eastAsia"/>
                <w:sz w:val="24"/>
                <w:szCs w:val="24"/>
                <w:u w:val="none" w:color="auto"/>
                <w:vertAlign w:val="subscript"/>
                <w:lang w:val="en-US" w:eastAsia="zh-CN"/>
              </w:rPr>
              <w:t>atm</w:t>
            </w:r>
            <w:r>
              <w:rPr>
                <w:rFonts w:hint="eastAsia"/>
                <w:sz w:val="24"/>
                <w:szCs w:val="24"/>
                <w:u w:val="none" w:color="auto"/>
                <w:lang w:val="en-US" w:eastAsia="zh-CN"/>
              </w:rPr>
              <w:t>——大气吸收引起的衰减，dB；</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sz w:val="24"/>
                <w:szCs w:val="24"/>
                <w:u w:val="none" w:color="auto"/>
                <w:lang w:val="en-US" w:eastAsia="zh-CN"/>
              </w:rPr>
            </w:pPr>
            <w:r>
              <w:rPr>
                <w:rFonts w:hint="eastAsia"/>
                <w:sz w:val="24"/>
                <w:szCs w:val="24"/>
                <w:u w:val="none" w:color="auto"/>
                <w:lang w:val="en-US" w:eastAsia="zh-CN"/>
              </w:rPr>
              <w:t>A</w:t>
            </w:r>
            <w:r>
              <w:rPr>
                <w:rFonts w:hint="eastAsia"/>
                <w:sz w:val="24"/>
                <w:szCs w:val="24"/>
                <w:u w:val="none" w:color="auto"/>
                <w:vertAlign w:val="subscript"/>
                <w:lang w:val="en-US" w:eastAsia="zh-CN"/>
              </w:rPr>
              <w:t>gr</w:t>
            </w:r>
            <w:r>
              <w:rPr>
                <w:rFonts w:hint="eastAsia"/>
                <w:sz w:val="24"/>
                <w:szCs w:val="24"/>
                <w:u w:val="none" w:color="auto"/>
                <w:lang w:val="en-US" w:eastAsia="zh-CN"/>
              </w:rPr>
              <w:t>——地面效应引起的衰减，dB；</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sz w:val="24"/>
                <w:szCs w:val="24"/>
                <w:u w:val="none" w:color="auto"/>
                <w:lang w:val="en-US" w:eastAsia="zh-CN"/>
              </w:rPr>
            </w:pPr>
            <w:r>
              <w:rPr>
                <w:rFonts w:hint="eastAsia"/>
                <w:sz w:val="24"/>
                <w:szCs w:val="24"/>
                <w:u w:val="none" w:color="auto"/>
                <w:lang w:val="en-US" w:eastAsia="zh-CN"/>
              </w:rPr>
              <w:t>A</w:t>
            </w:r>
            <w:r>
              <w:rPr>
                <w:rFonts w:hint="eastAsia"/>
                <w:sz w:val="24"/>
                <w:szCs w:val="24"/>
                <w:u w:val="none" w:color="auto"/>
                <w:vertAlign w:val="subscript"/>
                <w:lang w:val="en-US" w:eastAsia="zh-CN"/>
              </w:rPr>
              <w:t>bar</w:t>
            </w:r>
            <w:r>
              <w:rPr>
                <w:rFonts w:hint="eastAsia"/>
                <w:sz w:val="24"/>
                <w:szCs w:val="24"/>
                <w:u w:val="none" w:color="auto"/>
                <w:lang w:val="en-US" w:eastAsia="zh-CN"/>
              </w:rPr>
              <w:t>——障碍物屏蔽引起的衰减，dB；</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default"/>
                <w:sz w:val="24"/>
                <w:szCs w:val="24"/>
                <w:u w:val="none" w:color="auto"/>
                <w:lang w:val="en-US" w:eastAsia="zh-CN"/>
              </w:rPr>
            </w:pPr>
            <w:r>
              <w:rPr>
                <w:rFonts w:hint="eastAsia"/>
                <w:sz w:val="24"/>
                <w:szCs w:val="24"/>
                <w:u w:val="none" w:color="auto"/>
                <w:lang w:val="en-US" w:eastAsia="zh-CN"/>
              </w:rPr>
              <w:t>A</w:t>
            </w:r>
            <w:r>
              <w:rPr>
                <w:rFonts w:hint="eastAsia"/>
                <w:sz w:val="24"/>
                <w:szCs w:val="24"/>
                <w:u w:val="none" w:color="auto"/>
                <w:vertAlign w:val="subscript"/>
                <w:lang w:val="en-US" w:eastAsia="zh-CN"/>
              </w:rPr>
              <w:t>misc</w:t>
            </w:r>
            <w:r>
              <w:rPr>
                <w:rFonts w:hint="eastAsia"/>
                <w:sz w:val="24"/>
                <w:szCs w:val="24"/>
                <w:u w:val="none" w:color="auto"/>
                <w:lang w:val="en-US" w:eastAsia="zh-CN"/>
              </w:rPr>
              <w:t>——其他多方面效应引起的衰减。</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jc w:val="both"/>
              <w:textAlignment w:val="auto"/>
              <w:rPr>
                <w:rFonts w:hint="default"/>
                <w:sz w:val="24"/>
                <w:szCs w:val="24"/>
                <w:u w:val="none" w:color="auto"/>
              </w:rPr>
            </w:pPr>
            <w:r>
              <w:rPr>
                <w:rFonts w:hint="default"/>
                <w:sz w:val="24"/>
                <w:szCs w:val="24"/>
                <w:u w:val="none" w:color="auto"/>
              </w:rPr>
              <w:fldChar w:fldCharType="begin"/>
            </w:r>
            <w:r>
              <w:rPr>
                <w:rFonts w:hint="default"/>
                <w:sz w:val="24"/>
                <w:szCs w:val="24"/>
                <w:u w:val="none" w:color="auto"/>
              </w:rPr>
              <w:instrText xml:space="preserve"> = 2 \* GB3 \* MERGEFORMAT </w:instrText>
            </w:r>
            <w:r>
              <w:rPr>
                <w:rFonts w:hint="default"/>
                <w:sz w:val="24"/>
                <w:szCs w:val="24"/>
                <w:u w:val="none" w:color="auto"/>
              </w:rPr>
              <w:fldChar w:fldCharType="separate"/>
            </w:r>
            <w:r>
              <w:rPr>
                <w:u w:val="none" w:color="auto"/>
              </w:rPr>
              <w:t>②</w:t>
            </w:r>
            <w:r>
              <w:rPr>
                <w:rFonts w:hint="default"/>
                <w:sz w:val="24"/>
                <w:szCs w:val="24"/>
                <w:u w:val="none" w:color="auto"/>
              </w:rPr>
              <w:fldChar w:fldCharType="end"/>
            </w:r>
            <w:r>
              <w:rPr>
                <w:rFonts w:hint="default"/>
                <w:sz w:val="24"/>
                <w:szCs w:val="24"/>
                <w:u w:val="none" w:color="auto"/>
              </w:rPr>
              <w:t>计算某个室内声源靠近围护结构处产生的倍频带声压级：</w:t>
            </w:r>
          </w:p>
          <w:p>
            <w:pPr>
              <w:keepNext w:val="0"/>
              <w:keepLines w:val="0"/>
              <w:pageBreakBefore w:val="0"/>
              <w:widowControl/>
              <w:suppressLineNumbers w:val="0"/>
              <w:kinsoku/>
              <w:overflowPunct/>
              <w:autoSpaceDE/>
              <w:autoSpaceDN/>
              <w:bidi w:val="0"/>
              <w:adjustRightInd/>
              <w:snapToGrid/>
              <w:ind w:leftChars="0"/>
              <w:jc w:val="center"/>
              <w:textAlignment w:val="auto"/>
              <w:rPr>
                <w:rFonts w:hint="default" w:ascii="Times New Roman" w:hAnsi="Times New Roman" w:eastAsia="宋体" w:cs="Times New Roman"/>
                <w:snapToGrid w:val="0"/>
                <w:color w:val="auto"/>
                <w:sz w:val="24"/>
                <w:szCs w:val="24"/>
                <w:u w:val="none" w:color="auto"/>
                <w:lang w:val="en-US" w:eastAsia="zh-CN" w:bidi="ar-SA"/>
              </w:rPr>
            </w:pPr>
            <w:r>
              <w:rPr>
                <w:rFonts w:hint="default" w:ascii="Times New Roman" w:hAnsi="Times New Roman" w:eastAsia="宋体" w:cs="Times New Roman"/>
                <w:color w:val="auto"/>
                <w:position w:val="-36"/>
                <w:u w:val="none" w:color="auto"/>
              </w:rPr>
              <w:object>
                <v:shape id="_x0000_i1026" o:spt="75" type="#_x0000_t75" style="height:39.8pt;width:135.7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sz w:val="24"/>
                <w:szCs w:val="24"/>
                <w:u w:val="none" w:color="auto"/>
                <w:lang w:val="en-US" w:eastAsia="zh-CN"/>
              </w:rPr>
            </w:pPr>
            <w:r>
              <w:rPr>
                <w:rFonts w:hint="eastAsia"/>
                <w:sz w:val="24"/>
                <w:szCs w:val="24"/>
                <w:u w:val="none" w:color="auto"/>
                <w:lang w:val="en-US" w:eastAsia="zh-CN"/>
              </w:rPr>
              <w:t>式中：</w:t>
            </w:r>
          </w:p>
          <w:p>
            <w:pPr>
              <w:keepNext w:val="0"/>
              <w:keepLines w:val="0"/>
              <w:pageBreakBefore w:val="0"/>
              <w:kinsoku/>
              <w:overflowPunct/>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Lp1——</w:t>
            </w:r>
            <w:r>
              <w:rPr>
                <w:rFonts w:hint="eastAsia" w:ascii="Times New Roman" w:hAnsi="Times New Roman" w:eastAsia="宋体" w:cs="Times New Roman"/>
                <w:sz w:val="24"/>
                <w:szCs w:val="24"/>
                <w:u w:val="none" w:color="auto"/>
                <w:lang w:val="en-US" w:eastAsia="zh-CN"/>
              </w:rPr>
              <w:t>靠近开口处（或窗户）室内某倍频带的声压级或</w:t>
            </w:r>
            <w:r>
              <w:rPr>
                <w:rFonts w:hint="default" w:ascii="Times New Roman" w:hAnsi="Times New Roman" w:eastAsia="宋体" w:cs="Times New Roman"/>
                <w:sz w:val="24"/>
                <w:szCs w:val="24"/>
                <w:u w:val="none" w:color="auto"/>
                <w:lang w:val="en-US" w:eastAsia="zh-CN"/>
              </w:rPr>
              <w:t>A</w:t>
            </w:r>
            <w:r>
              <w:rPr>
                <w:rFonts w:hint="eastAsia" w:ascii="Times New Roman" w:hAnsi="Times New Roman" w:eastAsia="宋体" w:cs="Times New Roman"/>
                <w:sz w:val="24"/>
                <w:szCs w:val="24"/>
                <w:u w:val="none" w:color="auto"/>
                <w:lang w:val="en-US" w:eastAsia="zh-CN"/>
              </w:rPr>
              <w:t>声级，</w:t>
            </w:r>
            <w:r>
              <w:rPr>
                <w:rFonts w:hint="default" w:ascii="Times New Roman" w:hAnsi="Times New Roman" w:eastAsia="宋体" w:cs="Times New Roman"/>
                <w:sz w:val="24"/>
                <w:szCs w:val="24"/>
                <w:u w:val="none" w:color="auto"/>
                <w:lang w:val="en-US" w:eastAsia="zh-CN"/>
              </w:rPr>
              <w:t>dB</w:t>
            </w:r>
            <w:r>
              <w:rPr>
                <w:rFonts w:hint="eastAsia" w:ascii="Times New Roman" w:hAnsi="Times New Roman" w:eastAsia="宋体" w:cs="Times New Roman"/>
                <w:sz w:val="24"/>
                <w:szCs w:val="24"/>
                <w:u w:val="none" w:color="auto"/>
                <w:lang w:val="en-US" w:eastAsia="zh-CN"/>
              </w:rPr>
              <w:t>；</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Lw——</w:t>
            </w:r>
            <w:r>
              <w:rPr>
                <w:rFonts w:hint="eastAsia" w:ascii="Times New Roman" w:hAnsi="Times New Roman" w:eastAsia="宋体" w:cs="Times New Roman"/>
                <w:sz w:val="24"/>
                <w:szCs w:val="24"/>
                <w:u w:val="none" w:color="auto"/>
                <w:lang w:val="en-US" w:eastAsia="zh-CN"/>
              </w:rPr>
              <w:t>点声源声功率级（</w:t>
            </w:r>
            <w:r>
              <w:rPr>
                <w:rFonts w:hint="default" w:ascii="Times New Roman" w:hAnsi="Times New Roman" w:eastAsia="宋体" w:cs="Times New Roman"/>
                <w:sz w:val="24"/>
                <w:szCs w:val="24"/>
                <w:u w:val="none" w:color="auto"/>
                <w:lang w:val="en-US" w:eastAsia="zh-CN"/>
              </w:rPr>
              <w:t>A</w:t>
            </w:r>
            <w:r>
              <w:rPr>
                <w:rFonts w:hint="eastAsia" w:ascii="Times New Roman" w:hAnsi="Times New Roman" w:eastAsia="宋体" w:cs="Times New Roman"/>
                <w:sz w:val="24"/>
                <w:szCs w:val="24"/>
                <w:u w:val="none" w:color="auto"/>
                <w:lang w:val="en-US" w:eastAsia="zh-CN"/>
              </w:rPr>
              <w:t>计权或倍频带），</w:t>
            </w:r>
            <w:r>
              <w:rPr>
                <w:rFonts w:hint="default" w:ascii="Times New Roman" w:hAnsi="Times New Roman" w:eastAsia="宋体" w:cs="Times New Roman"/>
                <w:sz w:val="24"/>
                <w:szCs w:val="24"/>
                <w:u w:val="none" w:color="auto"/>
                <w:lang w:val="en-US" w:eastAsia="zh-CN"/>
              </w:rPr>
              <w:t>dB</w:t>
            </w:r>
            <w:r>
              <w:rPr>
                <w:rFonts w:hint="eastAsia" w:ascii="Times New Roman" w:hAnsi="Times New Roman" w:eastAsia="宋体" w:cs="Times New Roman"/>
                <w:sz w:val="24"/>
                <w:szCs w:val="24"/>
                <w:u w:val="none" w:color="auto"/>
                <w:lang w:val="en-US" w:eastAsia="zh-CN"/>
              </w:rPr>
              <w:t>；</w:t>
            </w:r>
          </w:p>
          <w:p>
            <w:pPr>
              <w:keepNext w:val="0"/>
              <w:keepLines w:val="0"/>
              <w:pageBreakBefore w:val="0"/>
              <w:kinsoku/>
              <w:overflowPunct/>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Q——</w:t>
            </w:r>
            <w:r>
              <w:rPr>
                <w:rFonts w:hint="eastAsia" w:ascii="Times New Roman" w:hAnsi="Times New Roman" w:eastAsia="宋体" w:cs="Times New Roman"/>
                <w:sz w:val="24"/>
                <w:szCs w:val="24"/>
                <w:u w:val="none" w:color="auto"/>
                <w:lang w:val="en-US" w:eastAsia="zh-CN"/>
              </w:rPr>
              <w:t>指向性因数；通常对无指向性声源，当声源放在房间中心时，</w:t>
            </w:r>
            <w:r>
              <w:rPr>
                <w:rFonts w:hint="default" w:ascii="Times New Roman" w:hAnsi="Times New Roman" w:eastAsia="宋体" w:cs="Times New Roman"/>
                <w:sz w:val="24"/>
                <w:szCs w:val="24"/>
                <w:u w:val="none" w:color="auto"/>
                <w:lang w:val="en-US" w:eastAsia="zh-CN"/>
              </w:rPr>
              <w:t>Q=1</w:t>
            </w:r>
            <w:r>
              <w:rPr>
                <w:rFonts w:hint="eastAsia" w:ascii="Times New Roman" w:hAnsi="Times New Roman" w:eastAsia="宋体" w:cs="Times New Roman"/>
                <w:sz w:val="24"/>
                <w:szCs w:val="24"/>
                <w:u w:val="none" w:color="auto"/>
                <w:lang w:val="en-US" w:eastAsia="zh-CN"/>
              </w:rPr>
              <w:t>；当放在一面墙的中心时，</w:t>
            </w:r>
            <w:r>
              <w:rPr>
                <w:rFonts w:hint="default" w:ascii="Times New Roman" w:hAnsi="Times New Roman" w:eastAsia="宋体" w:cs="Times New Roman"/>
                <w:sz w:val="24"/>
                <w:szCs w:val="24"/>
                <w:u w:val="none" w:color="auto"/>
                <w:lang w:val="en-US" w:eastAsia="zh-CN"/>
              </w:rPr>
              <w:t>Q=2</w:t>
            </w:r>
            <w:r>
              <w:rPr>
                <w:rFonts w:hint="eastAsia" w:ascii="Times New Roman" w:hAnsi="Times New Roman" w:eastAsia="宋体" w:cs="Times New Roman"/>
                <w:sz w:val="24"/>
                <w:szCs w:val="24"/>
                <w:u w:val="none" w:color="auto"/>
                <w:lang w:val="en-US" w:eastAsia="zh-CN"/>
              </w:rPr>
              <w:t>；当放在两面墙夹角处时，</w:t>
            </w:r>
            <w:r>
              <w:rPr>
                <w:rFonts w:hint="default" w:ascii="Times New Roman" w:hAnsi="Times New Roman" w:eastAsia="宋体" w:cs="Times New Roman"/>
                <w:sz w:val="24"/>
                <w:szCs w:val="24"/>
                <w:u w:val="none" w:color="auto"/>
                <w:lang w:val="en-US" w:eastAsia="zh-CN"/>
              </w:rPr>
              <w:t>Q=4</w:t>
            </w:r>
            <w:r>
              <w:rPr>
                <w:rFonts w:hint="eastAsia" w:ascii="Times New Roman" w:hAnsi="Times New Roman" w:eastAsia="宋体" w:cs="Times New Roman"/>
                <w:sz w:val="24"/>
                <w:szCs w:val="24"/>
                <w:u w:val="none" w:color="auto"/>
                <w:lang w:val="en-US" w:eastAsia="zh-CN"/>
              </w:rPr>
              <w:t>；当放在三面墙夹角处时，</w:t>
            </w:r>
            <w:r>
              <w:rPr>
                <w:rFonts w:hint="default" w:ascii="Times New Roman" w:hAnsi="Times New Roman" w:eastAsia="宋体" w:cs="Times New Roman"/>
                <w:sz w:val="24"/>
                <w:szCs w:val="24"/>
                <w:u w:val="none" w:color="auto"/>
                <w:lang w:val="en-US" w:eastAsia="zh-CN"/>
              </w:rPr>
              <w:t>Q=8</w:t>
            </w:r>
            <w:r>
              <w:rPr>
                <w:rFonts w:hint="eastAsia" w:ascii="Times New Roman" w:hAnsi="Times New Roman" w:eastAsia="宋体" w:cs="Times New Roman"/>
                <w:sz w:val="24"/>
                <w:szCs w:val="24"/>
                <w:u w:val="none" w:color="auto"/>
                <w:lang w:val="en-US" w:eastAsia="zh-CN"/>
              </w:rPr>
              <w:t>；</w:t>
            </w:r>
          </w:p>
          <w:p>
            <w:pPr>
              <w:keepNext w:val="0"/>
              <w:keepLines w:val="0"/>
              <w:pageBreakBefore w:val="0"/>
              <w:kinsoku/>
              <w:overflowPunct/>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R——</w:t>
            </w:r>
            <w:r>
              <w:rPr>
                <w:rFonts w:hint="eastAsia" w:ascii="Times New Roman" w:hAnsi="Times New Roman" w:eastAsia="宋体" w:cs="Times New Roman"/>
                <w:sz w:val="24"/>
                <w:szCs w:val="24"/>
                <w:u w:val="none" w:color="auto"/>
                <w:lang w:val="en-US" w:eastAsia="zh-CN"/>
              </w:rPr>
              <w:t>房间常数；R=S</w:t>
            </w:r>
            <w:r>
              <w:rPr>
                <w:rFonts w:hint="default" w:ascii="Times New Roman" w:hAnsi="Times New Roman" w:eastAsia="宋体" w:cs="Times New Roman"/>
                <w:sz w:val="24"/>
                <w:szCs w:val="24"/>
                <w:u w:val="none" w:color="auto"/>
                <w:lang w:val="en-US" w:eastAsia="zh-CN"/>
              </w:rPr>
              <w:t>α</w:t>
            </w:r>
            <w:r>
              <w:rPr>
                <w:rFonts w:hint="eastAsia" w:ascii="Times New Roman" w:hAnsi="Times New Roman" w:eastAsia="宋体" w:cs="Times New Roman"/>
                <w:sz w:val="24"/>
                <w:szCs w:val="24"/>
                <w:u w:val="none" w:color="auto"/>
                <w:lang w:val="en-US" w:eastAsia="zh-CN"/>
              </w:rPr>
              <w:t>/（1-</w:t>
            </w:r>
            <w:r>
              <w:rPr>
                <w:rFonts w:hint="default" w:ascii="Times New Roman" w:hAnsi="Times New Roman" w:eastAsia="宋体" w:cs="Times New Roman"/>
                <w:sz w:val="24"/>
                <w:szCs w:val="24"/>
                <w:u w:val="none" w:color="auto"/>
                <w:lang w:val="en-US" w:eastAsia="zh-CN"/>
              </w:rPr>
              <w:t>α</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S</w:t>
            </w:r>
            <w:r>
              <w:rPr>
                <w:rFonts w:hint="eastAsia" w:ascii="Times New Roman" w:hAnsi="Times New Roman" w:eastAsia="宋体" w:cs="Times New Roman"/>
                <w:sz w:val="24"/>
                <w:szCs w:val="24"/>
                <w:u w:val="none" w:color="auto"/>
                <w:lang w:val="en-US" w:eastAsia="zh-CN"/>
              </w:rPr>
              <w:t>为房间内表面面积，</w:t>
            </w:r>
            <w:r>
              <w:rPr>
                <w:rFonts w:hint="default" w:ascii="Times New Roman" w:hAnsi="Times New Roman" w:eastAsia="宋体" w:cs="Times New Roman"/>
                <w:sz w:val="24"/>
                <w:szCs w:val="24"/>
                <w:u w:val="none" w:color="auto"/>
                <w:lang w:val="en-US" w:eastAsia="zh-CN"/>
              </w:rPr>
              <w:t>m</w:t>
            </w:r>
            <w:r>
              <w:rPr>
                <w:rFonts w:hint="default" w:ascii="Times New Roman" w:hAnsi="Times New Roman" w:eastAsia="宋体" w:cs="Times New Roman"/>
                <w:sz w:val="24"/>
                <w:szCs w:val="24"/>
                <w:u w:val="none" w:color="auto"/>
                <w:vertAlign w:val="superscript"/>
                <w:lang w:val="en-US" w:eastAsia="zh-CN"/>
              </w:rPr>
              <w:t>2</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α</w:t>
            </w:r>
            <w:r>
              <w:rPr>
                <w:rFonts w:hint="eastAsia" w:ascii="Times New Roman" w:hAnsi="Times New Roman" w:eastAsia="宋体" w:cs="Times New Roman"/>
                <w:sz w:val="24"/>
                <w:szCs w:val="24"/>
                <w:u w:val="none" w:color="auto"/>
                <w:lang w:val="en-US" w:eastAsia="zh-CN"/>
              </w:rPr>
              <w:t>为平均吸声系数；</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sz w:val="24"/>
                <w:szCs w:val="24"/>
                <w:u w:val="none" w:color="auto"/>
                <w:lang w:val="en-US" w:eastAsia="zh-CN"/>
              </w:rPr>
            </w:pPr>
            <w:r>
              <w:rPr>
                <w:rFonts w:hint="eastAsia" w:ascii="Times New Roman" w:hAnsi="Times New Roman" w:eastAsia="宋体" w:cs="Times New Roman"/>
                <w:sz w:val="24"/>
                <w:szCs w:val="24"/>
                <w:u w:val="none" w:color="auto"/>
                <w:lang w:val="en-US" w:eastAsia="zh-CN"/>
              </w:rPr>
              <w:t>r</w:t>
            </w:r>
            <w:r>
              <w:rPr>
                <w:rFonts w:hint="default" w:ascii="Times New Roman" w:hAnsi="Times New Roman" w:eastAsia="宋体" w:cs="Times New Roman"/>
                <w:sz w:val="24"/>
                <w:szCs w:val="24"/>
                <w:u w:val="none" w:color="auto"/>
                <w:lang w:val="en-US" w:eastAsia="zh-CN"/>
              </w:rPr>
              <w:t>——</w:t>
            </w:r>
            <w:r>
              <w:rPr>
                <w:rFonts w:hint="eastAsia" w:ascii="Times New Roman" w:hAnsi="Times New Roman" w:eastAsia="宋体" w:cs="Times New Roman"/>
                <w:sz w:val="24"/>
                <w:szCs w:val="24"/>
                <w:u w:val="none" w:color="auto"/>
                <w:lang w:val="en-US" w:eastAsia="zh-CN"/>
              </w:rPr>
              <w:t>声源到靠近围护结构某点处的距离，</w:t>
            </w:r>
            <w:r>
              <w:rPr>
                <w:rFonts w:hint="default" w:ascii="Times New Roman" w:hAnsi="Times New Roman" w:eastAsia="宋体" w:cs="Times New Roman"/>
                <w:sz w:val="24"/>
                <w:szCs w:val="24"/>
                <w:u w:val="none" w:color="auto"/>
                <w:lang w:val="en-US" w:eastAsia="zh-CN"/>
              </w:rPr>
              <w:t>m</w:t>
            </w:r>
            <w:r>
              <w:rPr>
                <w:rFonts w:hint="eastAsia" w:ascii="Times New Roman" w:hAnsi="Times New Roman" w:eastAsia="宋体" w:cs="Times New Roman"/>
                <w:sz w:val="24"/>
                <w:szCs w:val="24"/>
                <w:u w:val="none" w:color="auto"/>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hAnsi="Cambria Math"/>
                <w:i w:val="0"/>
                <w:sz w:val="24"/>
                <w:szCs w:val="24"/>
                <w:u w:val="none" w:color="auto"/>
                <w:lang w:val="en-US" w:eastAsia="zh-CN"/>
              </w:rPr>
            </w:pPr>
            <w:r>
              <w:rPr>
                <w:rFonts w:hint="default" w:hAnsi="Cambria Math"/>
                <w:i w:val="0"/>
                <w:sz w:val="24"/>
                <w:szCs w:val="24"/>
                <w:u w:val="none" w:color="auto"/>
                <w:lang w:val="en-US" w:eastAsia="zh-CN"/>
              </w:rPr>
              <w:fldChar w:fldCharType="begin"/>
            </w:r>
            <w:r>
              <w:rPr>
                <w:rFonts w:hint="default" w:hAnsi="Cambria Math"/>
                <w:i w:val="0"/>
                <w:sz w:val="24"/>
                <w:szCs w:val="24"/>
                <w:u w:val="none" w:color="auto"/>
                <w:lang w:val="en-US" w:eastAsia="zh-CN"/>
              </w:rPr>
              <w:instrText xml:space="preserve"> = 3 \* GB3 \* MERGEFORMAT </w:instrText>
            </w:r>
            <w:r>
              <w:rPr>
                <w:rFonts w:hint="default" w:hAnsi="Cambria Math"/>
                <w:i w:val="0"/>
                <w:sz w:val="24"/>
                <w:szCs w:val="24"/>
                <w:u w:val="none" w:color="auto"/>
                <w:lang w:val="en-US" w:eastAsia="zh-CN"/>
              </w:rPr>
              <w:fldChar w:fldCharType="separate"/>
            </w:r>
            <w:r>
              <w:rPr>
                <w:u w:val="none" w:color="auto"/>
              </w:rPr>
              <w:t>③</w:t>
            </w:r>
            <w:r>
              <w:rPr>
                <w:rFonts w:hint="default" w:hAnsi="Cambria Math"/>
                <w:i w:val="0"/>
                <w:sz w:val="24"/>
                <w:szCs w:val="24"/>
                <w:u w:val="none" w:color="auto"/>
                <w:lang w:val="en-US" w:eastAsia="zh-CN"/>
              </w:rPr>
              <w:fldChar w:fldCharType="end"/>
            </w:r>
            <w:r>
              <w:rPr>
                <w:rFonts w:hint="default" w:hAnsi="Cambria Math"/>
                <w:i w:val="0"/>
                <w:sz w:val="24"/>
                <w:szCs w:val="24"/>
                <w:u w:val="none" w:color="auto"/>
                <w:lang w:val="en-US" w:eastAsia="zh-CN"/>
              </w:rPr>
              <w:t>计算所有室内声源在围护结构处产生的i倍频带声压级：</w:t>
            </w:r>
          </w:p>
          <w:p>
            <w:pPr>
              <w:keepNext w:val="0"/>
              <w:keepLines w:val="0"/>
              <w:pageBreakBefore w:val="0"/>
              <w:kinsoku/>
              <w:overflowPunct/>
              <w:autoSpaceDE/>
              <w:autoSpaceDN/>
              <w:bidi w:val="0"/>
              <w:adjustRightInd/>
              <w:snapToGrid/>
              <w:ind w:leftChars="0"/>
              <w:jc w:val="center"/>
              <w:textAlignment w:val="auto"/>
              <w:rPr>
                <w:rFonts w:hint="default" w:hAnsi="Cambria Math"/>
                <w:i w:val="0"/>
                <w:u w:val="none" w:color="auto"/>
                <w:lang w:val="en-US" w:eastAsia="zh-CN"/>
              </w:rPr>
            </w:pPr>
            <w:r>
              <w:rPr>
                <w:rFonts w:hint="default" w:hAnsi="Cambria Math"/>
                <w:i w:val="0"/>
                <w:u w:val="none" w:color="auto"/>
                <w:lang w:val="en-US" w:eastAsia="zh-CN"/>
              </w:rPr>
              <w:object>
                <v:shape id="_x0000_i1027" o:spt="75" type="#_x0000_t75" style="height:42pt;width:188.2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sz w:val="24"/>
                <w:szCs w:val="24"/>
                <w:u w:val="none" w:color="auto"/>
                <w:lang w:val="en-US" w:eastAsia="zh-CN"/>
              </w:rPr>
            </w:pPr>
            <w:r>
              <w:rPr>
                <w:rFonts w:hint="eastAsia" w:ascii="Times New Roman" w:hAnsi="Times New Roman" w:eastAsia="宋体" w:cs="Times New Roman"/>
                <w:sz w:val="24"/>
                <w:szCs w:val="24"/>
                <w:u w:val="none" w:color="auto"/>
                <w:lang w:val="en-US" w:eastAsia="zh-CN"/>
              </w:rPr>
              <w:t>式中：</w:t>
            </w:r>
          </w:p>
          <w:p>
            <w:pPr>
              <w:keepNext w:val="0"/>
              <w:keepLines w:val="0"/>
              <w:pageBreakBefore w:val="0"/>
              <w:kinsoku/>
              <w:overflowPunct/>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sz w:val="24"/>
                <w:szCs w:val="24"/>
                <w:u w:val="none" w:color="auto"/>
                <w:lang w:val="en-US" w:eastAsia="zh-CN"/>
              </w:rPr>
            </w:pPr>
            <w:r>
              <w:rPr>
                <w:rFonts w:hint="eastAsia" w:cs="Times New Roman"/>
                <w:sz w:val="24"/>
                <w:szCs w:val="24"/>
                <w:u w:val="none" w:color="auto"/>
                <w:lang w:val="en-US" w:eastAsia="zh-CN"/>
              </w:rPr>
              <w:t>L</w:t>
            </w:r>
            <w:r>
              <w:rPr>
                <w:rFonts w:hint="eastAsia" w:cs="Times New Roman"/>
                <w:sz w:val="24"/>
                <w:szCs w:val="24"/>
                <w:u w:val="none" w:color="auto"/>
                <w:vertAlign w:val="subscript"/>
                <w:lang w:val="en-US" w:eastAsia="zh-CN"/>
              </w:rPr>
              <w:t>p1i</w:t>
            </w:r>
            <w:r>
              <w:rPr>
                <w:rFonts w:hint="eastAsia" w:cs="Times New Roman"/>
                <w:sz w:val="24"/>
                <w:szCs w:val="24"/>
                <w:u w:val="none" w:color="auto"/>
                <w:lang w:val="en-US" w:eastAsia="zh-CN"/>
              </w:rPr>
              <w:t>（T）</w:t>
            </w:r>
            <w:r>
              <w:rPr>
                <w:rFonts w:hint="default" w:ascii="Times New Roman" w:hAnsi="Times New Roman" w:eastAsia="宋体" w:cs="Times New Roman"/>
                <w:sz w:val="24"/>
                <w:szCs w:val="24"/>
                <w:u w:val="none" w:color="auto"/>
                <w:lang w:val="en-US" w:eastAsia="zh-CN"/>
              </w:rPr>
              <w:t>——</w:t>
            </w:r>
            <w:r>
              <w:rPr>
                <w:rFonts w:hint="eastAsia" w:ascii="Times New Roman" w:hAnsi="Times New Roman" w:eastAsia="宋体" w:cs="Times New Roman"/>
                <w:sz w:val="24"/>
                <w:szCs w:val="24"/>
                <w:u w:val="none" w:color="auto"/>
                <w:lang w:val="en-US" w:eastAsia="zh-CN"/>
              </w:rPr>
              <w:t>靠近围护结构处室内</w:t>
            </w:r>
            <w:r>
              <w:rPr>
                <w:rFonts w:hint="default" w:ascii="Times New Roman" w:hAnsi="Times New Roman" w:eastAsia="宋体" w:cs="Times New Roman"/>
                <w:sz w:val="24"/>
                <w:szCs w:val="24"/>
                <w:u w:val="none" w:color="auto"/>
                <w:lang w:val="en-US" w:eastAsia="zh-CN"/>
              </w:rPr>
              <w:t>N</w:t>
            </w:r>
            <w:r>
              <w:rPr>
                <w:rFonts w:hint="eastAsia" w:ascii="Times New Roman" w:hAnsi="Times New Roman" w:eastAsia="宋体" w:cs="Times New Roman"/>
                <w:sz w:val="24"/>
                <w:szCs w:val="24"/>
                <w:u w:val="none" w:color="auto"/>
                <w:lang w:val="en-US" w:eastAsia="zh-CN"/>
              </w:rPr>
              <w:t>个声源</w:t>
            </w:r>
            <w:r>
              <w:rPr>
                <w:rFonts w:hint="default" w:ascii="Times New Roman" w:hAnsi="Times New Roman" w:eastAsia="宋体" w:cs="Times New Roman"/>
                <w:sz w:val="24"/>
                <w:szCs w:val="24"/>
                <w:u w:val="none" w:color="auto"/>
                <w:lang w:val="en-US" w:eastAsia="zh-CN"/>
              </w:rPr>
              <w:t>i</w:t>
            </w:r>
            <w:r>
              <w:rPr>
                <w:rFonts w:hint="eastAsia" w:ascii="Times New Roman" w:hAnsi="Times New Roman" w:eastAsia="宋体" w:cs="Times New Roman"/>
                <w:sz w:val="24"/>
                <w:szCs w:val="24"/>
                <w:u w:val="none" w:color="auto"/>
                <w:lang w:val="en-US" w:eastAsia="zh-CN"/>
              </w:rPr>
              <w:t>倍频带的叠加声压级，</w:t>
            </w:r>
            <w:r>
              <w:rPr>
                <w:rFonts w:hint="default" w:ascii="Times New Roman" w:hAnsi="Times New Roman" w:eastAsia="宋体" w:cs="Times New Roman"/>
                <w:sz w:val="24"/>
                <w:szCs w:val="24"/>
                <w:u w:val="none" w:color="auto"/>
                <w:lang w:val="en-US" w:eastAsia="zh-CN"/>
              </w:rPr>
              <w:t>dB</w:t>
            </w:r>
            <w:r>
              <w:rPr>
                <w:rFonts w:hint="eastAsia" w:ascii="Times New Roman" w:hAnsi="Times New Roman" w:eastAsia="宋体" w:cs="Times New Roman"/>
                <w:sz w:val="24"/>
                <w:szCs w:val="24"/>
                <w:u w:val="none" w:color="auto"/>
                <w:lang w:val="en-US" w:eastAsia="zh-CN"/>
              </w:rPr>
              <w:t>；</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sz w:val="24"/>
                <w:szCs w:val="24"/>
                <w:u w:val="none" w:color="auto"/>
                <w:lang w:val="en-US" w:eastAsia="zh-CN"/>
              </w:rPr>
            </w:pPr>
            <w:r>
              <w:rPr>
                <w:rFonts w:hint="eastAsia" w:cs="Times New Roman"/>
                <w:sz w:val="24"/>
                <w:szCs w:val="24"/>
                <w:u w:val="none" w:color="auto"/>
                <w:lang w:val="en-US" w:eastAsia="zh-CN"/>
              </w:rPr>
              <w:t>L</w:t>
            </w:r>
            <w:r>
              <w:rPr>
                <w:rFonts w:hint="eastAsia" w:cs="Times New Roman"/>
                <w:sz w:val="24"/>
                <w:szCs w:val="24"/>
                <w:u w:val="none" w:color="auto"/>
                <w:vertAlign w:val="subscript"/>
                <w:lang w:val="en-US" w:eastAsia="zh-CN"/>
              </w:rPr>
              <w:t>p1ij</w:t>
            </w:r>
            <w:r>
              <w:rPr>
                <w:rFonts w:hint="default" w:ascii="Times New Roman" w:hAnsi="Times New Roman" w:eastAsia="宋体" w:cs="Times New Roman"/>
                <w:sz w:val="24"/>
                <w:szCs w:val="24"/>
                <w:u w:val="none" w:color="auto"/>
                <w:lang w:val="en-US" w:eastAsia="zh-CN"/>
              </w:rPr>
              <w:t>——</w:t>
            </w:r>
            <w:r>
              <w:rPr>
                <w:rFonts w:hint="eastAsia" w:ascii="Times New Roman" w:hAnsi="Times New Roman" w:eastAsia="宋体" w:cs="Times New Roman"/>
                <w:sz w:val="24"/>
                <w:szCs w:val="24"/>
                <w:u w:val="none" w:color="auto"/>
                <w:lang w:val="en-US" w:eastAsia="zh-CN"/>
              </w:rPr>
              <w:t>室内</w:t>
            </w:r>
            <w:r>
              <w:rPr>
                <w:rFonts w:hint="default" w:ascii="Times New Roman" w:hAnsi="Times New Roman" w:eastAsia="宋体" w:cs="Times New Roman"/>
                <w:sz w:val="24"/>
                <w:szCs w:val="24"/>
                <w:u w:val="none" w:color="auto"/>
                <w:lang w:val="en-US" w:eastAsia="zh-CN"/>
              </w:rPr>
              <w:t>j</w:t>
            </w:r>
            <w:r>
              <w:rPr>
                <w:rFonts w:hint="eastAsia" w:ascii="Times New Roman" w:hAnsi="Times New Roman" w:eastAsia="宋体" w:cs="Times New Roman"/>
                <w:sz w:val="24"/>
                <w:szCs w:val="24"/>
                <w:u w:val="none" w:color="auto"/>
                <w:lang w:val="en-US" w:eastAsia="zh-CN"/>
              </w:rPr>
              <w:t>声源</w:t>
            </w:r>
            <w:r>
              <w:rPr>
                <w:rFonts w:hint="default" w:ascii="Times New Roman" w:hAnsi="Times New Roman" w:eastAsia="宋体" w:cs="Times New Roman"/>
                <w:sz w:val="24"/>
                <w:szCs w:val="24"/>
                <w:u w:val="none" w:color="auto"/>
                <w:lang w:val="en-US" w:eastAsia="zh-CN"/>
              </w:rPr>
              <w:t>i</w:t>
            </w:r>
            <w:r>
              <w:rPr>
                <w:rFonts w:hint="eastAsia" w:ascii="Times New Roman" w:hAnsi="Times New Roman" w:eastAsia="宋体" w:cs="Times New Roman"/>
                <w:sz w:val="24"/>
                <w:szCs w:val="24"/>
                <w:u w:val="none" w:color="auto"/>
                <w:lang w:val="en-US" w:eastAsia="zh-CN"/>
              </w:rPr>
              <w:t>倍频带的声压级，</w:t>
            </w:r>
            <w:r>
              <w:rPr>
                <w:rFonts w:hint="default" w:ascii="Times New Roman" w:hAnsi="Times New Roman" w:eastAsia="宋体" w:cs="Times New Roman"/>
                <w:sz w:val="24"/>
                <w:szCs w:val="24"/>
                <w:u w:val="none" w:color="auto"/>
                <w:lang w:val="en-US" w:eastAsia="zh-CN"/>
              </w:rPr>
              <w:t>dB</w:t>
            </w:r>
            <w:r>
              <w:rPr>
                <w:rFonts w:hint="eastAsia" w:ascii="Times New Roman" w:hAnsi="Times New Roman" w:eastAsia="宋体" w:cs="Times New Roman"/>
                <w:sz w:val="24"/>
                <w:szCs w:val="24"/>
                <w:u w:val="none" w:color="auto"/>
                <w:lang w:val="en-US" w:eastAsia="zh-CN"/>
              </w:rPr>
              <w:t>；</w:t>
            </w:r>
          </w:p>
          <w:p>
            <w:pPr>
              <w:keepNext w:val="0"/>
              <w:keepLines w:val="0"/>
              <w:pageBreakBefore w:val="0"/>
              <w:kinsoku/>
              <w:overflowPunct/>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sz w:val="24"/>
                <w:szCs w:val="24"/>
                <w:u w:val="none" w:color="auto"/>
                <w:lang w:val="en-US" w:eastAsia="zh-CN"/>
              </w:rPr>
            </w:pPr>
            <w:r>
              <w:rPr>
                <w:rFonts w:hint="eastAsia" w:ascii="Times New Roman" w:hAnsi="Times New Roman" w:eastAsia="宋体" w:cs="Times New Roman"/>
                <w:sz w:val="24"/>
                <w:szCs w:val="24"/>
                <w:u w:val="none" w:color="auto"/>
                <w:lang w:val="en-US" w:eastAsia="zh-CN"/>
              </w:rPr>
              <w:t>N</w:t>
            </w:r>
            <w:r>
              <w:rPr>
                <w:rFonts w:hint="default" w:ascii="Times New Roman" w:hAnsi="Times New Roman" w:eastAsia="宋体" w:cs="Times New Roman"/>
                <w:sz w:val="24"/>
                <w:szCs w:val="24"/>
                <w:u w:val="none" w:color="auto"/>
                <w:lang w:val="en-US" w:eastAsia="zh-CN"/>
              </w:rPr>
              <w:t>——</w:t>
            </w:r>
            <w:r>
              <w:rPr>
                <w:rFonts w:hint="eastAsia" w:ascii="Times New Roman" w:hAnsi="Times New Roman" w:eastAsia="宋体" w:cs="Times New Roman"/>
                <w:sz w:val="24"/>
                <w:szCs w:val="24"/>
                <w:u w:val="none" w:color="auto"/>
                <w:lang w:val="en-US" w:eastAsia="zh-CN"/>
              </w:rPr>
              <w:t>室内声源总数。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sz w:val="24"/>
                <w:szCs w:val="24"/>
                <w:u w:val="none" w:color="auto"/>
                <w:lang w:val="en-US" w:eastAsia="zh-CN"/>
              </w:rPr>
            </w:pPr>
            <w:r>
              <w:rPr>
                <w:rFonts w:hint="eastAsia" w:cs="Times New Roman"/>
                <w:sz w:val="24"/>
                <w:szCs w:val="24"/>
                <w:u w:val="none" w:color="auto"/>
                <w:lang w:val="en-US" w:eastAsia="zh-CN"/>
              </w:rPr>
              <w:fldChar w:fldCharType="begin"/>
            </w:r>
            <w:r>
              <w:rPr>
                <w:rFonts w:hint="eastAsia" w:cs="Times New Roman"/>
                <w:sz w:val="24"/>
                <w:szCs w:val="24"/>
                <w:u w:val="none" w:color="auto"/>
                <w:lang w:val="en-US" w:eastAsia="zh-CN"/>
              </w:rPr>
              <w:instrText xml:space="preserve"> = 4 \* GB3 \* MERGEFORMAT </w:instrText>
            </w:r>
            <w:r>
              <w:rPr>
                <w:rFonts w:hint="eastAsia" w:cs="Times New Roman"/>
                <w:sz w:val="24"/>
                <w:szCs w:val="24"/>
                <w:u w:val="none" w:color="auto"/>
                <w:lang w:val="en-US" w:eastAsia="zh-CN"/>
              </w:rPr>
              <w:fldChar w:fldCharType="separate"/>
            </w:r>
            <w:r>
              <w:rPr>
                <w:u w:val="none" w:color="auto"/>
              </w:rPr>
              <w:t>④</w:t>
            </w:r>
            <w:r>
              <w:rPr>
                <w:rFonts w:hint="eastAsia" w:cs="Times New Roman"/>
                <w:sz w:val="24"/>
                <w:szCs w:val="24"/>
                <w:u w:val="none" w:color="auto"/>
                <w:lang w:val="en-US" w:eastAsia="zh-CN"/>
              </w:rPr>
              <w:fldChar w:fldCharType="end"/>
            </w:r>
            <w:r>
              <w:rPr>
                <w:rFonts w:hint="eastAsia" w:cs="Times New Roman"/>
                <w:sz w:val="24"/>
                <w:szCs w:val="24"/>
                <w:u w:val="none" w:color="auto"/>
                <w:lang w:val="en-US" w:eastAsia="zh-CN"/>
              </w:rPr>
              <w:t>在室内近似为扩散场时，计算出靠近室外围护结构处的声压级：</w:t>
            </w:r>
          </w:p>
          <w:p>
            <w:pPr>
              <w:keepNext w:val="0"/>
              <w:keepLines w:val="0"/>
              <w:pageBreakBefore w:val="0"/>
              <w:numPr>
                <w:ilvl w:val="0"/>
                <w:numId w:val="0"/>
              </w:numPr>
              <w:kinsoku/>
              <w:overflowPunct/>
              <w:autoSpaceDE/>
              <w:autoSpaceDN/>
              <w:bidi w:val="0"/>
              <w:adjustRightInd/>
              <w:snapToGrid/>
              <w:spacing w:line="360" w:lineRule="auto"/>
              <w:ind w:leftChars="0"/>
              <w:jc w:val="center"/>
              <w:textAlignment w:val="auto"/>
              <w:rPr>
                <w:rFonts w:hint="default" w:cs="Times New Roman"/>
                <w:sz w:val="24"/>
                <w:szCs w:val="24"/>
                <w:u w:val="none" w:color="auto"/>
                <w:lang w:val="en-US" w:eastAsia="zh-CN"/>
              </w:rPr>
            </w:pPr>
            <w:r>
              <w:rPr>
                <w:rFonts w:hint="default" w:cs="Times New Roman"/>
                <w:position w:val="-14"/>
                <w:sz w:val="24"/>
                <w:szCs w:val="24"/>
                <w:u w:val="none" w:color="auto"/>
                <w:lang w:val="en-US" w:eastAsia="zh-CN"/>
              </w:rPr>
              <w:object>
                <v:shape id="_x0000_i1028" o:spt="75" type="#_x0000_t75" style="height:19pt;width:132pt;" o:ole="t" filled="f" o:preferrelative="t" stroked="f" coordsize="21600,21600">
                  <v:path/>
                  <v:fill on="f" focussize="0,0"/>
                  <v:stroke on="f"/>
                  <v:imagedata r:id="rId25" o:title=""/>
                  <o:lock v:ext="edit" aspectratio="t"/>
                  <w10:wrap type="none"/>
                  <w10:anchorlock/>
                </v:shape>
                <o:OLEObject Type="Embed" ProgID="Equation.KSEE3" ShapeID="_x0000_i1028" DrawAspect="Content" ObjectID="_1468075728" r:id="rId24">
                  <o:LockedField>false</o:LockedField>
                </o:OLEObject>
              </w:objec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cs="Times New Roman"/>
                <w:sz w:val="24"/>
                <w:szCs w:val="24"/>
                <w:u w:val="none" w:color="auto"/>
                <w:lang w:val="en-US" w:eastAsia="zh-CN"/>
              </w:rPr>
            </w:pPr>
            <w:r>
              <w:rPr>
                <w:rFonts w:hint="eastAsia" w:cs="Times New Roman"/>
                <w:sz w:val="24"/>
                <w:szCs w:val="24"/>
                <w:u w:val="none" w:color="auto"/>
                <w:lang w:val="en-US" w:eastAsia="zh-CN"/>
              </w:rPr>
              <w:t>式中：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sz w:val="24"/>
                <w:szCs w:val="24"/>
                <w:u w:val="none" w:color="auto"/>
                <w:lang w:val="en-US" w:eastAsia="zh-CN"/>
              </w:rPr>
            </w:pPr>
            <w:r>
              <w:rPr>
                <w:rFonts w:hint="eastAsia" w:cs="Times New Roman"/>
                <w:sz w:val="24"/>
                <w:szCs w:val="24"/>
                <w:u w:val="none" w:color="auto"/>
                <w:lang w:val="en-US" w:eastAsia="zh-CN"/>
              </w:rPr>
              <w:t>L</w:t>
            </w:r>
            <w:r>
              <w:rPr>
                <w:rFonts w:hint="eastAsia" w:cs="Times New Roman"/>
                <w:sz w:val="24"/>
                <w:szCs w:val="24"/>
                <w:u w:val="none" w:color="auto"/>
                <w:vertAlign w:val="subscript"/>
                <w:lang w:val="en-US" w:eastAsia="zh-CN"/>
              </w:rPr>
              <w:t>p2i</w:t>
            </w:r>
            <w:r>
              <w:rPr>
                <w:rFonts w:hint="eastAsia" w:cs="Times New Roman"/>
                <w:sz w:val="24"/>
                <w:szCs w:val="24"/>
                <w:u w:val="none" w:color="auto"/>
                <w:lang w:val="en-US" w:eastAsia="zh-CN"/>
              </w:rPr>
              <w:t>（T）</w:t>
            </w:r>
            <w:r>
              <w:rPr>
                <w:rFonts w:hint="default" w:ascii="Times New Roman" w:hAnsi="Times New Roman" w:cs="Times New Roman"/>
                <w:sz w:val="24"/>
                <w:szCs w:val="24"/>
                <w:u w:val="none" w:color="auto"/>
                <w:lang w:val="en-US" w:eastAsia="zh-CN"/>
              </w:rPr>
              <w:t>——</w:t>
            </w:r>
            <w:r>
              <w:rPr>
                <w:rFonts w:hint="eastAsia" w:cs="Times New Roman"/>
                <w:sz w:val="24"/>
                <w:szCs w:val="24"/>
                <w:u w:val="none" w:color="auto"/>
                <w:lang w:val="en-US" w:eastAsia="zh-CN"/>
              </w:rPr>
              <w:t>靠近围护结构处室外N个声源i倍频带的叠加声压级，dB；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sz w:val="24"/>
                <w:szCs w:val="24"/>
                <w:u w:val="none" w:color="auto"/>
                <w:lang w:val="en-US" w:eastAsia="zh-CN"/>
              </w:rPr>
            </w:pPr>
            <w:r>
              <w:rPr>
                <w:rFonts w:hint="eastAsia" w:cs="Times New Roman"/>
                <w:sz w:val="24"/>
                <w:szCs w:val="24"/>
                <w:u w:val="none" w:color="auto"/>
                <w:lang w:val="en-US" w:eastAsia="zh-CN"/>
              </w:rPr>
              <w:t>L</w:t>
            </w:r>
            <w:r>
              <w:rPr>
                <w:rFonts w:hint="eastAsia" w:cs="Times New Roman"/>
                <w:sz w:val="24"/>
                <w:szCs w:val="24"/>
                <w:u w:val="none" w:color="auto"/>
                <w:vertAlign w:val="subscript"/>
                <w:lang w:val="en-US" w:eastAsia="zh-CN"/>
              </w:rPr>
              <w:t>p1i</w:t>
            </w:r>
            <w:r>
              <w:rPr>
                <w:rFonts w:hint="eastAsia" w:cs="Times New Roman"/>
                <w:sz w:val="24"/>
                <w:szCs w:val="24"/>
                <w:u w:val="none" w:color="auto"/>
                <w:lang w:val="en-US" w:eastAsia="zh-CN"/>
              </w:rPr>
              <w:t>（T）</w:t>
            </w:r>
            <w:r>
              <w:rPr>
                <w:rFonts w:hint="default" w:ascii="Times New Roman" w:hAnsi="Times New Roman" w:cs="Times New Roman"/>
                <w:sz w:val="24"/>
                <w:szCs w:val="24"/>
                <w:u w:val="none" w:color="auto"/>
                <w:lang w:val="en-US" w:eastAsia="zh-CN"/>
              </w:rPr>
              <w:t>——</w:t>
            </w:r>
            <w:r>
              <w:rPr>
                <w:rFonts w:hint="eastAsia" w:cs="Times New Roman"/>
                <w:sz w:val="24"/>
                <w:szCs w:val="24"/>
                <w:u w:val="none" w:color="auto"/>
                <w:lang w:val="en-US" w:eastAsia="zh-CN"/>
              </w:rPr>
              <w:t>靠近围护结构处室内N个声源i倍频带的叠加声压级，dB；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cs="Times New Roman"/>
                <w:sz w:val="24"/>
                <w:szCs w:val="24"/>
                <w:u w:val="none" w:color="auto"/>
                <w:lang w:val="en-US" w:eastAsia="zh-CN"/>
              </w:rPr>
            </w:pPr>
            <w:r>
              <w:rPr>
                <w:rFonts w:hint="eastAsia" w:cs="Times New Roman"/>
                <w:sz w:val="24"/>
                <w:szCs w:val="24"/>
                <w:u w:val="none" w:color="auto"/>
                <w:lang w:val="en-US" w:eastAsia="zh-CN"/>
              </w:rPr>
              <w:t>TL</w:t>
            </w:r>
            <w:r>
              <w:rPr>
                <w:rFonts w:hint="eastAsia" w:cs="Times New Roman"/>
                <w:sz w:val="24"/>
                <w:szCs w:val="24"/>
                <w:u w:val="none" w:color="auto"/>
                <w:vertAlign w:val="subscript"/>
                <w:lang w:val="en-US" w:eastAsia="zh-CN"/>
              </w:rPr>
              <w:t>i</w:t>
            </w:r>
            <w:r>
              <w:rPr>
                <w:rFonts w:hint="default" w:ascii="Times New Roman" w:hAnsi="Times New Roman" w:cs="Times New Roman"/>
                <w:sz w:val="24"/>
                <w:szCs w:val="24"/>
                <w:u w:val="none" w:color="auto"/>
                <w:lang w:val="en-US" w:eastAsia="zh-CN"/>
              </w:rPr>
              <w:t>——</w:t>
            </w:r>
            <w:r>
              <w:rPr>
                <w:rFonts w:hint="eastAsia" w:cs="Times New Roman"/>
                <w:sz w:val="24"/>
                <w:szCs w:val="24"/>
                <w:u w:val="none" w:color="auto"/>
                <w:lang w:val="en-US" w:eastAsia="zh-CN"/>
              </w:rPr>
              <w:t>围护结构i倍频带的隔声量，dB。</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hAnsi="Cambria Math"/>
                <w:i w:val="0"/>
                <w:sz w:val="24"/>
                <w:szCs w:val="24"/>
                <w:u w:val="none" w:color="auto"/>
                <w:lang w:val="en-US" w:eastAsia="zh-CN"/>
              </w:rPr>
            </w:pPr>
            <w:r>
              <w:rPr>
                <w:rFonts w:hint="default" w:hAnsi="Cambria Math"/>
                <w:i w:val="0"/>
                <w:sz w:val="24"/>
                <w:szCs w:val="24"/>
                <w:u w:val="none" w:color="auto"/>
                <w:lang w:val="en-US" w:eastAsia="zh-CN"/>
              </w:rPr>
              <w:fldChar w:fldCharType="begin"/>
            </w:r>
            <w:r>
              <w:rPr>
                <w:rFonts w:hint="default" w:hAnsi="Cambria Math"/>
                <w:i w:val="0"/>
                <w:sz w:val="24"/>
                <w:szCs w:val="24"/>
                <w:u w:val="none" w:color="auto"/>
                <w:lang w:val="en-US" w:eastAsia="zh-CN"/>
              </w:rPr>
              <w:instrText xml:space="preserve"> = 5 \* GB3 \* MERGEFORMAT </w:instrText>
            </w:r>
            <w:r>
              <w:rPr>
                <w:rFonts w:hint="default" w:hAnsi="Cambria Math"/>
                <w:i w:val="0"/>
                <w:sz w:val="24"/>
                <w:szCs w:val="24"/>
                <w:u w:val="none" w:color="auto"/>
                <w:lang w:val="en-US" w:eastAsia="zh-CN"/>
              </w:rPr>
              <w:fldChar w:fldCharType="separate"/>
            </w:r>
            <w:r>
              <w:rPr>
                <w:u w:val="none" w:color="auto"/>
              </w:rPr>
              <w:t>⑤</w:t>
            </w:r>
            <w:r>
              <w:rPr>
                <w:rFonts w:hint="default" w:hAnsi="Cambria Math"/>
                <w:i w:val="0"/>
                <w:sz w:val="24"/>
                <w:szCs w:val="24"/>
                <w:u w:val="none" w:color="auto"/>
                <w:lang w:val="en-US" w:eastAsia="zh-CN"/>
              </w:rPr>
              <w:fldChar w:fldCharType="end"/>
            </w:r>
            <w:r>
              <w:rPr>
                <w:rFonts w:hint="default" w:hAnsi="Cambria Math"/>
                <w:i w:val="0"/>
                <w:sz w:val="24"/>
                <w:szCs w:val="24"/>
                <w:u w:val="none" w:color="auto"/>
                <w:lang w:val="en-US" w:eastAsia="zh-CN"/>
              </w:rPr>
              <w:t>将室外声压级Lp2i</w:t>
            </w:r>
            <w:r>
              <w:rPr>
                <w:rFonts w:hint="eastAsia" w:hAnsi="Cambria Math"/>
                <w:i w:val="0"/>
                <w:sz w:val="24"/>
                <w:szCs w:val="24"/>
                <w:u w:val="none" w:color="auto"/>
                <w:lang w:val="en-US" w:eastAsia="zh-CN"/>
              </w:rPr>
              <w:t>（</w:t>
            </w:r>
            <w:r>
              <w:rPr>
                <w:rFonts w:hint="default" w:hAnsi="Cambria Math"/>
                <w:i w:val="0"/>
                <w:sz w:val="24"/>
                <w:szCs w:val="24"/>
                <w:u w:val="none" w:color="auto"/>
                <w:lang w:val="en-US" w:eastAsia="zh-CN"/>
              </w:rPr>
              <w:t>T</w:t>
            </w:r>
            <w:r>
              <w:rPr>
                <w:rFonts w:hint="eastAsia" w:hAnsi="Cambria Math"/>
                <w:i w:val="0"/>
                <w:sz w:val="24"/>
                <w:szCs w:val="24"/>
                <w:u w:val="none" w:color="auto"/>
                <w:lang w:val="en-US" w:eastAsia="zh-CN"/>
              </w:rPr>
              <w:t>）</w:t>
            </w:r>
            <w:r>
              <w:rPr>
                <w:rFonts w:hint="default" w:hAnsi="Cambria Math"/>
                <w:i w:val="0"/>
                <w:sz w:val="24"/>
                <w:szCs w:val="24"/>
                <w:u w:val="none" w:color="auto"/>
                <w:lang w:val="en-US" w:eastAsia="zh-CN"/>
              </w:rPr>
              <w:t>和透声面积换算成等效的室外声源，计算中心位置位于透声面积</w:t>
            </w:r>
            <w:r>
              <w:rPr>
                <w:rFonts w:hint="eastAsia" w:hAnsi="Cambria Math"/>
                <w:i w:val="0"/>
                <w:sz w:val="24"/>
                <w:szCs w:val="24"/>
                <w:u w:val="none" w:color="auto"/>
                <w:lang w:val="en-US" w:eastAsia="zh-CN"/>
              </w:rPr>
              <w:t>（</w:t>
            </w:r>
            <w:r>
              <w:rPr>
                <w:rFonts w:hint="default" w:hAnsi="Cambria Math"/>
                <w:i w:val="0"/>
                <w:sz w:val="24"/>
                <w:szCs w:val="24"/>
                <w:u w:val="none" w:color="auto"/>
                <w:lang w:val="en-US" w:eastAsia="zh-CN"/>
              </w:rPr>
              <w:t>S</w:t>
            </w:r>
            <w:r>
              <w:rPr>
                <w:rFonts w:hint="eastAsia" w:hAnsi="Cambria Math"/>
                <w:i w:val="0"/>
                <w:sz w:val="24"/>
                <w:szCs w:val="24"/>
                <w:u w:val="none" w:color="auto"/>
                <w:lang w:val="en-US" w:eastAsia="zh-CN"/>
              </w:rPr>
              <w:t>）</w:t>
            </w:r>
            <w:r>
              <w:rPr>
                <w:rFonts w:hint="default" w:hAnsi="Cambria Math"/>
                <w:i w:val="0"/>
                <w:sz w:val="24"/>
                <w:szCs w:val="24"/>
                <w:u w:val="none" w:color="auto"/>
                <w:lang w:val="en-US" w:eastAsia="zh-CN"/>
              </w:rPr>
              <w:t>处的等效声源的倍频带声功率级Lw：</w:t>
            </w:r>
          </w:p>
          <w:p>
            <w:pPr>
              <w:keepNext w:val="0"/>
              <w:keepLines w:val="0"/>
              <w:pageBreakBefore w:val="0"/>
              <w:kinsoku/>
              <w:overflowPunct/>
              <w:autoSpaceDE/>
              <w:autoSpaceDN/>
              <w:bidi w:val="0"/>
              <w:adjustRightInd/>
              <w:snapToGrid/>
              <w:spacing w:line="360" w:lineRule="auto"/>
              <w:ind w:leftChars="0"/>
              <w:jc w:val="center"/>
              <w:textAlignment w:val="auto"/>
              <w:rPr>
                <w:rFonts w:hint="default" w:hAnsi="Cambria Math"/>
                <w:i w:val="0"/>
                <w:sz w:val="24"/>
                <w:szCs w:val="24"/>
                <w:u w:val="none" w:color="auto"/>
                <w:lang w:val="en-US" w:eastAsia="zh-CN"/>
              </w:rPr>
            </w:pPr>
            <w:r>
              <w:rPr>
                <w:rFonts w:hint="default" w:hAnsi="Cambria Math"/>
                <w:i w:val="0"/>
                <w:sz w:val="24"/>
                <w:szCs w:val="24"/>
                <w:u w:val="none" w:color="auto"/>
                <w:lang w:val="en-US" w:eastAsia="zh-CN"/>
              </w:rPr>
              <w:object>
                <v:shape id="_x0000_i1029" o:spt="75" type="#_x0000_t75" style="height:22.5pt;width:150.7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hAnsi="Cambria Math"/>
                <w:i w:val="0"/>
                <w:sz w:val="24"/>
                <w:szCs w:val="24"/>
                <w:u w:val="none" w:color="auto"/>
                <w:lang w:val="en-US" w:eastAsia="zh-CN"/>
              </w:rPr>
            </w:pPr>
            <w:r>
              <w:rPr>
                <w:rFonts w:hint="default" w:hAnsi="Cambria Math"/>
                <w:i w:val="0"/>
                <w:sz w:val="24"/>
                <w:szCs w:val="24"/>
                <w:u w:val="none" w:color="auto"/>
                <w:lang w:val="en-US" w:eastAsia="zh-CN"/>
              </w:rPr>
              <w:t>Lw——</w:t>
            </w:r>
            <w:r>
              <w:rPr>
                <w:rFonts w:hint="eastAsia" w:hAnsi="Cambria Math"/>
                <w:i w:val="0"/>
                <w:sz w:val="24"/>
                <w:szCs w:val="24"/>
                <w:u w:val="none" w:color="auto"/>
                <w:lang w:val="en-US" w:eastAsia="zh-CN"/>
              </w:rPr>
              <w:t>中心位置位于透声面积（</w:t>
            </w:r>
            <w:r>
              <w:rPr>
                <w:rFonts w:hint="default" w:hAnsi="Cambria Math"/>
                <w:i w:val="0"/>
                <w:sz w:val="24"/>
                <w:szCs w:val="24"/>
                <w:u w:val="none" w:color="auto"/>
                <w:lang w:val="en-US" w:eastAsia="zh-CN"/>
              </w:rPr>
              <w:t>S</w:t>
            </w:r>
            <w:r>
              <w:rPr>
                <w:rFonts w:hint="eastAsia" w:hAnsi="Cambria Math"/>
                <w:i w:val="0"/>
                <w:sz w:val="24"/>
                <w:szCs w:val="24"/>
                <w:u w:val="none" w:color="auto"/>
                <w:lang w:val="en-US" w:eastAsia="zh-CN"/>
              </w:rPr>
              <w:t>）处的等效声源的倍频带声功率级，</w:t>
            </w:r>
            <w:r>
              <w:rPr>
                <w:rFonts w:hint="default" w:hAnsi="Cambria Math"/>
                <w:i w:val="0"/>
                <w:sz w:val="24"/>
                <w:szCs w:val="24"/>
                <w:u w:val="none" w:color="auto"/>
                <w:lang w:val="en-US" w:eastAsia="zh-CN"/>
              </w:rPr>
              <w:t>dB</w:t>
            </w:r>
            <w:r>
              <w:rPr>
                <w:rFonts w:hint="eastAsia" w:hAnsi="Cambria Math"/>
                <w:i w:val="0"/>
                <w:sz w:val="24"/>
                <w:szCs w:val="24"/>
                <w:u w:val="none" w:color="auto"/>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hAnsi="Cambria Math"/>
                <w:i w:val="0"/>
                <w:sz w:val="24"/>
                <w:szCs w:val="24"/>
                <w:u w:val="none" w:color="auto"/>
                <w:lang w:val="en-US" w:eastAsia="zh-CN"/>
              </w:rPr>
            </w:pPr>
            <w:r>
              <w:rPr>
                <w:rFonts w:hint="default" w:hAnsi="Cambria Math"/>
                <w:i w:val="0"/>
                <w:sz w:val="24"/>
                <w:szCs w:val="24"/>
                <w:u w:val="none" w:color="auto"/>
                <w:lang w:val="en-US" w:eastAsia="zh-CN"/>
              </w:rPr>
              <w:t>Lp2(T)——</w:t>
            </w:r>
            <w:r>
              <w:rPr>
                <w:rFonts w:hint="eastAsia" w:hAnsi="Cambria Math"/>
                <w:i w:val="0"/>
                <w:sz w:val="24"/>
                <w:szCs w:val="24"/>
                <w:u w:val="none" w:color="auto"/>
                <w:lang w:val="en-US" w:eastAsia="zh-CN"/>
              </w:rPr>
              <w:t>靠近围护结构处室外声源的声压级，</w:t>
            </w:r>
            <w:r>
              <w:rPr>
                <w:rFonts w:hint="default" w:hAnsi="Cambria Math"/>
                <w:i w:val="0"/>
                <w:sz w:val="24"/>
                <w:szCs w:val="24"/>
                <w:u w:val="none" w:color="auto"/>
                <w:lang w:val="en-US" w:eastAsia="zh-CN"/>
              </w:rPr>
              <w:t>dB</w:t>
            </w:r>
            <w:r>
              <w:rPr>
                <w:rFonts w:hint="eastAsia" w:hAnsi="Cambria Math"/>
                <w:i w:val="0"/>
                <w:sz w:val="24"/>
                <w:szCs w:val="24"/>
                <w:u w:val="none" w:color="auto"/>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hAnsi="Cambria Math"/>
                <w:i w:val="0"/>
                <w:sz w:val="24"/>
                <w:szCs w:val="24"/>
                <w:u w:val="none" w:color="auto"/>
                <w:lang w:val="en-US" w:eastAsia="zh-CN"/>
              </w:rPr>
            </w:pPr>
            <w:r>
              <w:rPr>
                <w:rFonts w:hint="default" w:hAnsi="Cambria Math"/>
                <w:i w:val="0"/>
                <w:sz w:val="24"/>
                <w:szCs w:val="24"/>
                <w:u w:val="none" w:color="auto"/>
                <w:lang w:val="en-US" w:eastAsia="zh-CN"/>
              </w:rPr>
              <w:t>S——</w:t>
            </w:r>
            <w:r>
              <w:rPr>
                <w:rFonts w:hint="eastAsia" w:hAnsi="Cambria Math"/>
                <w:i w:val="0"/>
                <w:sz w:val="24"/>
                <w:szCs w:val="24"/>
                <w:u w:val="none" w:color="auto"/>
                <w:lang w:val="en-US" w:eastAsia="zh-CN"/>
              </w:rPr>
              <w:t>透声面积，</w:t>
            </w:r>
            <w:r>
              <w:rPr>
                <w:rFonts w:hint="default" w:hAnsi="Cambria Math"/>
                <w:i w:val="0"/>
                <w:sz w:val="24"/>
                <w:szCs w:val="24"/>
                <w:u w:val="none" w:color="auto"/>
                <w:lang w:val="en-US" w:eastAsia="zh-CN"/>
              </w:rPr>
              <w:t>m</w:t>
            </w:r>
            <w:r>
              <w:rPr>
                <w:rFonts w:hint="default" w:hAnsi="Cambria Math"/>
                <w:i w:val="0"/>
                <w:sz w:val="24"/>
                <w:szCs w:val="24"/>
                <w:u w:val="none" w:color="auto"/>
                <w:vertAlign w:val="superscript"/>
                <w:lang w:val="en-US" w:eastAsia="zh-CN"/>
              </w:rPr>
              <w:t>2</w:t>
            </w:r>
            <w:r>
              <w:rPr>
                <w:rFonts w:hint="eastAsia" w:hAnsi="Cambria Math"/>
                <w:i w:val="0"/>
                <w:sz w:val="24"/>
                <w:szCs w:val="24"/>
                <w:u w:val="none" w:color="auto"/>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u w:val="none" w:color="auto"/>
                <w:lang w:val="en-US" w:eastAsia="zh-CN"/>
              </w:rPr>
            </w:pPr>
            <w:r>
              <w:rPr>
                <w:rFonts w:hint="eastAsia"/>
                <w:sz w:val="24"/>
                <w:szCs w:val="24"/>
                <w:u w:val="none" w:color="auto"/>
                <w:lang w:val="en-US" w:eastAsia="zh-CN"/>
              </w:rPr>
              <w:fldChar w:fldCharType="begin"/>
            </w:r>
            <w:r>
              <w:rPr>
                <w:rFonts w:hint="eastAsia"/>
                <w:sz w:val="24"/>
                <w:szCs w:val="24"/>
                <w:u w:val="none" w:color="auto"/>
                <w:lang w:val="en-US" w:eastAsia="zh-CN"/>
              </w:rPr>
              <w:instrText xml:space="preserve"> = 6 \* GB3 \* MERGEFORMAT </w:instrText>
            </w:r>
            <w:r>
              <w:rPr>
                <w:rFonts w:hint="eastAsia"/>
                <w:sz w:val="24"/>
                <w:szCs w:val="24"/>
                <w:u w:val="none" w:color="auto"/>
                <w:lang w:val="en-US" w:eastAsia="zh-CN"/>
              </w:rPr>
              <w:fldChar w:fldCharType="separate"/>
            </w:r>
            <w:r>
              <w:rPr>
                <w:u w:val="none" w:color="auto"/>
              </w:rPr>
              <w:t>⑥</w:t>
            </w:r>
            <w:r>
              <w:rPr>
                <w:rFonts w:hint="eastAsia"/>
                <w:sz w:val="24"/>
                <w:szCs w:val="24"/>
                <w:u w:val="none" w:color="auto"/>
                <w:lang w:val="en-US" w:eastAsia="zh-CN"/>
              </w:rPr>
              <w:fldChar w:fldCharType="end"/>
            </w:r>
            <w:r>
              <w:rPr>
                <w:rFonts w:hint="eastAsia"/>
                <w:sz w:val="24"/>
                <w:szCs w:val="24"/>
                <w:u w:val="none" w:color="auto"/>
                <w:lang w:val="en-US" w:eastAsia="zh-CN"/>
              </w:rPr>
              <w:t>工业企业噪声计算</w:t>
            </w:r>
          </w:p>
          <w:p>
            <w:pPr>
              <w:spacing w:line="360" w:lineRule="auto"/>
              <w:ind w:firstLine="480" w:firstLineChars="200"/>
              <w:rPr>
                <w:rFonts w:hint="default" w:hAnsi="Cambria Math"/>
                <w:i w:val="0"/>
                <w:sz w:val="24"/>
                <w:szCs w:val="24"/>
                <w:u w:val="none" w:color="auto"/>
                <w:lang w:val="en-US" w:eastAsia="zh-CN"/>
              </w:rPr>
            </w:pPr>
            <w:r>
              <w:rPr>
                <w:rFonts w:hint="default" w:hAnsi="Cambria Math"/>
                <w:i w:val="0"/>
                <w:sz w:val="24"/>
                <w:szCs w:val="24"/>
                <w:u w:val="none" w:color="auto"/>
                <w:lang w:val="en-US" w:eastAsia="zh-CN"/>
              </w:rPr>
              <w:t>设第i个室外声源在预测点产生的A声级为L</w:t>
            </w:r>
            <w:r>
              <w:rPr>
                <w:rFonts w:hint="default" w:hAnsi="Cambria Math"/>
                <w:i w:val="0"/>
                <w:sz w:val="24"/>
                <w:szCs w:val="24"/>
                <w:u w:val="none" w:color="auto"/>
                <w:vertAlign w:val="subscript"/>
                <w:lang w:val="en-US" w:eastAsia="zh-CN"/>
              </w:rPr>
              <w:t>Ai</w:t>
            </w:r>
            <w:r>
              <w:rPr>
                <w:rFonts w:hint="default" w:hAnsi="Cambria Math"/>
                <w:i w:val="0"/>
                <w:sz w:val="24"/>
                <w:szCs w:val="24"/>
                <w:u w:val="none" w:color="auto"/>
                <w:lang w:val="en-US" w:eastAsia="zh-CN"/>
              </w:rPr>
              <w:t>，在T时间内该声源工作时间为t</w:t>
            </w:r>
            <w:r>
              <w:rPr>
                <w:rFonts w:hint="default" w:hAnsi="Cambria Math"/>
                <w:i w:val="0"/>
                <w:sz w:val="24"/>
                <w:szCs w:val="24"/>
                <w:u w:val="none" w:color="auto"/>
                <w:vertAlign w:val="subscript"/>
                <w:lang w:val="en-US" w:eastAsia="zh-CN"/>
              </w:rPr>
              <w:t>i</w:t>
            </w:r>
            <w:r>
              <w:rPr>
                <w:rFonts w:hint="default" w:hAnsi="Cambria Math"/>
                <w:i w:val="0"/>
                <w:sz w:val="24"/>
                <w:szCs w:val="24"/>
                <w:u w:val="none" w:color="auto"/>
                <w:lang w:val="en-US" w:eastAsia="zh-CN"/>
              </w:rPr>
              <w:t>；第j个等效室外声源在预测点产生的A声级</w:t>
            </w:r>
            <w:r>
              <w:rPr>
                <w:rFonts w:hint="eastAsia" w:hAnsi="Cambria Math"/>
                <w:i w:val="0"/>
                <w:sz w:val="24"/>
                <w:szCs w:val="24"/>
                <w:u w:val="none" w:color="auto"/>
                <w:lang w:val="en-US" w:eastAsia="zh-CN"/>
              </w:rPr>
              <w:t>为</w:t>
            </w:r>
            <w:r>
              <w:rPr>
                <w:rFonts w:hint="default" w:hAnsi="Cambria Math"/>
                <w:i w:val="0"/>
                <w:sz w:val="24"/>
                <w:szCs w:val="24"/>
                <w:u w:val="none" w:color="auto"/>
                <w:lang w:val="en-US" w:eastAsia="zh-CN"/>
              </w:rPr>
              <w:t>L</w:t>
            </w:r>
            <w:r>
              <w:rPr>
                <w:rFonts w:hint="default" w:hAnsi="Cambria Math"/>
                <w:i w:val="0"/>
                <w:sz w:val="24"/>
                <w:szCs w:val="24"/>
                <w:u w:val="none" w:color="auto"/>
                <w:vertAlign w:val="subscript"/>
                <w:lang w:val="en-US" w:eastAsia="zh-CN"/>
              </w:rPr>
              <w:t>Aj</w:t>
            </w:r>
            <w:r>
              <w:rPr>
                <w:rFonts w:hint="default" w:hAnsi="Cambria Math"/>
                <w:i w:val="0"/>
                <w:sz w:val="24"/>
                <w:szCs w:val="24"/>
                <w:u w:val="none" w:color="auto"/>
                <w:lang w:val="en-US" w:eastAsia="zh-CN"/>
              </w:rPr>
              <w:t>，在T时间内该声源工作时间为t</w:t>
            </w:r>
            <w:r>
              <w:rPr>
                <w:rFonts w:hint="default" w:hAnsi="Cambria Math"/>
                <w:i w:val="0"/>
                <w:sz w:val="24"/>
                <w:szCs w:val="24"/>
                <w:u w:val="none" w:color="auto"/>
                <w:vertAlign w:val="subscript"/>
                <w:lang w:val="en-US" w:eastAsia="zh-CN"/>
              </w:rPr>
              <w:t>j</w:t>
            </w:r>
            <w:r>
              <w:rPr>
                <w:rFonts w:hint="default" w:hAnsi="Cambria Math"/>
                <w:i w:val="0"/>
                <w:sz w:val="24"/>
                <w:szCs w:val="24"/>
                <w:u w:val="none" w:color="auto"/>
                <w:lang w:val="en-US" w:eastAsia="zh-CN"/>
              </w:rPr>
              <w:t>，则拟建工程声源对预测点的贡献值</w:t>
            </w:r>
            <w:r>
              <w:rPr>
                <w:rFonts w:hint="eastAsia" w:hAnsi="Cambria Math"/>
                <w:i w:val="0"/>
                <w:sz w:val="24"/>
                <w:szCs w:val="24"/>
                <w:u w:val="none" w:color="auto"/>
                <w:lang w:val="en-US" w:eastAsia="zh-CN"/>
              </w:rPr>
              <w:t>（</w:t>
            </w:r>
            <w:r>
              <w:rPr>
                <w:rFonts w:hint="default" w:hAnsi="Cambria Math"/>
                <w:i w:val="0"/>
                <w:sz w:val="24"/>
                <w:szCs w:val="24"/>
                <w:u w:val="none" w:color="auto"/>
                <w:lang w:val="en-US" w:eastAsia="zh-CN"/>
              </w:rPr>
              <w:t>Leqg</w:t>
            </w:r>
            <w:r>
              <w:rPr>
                <w:rFonts w:hint="eastAsia" w:hAnsi="Cambria Math"/>
                <w:i w:val="0"/>
                <w:sz w:val="24"/>
                <w:szCs w:val="24"/>
                <w:u w:val="none" w:color="auto"/>
                <w:lang w:val="en-US" w:eastAsia="zh-CN"/>
              </w:rPr>
              <w:t>）</w:t>
            </w:r>
            <w:r>
              <w:rPr>
                <w:rFonts w:hint="default" w:hAnsi="Cambria Math"/>
                <w:i w:val="0"/>
                <w:sz w:val="24"/>
                <w:szCs w:val="24"/>
                <w:u w:val="none" w:color="auto"/>
                <w:lang w:val="en-US" w:eastAsia="zh-CN"/>
              </w:rPr>
              <w:t>为：</w:t>
            </w:r>
          </w:p>
          <w:p>
            <w:pPr>
              <w:spacing w:line="360" w:lineRule="auto"/>
              <w:jc w:val="center"/>
              <w:rPr>
                <w:rFonts w:hint="default" w:hAnsi="Cambria Math"/>
                <w:i w:val="0"/>
                <w:sz w:val="24"/>
                <w:szCs w:val="24"/>
                <w:u w:val="none" w:color="auto"/>
                <w:lang w:val="en-US" w:eastAsia="zh-CN"/>
              </w:rPr>
            </w:pPr>
            <w:r>
              <w:rPr>
                <w:rFonts w:hint="default" w:hAnsi="Cambria Math"/>
                <w:i w:val="0"/>
                <w:sz w:val="24"/>
                <w:szCs w:val="24"/>
                <w:u w:val="none" w:color="auto"/>
                <w:lang w:val="en-US" w:eastAsia="zh-CN"/>
              </w:rPr>
              <w:object>
                <v:shape id="_x0000_i1030" o:spt="75" type="#_x0000_t75" style="height:39.75pt;width:221.25pt;" o:ole="t" filled="f" o:preferrelative="t" stroked="f" coordsize="21600,21600">
                  <v:path/>
                  <v:fill on="f" focussize="0,0"/>
                  <v:stroke on="f"/>
                  <v:imagedata r:id="rId29" o:title=""/>
                  <o:lock v:ext="edit" aspectratio="t"/>
                  <w10:wrap type="none"/>
                  <w10:anchorlock/>
                </v:shape>
                <o:OLEObject Type="Embed" ProgID="Equation.3" ShapeID="_x0000_i1030" DrawAspect="Content" ObjectID="_1468075730" r:id="rId28">
                  <o:LockedField>false</o:LockedField>
                </o:OLEObject>
              </w:object>
            </w:r>
          </w:p>
          <w:p>
            <w:pPr>
              <w:bidi w:val="0"/>
              <w:spacing w:line="360" w:lineRule="auto"/>
              <w:ind w:firstLine="480" w:firstLineChars="200"/>
              <w:jc w:val="both"/>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式中：</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L</w:t>
            </w:r>
            <w:r>
              <w:rPr>
                <w:rFonts w:hint="default" w:ascii="Times New Roman" w:hAnsi="Times New Roman" w:eastAsia="宋体" w:cs="Times New Roman"/>
                <w:sz w:val="24"/>
                <w:szCs w:val="24"/>
                <w:u w:val="none" w:color="auto"/>
                <w:vertAlign w:val="subscript"/>
                <w:lang w:val="en-US" w:eastAsia="zh-CN"/>
              </w:rPr>
              <w:t>eqg</w:t>
            </w:r>
            <w:r>
              <w:rPr>
                <w:rFonts w:hint="default" w:ascii="Times New Roman" w:hAnsi="Times New Roman" w:eastAsia="宋体" w:cs="Times New Roman"/>
                <w:sz w:val="24"/>
                <w:szCs w:val="24"/>
                <w:u w:val="none" w:color="auto"/>
                <w:lang w:val="en-US" w:eastAsia="zh-CN"/>
              </w:rPr>
              <w:t>——</w:t>
            </w:r>
            <w:r>
              <w:rPr>
                <w:rFonts w:hint="eastAsia" w:ascii="Times New Roman" w:hAnsi="Times New Roman" w:eastAsia="宋体" w:cs="Times New Roman"/>
                <w:sz w:val="24"/>
                <w:szCs w:val="24"/>
                <w:u w:val="none" w:color="auto"/>
                <w:lang w:val="en-US" w:eastAsia="zh-CN"/>
              </w:rPr>
              <w:t>建设项目声源在预测点产生的噪声贡献值，</w:t>
            </w:r>
            <w:r>
              <w:rPr>
                <w:rFonts w:hint="default" w:ascii="Times New Roman" w:hAnsi="Times New Roman" w:eastAsia="宋体" w:cs="Times New Roman"/>
                <w:sz w:val="24"/>
                <w:szCs w:val="24"/>
                <w:u w:val="none" w:color="auto"/>
                <w:lang w:val="en-US" w:eastAsia="zh-CN"/>
              </w:rPr>
              <w:t>dB</w:t>
            </w:r>
            <w:r>
              <w:rPr>
                <w:rFonts w:hint="eastAsia" w:ascii="Times New Roman" w:hAnsi="Times New Roman" w:eastAsia="宋体" w:cs="Times New Roman"/>
                <w:sz w:val="24"/>
                <w:szCs w:val="24"/>
                <w:u w:val="none" w:color="auto"/>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T－计算等效声级的时间；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N－室外声源个数；M－等效室外声源个数；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t</w:t>
            </w:r>
            <w:r>
              <w:rPr>
                <w:rFonts w:hint="default" w:ascii="Times New Roman" w:hAnsi="Times New Roman" w:eastAsia="宋体" w:cs="Times New Roman"/>
                <w:sz w:val="24"/>
                <w:szCs w:val="24"/>
                <w:u w:val="none" w:color="auto"/>
                <w:vertAlign w:val="subscript"/>
                <w:lang w:val="en-US" w:eastAsia="zh-CN"/>
              </w:rPr>
              <w:t>j</w:t>
            </w:r>
            <w:r>
              <w:rPr>
                <w:rFonts w:hint="default" w:ascii="Times New Roman" w:hAnsi="Times New Roman" w:eastAsia="宋体" w:cs="Times New Roman"/>
                <w:sz w:val="24"/>
                <w:szCs w:val="24"/>
                <w:u w:val="none" w:color="auto"/>
                <w:lang w:val="en-US" w:eastAsia="zh-CN"/>
              </w:rPr>
              <w:t>－在T时间内j声源工作时间，s；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t</w:t>
            </w:r>
            <w:r>
              <w:rPr>
                <w:rFonts w:hint="default" w:ascii="Times New Roman" w:hAnsi="Times New Roman" w:eastAsia="宋体" w:cs="Times New Roman"/>
                <w:sz w:val="24"/>
                <w:szCs w:val="24"/>
                <w:u w:val="none" w:color="auto"/>
                <w:vertAlign w:val="subscript"/>
                <w:lang w:val="en-US" w:eastAsia="zh-CN"/>
              </w:rPr>
              <w:t>i</w:t>
            </w:r>
            <w:r>
              <w:rPr>
                <w:rFonts w:hint="default" w:ascii="Times New Roman" w:hAnsi="Times New Roman" w:eastAsia="宋体" w:cs="Times New Roman"/>
                <w:sz w:val="24"/>
                <w:szCs w:val="24"/>
                <w:u w:val="none" w:color="auto"/>
                <w:lang w:val="en-US" w:eastAsia="zh-CN"/>
              </w:rPr>
              <w:t>－在T时间内i声源工作时间，s。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u w:val="none" w:color="auto"/>
                <w:lang w:val="en-US" w:eastAsia="zh-CN"/>
              </w:rPr>
            </w:pPr>
            <w:r>
              <w:rPr>
                <w:rFonts w:hint="eastAsia" w:cs="Times New Roman"/>
                <w:sz w:val="24"/>
                <w:szCs w:val="24"/>
                <w:u w:val="none" w:color="auto"/>
                <w:lang w:val="en-US" w:eastAsia="zh-CN"/>
              </w:rPr>
              <w:fldChar w:fldCharType="begin"/>
            </w:r>
            <w:r>
              <w:rPr>
                <w:rFonts w:hint="eastAsia" w:cs="Times New Roman"/>
                <w:sz w:val="24"/>
                <w:szCs w:val="24"/>
                <w:u w:val="none" w:color="auto"/>
                <w:lang w:val="en-US" w:eastAsia="zh-CN"/>
              </w:rPr>
              <w:instrText xml:space="preserve"> = 7 \* GB3 \* MERGEFORMAT </w:instrText>
            </w:r>
            <w:r>
              <w:rPr>
                <w:rFonts w:hint="eastAsia" w:cs="Times New Roman"/>
                <w:sz w:val="24"/>
                <w:szCs w:val="24"/>
                <w:u w:val="none" w:color="auto"/>
                <w:lang w:val="en-US" w:eastAsia="zh-CN"/>
              </w:rPr>
              <w:fldChar w:fldCharType="separate"/>
            </w:r>
            <w:r>
              <w:rPr>
                <w:u w:val="none" w:color="auto"/>
              </w:rPr>
              <w:t>⑦</w:t>
            </w:r>
            <w:r>
              <w:rPr>
                <w:rFonts w:hint="eastAsia" w:cs="Times New Roman"/>
                <w:sz w:val="24"/>
                <w:szCs w:val="24"/>
                <w:u w:val="none" w:color="auto"/>
                <w:lang w:val="en-US" w:eastAsia="zh-CN"/>
              </w:rPr>
              <w:fldChar w:fldCharType="end"/>
            </w:r>
            <w:r>
              <w:rPr>
                <w:rFonts w:hint="eastAsia" w:cs="Times New Roman"/>
                <w:sz w:val="24"/>
                <w:szCs w:val="24"/>
                <w:u w:val="none" w:color="auto"/>
                <w:lang w:val="en-US" w:eastAsia="zh-CN"/>
              </w:rPr>
              <w:t>预测值计算</w:t>
            </w:r>
          </w:p>
          <w:p>
            <w:pPr>
              <w:numPr>
                <w:ilvl w:val="0"/>
                <w:numId w:val="0"/>
              </w:numPr>
              <w:bidi w:val="0"/>
              <w:spacing w:line="360" w:lineRule="auto"/>
              <w:jc w:val="center"/>
              <w:rPr>
                <w:rFonts w:hint="default" w:cs="Times New Roman"/>
                <w:sz w:val="24"/>
                <w:szCs w:val="24"/>
                <w:u w:val="none" w:color="auto"/>
                <w:lang w:val="en-US" w:eastAsia="zh-CN"/>
              </w:rPr>
            </w:pPr>
            <w:r>
              <w:rPr>
                <w:rFonts w:hint="default" w:cs="Times New Roman"/>
                <w:position w:val="-14"/>
                <w:sz w:val="24"/>
                <w:szCs w:val="24"/>
                <w:u w:val="none" w:color="auto"/>
                <w:lang w:val="en-US" w:eastAsia="zh-CN"/>
              </w:rPr>
              <w:object>
                <v:shape id="_x0000_i1031" o:spt="75" type="#_x0000_t75" style="height:21pt;width:135pt;" o:ole="t" filled="f" o:preferrelative="t" stroked="f" coordsize="21600,21600">
                  <v:path/>
                  <v:fill on="f" focussize="0,0"/>
                  <v:stroke on="f"/>
                  <v:imagedata r:id="rId31" o:title=""/>
                  <o:lock v:ext="edit" aspectratio="t"/>
                  <w10:wrap type="none"/>
                  <w10:anchorlock/>
                </v:shape>
                <o:OLEObject Type="Embed" ProgID="Equation.KSEE3" ShapeID="_x0000_i1031" DrawAspect="Content" ObjectID="_1468075731" r:id="rId30">
                  <o:LockedField>false</o:LockedField>
                </o:OLEObject>
              </w:object>
            </w:r>
          </w:p>
          <w:p>
            <w:pPr>
              <w:numPr>
                <w:ilvl w:val="0"/>
                <w:numId w:val="0"/>
              </w:numPr>
              <w:bidi w:val="0"/>
              <w:spacing w:line="360" w:lineRule="auto"/>
              <w:ind w:firstLine="480" w:firstLineChars="200"/>
              <w:jc w:val="both"/>
              <w:rPr>
                <w:rFonts w:hint="eastAsia" w:cs="Times New Roman"/>
                <w:sz w:val="24"/>
                <w:szCs w:val="24"/>
                <w:u w:val="none" w:color="auto"/>
                <w:lang w:val="en-US" w:eastAsia="zh-CN"/>
              </w:rPr>
            </w:pPr>
            <w:r>
              <w:rPr>
                <w:rFonts w:hint="eastAsia" w:cs="Times New Roman"/>
                <w:sz w:val="24"/>
                <w:szCs w:val="24"/>
                <w:u w:val="none" w:color="auto"/>
                <w:lang w:val="en-US" w:eastAsia="zh-CN"/>
              </w:rPr>
              <w:t>式中：</w:t>
            </w:r>
          </w:p>
          <w:p>
            <w:pPr>
              <w:numPr>
                <w:ilvl w:val="0"/>
                <w:numId w:val="0"/>
              </w:numPr>
              <w:bidi w:val="0"/>
              <w:spacing w:line="360" w:lineRule="auto"/>
              <w:ind w:firstLine="480" w:firstLineChars="200"/>
              <w:jc w:val="both"/>
              <w:rPr>
                <w:rFonts w:hint="eastAsia" w:cs="Times New Roman"/>
                <w:sz w:val="24"/>
                <w:szCs w:val="24"/>
                <w:u w:val="none" w:color="auto"/>
                <w:lang w:val="en-US" w:eastAsia="zh-CN"/>
              </w:rPr>
            </w:pPr>
            <w:r>
              <w:rPr>
                <w:rFonts w:hint="eastAsia" w:cs="Times New Roman"/>
                <w:sz w:val="24"/>
                <w:szCs w:val="24"/>
                <w:u w:val="none" w:color="auto"/>
                <w:lang w:val="en-US" w:eastAsia="zh-CN"/>
              </w:rPr>
              <w:t>L</w:t>
            </w:r>
            <w:r>
              <w:rPr>
                <w:rFonts w:hint="eastAsia" w:cs="Times New Roman"/>
                <w:sz w:val="24"/>
                <w:szCs w:val="24"/>
                <w:u w:val="none" w:color="auto"/>
                <w:vertAlign w:val="subscript"/>
                <w:lang w:val="en-US" w:eastAsia="zh-CN"/>
              </w:rPr>
              <w:t>eq</w:t>
            </w:r>
            <w:r>
              <w:rPr>
                <w:rFonts w:hint="default" w:ascii="Times New Roman" w:hAnsi="Times New Roman" w:cs="Times New Roman"/>
                <w:sz w:val="24"/>
                <w:szCs w:val="24"/>
                <w:u w:val="none" w:color="auto"/>
                <w:lang w:val="en-US" w:eastAsia="zh-CN"/>
              </w:rPr>
              <w:t>——</w:t>
            </w:r>
            <w:r>
              <w:rPr>
                <w:rFonts w:hint="eastAsia" w:cs="Times New Roman"/>
                <w:sz w:val="24"/>
                <w:szCs w:val="24"/>
                <w:u w:val="none" w:color="auto"/>
                <w:lang w:val="en-US" w:eastAsia="zh-CN"/>
              </w:rPr>
              <w:t>预测点的噪声预测值，dB；</w:t>
            </w:r>
          </w:p>
          <w:p>
            <w:pPr>
              <w:numPr>
                <w:ilvl w:val="0"/>
                <w:numId w:val="0"/>
              </w:numPr>
              <w:bidi w:val="0"/>
              <w:spacing w:line="360" w:lineRule="auto"/>
              <w:ind w:firstLine="480" w:firstLineChars="200"/>
              <w:jc w:val="both"/>
              <w:rPr>
                <w:rFonts w:hint="eastAsia" w:cs="Times New Roman"/>
                <w:sz w:val="24"/>
                <w:szCs w:val="24"/>
                <w:u w:val="none" w:color="auto"/>
                <w:lang w:val="en-US" w:eastAsia="zh-CN"/>
              </w:rPr>
            </w:pPr>
            <w:r>
              <w:rPr>
                <w:rFonts w:hint="eastAsia" w:cs="Times New Roman"/>
                <w:sz w:val="24"/>
                <w:szCs w:val="24"/>
                <w:u w:val="none" w:color="auto"/>
                <w:lang w:val="en-US" w:eastAsia="zh-CN"/>
              </w:rPr>
              <w:t>L</w:t>
            </w:r>
            <w:r>
              <w:rPr>
                <w:rFonts w:hint="eastAsia" w:cs="Times New Roman"/>
                <w:sz w:val="24"/>
                <w:szCs w:val="24"/>
                <w:u w:val="none" w:color="auto"/>
                <w:vertAlign w:val="subscript"/>
                <w:lang w:val="en-US" w:eastAsia="zh-CN"/>
              </w:rPr>
              <w:t>eqg</w:t>
            </w:r>
            <w:r>
              <w:rPr>
                <w:rFonts w:hint="default" w:ascii="Times New Roman" w:hAnsi="Times New Roman" w:cs="Times New Roman"/>
                <w:sz w:val="24"/>
                <w:szCs w:val="24"/>
                <w:u w:val="none" w:color="auto"/>
                <w:lang w:val="en-US" w:eastAsia="zh-CN"/>
              </w:rPr>
              <w:t>——</w:t>
            </w:r>
            <w:r>
              <w:rPr>
                <w:rFonts w:hint="eastAsia" w:cs="Times New Roman"/>
                <w:sz w:val="24"/>
                <w:szCs w:val="24"/>
                <w:u w:val="none" w:color="auto"/>
                <w:lang w:val="en-US" w:eastAsia="zh-CN"/>
              </w:rPr>
              <w:t>建设项目声源在预测点产生的噪声贡献值，dB；</w:t>
            </w:r>
          </w:p>
          <w:p>
            <w:pPr>
              <w:widowControl w:val="0"/>
              <w:wordWrap w:val="0"/>
              <w:topLinePunct/>
              <w:spacing w:line="360" w:lineRule="auto"/>
              <w:ind w:firstLine="480" w:firstLineChars="200"/>
              <w:jc w:val="both"/>
              <w:rPr>
                <w:rFonts w:hint="eastAsia" w:cs="Times New Roman"/>
                <w:sz w:val="24"/>
                <w:szCs w:val="24"/>
                <w:u w:val="none" w:color="auto"/>
                <w:lang w:val="en-US" w:eastAsia="zh-CN"/>
              </w:rPr>
            </w:pPr>
            <w:r>
              <w:rPr>
                <w:rFonts w:hint="eastAsia" w:cs="Times New Roman"/>
                <w:sz w:val="24"/>
                <w:szCs w:val="24"/>
                <w:u w:val="none" w:color="auto"/>
                <w:lang w:val="en-US" w:eastAsia="zh-CN"/>
              </w:rPr>
              <w:t>L</w:t>
            </w:r>
            <w:r>
              <w:rPr>
                <w:rFonts w:hint="eastAsia" w:cs="Times New Roman"/>
                <w:sz w:val="24"/>
                <w:szCs w:val="24"/>
                <w:u w:val="none" w:color="auto"/>
                <w:vertAlign w:val="subscript"/>
                <w:lang w:val="en-US" w:eastAsia="zh-CN"/>
              </w:rPr>
              <w:t>eqb</w:t>
            </w:r>
            <w:r>
              <w:rPr>
                <w:rFonts w:hint="default" w:ascii="Times New Roman" w:hAnsi="Times New Roman" w:cs="Times New Roman"/>
                <w:sz w:val="24"/>
                <w:szCs w:val="24"/>
                <w:u w:val="none" w:color="auto"/>
                <w:lang w:val="en-US" w:eastAsia="zh-CN"/>
              </w:rPr>
              <w:t>——</w:t>
            </w:r>
            <w:r>
              <w:rPr>
                <w:rFonts w:hint="eastAsia" w:cs="Times New Roman"/>
                <w:sz w:val="24"/>
                <w:szCs w:val="24"/>
                <w:u w:val="none" w:color="auto"/>
                <w:lang w:val="en-US" w:eastAsia="zh-CN"/>
              </w:rPr>
              <w:t>预测点的背景噪声值，dB。</w:t>
            </w:r>
          </w:p>
          <w:p>
            <w:pPr>
              <w:widowControl w:val="0"/>
              <w:wordWrap w:val="0"/>
              <w:topLinePunct/>
              <w:spacing w:line="360" w:lineRule="auto"/>
              <w:ind w:firstLine="480" w:firstLineChars="200"/>
              <w:jc w:val="both"/>
              <w:rPr>
                <w:rFonts w:hint="default" w:ascii="Times New Roman" w:hAnsi="Times New Roman" w:eastAsia="宋体" w:cs="Times New Roman"/>
                <w:color w:val="auto"/>
                <w:u w:val="none" w:color="auto"/>
                <w:lang w:val="en-US" w:bidi="zh-CN"/>
              </w:rPr>
            </w:pPr>
            <w:r>
              <w:rPr>
                <w:rFonts w:hint="default" w:ascii="Times New Roman" w:hAnsi="Times New Roman" w:eastAsia="宋体" w:cs="Times New Roman"/>
                <w:color w:val="auto"/>
                <w:u w:val="none" w:color="auto"/>
                <w:lang w:val="zh-CN" w:bidi="zh-CN"/>
              </w:rPr>
              <w:t>（</w:t>
            </w:r>
            <w:r>
              <w:rPr>
                <w:rFonts w:hint="eastAsia" w:cs="Times New Roman"/>
                <w:color w:val="auto"/>
                <w:u w:val="none" w:color="auto"/>
                <w:lang w:val="en-US" w:bidi="zh-CN"/>
              </w:rPr>
              <w:t>2</w:t>
            </w:r>
            <w:r>
              <w:rPr>
                <w:rFonts w:hint="default" w:ascii="Times New Roman" w:hAnsi="Times New Roman" w:eastAsia="宋体" w:cs="Times New Roman"/>
                <w:color w:val="auto"/>
                <w:u w:val="none" w:color="auto"/>
                <w:lang w:val="zh-CN" w:bidi="zh-CN"/>
              </w:rPr>
              <w:t>）</w:t>
            </w:r>
            <w:r>
              <w:rPr>
                <w:rFonts w:hint="eastAsia" w:ascii="Times New Roman" w:hAnsi="Times New Roman" w:eastAsia="宋体" w:cs="Times New Roman"/>
                <w:color w:val="auto"/>
                <w:u w:val="none" w:color="auto"/>
                <w:lang w:val="en-US" w:bidi="zh-CN"/>
              </w:rPr>
              <w:t>预测参数</w:t>
            </w:r>
          </w:p>
          <w:p>
            <w:pPr>
              <w:widowControl w:val="0"/>
              <w:wordWrap w:val="0"/>
              <w:topLinePunct/>
              <w:spacing w:line="360" w:lineRule="auto"/>
              <w:ind w:firstLine="476" w:firstLineChars="200"/>
              <w:jc w:val="both"/>
              <w:rPr>
                <w:rFonts w:hint="eastAsia" w:eastAsia="宋体" w:cs="Times New Roman"/>
                <w:sz w:val="24"/>
                <w:szCs w:val="24"/>
                <w:u w:val="none" w:color="auto"/>
                <w:lang w:val="zh-CN" w:eastAsia="zh-CN"/>
              </w:rPr>
            </w:pPr>
            <w:r>
              <w:rPr>
                <w:rFonts w:ascii="宋体" w:hAnsi="宋体" w:eastAsia="宋体" w:cs="宋体"/>
                <w:spacing w:val="-1"/>
                <w:position w:val="17"/>
                <w:sz w:val="24"/>
                <w:szCs w:val="24"/>
                <w:u w:val="none" w:color="auto"/>
              </w:rPr>
              <w:t>本次环评查采用声环境影响预测辅助软件</w:t>
            </w:r>
            <w:r>
              <w:rPr>
                <w:rFonts w:hint="default" w:ascii="Times New Roman" w:hAnsi="Times New Roman" w:eastAsia="宋体" w:cs="Times New Roman"/>
                <w:spacing w:val="-1"/>
                <w:position w:val="17"/>
                <w:sz w:val="24"/>
                <w:szCs w:val="24"/>
                <w:u w:val="none" w:color="auto"/>
                <w:lang w:val="en-US" w:eastAsia="zh-CN"/>
              </w:rPr>
              <w:t>E</w:t>
            </w:r>
            <w:r>
              <w:rPr>
                <w:rFonts w:ascii="Times New Roman" w:hAnsi="Times New Roman" w:eastAsia="Times New Roman" w:cs="Times New Roman"/>
                <w:spacing w:val="-1"/>
                <w:position w:val="17"/>
                <w:sz w:val="24"/>
                <w:szCs w:val="24"/>
                <w:u w:val="none" w:color="auto"/>
              </w:rPr>
              <w:t>IAProN2021</w:t>
            </w:r>
            <w:r>
              <w:rPr>
                <w:rFonts w:ascii="宋体" w:hAnsi="宋体" w:eastAsia="宋体" w:cs="宋体"/>
                <w:spacing w:val="-1"/>
                <w:position w:val="17"/>
                <w:sz w:val="24"/>
                <w:szCs w:val="24"/>
                <w:u w:val="none" w:color="auto"/>
              </w:rPr>
              <w:t>进行预测</w:t>
            </w:r>
            <w:r>
              <w:rPr>
                <w:rFonts w:hint="eastAsia" w:ascii="宋体" w:hAnsi="宋体" w:cs="宋体"/>
                <w:spacing w:val="-1"/>
                <w:position w:val="17"/>
                <w:sz w:val="24"/>
                <w:szCs w:val="24"/>
                <w:u w:val="none" w:color="auto"/>
                <w:lang w:eastAsia="zh-CN"/>
              </w:rPr>
              <w:t>，</w:t>
            </w:r>
            <w:r>
              <w:rPr>
                <w:rFonts w:ascii="宋体" w:hAnsi="宋体" w:eastAsia="宋体" w:cs="宋体"/>
                <w:spacing w:val="-1"/>
                <w:position w:val="17"/>
                <w:sz w:val="24"/>
                <w:szCs w:val="24"/>
                <w:u w:val="none" w:color="auto"/>
              </w:rPr>
              <w:t>一般</w:t>
            </w:r>
            <w:r>
              <w:rPr>
                <w:rFonts w:hint="eastAsia" w:ascii="宋体" w:hAnsi="宋体" w:eastAsia="宋体" w:cs="宋体"/>
                <w:spacing w:val="-1"/>
                <w:position w:val="17"/>
                <w:sz w:val="24"/>
                <w:szCs w:val="24"/>
                <w:u w:val="none" w:color="auto"/>
                <w:lang w:val="en-US" w:eastAsia="zh-CN"/>
              </w:rPr>
              <w:t>砖混墙体结构</w:t>
            </w:r>
            <w:r>
              <w:rPr>
                <w:rFonts w:ascii="宋体" w:hAnsi="宋体" w:eastAsia="宋体" w:cs="宋体"/>
                <w:spacing w:val="-1"/>
                <w:position w:val="17"/>
                <w:sz w:val="24"/>
                <w:szCs w:val="24"/>
                <w:u w:val="none" w:color="auto"/>
              </w:rPr>
              <w:t>层隔声量约</w:t>
            </w:r>
            <w:r>
              <w:rPr>
                <w:rFonts w:hint="default" w:ascii="Times New Roman" w:hAnsi="Times New Roman" w:eastAsia="宋体" w:cs="Times New Roman"/>
                <w:spacing w:val="-1"/>
                <w:position w:val="17"/>
                <w:sz w:val="24"/>
                <w:szCs w:val="24"/>
                <w:u w:val="none" w:color="auto"/>
                <w:lang w:val="en-US" w:eastAsia="zh-CN"/>
              </w:rPr>
              <w:t>20</w:t>
            </w:r>
            <w:r>
              <w:rPr>
                <w:rFonts w:hint="default" w:ascii="Times New Roman" w:hAnsi="Times New Roman" w:eastAsia="宋体" w:cs="Times New Roman"/>
                <w:spacing w:val="-1"/>
                <w:position w:val="17"/>
                <w:sz w:val="24"/>
                <w:szCs w:val="24"/>
                <w:u w:val="none" w:color="auto"/>
              </w:rPr>
              <w:t>~30dB(A)</w:t>
            </w:r>
            <w:r>
              <w:rPr>
                <w:rFonts w:ascii="宋体" w:hAnsi="宋体" w:eastAsia="宋体" w:cs="宋体"/>
                <w:spacing w:val="-1"/>
                <w:position w:val="17"/>
                <w:sz w:val="24"/>
                <w:szCs w:val="24"/>
                <w:u w:val="none" w:color="auto"/>
              </w:rPr>
              <w:t>，本次预</w:t>
            </w:r>
            <w:r>
              <w:rPr>
                <w:rFonts w:ascii="宋体" w:hAnsi="宋体" w:eastAsia="宋体" w:cs="宋体"/>
                <w:spacing w:val="-2"/>
                <w:position w:val="17"/>
                <w:sz w:val="24"/>
                <w:szCs w:val="24"/>
                <w:u w:val="none" w:color="auto"/>
              </w:rPr>
              <w:t>测取最低</w:t>
            </w:r>
            <w:r>
              <w:rPr>
                <w:rFonts w:hint="eastAsia" w:ascii="宋体" w:hAnsi="宋体" w:cs="宋体"/>
                <w:spacing w:val="-2"/>
                <w:position w:val="17"/>
                <w:sz w:val="24"/>
                <w:szCs w:val="24"/>
                <w:u w:val="none" w:color="auto"/>
                <w:lang w:val="en-US" w:eastAsia="zh-CN"/>
              </w:rPr>
              <w:t>值</w:t>
            </w:r>
            <w:r>
              <w:rPr>
                <w:rFonts w:hint="default" w:ascii="Times New Roman" w:hAnsi="Times New Roman" w:cs="Times New Roman"/>
                <w:spacing w:val="-2"/>
                <w:position w:val="17"/>
                <w:sz w:val="24"/>
                <w:szCs w:val="24"/>
                <w:u w:val="none" w:color="auto"/>
                <w:lang w:val="en-US" w:eastAsia="zh-CN"/>
              </w:rPr>
              <w:t>2</w:t>
            </w:r>
            <w:r>
              <w:rPr>
                <w:rFonts w:hint="default" w:ascii="Times New Roman" w:hAnsi="Times New Roman" w:eastAsia="宋体" w:cs="Times New Roman"/>
                <w:spacing w:val="-1"/>
                <w:position w:val="17"/>
                <w:sz w:val="24"/>
                <w:szCs w:val="24"/>
                <w:u w:val="none" w:color="auto"/>
              </w:rPr>
              <w:t>0dB(A)</w:t>
            </w:r>
            <w:r>
              <w:rPr>
                <w:rFonts w:hint="eastAsia" w:ascii="宋体" w:hAnsi="宋体" w:cs="宋体"/>
                <w:spacing w:val="-2"/>
                <w:position w:val="17"/>
                <w:sz w:val="24"/>
                <w:szCs w:val="24"/>
                <w:u w:val="none" w:color="auto"/>
                <w:lang w:eastAsia="zh-CN"/>
              </w:rPr>
              <w:t>。</w:t>
            </w:r>
          </w:p>
          <w:p>
            <w:pPr>
              <w:widowControl w:val="0"/>
              <w:wordWrap w:val="0"/>
              <w:topLinePunct/>
              <w:spacing w:line="360" w:lineRule="auto"/>
              <w:ind w:firstLine="480" w:firstLineChars="200"/>
              <w:jc w:val="both"/>
              <w:rPr>
                <w:rFonts w:hint="default" w:ascii="Times New Roman" w:hAnsi="Times New Roman" w:eastAsia="宋体" w:cs="Times New Roman"/>
                <w:color w:val="auto"/>
                <w:u w:val="none" w:color="auto"/>
                <w:lang w:val="en-US" w:bidi="zh-CN"/>
              </w:rPr>
            </w:pPr>
            <w:r>
              <w:rPr>
                <w:rFonts w:hint="default" w:ascii="Times New Roman" w:hAnsi="Times New Roman" w:eastAsia="宋体" w:cs="Times New Roman"/>
                <w:color w:val="auto"/>
                <w:u w:val="none" w:color="auto"/>
                <w:lang w:val="zh-CN" w:bidi="zh-CN"/>
              </w:rPr>
              <w:t>（</w:t>
            </w:r>
            <w:r>
              <w:rPr>
                <w:rFonts w:hint="eastAsia" w:cs="Times New Roman"/>
                <w:color w:val="auto"/>
                <w:u w:val="none" w:color="auto"/>
                <w:lang w:val="en-US" w:bidi="zh-CN"/>
              </w:rPr>
              <w:t>3</w:t>
            </w:r>
            <w:r>
              <w:rPr>
                <w:rFonts w:hint="default" w:ascii="Times New Roman" w:hAnsi="Times New Roman" w:eastAsia="宋体" w:cs="Times New Roman"/>
                <w:color w:val="auto"/>
                <w:u w:val="none" w:color="auto"/>
                <w:lang w:val="zh-CN" w:bidi="zh-CN"/>
              </w:rPr>
              <w:t>）</w:t>
            </w:r>
            <w:r>
              <w:rPr>
                <w:rFonts w:hint="eastAsia" w:ascii="Times New Roman" w:hAnsi="Times New Roman" w:eastAsia="宋体" w:cs="Times New Roman"/>
                <w:color w:val="auto"/>
                <w:u w:val="none" w:color="auto"/>
                <w:lang w:val="en-US" w:bidi="zh-CN"/>
              </w:rPr>
              <w:t>预测结果</w:t>
            </w:r>
            <w:r>
              <w:rPr>
                <w:rFonts w:hint="eastAsia" w:cs="Times New Roman"/>
                <w:color w:val="auto"/>
                <w:u w:val="none" w:color="auto"/>
                <w:lang w:val="en-US" w:bidi="zh-CN"/>
              </w:rPr>
              <w:t>及分析</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按前述预测参数条件，</w:t>
            </w:r>
            <w:r>
              <w:rPr>
                <w:rFonts w:hint="eastAsia" w:ascii="Times New Roman" w:hAnsi="Times New Roman" w:eastAsia="宋体" w:cs="Times New Roman"/>
                <w:color w:val="000000"/>
                <w:u w:val="none" w:color="auto"/>
                <w:lang w:val="zh-CN" w:bidi="zh-CN"/>
              </w:rPr>
              <w:t>根据建设项目主要噪声设备</w:t>
            </w:r>
            <w:r>
              <w:rPr>
                <w:rFonts w:hint="eastAsia" w:ascii="Times New Roman" w:hAnsi="Times New Roman" w:eastAsia="宋体" w:cs="Times New Roman"/>
                <w:color w:val="000000"/>
                <w:u w:val="none" w:color="auto"/>
                <w:lang w:val="en-US" w:eastAsia="zh-CN" w:bidi="zh-CN"/>
              </w:rPr>
              <w:t>经采取相应治理措施后的噪声值，</w:t>
            </w:r>
            <w:r>
              <w:rPr>
                <w:rFonts w:hint="eastAsia" w:ascii="Times New Roman" w:hAnsi="Times New Roman" w:eastAsia="宋体" w:cs="Times New Roman"/>
                <w:color w:val="auto"/>
                <w:kern w:val="2"/>
                <w:sz w:val="24"/>
                <w:szCs w:val="24"/>
                <w:u w:val="none" w:color="auto"/>
                <w:lang w:val="en-US" w:eastAsia="zh-CN" w:bidi="ar-SA"/>
              </w:rPr>
              <w:t>厂界噪声预测结果见下表。</w:t>
            </w:r>
          </w:p>
          <w:p>
            <w:pPr>
              <w:widowControl w:val="0"/>
              <w:bidi w:val="0"/>
              <w:jc w:val="center"/>
              <w:rPr>
                <w:rFonts w:hint="default" w:ascii="Times New Roman" w:hAnsi="Times New Roman" w:eastAsia="宋体" w:cs="Times New Roman"/>
                <w:b/>
                <w:bCs/>
                <w:color w:val="auto"/>
                <w:kern w:val="2"/>
                <w:sz w:val="21"/>
                <w:szCs w:val="24"/>
                <w:highlight w:val="none"/>
                <w:u w:val="none"/>
                <w:lang w:val="en-US" w:eastAsia="zh-CN" w:bidi="ar-SA"/>
              </w:rPr>
            </w:pPr>
          </w:p>
          <w:p>
            <w:pPr>
              <w:widowControl w:val="0"/>
              <w:bidi w:val="0"/>
              <w:jc w:val="center"/>
              <w:rPr>
                <w:rFonts w:hint="default" w:ascii="Times New Roman" w:hAnsi="Times New Roman" w:eastAsia="宋体" w:cs="Times New Roman"/>
                <w:b/>
                <w:bCs/>
                <w:color w:val="auto"/>
                <w:kern w:val="2"/>
                <w:sz w:val="21"/>
                <w:szCs w:val="24"/>
                <w:highlight w:val="none"/>
                <w:u w:val="none"/>
                <w:lang w:val="en-US" w:eastAsia="zh-CN" w:bidi="ar-SA"/>
              </w:rPr>
            </w:pPr>
          </w:p>
          <w:p>
            <w:pPr>
              <w:widowControl w:val="0"/>
              <w:bidi w:val="0"/>
              <w:jc w:val="center"/>
              <w:rPr>
                <w:rFonts w:hint="default" w:ascii="Times New Roman" w:hAnsi="Times New Roman" w:eastAsia="宋体" w:cs="Times New Roman"/>
                <w:b/>
                <w:bCs/>
                <w:color w:val="auto"/>
                <w:kern w:val="2"/>
                <w:sz w:val="21"/>
                <w:szCs w:val="24"/>
                <w:highlight w:val="none"/>
                <w:u w:val="none"/>
                <w:lang w:val="en-US" w:eastAsia="zh-CN" w:bidi="ar-SA"/>
              </w:rPr>
            </w:pPr>
            <w:r>
              <w:rPr>
                <w:rFonts w:hint="default" w:ascii="Times New Roman" w:hAnsi="Times New Roman" w:eastAsia="宋体" w:cs="Times New Roman"/>
                <w:b/>
                <w:bCs/>
                <w:color w:val="auto"/>
                <w:kern w:val="2"/>
                <w:sz w:val="21"/>
                <w:szCs w:val="24"/>
                <w:highlight w:val="none"/>
                <w:u w:val="none"/>
                <w:lang w:val="en-US" w:eastAsia="zh-CN" w:bidi="ar-SA"/>
              </w:rPr>
              <w:t>表</w:t>
            </w:r>
            <w:r>
              <w:rPr>
                <w:rFonts w:hint="eastAsia" w:ascii="Times New Roman" w:hAnsi="Times New Roman" w:eastAsia="宋体" w:cs="Times New Roman"/>
                <w:b/>
                <w:bCs/>
                <w:color w:val="auto"/>
                <w:kern w:val="2"/>
                <w:sz w:val="21"/>
                <w:szCs w:val="24"/>
                <w:highlight w:val="none"/>
                <w:u w:val="none"/>
                <w:lang w:val="en-US" w:eastAsia="zh-CN" w:bidi="ar-SA"/>
              </w:rPr>
              <w:t>4-</w:t>
            </w:r>
            <w:r>
              <w:rPr>
                <w:rFonts w:hint="eastAsia" w:cs="Times New Roman"/>
                <w:b/>
                <w:bCs/>
                <w:color w:val="auto"/>
                <w:kern w:val="2"/>
                <w:sz w:val="21"/>
                <w:szCs w:val="24"/>
                <w:highlight w:val="none"/>
                <w:u w:val="none"/>
                <w:lang w:val="en-US" w:eastAsia="zh-CN" w:bidi="ar-SA"/>
              </w:rPr>
              <w:t>10</w:t>
            </w:r>
            <w:r>
              <w:rPr>
                <w:rFonts w:hint="eastAsia" w:ascii="Times New Roman" w:hAnsi="Times New Roman" w:eastAsia="宋体" w:cs="Times New Roman"/>
                <w:b/>
                <w:bCs/>
                <w:color w:val="auto"/>
                <w:kern w:val="2"/>
                <w:sz w:val="21"/>
                <w:szCs w:val="24"/>
                <w:highlight w:val="none"/>
                <w:u w:val="none"/>
                <w:lang w:val="en-US" w:eastAsia="zh-CN" w:bidi="ar-SA"/>
              </w:rPr>
              <w:t xml:space="preserve"> </w:t>
            </w:r>
            <w:r>
              <w:rPr>
                <w:rFonts w:hint="default" w:ascii="Times New Roman" w:hAnsi="Times New Roman" w:eastAsia="宋体" w:cs="Times New Roman"/>
                <w:b/>
                <w:bCs/>
                <w:color w:val="auto"/>
                <w:kern w:val="2"/>
                <w:sz w:val="21"/>
                <w:szCs w:val="24"/>
                <w:highlight w:val="none"/>
                <w:u w:val="none"/>
                <w:lang w:val="en-US" w:eastAsia="zh-CN" w:bidi="ar-SA"/>
              </w:rPr>
              <w:t xml:space="preserve"> 噪声预测结果</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01"/>
              <w:gridCol w:w="801"/>
              <w:gridCol w:w="735"/>
              <w:gridCol w:w="874"/>
              <w:gridCol w:w="1369"/>
              <w:gridCol w:w="1369"/>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959" w:type="dxa"/>
                  <w:vMerge w:val="restart"/>
                  <w:tcBorders>
                    <w:tl2br w:val="nil"/>
                    <w:tr2bl w:val="nil"/>
                  </w:tcBorders>
                  <w:noWrap w:val="0"/>
                  <w:vAlign w:val="center"/>
                </w:tcPr>
                <w:p>
                  <w:pPr>
                    <w:widowControl w:val="0"/>
                    <w:bidi w:val="0"/>
                    <w:spacing w:line="240" w:lineRule="auto"/>
                    <w:jc w:val="center"/>
                    <w:rPr>
                      <w:rFonts w:ascii="Times New Roman" w:hAnsi="Times New Roman" w:eastAsia="宋体" w:cs="Times New Roman"/>
                      <w:b/>
                      <w:bCs/>
                      <w:kern w:val="2"/>
                      <w:sz w:val="21"/>
                      <w:u w:val="none"/>
                    </w:rPr>
                  </w:pPr>
                  <w:r>
                    <w:rPr>
                      <w:rFonts w:ascii="Times New Roman" w:hAnsi="Times New Roman" w:eastAsia="宋体" w:cs="Times New Roman"/>
                      <w:b/>
                      <w:bCs/>
                      <w:kern w:val="2"/>
                      <w:sz w:val="21"/>
                      <w:u w:val="none"/>
                    </w:rPr>
                    <w:t>预测</w:t>
                  </w:r>
                </w:p>
                <w:p>
                  <w:pPr>
                    <w:widowControl w:val="0"/>
                    <w:bidi w:val="0"/>
                    <w:spacing w:line="240" w:lineRule="auto"/>
                    <w:jc w:val="center"/>
                    <w:rPr>
                      <w:rFonts w:ascii="Times New Roman" w:hAnsi="Times New Roman" w:eastAsia="宋体" w:cs="Times New Roman"/>
                      <w:b/>
                      <w:bCs/>
                      <w:kern w:val="2"/>
                      <w:sz w:val="21"/>
                      <w:u w:val="none"/>
                    </w:rPr>
                  </w:pPr>
                  <w:r>
                    <w:rPr>
                      <w:rFonts w:ascii="Times New Roman" w:hAnsi="Times New Roman" w:eastAsia="宋体" w:cs="Times New Roman"/>
                      <w:b/>
                      <w:bCs/>
                      <w:kern w:val="2"/>
                      <w:sz w:val="21"/>
                      <w:u w:val="none"/>
                    </w:rPr>
                    <w:t>方位</w:t>
                  </w:r>
                </w:p>
              </w:tc>
              <w:tc>
                <w:tcPr>
                  <w:tcW w:w="2337" w:type="dxa"/>
                  <w:gridSpan w:val="3"/>
                  <w:tcBorders>
                    <w:tl2br w:val="nil"/>
                    <w:tr2bl w:val="nil"/>
                  </w:tcBorders>
                  <w:noWrap w:val="0"/>
                  <w:vAlign w:val="center"/>
                </w:tcPr>
                <w:p>
                  <w:pPr>
                    <w:widowControl w:val="0"/>
                    <w:bidi w:val="0"/>
                    <w:spacing w:line="240" w:lineRule="auto"/>
                    <w:jc w:val="center"/>
                    <w:rPr>
                      <w:rFonts w:ascii="Times New Roman" w:hAnsi="Times New Roman" w:eastAsia="宋体" w:cs="Times New Roman"/>
                      <w:b/>
                      <w:bCs/>
                      <w:kern w:val="2"/>
                      <w:sz w:val="21"/>
                      <w:u w:val="none"/>
                    </w:rPr>
                  </w:pPr>
                  <w:r>
                    <w:rPr>
                      <w:rFonts w:hint="eastAsia" w:ascii="Times New Roman" w:hAnsi="Times New Roman" w:eastAsia="宋体" w:cs="Times New Roman"/>
                      <w:b/>
                      <w:bCs/>
                      <w:kern w:val="2"/>
                      <w:sz w:val="21"/>
                      <w:u w:val="none"/>
                      <w:lang w:val="en-US" w:eastAsia="zh-CN"/>
                    </w:rPr>
                    <w:t>最大值点</w:t>
                  </w:r>
                  <w:r>
                    <w:rPr>
                      <w:rFonts w:ascii="Times New Roman" w:hAnsi="Times New Roman" w:eastAsia="宋体" w:cs="Times New Roman"/>
                      <w:b/>
                      <w:bCs/>
                      <w:kern w:val="2"/>
                      <w:sz w:val="21"/>
                      <w:u w:val="none"/>
                    </w:rPr>
                    <w:t>空间相对位置/m</w:t>
                  </w:r>
                </w:p>
              </w:tc>
              <w:tc>
                <w:tcPr>
                  <w:tcW w:w="874" w:type="dxa"/>
                  <w:vMerge w:val="restart"/>
                  <w:tcBorders>
                    <w:tl2br w:val="nil"/>
                    <w:tr2bl w:val="nil"/>
                  </w:tcBorders>
                  <w:noWrap w:val="0"/>
                  <w:vAlign w:val="center"/>
                </w:tcPr>
                <w:p>
                  <w:pPr>
                    <w:widowControl w:val="0"/>
                    <w:bidi w:val="0"/>
                    <w:spacing w:line="240" w:lineRule="auto"/>
                    <w:jc w:val="center"/>
                    <w:rPr>
                      <w:rFonts w:ascii="Times New Roman" w:hAnsi="Times New Roman" w:eastAsia="宋体" w:cs="Times New Roman"/>
                      <w:b/>
                      <w:bCs/>
                      <w:kern w:val="2"/>
                      <w:sz w:val="21"/>
                      <w:u w:val="none"/>
                    </w:rPr>
                  </w:pPr>
                  <w:r>
                    <w:rPr>
                      <w:rFonts w:ascii="Times New Roman" w:hAnsi="Times New Roman" w:eastAsia="宋体" w:cs="Times New Roman"/>
                      <w:b/>
                      <w:bCs/>
                      <w:kern w:val="2"/>
                      <w:sz w:val="21"/>
                      <w:u w:val="none"/>
                    </w:rPr>
                    <w:t>时段</w:t>
                  </w:r>
                </w:p>
              </w:tc>
              <w:tc>
                <w:tcPr>
                  <w:tcW w:w="1369" w:type="dxa"/>
                  <w:vMerge w:val="restart"/>
                  <w:tcBorders>
                    <w:tl2br w:val="nil"/>
                    <w:tr2bl w:val="nil"/>
                  </w:tcBorders>
                  <w:noWrap w:val="0"/>
                  <w:vAlign w:val="center"/>
                </w:tcPr>
                <w:p>
                  <w:pPr>
                    <w:widowControl w:val="0"/>
                    <w:bidi w:val="0"/>
                    <w:spacing w:line="240" w:lineRule="auto"/>
                    <w:jc w:val="center"/>
                    <w:rPr>
                      <w:rFonts w:ascii="Times New Roman" w:hAnsi="Times New Roman" w:eastAsia="宋体" w:cs="Times New Roman"/>
                      <w:b/>
                      <w:bCs/>
                      <w:kern w:val="2"/>
                      <w:sz w:val="21"/>
                      <w:u w:val="none"/>
                    </w:rPr>
                  </w:pPr>
                  <w:r>
                    <w:rPr>
                      <w:rFonts w:hint="eastAsia" w:ascii="Times New Roman" w:hAnsi="Times New Roman" w:eastAsia="宋体" w:cs="Times New Roman"/>
                      <w:b/>
                      <w:bCs/>
                      <w:kern w:val="2"/>
                      <w:sz w:val="21"/>
                      <w:u w:val="none"/>
                    </w:rPr>
                    <w:t>贡献值</w:t>
                  </w:r>
                  <w:r>
                    <w:rPr>
                      <w:rFonts w:ascii="Times New Roman" w:hAnsi="Times New Roman" w:eastAsia="宋体" w:cs="Times New Roman"/>
                      <w:b/>
                      <w:bCs/>
                      <w:kern w:val="2"/>
                      <w:sz w:val="21"/>
                      <w:u w:val="none"/>
                    </w:rPr>
                    <w:t>（dB(A)）</w:t>
                  </w:r>
                </w:p>
              </w:tc>
              <w:tc>
                <w:tcPr>
                  <w:tcW w:w="1369" w:type="dxa"/>
                  <w:vMerge w:val="restart"/>
                  <w:tcBorders>
                    <w:tl2br w:val="nil"/>
                    <w:tr2bl w:val="nil"/>
                  </w:tcBorders>
                  <w:noWrap w:val="0"/>
                  <w:vAlign w:val="center"/>
                </w:tcPr>
                <w:p>
                  <w:pPr>
                    <w:widowControl w:val="0"/>
                    <w:bidi w:val="0"/>
                    <w:spacing w:line="240" w:lineRule="auto"/>
                    <w:jc w:val="center"/>
                    <w:rPr>
                      <w:rFonts w:ascii="Times New Roman" w:hAnsi="Times New Roman" w:eastAsia="宋体" w:cs="Times New Roman"/>
                      <w:b/>
                      <w:bCs/>
                      <w:kern w:val="2"/>
                      <w:sz w:val="21"/>
                      <w:u w:val="none"/>
                    </w:rPr>
                  </w:pPr>
                  <w:r>
                    <w:rPr>
                      <w:rFonts w:ascii="Times New Roman" w:hAnsi="Times New Roman" w:eastAsia="宋体" w:cs="Times New Roman"/>
                      <w:b/>
                      <w:bCs/>
                      <w:kern w:val="2"/>
                      <w:sz w:val="21"/>
                      <w:u w:val="none"/>
                    </w:rPr>
                    <w:t>标准限值（dB(A)）</w:t>
                  </w:r>
                </w:p>
              </w:tc>
              <w:tc>
                <w:tcPr>
                  <w:tcW w:w="1029" w:type="dxa"/>
                  <w:vMerge w:val="restart"/>
                  <w:tcBorders>
                    <w:tl2br w:val="nil"/>
                    <w:tr2bl w:val="nil"/>
                  </w:tcBorders>
                  <w:noWrap w:val="0"/>
                  <w:vAlign w:val="center"/>
                </w:tcPr>
                <w:p>
                  <w:pPr>
                    <w:widowControl w:val="0"/>
                    <w:bidi w:val="0"/>
                    <w:spacing w:line="240" w:lineRule="auto"/>
                    <w:jc w:val="center"/>
                    <w:rPr>
                      <w:rFonts w:ascii="Times New Roman" w:hAnsi="Times New Roman" w:eastAsia="宋体" w:cs="Times New Roman"/>
                      <w:b/>
                      <w:bCs/>
                      <w:kern w:val="2"/>
                      <w:sz w:val="21"/>
                      <w:u w:val="none"/>
                    </w:rPr>
                  </w:pPr>
                  <w:r>
                    <w:rPr>
                      <w:rFonts w:ascii="Times New Roman" w:hAnsi="Times New Roman" w:eastAsia="宋体" w:cs="Times New Roman"/>
                      <w:b/>
                      <w:bCs/>
                      <w:kern w:val="2"/>
                      <w:sz w:val="21"/>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59" w:type="dxa"/>
                  <w:vMerge w:val="continue"/>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p>
              </w:tc>
              <w:tc>
                <w:tcPr>
                  <w:tcW w:w="801"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b/>
                      <w:bCs/>
                      <w:kern w:val="2"/>
                      <w:sz w:val="21"/>
                      <w:u w:val="none"/>
                    </w:rPr>
                  </w:pPr>
                  <w:r>
                    <w:rPr>
                      <w:rFonts w:ascii="Times New Roman" w:hAnsi="Times New Roman" w:eastAsia="宋体" w:cs="Times New Roman"/>
                      <w:b/>
                      <w:bCs/>
                      <w:kern w:val="2"/>
                      <w:sz w:val="21"/>
                      <w:u w:val="none"/>
                    </w:rPr>
                    <w:t>X</w:t>
                  </w:r>
                </w:p>
              </w:tc>
              <w:tc>
                <w:tcPr>
                  <w:tcW w:w="801"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b/>
                      <w:bCs/>
                      <w:kern w:val="2"/>
                      <w:sz w:val="21"/>
                      <w:u w:val="none"/>
                    </w:rPr>
                  </w:pPr>
                  <w:r>
                    <w:rPr>
                      <w:rFonts w:ascii="Times New Roman" w:hAnsi="Times New Roman" w:eastAsia="宋体" w:cs="Times New Roman"/>
                      <w:b/>
                      <w:bCs/>
                      <w:kern w:val="2"/>
                      <w:sz w:val="21"/>
                      <w:u w:val="none"/>
                    </w:rPr>
                    <w:t>Y</w:t>
                  </w:r>
                </w:p>
              </w:tc>
              <w:tc>
                <w:tcPr>
                  <w:tcW w:w="735"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b/>
                      <w:bCs/>
                      <w:kern w:val="2"/>
                      <w:sz w:val="21"/>
                      <w:u w:val="none"/>
                    </w:rPr>
                  </w:pPr>
                  <w:r>
                    <w:rPr>
                      <w:rFonts w:ascii="Times New Roman" w:hAnsi="Times New Roman" w:eastAsia="宋体" w:cs="Times New Roman"/>
                      <w:b/>
                      <w:bCs/>
                      <w:kern w:val="2"/>
                      <w:sz w:val="21"/>
                      <w:u w:val="none"/>
                    </w:rPr>
                    <w:t>Z</w:t>
                  </w:r>
                </w:p>
              </w:tc>
              <w:tc>
                <w:tcPr>
                  <w:tcW w:w="874" w:type="dxa"/>
                  <w:vMerge w:val="continue"/>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p>
              </w:tc>
              <w:tc>
                <w:tcPr>
                  <w:tcW w:w="1369" w:type="dxa"/>
                  <w:vMerge w:val="continue"/>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p>
              </w:tc>
              <w:tc>
                <w:tcPr>
                  <w:tcW w:w="1369" w:type="dxa"/>
                  <w:vMerge w:val="continue"/>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p>
              </w:tc>
              <w:tc>
                <w:tcPr>
                  <w:tcW w:w="1029" w:type="dxa"/>
                  <w:vMerge w:val="continue"/>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6" w:hRule="atLeast"/>
                <w:jc w:val="center"/>
              </w:trPr>
              <w:tc>
                <w:tcPr>
                  <w:tcW w:w="959" w:type="dxa"/>
                  <w:vMerge w:val="restart"/>
                  <w:tcBorders>
                    <w:tl2br w:val="nil"/>
                    <w:tr2bl w:val="nil"/>
                  </w:tcBorders>
                  <w:shd w:val="clear" w:color="auto" w:fill="FFFFFF"/>
                  <w:noWrap w:val="0"/>
                  <w:vAlign w:val="center"/>
                </w:tcPr>
                <w:p>
                  <w:pPr>
                    <w:widowControl w:val="0"/>
                    <w:bidi w:val="0"/>
                    <w:spacing w:line="240" w:lineRule="auto"/>
                    <w:jc w:val="center"/>
                    <w:rPr>
                      <w:rFonts w:hint="eastAsia"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厂界</w:t>
                  </w:r>
                </w:p>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东侧</w:t>
                  </w:r>
                </w:p>
              </w:tc>
              <w:tc>
                <w:tcPr>
                  <w:tcW w:w="801"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23.46</w:t>
                  </w:r>
                </w:p>
              </w:tc>
              <w:tc>
                <w:tcPr>
                  <w:tcW w:w="801"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27</w:t>
                  </w:r>
                </w:p>
              </w:tc>
              <w:tc>
                <w:tcPr>
                  <w:tcW w:w="735"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1.2</w:t>
                  </w:r>
                </w:p>
              </w:tc>
              <w:tc>
                <w:tcPr>
                  <w:tcW w:w="874"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昼间</w:t>
                  </w:r>
                </w:p>
              </w:tc>
              <w:tc>
                <w:tcPr>
                  <w:tcW w:w="1369"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4</w:t>
                  </w:r>
                  <w:r>
                    <w:rPr>
                      <w:rFonts w:hint="eastAsia" w:cs="Times New Roman"/>
                      <w:kern w:val="2"/>
                      <w:sz w:val="21"/>
                      <w:u w:val="none"/>
                      <w:lang w:val="en-US" w:eastAsia="zh-CN"/>
                    </w:rPr>
                    <w:t>4.88</w:t>
                  </w:r>
                </w:p>
              </w:tc>
              <w:tc>
                <w:tcPr>
                  <w:tcW w:w="1369" w:type="dxa"/>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60</w:t>
                  </w:r>
                </w:p>
              </w:tc>
              <w:tc>
                <w:tcPr>
                  <w:tcW w:w="1029"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6" w:hRule="atLeast"/>
                <w:jc w:val="center"/>
              </w:trPr>
              <w:tc>
                <w:tcPr>
                  <w:tcW w:w="959" w:type="dxa"/>
                  <w:vMerge w:val="continue"/>
                  <w:tcBorders>
                    <w:tl2br w:val="nil"/>
                    <w:tr2bl w:val="nil"/>
                  </w:tcBorders>
                  <w:shd w:val="clear" w:color="auto" w:fill="FFFFFF"/>
                  <w:noWrap w:val="0"/>
                  <w:vAlign w:val="center"/>
                </w:tcPr>
                <w:p>
                  <w:pPr>
                    <w:widowControl w:val="0"/>
                    <w:bidi w:val="0"/>
                    <w:spacing w:line="240" w:lineRule="auto"/>
                    <w:jc w:val="center"/>
                  </w:pPr>
                </w:p>
              </w:tc>
              <w:tc>
                <w:tcPr>
                  <w:tcW w:w="801" w:type="dxa"/>
                  <w:vMerge w:val="continue"/>
                  <w:tcBorders>
                    <w:tl2br w:val="nil"/>
                    <w:tr2bl w:val="nil"/>
                  </w:tcBorders>
                  <w:shd w:val="clear" w:color="auto" w:fill="FFFFFF"/>
                  <w:noWrap w:val="0"/>
                  <w:vAlign w:val="center"/>
                </w:tcPr>
                <w:p>
                  <w:pPr>
                    <w:widowControl w:val="0"/>
                    <w:bidi w:val="0"/>
                    <w:spacing w:line="240" w:lineRule="auto"/>
                    <w:jc w:val="center"/>
                  </w:pPr>
                </w:p>
              </w:tc>
              <w:tc>
                <w:tcPr>
                  <w:tcW w:w="801" w:type="dxa"/>
                  <w:vMerge w:val="continue"/>
                  <w:tcBorders>
                    <w:tl2br w:val="nil"/>
                    <w:tr2bl w:val="nil"/>
                  </w:tcBorders>
                  <w:shd w:val="clear" w:color="auto" w:fill="FFFFFF"/>
                  <w:noWrap w:val="0"/>
                  <w:vAlign w:val="center"/>
                </w:tcPr>
                <w:p>
                  <w:pPr>
                    <w:widowControl w:val="0"/>
                    <w:bidi w:val="0"/>
                    <w:spacing w:line="240" w:lineRule="auto"/>
                    <w:jc w:val="center"/>
                  </w:pPr>
                </w:p>
              </w:tc>
              <w:tc>
                <w:tcPr>
                  <w:tcW w:w="735" w:type="dxa"/>
                  <w:vMerge w:val="continue"/>
                  <w:tcBorders>
                    <w:tl2br w:val="nil"/>
                    <w:tr2bl w:val="nil"/>
                  </w:tcBorders>
                  <w:shd w:val="clear" w:color="auto" w:fill="FFFFFF"/>
                  <w:noWrap w:val="0"/>
                  <w:vAlign w:val="center"/>
                </w:tcPr>
                <w:p>
                  <w:pPr>
                    <w:widowControl w:val="0"/>
                    <w:bidi w:val="0"/>
                    <w:spacing w:line="240" w:lineRule="auto"/>
                    <w:jc w:val="center"/>
                  </w:pPr>
                </w:p>
              </w:tc>
              <w:tc>
                <w:tcPr>
                  <w:tcW w:w="874" w:type="dxa"/>
                  <w:tcBorders>
                    <w:tl2br w:val="nil"/>
                    <w:tr2bl w:val="nil"/>
                  </w:tcBorders>
                  <w:shd w:val="clear" w:color="auto" w:fill="FFFFFF"/>
                  <w:noWrap w:val="0"/>
                  <w:vAlign w:val="center"/>
                </w:tcPr>
                <w:p>
                  <w:pPr>
                    <w:widowControl w:val="0"/>
                    <w:bidi w:val="0"/>
                    <w:spacing w:line="240" w:lineRule="auto"/>
                    <w:jc w:val="center"/>
                    <w:rPr>
                      <w:rFonts w:hint="eastAsia" w:ascii="Times New Roman" w:hAnsi="Times New Roman" w:eastAsia="宋体" w:cs="Times New Roman"/>
                      <w:kern w:val="2"/>
                      <w:sz w:val="21"/>
                      <w:u w:val="none"/>
                      <w:lang w:val="en-US" w:eastAsia="zh-CN"/>
                    </w:rPr>
                  </w:pPr>
                  <w:r>
                    <w:rPr>
                      <w:rFonts w:hint="eastAsia" w:cs="Times New Roman"/>
                      <w:kern w:val="2"/>
                      <w:sz w:val="21"/>
                      <w:u w:val="none"/>
                      <w:lang w:val="en-US" w:eastAsia="zh-CN"/>
                    </w:rPr>
                    <w:t>夜间</w:t>
                  </w:r>
                </w:p>
              </w:tc>
              <w:tc>
                <w:tcPr>
                  <w:tcW w:w="1369" w:type="dxa"/>
                  <w:vMerge w:val="continue"/>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p>
              </w:tc>
              <w:tc>
                <w:tcPr>
                  <w:tcW w:w="1369" w:type="dxa"/>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50</w:t>
                  </w:r>
                </w:p>
              </w:tc>
              <w:tc>
                <w:tcPr>
                  <w:tcW w:w="1029"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9" w:hRule="atLeast"/>
                <w:jc w:val="center"/>
              </w:trPr>
              <w:tc>
                <w:tcPr>
                  <w:tcW w:w="959" w:type="dxa"/>
                  <w:vMerge w:val="restart"/>
                  <w:tcBorders>
                    <w:tl2br w:val="nil"/>
                    <w:tr2bl w:val="nil"/>
                  </w:tcBorders>
                  <w:shd w:val="clear" w:color="auto" w:fill="FFFFFF"/>
                  <w:noWrap w:val="0"/>
                  <w:vAlign w:val="center"/>
                </w:tcPr>
                <w:p>
                  <w:pPr>
                    <w:widowControl w:val="0"/>
                    <w:bidi w:val="0"/>
                    <w:spacing w:line="240" w:lineRule="auto"/>
                    <w:jc w:val="center"/>
                    <w:rPr>
                      <w:rFonts w:hint="eastAsia"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厂界</w:t>
                  </w:r>
                </w:p>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南侧</w:t>
                  </w:r>
                </w:p>
              </w:tc>
              <w:tc>
                <w:tcPr>
                  <w:tcW w:w="801"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12</w:t>
                  </w:r>
                </w:p>
              </w:tc>
              <w:tc>
                <w:tcPr>
                  <w:tcW w:w="801"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0</w:t>
                  </w:r>
                </w:p>
              </w:tc>
              <w:tc>
                <w:tcPr>
                  <w:tcW w:w="735"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1.2</w:t>
                  </w:r>
                </w:p>
              </w:tc>
              <w:tc>
                <w:tcPr>
                  <w:tcW w:w="874"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昼间</w:t>
                  </w:r>
                </w:p>
              </w:tc>
              <w:tc>
                <w:tcPr>
                  <w:tcW w:w="1369"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cs="Times New Roman"/>
                      <w:kern w:val="2"/>
                      <w:sz w:val="21"/>
                      <w:u w:val="none"/>
                      <w:lang w:val="en-US" w:eastAsia="zh-CN"/>
                    </w:rPr>
                    <w:t>36.54</w:t>
                  </w:r>
                </w:p>
              </w:tc>
              <w:tc>
                <w:tcPr>
                  <w:tcW w:w="1369"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hint="eastAsia" w:ascii="Times New Roman" w:hAnsi="Times New Roman" w:eastAsia="宋体" w:cs="Times New Roman"/>
                      <w:kern w:val="2"/>
                      <w:sz w:val="21"/>
                      <w:u w:val="none"/>
                      <w:lang w:val="en-US" w:eastAsia="zh-CN"/>
                    </w:rPr>
                    <w:t>60</w:t>
                  </w:r>
                </w:p>
              </w:tc>
              <w:tc>
                <w:tcPr>
                  <w:tcW w:w="1029"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9" w:hRule="atLeast"/>
                <w:jc w:val="center"/>
              </w:trPr>
              <w:tc>
                <w:tcPr>
                  <w:tcW w:w="959" w:type="dxa"/>
                  <w:vMerge w:val="continue"/>
                  <w:tcBorders>
                    <w:tl2br w:val="nil"/>
                    <w:tr2bl w:val="nil"/>
                  </w:tcBorders>
                  <w:shd w:val="clear" w:color="auto" w:fill="FFFFFF"/>
                  <w:noWrap w:val="0"/>
                  <w:vAlign w:val="center"/>
                </w:tcPr>
                <w:p>
                  <w:pPr>
                    <w:widowControl w:val="0"/>
                    <w:bidi w:val="0"/>
                    <w:spacing w:line="240" w:lineRule="auto"/>
                    <w:jc w:val="center"/>
                  </w:pPr>
                </w:p>
              </w:tc>
              <w:tc>
                <w:tcPr>
                  <w:tcW w:w="801" w:type="dxa"/>
                  <w:vMerge w:val="continue"/>
                  <w:tcBorders>
                    <w:tl2br w:val="nil"/>
                    <w:tr2bl w:val="nil"/>
                  </w:tcBorders>
                  <w:shd w:val="clear" w:color="auto" w:fill="FFFFFF"/>
                  <w:noWrap w:val="0"/>
                  <w:vAlign w:val="center"/>
                </w:tcPr>
                <w:p>
                  <w:pPr>
                    <w:widowControl w:val="0"/>
                    <w:bidi w:val="0"/>
                    <w:spacing w:line="240" w:lineRule="auto"/>
                    <w:jc w:val="center"/>
                  </w:pPr>
                </w:p>
              </w:tc>
              <w:tc>
                <w:tcPr>
                  <w:tcW w:w="801" w:type="dxa"/>
                  <w:vMerge w:val="continue"/>
                  <w:tcBorders>
                    <w:tl2br w:val="nil"/>
                    <w:tr2bl w:val="nil"/>
                  </w:tcBorders>
                  <w:shd w:val="clear" w:color="auto" w:fill="FFFFFF"/>
                  <w:noWrap w:val="0"/>
                  <w:vAlign w:val="center"/>
                </w:tcPr>
                <w:p>
                  <w:pPr>
                    <w:widowControl w:val="0"/>
                    <w:bidi w:val="0"/>
                    <w:spacing w:line="240" w:lineRule="auto"/>
                    <w:jc w:val="center"/>
                  </w:pPr>
                </w:p>
              </w:tc>
              <w:tc>
                <w:tcPr>
                  <w:tcW w:w="735" w:type="dxa"/>
                  <w:vMerge w:val="continue"/>
                  <w:tcBorders>
                    <w:tl2br w:val="nil"/>
                    <w:tr2bl w:val="nil"/>
                  </w:tcBorders>
                  <w:shd w:val="clear" w:color="auto" w:fill="FFFFFF"/>
                  <w:noWrap w:val="0"/>
                  <w:vAlign w:val="center"/>
                </w:tcPr>
                <w:p>
                  <w:pPr>
                    <w:widowControl w:val="0"/>
                    <w:bidi w:val="0"/>
                    <w:spacing w:line="240" w:lineRule="auto"/>
                    <w:jc w:val="center"/>
                  </w:pPr>
                </w:p>
              </w:tc>
              <w:tc>
                <w:tcPr>
                  <w:tcW w:w="874"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hint="eastAsia" w:cs="Times New Roman"/>
                      <w:kern w:val="2"/>
                      <w:sz w:val="21"/>
                      <w:u w:val="none"/>
                      <w:lang w:val="en-US" w:eastAsia="zh-CN"/>
                    </w:rPr>
                    <w:t>夜间</w:t>
                  </w:r>
                </w:p>
              </w:tc>
              <w:tc>
                <w:tcPr>
                  <w:tcW w:w="1369" w:type="dxa"/>
                  <w:vMerge w:val="continue"/>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p>
              </w:tc>
              <w:tc>
                <w:tcPr>
                  <w:tcW w:w="1369" w:type="dxa"/>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50</w:t>
                  </w:r>
                </w:p>
              </w:tc>
              <w:tc>
                <w:tcPr>
                  <w:tcW w:w="1029"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4" w:hRule="atLeast"/>
                <w:jc w:val="center"/>
              </w:trPr>
              <w:tc>
                <w:tcPr>
                  <w:tcW w:w="959" w:type="dxa"/>
                  <w:vMerge w:val="restart"/>
                  <w:tcBorders>
                    <w:tl2br w:val="nil"/>
                    <w:tr2bl w:val="nil"/>
                  </w:tcBorders>
                  <w:shd w:val="clear" w:color="auto" w:fill="FFFFFF"/>
                  <w:noWrap w:val="0"/>
                  <w:vAlign w:val="center"/>
                </w:tcPr>
                <w:p>
                  <w:pPr>
                    <w:widowControl w:val="0"/>
                    <w:bidi w:val="0"/>
                    <w:spacing w:line="240" w:lineRule="auto"/>
                    <w:jc w:val="center"/>
                    <w:rPr>
                      <w:rFonts w:hint="eastAsia"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厂界</w:t>
                  </w:r>
                </w:p>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西侧</w:t>
                  </w:r>
                </w:p>
              </w:tc>
              <w:tc>
                <w:tcPr>
                  <w:tcW w:w="801"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0</w:t>
                  </w:r>
                </w:p>
              </w:tc>
              <w:tc>
                <w:tcPr>
                  <w:tcW w:w="801"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27</w:t>
                  </w:r>
                </w:p>
              </w:tc>
              <w:tc>
                <w:tcPr>
                  <w:tcW w:w="735"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1.2</w:t>
                  </w:r>
                </w:p>
              </w:tc>
              <w:tc>
                <w:tcPr>
                  <w:tcW w:w="874"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昼间</w:t>
                  </w:r>
                </w:p>
              </w:tc>
              <w:tc>
                <w:tcPr>
                  <w:tcW w:w="1369"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cs="Times New Roman"/>
                      <w:kern w:val="2"/>
                      <w:sz w:val="21"/>
                      <w:u w:val="none"/>
                      <w:lang w:val="en-US" w:eastAsia="zh-CN"/>
                    </w:rPr>
                    <w:t>39.07</w:t>
                  </w:r>
                </w:p>
              </w:tc>
              <w:tc>
                <w:tcPr>
                  <w:tcW w:w="1369"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hint="eastAsia" w:ascii="Times New Roman" w:hAnsi="Times New Roman" w:eastAsia="宋体" w:cs="Times New Roman"/>
                      <w:kern w:val="2"/>
                      <w:sz w:val="21"/>
                      <w:u w:val="none"/>
                      <w:lang w:val="en-US" w:eastAsia="zh-CN"/>
                    </w:rPr>
                    <w:t>60</w:t>
                  </w:r>
                </w:p>
              </w:tc>
              <w:tc>
                <w:tcPr>
                  <w:tcW w:w="1029"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4" w:hRule="atLeast"/>
                <w:jc w:val="center"/>
              </w:trPr>
              <w:tc>
                <w:tcPr>
                  <w:tcW w:w="959" w:type="dxa"/>
                  <w:vMerge w:val="continue"/>
                  <w:tcBorders>
                    <w:tl2br w:val="nil"/>
                    <w:tr2bl w:val="nil"/>
                  </w:tcBorders>
                  <w:shd w:val="clear" w:color="auto" w:fill="FFFFFF"/>
                  <w:noWrap w:val="0"/>
                  <w:vAlign w:val="center"/>
                </w:tcPr>
                <w:p>
                  <w:pPr>
                    <w:widowControl w:val="0"/>
                    <w:bidi w:val="0"/>
                    <w:spacing w:line="240" w:lineRule="auto"/>
                    <w:jc w:val="center"/>
                  </w:pPr>
                </w:p>
              </w:tc>
              <w:tc>
                <w:tcPr>
                  <w:tcW w:w="801" w:type="dxa"/>
                  <w:vMerge w:val="continue"/>
                  <w:tcBorders>
                    <w:tl2br w:val="nil"/>
                    <w:tr2bl w:val="nil"/>
                  </w:tcBorders>
                  <w:shd w:val="clear" w:color="auto" w:fill="FFFFFF"/>
                  <w:noWrap w:val="0"/>
                  <w:vAlign w:val="center"/>
                </w:tcPr>
                <w:p>
                  <w:pPr>
                    <w:widowControl w:val="0"/>
                    <w:bidi w:val="0"/>
                    <w:spacing w:line="240" w:lineRule="auto"/>
                    <w:jc w:val="center"/>
                  </w:pPr>
                </w:p>
              </w:tc>
              <w:tc>
                <w:tcPr>
                  <w:tcW w:w="801" w:type="dxa"/>
                  <w:vMerge w:val="continue"/>
                  <w:tcBorders>
                    <w:tl2br w:val="nil"/>
                    <w:tr2bl w:val="nil"/>
                  </w:tcBorders>
                  <w:shd w:val="clear" w:color="auto" w:fill="FFFFFF"/>
                  <w:noWrap w:val="0"/>
                  <w:vAlign w:val="center"/>
                </w:tcPr>
                <w:p>
                  <w:pPr>
                    <w:widowControl w:val="0"/>
                    <w:bidi w:val="0"/>
                    <w:spacing w:line="240" w:lineRule="auto"/>
                    <w:jc w:val="center"/>
                  </w:pPr>
                </w:p>
              </w:tc>
              <w:tc>
                <w:tcPr>
                  <w:tcW w:w="735" w:type="dxa"/>
                  <w:vMerge w:val="continue"/>
                  <w:tcBorders>
                    <w:tl2br w:val="nil"/>
                    <w:tr2bl w:val="nil"/>
                  </w:tcBorders>
                  <w:shd w:val="clear" w:color="auto" w:fill="FFFFFF"/>
                  <w:noWrap w:val="0"/>
                  <w:vAlign w:val="center"/>
                </w:tcPr>
                <w:p>
                  <w:pPr>
                    <w:widowControl w:val="0"/>
                    <w:bidi w:val="0"/>
                    <w:spacing w:line="240" w:lineRule="auto"/>
                    <w:jc w:val="center"/>
                  </w:pPr>
                </w:p>
              </w:tc>
              <w:tc>
                <w:tcPr>
                  <w:tcW w:w="874"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hint="eastAsia" w:cs="Times New Roman"/>
                      <w:kern w:val="2"/>
                      <w:sz w:val="21"/>
                      <w:u w:val="none"/>
                      <w:lang w:val="en-US" w:eastAsia="zh-CN"/>
                    </w:rPr>
                    <w:t>夜间</w:t>
                  </w:r>
                </w:p>
              </w:tc>
              <w:tc>
                <w:tcPr>
                  <w:tcW w:w="1369" w:type="dxa"/>
                  <w:vMerge w:val="continue"/>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p>
              </w:tc>
              <w:tc>
                <w:tcPr>
                  <w:tcW w:w="1369" w:type="dxa"/>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50</w:t>
                  </w:r>
                </w:p>
              </w:tc>
              <w:tc>
                <w:tcPr>
                  <w:tcW w:w="1029"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959" w:type="dxa"/>
                  <w:vMerge w:val="restart"/>
                  <w:tcBorders>
                    <w:tl2br w:val="nil"/>
                    <w:tr2bl w:val="nil"/>
                  </w:tcBorders>
                  <w:shd w:val="clear" w:color="auto" w:fill="FFFFFF"/>
                  <w:noWrap w:val="0"/>
                  <w:vAlign w:val="center"/>
                </w:tcPr>
                <w:p>
                  <w:pPr>
                    <w:widowControl w:val="0"/>
                    <w:bidi w:val="0"/>
                    <w:spacing w:line="240" w:lineRule="auto"/>
                    <w:jc w:val="center"/>
                    <w:rPr>
                      <w:rFonts w:hint="eastAsia"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厂界</w:t>
                  </w:r>
                </w:p>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北侧</w:t>
                  </w:r>
                </w:p>
              </w:tc>
              <w:tc>
                <w:tcPr>
                  <w:tcW w:w="801"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12</w:t>
                  </w:r>
                </w:p>
              </w:tc>
              <w:tc>
                <w:tcPr>
                  <w:tcW w:w="801"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48.7</w:t>
                  </w:r>
                </w:p>
              </w:tc>
              <w:tc>
                <w:tcPr>
                  <w:tcW w:w="735"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1.2</w:t>
                  </w:r>
                </w:p>
              </w:tc>
              <w:tc>
                <w:tcPr>
                  <w:tcW w:w="874"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昼间</w:t>
                  </w:r>
                </w:p>
              </w:tc>
              <w:tc>
                <w:tcPr>
                  <w:tcW w:w="1369" w:type="dxa"/>
                  <w:vMerge w:val="restart"/>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cs="Times New Roman"/>
                      <w:kern w:val="2"/>
                      <w:sz w:val="21"/>
                      <w:u w:val="none"/>
                      <w:lang w:val="en-US" w:eastAsia="zh-CN"/>
                    </w:rPr>
                    <w:t>36.03</w:t>
                  </w:r>
                </w:p>
              </w:tc>
              <w:tc>
                <w:tcPr>
                  <w:tcW w:w="1369" w:type="dxa"/>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60</w:t>
                  </w:r>
                </w:p>
              </w:tc>
              <w:tc>
                <w:tcPr>
                  <w:tcW w:w="1029"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959" w:type="dxa"/>
                  <w:vMerge w:val="continue"/>
                  <w:tcBorders>
                    <w:tl2br w:val="nil"/>
                    <w:tr2bl w:val="nil"/>
                  </w:tcBorders>
                  <w:shd w:val="clear" w:color="auto" w:fill="FFFFFF"/>
                  <w:noWrap w:val="0"/>
                  <w:vAlign w:val="center"/>
                </w:tcPr>
                <w:p>
                  <w:pPr>
                    <w:widowControl w:val="0"/>
                    <w:bidi w:val="0"/>
                    <w:spacing w:line="240" w:lineRule="auto"/>
                    <w:jc w:val="center"/>
                  </w:pPr>
                </w:p>
              </w:tc>
              <w:tc>
                <w:tcPr>
                  <w:tcW w:w="801" w:type="dxa"/>
                  <w:vMerge w:val="continue"/>
                  <w:tcBorders>
                    <w:tl2br w:val="nil"/>
                    <w:tr2bl w:val="nil"/>
                  </w:tcBorders>
                  <w:shd w:val="clear" w:color="auto" w:fill="FFFFFF"/>
                  <w:noWrap w:val="0"/>
                  <w:vAlign w:val="center"/>
                </w:tcPr>
                <w:p>
                  <w:pPr>
                    <w:widowControl w:val="0"/>
                    <w:bidi w:val="0"/>
                    <w:spacing w:line="240" w:lineRule="auto"/>
                    <w:jc w:val="center"/>
                  </w:pPr>
                </w:p>
              </w:tc>
              <w:tc>
                <w:tcPr>
                  <w:tcW w:w="801" w:type="dxa"/>
                  <w:vMerge w:val="continue"/>
                  <w:tcBorders>
                    <w:tl2br w:val="nil"/>
                    <w:tr2bl w:val="nil"/>
                  </w:tcBorders>
                  <w:shd w:val="clear" w:color="auto" w:fill="FFFFFF"/>
                  <w:noWrap w:val="0"/>
                  <w:vAlign w:val="center"/>
                </w:tcPr>
                <w:p>
                  <w:pPr>
                    <w:widowControl w:val="0"/>
                    <w:bidi w:val="0"/>
                    <w:spacing w:line="240" w:lineRule="auto"/>
                    <w:jc w:val="center"/>
                  </w:pPr>
                </w:p>
              </w:tc>
              <w:tc>
                <w:tcPr>
                  <w:tcW w:w="735" w:type="dxa"/>
                  <w:vMerge w:val="continue"/>
                  <w:tcBorders>
                    <w:tl2br w:val="nil"/>
                    <w:tr2bl w:val="nil"/>
                  </w:tcBorders>
                  <w:shd w:val="clear" w:color="auto" w:fill="FFFFFF"/>
                  <w:noWrap w:val="0"/>
                  <w:vAlign w:val="center"/>
                </w:tcPr>
                <w:p>
                  <w:pPr>
                    <w:widowControl w:val="0"/>
                    <w:bidi w:val="0"/>
                    <w:spacing w:line="240" w:lineRule="auto"/>
                    <w:jc w:val="center"/>
                  </w:pPr>
                </w:p>
              </w:tc>
              <w:tc>
                <w:tcPr>
                  <w:tcW w:w="874"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hint="eastAsia" w:cs="Times New Roman"/>
                      <w:kern w:val="2"/>
                      <w:sz w:val="21"/>
                      <w:u w:val="none"/>
                      <w:lang w:val="en-US" w:eastAsia="zh-CN"/>
                    </w:rPr>
                    <w:t>夜间</w:t>
                  </w:r>
                </w:p>
              </w:tc>
              <w:tc>
                <w:tcPr>
                  <w:tcW w:w="1369" w:type="dxa"/>
                  <w:vMerge w:val="continue"/>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p>
              </w:tc>
              <w:tc>
                <w:tcPr>
                  <w:tcW w:w="1369" w:type="dxa"/>
                  <w:tcBorders>
                    <w:tl2br w:val="nil"/>
                    <w:tr2bl w:val="nil"/>
                  </w:tcBorders>
                  <w:shd w:val="clear" w:color="auto" w:fill="FFFFFF"/>
                  <w:noWrap w:val="0"/>
                  <w:vAlign w:val="center"/>
                </w:tcPr>
                <w:p>
                  <w:pPr>
                    <w:widowControl w:val="0"/>
                    <w:bidi w:val="0"/>
                    <w:spacing w:line="240" w:lineRule="auto"/>
                    <w:jc w:val="center"/>
                    <w:rPr>
                      <w:rFonts w:hint="default" w:ascii="Times New Roman" w:hAnsi="Times New Roman" w:eastAsia="宋体" w:cs="Times New Roman"/>
                      <w:kern w:val="2"/>
                      <w:sz w:val="21"/>
                      <w:u w:val="none"/>
                      <w:lang w:val="en-US" w:eastAsia="zh-CN"/>
                    </w:rPr>
                  </w:pPr>
                  <w:r>
                    <w:rPr>
                      <w:rFonts w:hint="eastAsia" w:ascii="Times New Roman" w:hAnsi="Times New Roman" w:eastAsia="宋体" w:cs="Times New Roman"/>
                      <w:kern w:val="2"/>
                      <w:sz w:val="21"/>
                      <w:u w:val="none"/>
                      <w:lang w:val="en-US" w:eastAsia="zh-CN"/>
                    </w:rPr>
                    <w:t>50</w:t>
                  </w:r>
                </w:p>
              </w:tc>
              <w:tc>
                <w:tcPr>
                  <w:tcW w:w="1029" w:type="dxa"/>
                  <w:tcBorders>
                    <w:tl2br w:val="nil"/>
                    <w:tr2bl w:val="nil"/>
                  </w:tcBorders>
                  <w:shd w:val="clear" w:color="auto" w:fill="FFFFFF"/>
                  <w:noWrap w:val="0"/>
                  <w:vAlign w:val="center"/>
                </w:tcPr>
                <w:p>
                  <w:pPr>
                    <w:widowControl w:val="0"/>
                    <w:bidi w:val="0"/>
                    <w:spacing w:line="240" w:lineRule="auto"/>
                    <w:jc w:val="center"/>
                    <w:rPr>
                      <w:rFonts w:ascii="Times New Roman" w:hAnsi="Times New Roman" w:eastAsia="宋体" w:cs="Times New Roman"/>
                      <w:kern w:val="2"/>
                      <w:sz w:val="21"/>
                      <w:u w:val="none"/>
                    </w:rPr>
                  </w:pPr>
                  <w:r>
                    <w:rPr>
                      <w:rFonts w:ascii="Times New Roman" w:hAnsi="Times New Roman" w:eastAsia="宋体" w:cs="Times New Roman"/>
                      <w:kern w:val="2"/>
                      <w:sz w:val="21"/>
                      <w:u w:val="none"/>
                    </w:rPr>
                    <w:t>达标</w:t>
                  </w:r>
                </w:p>
              </w:tc>
            </w:tr>
          </w:tbl>
          <w:p>
            <w:pPr>
              <w:widowControl w:val="0"/>
              <w:bidi w:val="0"/>
              <w:ind w:firstLine="420" w:firstLineChars="200"/>
              <w:jc w:val="both"/>
              <w:rPr>
                <w:rFonts w:hint="default" w:ascii="Times New Roman" w:hAnsi="Times New Roman" w:eastAsia="宋体" w:cs="Times New Roman"/>
                <w:kern w:val="2"/>
                <w:sz w:val="21"/>
                <w:lang w:val="en-US" w:eastAsia="zh-CN"/>
              </w:rPr>
            </w:pPr>
            <w:r>
              <w:rPr>
                <w:rFonts w:hint="eastAsia" w:ascii="Times New Roman" w:hAnsi="Times New Roman" w:eastAsia="宋体" w:cs="Times New Roman"/>
                <w:b w:val="0"/>
                <w:bCs/>
                <w:kern w:val="2"/>
                <w:sz w:val="21"/>
                <w:szCs w:val="21"/>
                <w:lang w:val="en-US" w:eastAsia="zh-CN"/>
              </w:rPr>
              <w:t>注：</w:t>
            </w:r>
            <w:r>
              <w:rPr>
                <w:rFonts w:hint="default" w:ascii="Times New Roman" w:hAnsi="Times New Roman" w:eastAsia="宋体" w:cs="Times New Roman"/>
                <w:b w:val="0"/>
                <w:bCs/>
                <w:kern w:val="2"/>
                <w:sz w:val="21"/>
                <w:szCs w:val="21"/>
                <w:lang w:val="en-US" w:eastAsia="zh-CN"/>
              </w:rPr>
              <w:t>表中坐标以</w:t>
            </w:r>
            <w:r>
              <w:rPr>
                <w:rFonts w:hint="eastAsia" w:cs="Times New Roman"/>
                <w:b w:val="0"/>
                <w:bCs/>
                <w:kern w:val="2"/>
                <w:sz w:val="21"/>
                <w:szCs w:val="21"/>
                <w:lang w:val="en-US" w:eastAsia="zh-CN"/>
              </w:rPr>
              <w:t>精神卫生楼西</w:t>
            </w:r>
            <w:r>
              <w:rPr>
                <w:rFonts w:hint="eastAsia" w:ascii="Times New Roman" w:hAnsi="Times New Roman" w:eastAsia="宋体" w:cs="Times New Roman"/>
                <w:b w:val="0"/>
                <w:bCs/>
                <w:kern w:val="2"/>
                <w:sz w:val="21"/>
                <w:szCs w:val="21"/>
                <w:lang w:val="en-US" w:eastAsia="zh-CN"/>
              </w:rPr>
              <w:t>南角</w:t>
            </w:r>
            <w:r>
              <w:rPr>
                <w:rFonts w:hint="default" w:ascii="Times New Roman" w:hAnsi="Times New Roman" w:eastAsia="宋体" w:cs="Times New Roman"/>
                <w:b w:val="0"/>
                <w:bCs/>
                <w:kern w:val="2"/>
                <w:sz w:val="21"/>
                <w:szCs w:val="21"/>
                <w:lang w:val="en-US" w:eastAsia="zh-CN"/>
              </w:rPr>
              <w:t>（1</w:t>
            </w:r>
            <w:r>
              <w:rPr>
                <w:rFonts w:hint="eastAsia" w:ascii="Times New Roman" w:hAnsi="Times New Roman" w:eastAsia="宋体" w:cs="Times New Roman"/>
                <w:b w:val="0"/>
                <w:bCs/>
                <w:kern w:val="2"/>
                <w:sz w:val="21"/>
                <w:szCs w:val="21"/>
                <w:lang w:val="en-US" w:eastAsia="zh-CN"/>
              </w:rPr>
              <w:t>09.46076232</w:t>
            </w:r>
            <w:r>
              <w:rPr>
                <w:rFonts w:hint="default" w:ascii="Times New Roman" w:hAnsi="Times New Roman" w:eastAsia="宋体" w:cs="Times New Roman"/>
                <w:b w:val="0"/>
                <w:bCs/>
                <w:kern w:val="2"/>
                <w:sz w:val="21"/>
                <w:szCs w:val="21"/>
                <w:lang w:val="en-US" w:eastAsia="zh-CN"/>
              </w:rPr>
              <w:t>°</w:t>
            </w:r>
            <w:r>
              <w:rPr>
                <w:rFonts w:hint="eastAsia" w:ascii="Times New Roman" w:hAnsi="Times New Roman" w:eastAsia="宋体" w:cs="Times New Roman"/>
                <w:b w:val="0"/>
                <w:bCs/>
                <w:kern w:val="2"/>
                <w:sz w:val="21"/>
                <w:szCs w:val="21"/>
                <w:lang w:val="en-US" w:eastAsia="zh-CN"/>
              </w:rPr>
              <w:t>E</w:t>
            </w:r>
            <w:r>
              <w:rPr>
                <w:rFonts w:hint="default" w:ascii="Times New Roman" w:hAnsi="Times New Roman" w:eastAsia="宋体" w:cs="Times New Roman"/>
                <w:b w:val="0"/>
                <w:bCs/>
                <w:kern w:val="2"/>
                <w:sz w:val="21"/>
                <w:szCs w:val="21"/>
                <w:lang w:val="en-US" w:eastAsia="zh-CN"/>
              </w:rPr>
              <w:t>,28.</w:t>
            </w:r>
            <w:r>
              <w:rPr>
                <w:rFonts w:hint="eastAsia" w:ascii="Times New Roman" w:hAnsi="Times New Roman" w:eastAsia="宋体" w:cs="Times New Roman"/>
                <w:b w:val="0"/>
                <w:bCs/>
                <w:kern w:val="2"/>
                <w:sz w:val="21"/>
                <w:szCs w:val="21"/>
                <w:lang w:val="en-US" w:eastAsia="zh-CN"/>
              </w:rPr>
              <w:t>58855693</w:t>
            </w:r>
            <w:r>
              <w:rPr>
                <w:rFonts w:hint="default" w:ascii="Times New Roman" w:hAnsi="Times New Roman" w:eastAsia="宋体" w:cs="Times New Roman"/>
                <w:b w:val="0"/>
                <w:bCs/>
                <w:kern w:val="2"/>
                <w:sz w:val="21"/>
                <w:szCs w:val="21"/>
                <w:lang w:val="en-US" w:eastAsia="zh-CN"/>
              </w:rPr>
              <w:t>°</w:t>
            </w:r>
            <w:r>
              <w:rPr>
                <w:rFonts w:hint="eastAsia" w:ascii="Times New Roman" w:hAnsi="Times New Roman" w:eastAsia="宋体" w:cs="Times New Roman"/>
                <w:b w:val="0"/>
                <w:bCs/>
                <w:kern w:val="2"/>
                <w:sz w:val="21"/>
                <w:szCs w:val="21"/>
                <w:lang w:val="en-US" w:eastAsia="zh-CN"/>
              </w:rPr>
              <w:t>N</w:t>
            </w:r>
            <w:r>
              <w:rPr>
                <w:rFonts w:hint="default" w:ascii="Times New Roman" w:hAnsi="Times New Roman" w:eastAsia="宋体" w:cs="Times New Roman"/>
                <w:b w:val="0"/>
                <w:bCs/>
                <w:kern w:val="2"/>
                <w:sz w:val="21"/>
                <w:szCs w:val="21"/>
                <w:lang w:val="en-US" w:eastAsia="zh-CN"/>
              </w:rPr>
              <w:t>）为坐标原点</w:t>
            </w:r>
            <w:r>
              <w:rPr>
                <w:rFonts w:hint="default" w:ascii="Times New Roman" w:hAnsi="Times New Roman" w:eastAsia="宋体" w:cs="Times New Roman"/>
                <w:kern w:val="2"/>
                <w:sz w:val="21"/>
                <w:lang w:val="en-US" w:eastAsia="zh-CN"/>
              </w:rPr>
              <w:t>，正东向为X轴正方向，正北向为Y轴正方向</w:t>
            </w:r>
            <w:r>
              <w:rPr>
                <w:rFonts w:hint="eastAsia" w:ascii="Times New Roman" w:hAnsi="Times New Roman" w:eastAsia="宋体" w:cs="Times New Roman"/>
                <w:kern w:val="2"/>
                <w:sz w:val="21"/>
                <w:lang w:val="en-US" w:eastAsia="zh-CN"/>
              </w:rPr>
              <w:t>。</w:t>
            </w:r>
          </w:p>
          <w:p>
            <w:pPr>
              <w:widowControl w:val="0"/>
              <w:bidi w:val="0"/>
              <w:jc w:val="center"/>
              <w:rPr>
                <w:rFonts w:hint="default" w:ascii="Times New Roman" w:hAnsi="Times New Roman" w:eastAsia="宋体" w:cs="Times New Roman"/>
                <w:b/>
                <w:bCs/>
                <w:kern w:val="2"/>
                <w:sz w:val="21"/>
                <w:u w:val="none"/>
                <w:lang w:val="en-US" w:eastAsia="zh-CN"/>
              </w:rPr>
            </w:pPr>
            <w:r>
              <w:rPr>
                <w:rFonts w:hint="eastAsia" w:ascii="Times New Roman" w:hAnsi="Times New Roman" w:eastAsia="宋体" w:cs="Times New Roman"/>
                <w:b/>
                <w:bCs/>
                <w:kern w:val="2"/>
                <w:sz w:val="21"/>
                <w:u w:val="none"/>
                <w:lang w:val="en-US" w:eastAsia="zh-CN"/>
              </w:rPr>
              <w:t>表4-</w:t>
            </w:r>
            <w:r>
              <w:rPr>
                <w:rFonts w:hint="eastAsia" w:cs="Times New Roman"/>
                <w:b/>
                <w:bCs/>
                <w:kern w:val="2"/>
                <w:sz w:val="21"/>
                <w:u w:val="none"/>
                <w:lang w:val="en-US" w:eastAsia="zh-CN"/>
              </w:rPr>
              <w:t>11</w:t>
            </w:r>
            <w:r>
              <w:rPr>
                <w:rFonts w:hint="eastAsia" w:ascii="Times New Roman" w:hAnsi="Times New Roman" w:eastAsia="宋体" w:cs="Times New Roman"/>
                <w:b/>
                <w:bCs/>
                <w:kern w:val="2"/>
                <w:sz w:val="21"/>
                <w:u w:val="none"/>
                <w:lang w:val="en-US" w:eastAsia="zh-CN"/>
              </w:rPr>
              <w:t xml:space="preserve">   </w:t>
            </w:r>
            <w:r>
              <w:rPr>
                <w:rFonts w:ascii="宋体" w:hAnsi="宋体" w:eastAsia="宋体" w:cs="Times New Roman"/>
                <w:b/>
                <w:bCs/>
                <w:kern w:val="2"/>
                <w:sz w:val="21"/>
                <w:u w:val="none"/>
                <w:lang w:eastAsia="zh-CN"/>
              </w:rPr>
              <w:t>工</w:t>
            </w:r>
            <w:r>
              <w:rPr>
                <w:rFonts w:ascii="宋体" w:hAnsi="宋体" w:eastAsia="宋体" w:cs="Times New Roman"/>
                <w:b/>
                <w:bCs/>
                <w:spacing w:val="-3"/>
                <w:kern w:val="2"/>
                <w:sz w:val="21"/>
                <w:u w:val="none"/>
                <w:lang w:eastAsia="zh-CN"/>
              </w:rPr>
              <w:t>业</w:t>
            </w:r>
            <w:r>
              <w:rPr>
                <w:rFonts w:ascii="宋体" w:hAnsi="宋体" w:eastAsia="宋体" w:cs="Times New Roman"/>
                <w:b/>
                <w:bCs/>
                <w:kern w:val="2"/>
                <w:sz w:val="21"/>
                <w:u w:val="none"/>
                <w:lang w:eastAsia="zh-CN"/>
              </w:rPr>
              <w:t>企</w:t>
            </w:r>
            <w:r>
              <w:rPr>
                <w:rFonts w:ascii="宋体" w:hAnsi="宋体" w:eastAsia="宋体" w:cs="Times New Roman"/>
                <w:b/>
                <w:bCs/>
                <w:spacing w:val="-3"/>
                <w:kern w:val="2"/>
                <w:sz w:val="21"/>
                <w:u w:val="none"/>
                <w:lang w:eastAsia="zh-CN"/>
              </w:rPr>
              <w:t>业</w:t>
            </w:r>
            <w:r>
              <w:rPr>
                <w:rFonts w:ascii="宋体" w:hAnsi="宋体" w:eastAsia="宋体" w:cs="Times New Roman"/>
                <w:b/>
                <w:bCs/>
                <w:kern w:val="2"/>
                <w:sz w:val="21"/>
                <w:u w:val="none"/>
                <w:lang w:eastAsia="zh-CN"/>
              </w:rPr>
              <w:t>声</w:t>
            </w:r>
            <w:r>
              <w:rPr>
                <w:rFonts w:ascii="宋体" w:hAnsi="宋体" w:eastAsia="宋体" w:cs="Times New Roman"/>
                <w:b/>
                <w:bCs/>
                <w:spacing w:val="-3"/>
                <w:kern w:val="2"/>
                <w:sz w:val="21"/>
                <w:u w:val="none"/>
                <w:lang w:eastAsia="zh-CN"/>
              </w:rPr>
              <w:t>环境</w:t>
            </w:r>
            <w:r>
              <w:rPr>
                <w:rFonts w:ascii="宋体" w:hAnsi="宋体" w:eastAsia="宋体" w:cs="Times New Roman"/>
                <w:b/>
                <w:bCs/>
                <w:kern w:val="2"/>
                <w:sz w:val="21"/>
                <w:u w:val="none"/>
                <w:lang w:eastAsia="zh-CN"/>
              </w:rPr>
              <w:t>保护</w:t>
            </w:r>
            <w:r>
              <w:rPr>
                <w:rFonts w:ascii="宋体" w:hAnsi="宋体" w:eastAsia="宋体" w:cs="Times New Roman"/>
                <w:b/>
                <w:bCs/>
                <w:spacing w:val="-3"/>
                <w:kern w:val="2"/>
                <w:sz w:val="21"/>
                <w:u w:val="none"/>
                <w:lang w:eastAsia="zh-CN"/>
              </w:rPr>
              <w:t>目</w:t>
            </w:r>
            <w:r>
              <w:rPr>
                <w:rFonts w:ascii="宋体" w:hAnsi="宋体" w:eastAsia="宋体" w:cs="Times New Roman"/>
                <w:b/>
                <w:bCs/>
                <w:kern w:val="2"/>
                <w:sz w:val="21"/>
                <w:u w:val="none"/>
                <w:lang w:eastAsia="zh-CN"/>
              </w:rPr>
              <w:t>标</w:t>
            </w:r>
            <w:r>
              <w:rPr>
                <w:rFonts w:ascii="宋体" w:hAnsi="宋体" w:eastAsia="宋体" w:cs="Times New Roman"/>
                <w:b/>
                <w:bCs/>
                <w:spacing w:val="-3"/>
                <w:kern w:val="2"/>
                <w:sz w:val="21"/>
                <w:u w:val="none"/>
                <w:lang w:eastAsia="zh-CN"/>
              </w:rPr>
              <w:t>噪</w:t>
            </w:r>
            <w:r>
              <w:rPr>
                <w:rFonts w:ascii="宋体" w:hAnsi="宋体" w:eastAsia="宋体" w:cs="Times New Roman"/>
                <w:b/>
                <w:bCs/>
                <w:kern w:val="2"/>
                <w:sz w:val="21"/>
                <w:u w:val="none"/>
                <w:lang w:eastAsia="zh-CN"/>
              </w:rPr>
              <w:t>声</w:t>
            </w:r>
            <w:r>
              <w:rPr>
                <w:rFonts w:ascii="宋体" w:hAnsi="宋体" w:eastAsia="宋体" w:cs="Times New Roman"/>
                <w:b/>
                <w:bCs/>
                <w:spacing w:val="-3"/>
                <w:kern w:val="2"/>
                <w:sz w:val="21"/>
                <w:u w:val="none"/>
                <w:lang w:eastAsia="zh-CN"/>
              </w:rPr>
              <w:t>预</w:t>
            </w:r>
            <w:r>
              <w:rPr>
                <w:rFonts w:ascii="宋体" w:hAnsi="宋体" w:eastAsia="宋体" w:cs="Times New Roman"/>
                <w:b/>
                <w:bCs/>
                <w:kern w:val="2"/>
                <w:sz w:val="21"/>
                <w:u w:val="none"/>
                <w:lang w:eastAsia="zh-CN"/>
              </w:rPr>
              <w:t>测</w:t>
            </w:r>
            <w:r>
              <w:rPr>
                <w:rFonts w:ascii="宋体" w:hAnsi="宋体" w:eastAsia="宋体" w:cs="Times New Roman"/>
                <w:b/>
                <w:bCs/>
                <w:spacing w:val="-3"/>
                <w:kern w:val="2"/>
                <w:sz w:val="21"/>
                <w:u w:val="none"/>
                <w:lang w:eastAsia="zh-CN"/>
              </w:rPr>
              <w:t>结</w:t>
            </w:r>
            <w:r>
              <w:rPr>
                <w:rFonts w:ascii="宋体" w:hAnsi="宋体" w:eastAsia="宋体" w:cs="Times New Roman"/>
                <w:b/>
                <w:bCs/>
                <w:kern w:val="2"/>
                <w:sz w:val="21"/>
                <w:u w:val="none"/>
                <w:lang w:eastAsia="zh-CN"/>
              </w:rPr>
              <w:t>果</w:t>
            </w:r>
            <w:r>
              <w:rPr>
                <w:rFonts w:ascii="宋体" w:hAnsi="宋体" w:eastAsia="宋体" w:cs="Times New Roman"/>
                <w:b/>
                <w:bCs/>
                <w:spacing w:val="-3"/>
                <w:kern w:val="2"/>
                <w:sz w:val="21"/>
                <w:u w:val="none"/>
                <w:lang w:eastAsia="zh-CN"/>
              </w:rPr>
              <w:t>与</w:t>
            </w:r>
            <w:r>
              <w:rPr>
                <w:rFonts w:ascii="宋体" w:hAnsi="宋体" w:eastAsia="宋体" w:cs="Times New Roman"/>
                <w:b/>
                <w:bCs/>
                <w:kern w:val="2"/>
                <w:sz w:val="21"/>
                <w:u w:val="none"/>
                <w:lang w:eastAsia="zh-CN"/>
              </w:rPr>
              <w:t>达标</w:t>
            </w:r>
            <w:r>
              <w:rPr>
                <w:rFonts w:ascii="宋体" w:hAnsi="宋体" w:eastAsia="宋体" w:cs="Times New Roman"/>
                <w:b/>
                <w:bCs/>
                <w:spacing w:val="-3"/>
                <w:kern w:val="2"/>
                <w:sz w:val="21"/>
                <w:u w:val="none"/>
                <w:lang w:eastAsia="zh-CN"/>
              </w:rPr>
              <w:t>分</w:t>
            </w:r>
            <w:r>
              <w:rPr>
                <w:rFonts w:ascii="宋体" w:hAnsi="宋体" w:eastAsia="宋体" w:cs="Times New Roman"/>
                <w:b/>
                <w:bCs/>
                <w:kern w:val="2"/>
                <w:sz w:val="21"/>
                <w:u w:val="none"/>
                <w:lang w:eastAsia="zh-CN"/>
              </w:rPr>
              <w:t>析表</w:t>
            </w:r>
          </w:p>
          <w:tbl>
            <w:tblPr>
              <w:tblStyle w:val="34"/>
              <w:tblW w:w="8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1068"/>
              <w:gridCol w:w="805"/>
              <w:gridCol w:w="480"/>
              <w:gridCol w:w="482"/>
              <w:gridCol w:w="434"/>
              <w:gridCol w:w="410"/>
              <w:gridCol w:w="614"/>
              <w:gridCol w:w="587"/>
              <w:gridCol w:w="533"/>
              <w:gridCol w:w="461"/>
              <w:gridCol w:w="563"/>
              <w:gridCol w:w="506"/>
              <w:gridCol w:w="395"/>
              <w:gridCol w:w="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exact"/>
                <w:jc w:val="center"/>
              </w:trPr>
              <w:tc>
                <w:tcPr>
                  <w:tcW w:w="234" w:type="pct"/>
                  <w:vMerge w:val="restart"/>
                  <w:tcBorders>
                    <w:tl2br w:val="nil"/>
                    <w:tr2bl w:val="nil"/>
                  </w:tcBorders>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b/>
                      <w:kern w:val="2"/>
                      <w:sz w:val="21"/>
                      <w:szCs w:val="21"/>
                      <w:u w:val="none"/>
                    </w:rPr>
                    <w:t>序号</w:t>
                  </w:r>
                </w:p>
              </w:tc>
              <w:tc>
                <w:tcPr>
                  <w:tcW w:w="661" w:type="pct"/>
                  <w:vMerge w:val="restart"/>
                  <w:tcBorders>
                    <w:tl2br w:val="nil"/>
                    <w:tr2bl w:val="nil"/>
                  </w:tcBorders>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b/>
                      <w:kern w:val="2"/>
                      <w:sz w:val="21"/>
                      <w:szCs w:val="21"/>
                      <w:u w:val="none"/>
                    </w:rPr>
                    <w:t>声环境保护目标名称</w:t>
                  </w:r>
                </w:p>
              </w:tc>
              <w:tc>
                <w:tcPr>
                  <w:tcW w:w="498" w:type="pct"/>
                  <w:vMerge w:val="restart"/>
                  <w:tcBorders>
                    <w:tl2br w:val="nil"/>
                    <w:tr2bl w:val="nil"/>
                  </w:tcBorders>
                  <w:noWrap w:val="0"/>
                  <w:vAlign w:val="center"/>
                </w:tcPr>
                <w:p>
                  <w:pPr>
                    <w:widowControl w:val="0"/>
                    <w:jc w:val="center"/>
                    <w:rPr>
                      <w:rFonts w:hint="default" w:ascii="Times New Roman" w:hAnsi="Times New Roman" w:eastAsia="宋体" w:cs="Times New Roman"/>
                      <w:b/>
                      <w:kern w:val="2"/>
                      <w:sz w:val="21"/>
                      <w:szCs w:val="21"/>
                      <w:u w:val="none"/>
                      <w:lang w:val="en-US" w:eastAsia="zh-CN"/>
                    </w:rPr>
                  </w:pPr>
                  <w:r>
                    <w:rPr>
                      <w:rFonts w:hint="eastAsia" w:ascii="Times New Roman" w:hAnsi="Times New Roman" w:eastAsia="宋体" w:cs="Times New Roman"/>
                      <w:b/>
                      <w:kern w:val="2"/>
                      <w:sz w:val="21"/>
                      <w:szCs w:val="21"/>
                      <w:u w:val="none"/>
                      <w:lang w:val="en-US" w:eastAsia="zh-CN"/>
                    </w:rPr>
                    <w:t>保护目标距声源最近距离</w:t>
                  </w:r>
                </w:p>
              </w:tc>
              <w:tc>
                <w:tcPr>
                  <w:tcW w:w="596" w:type="pct"/>
                  <w:gridSpan w:val="2"/>
                  <w:tcBorders>
                    <w:tl2br w:val="nil"/>
                    <w:tr2bl w:val="nil"/>
                  </w:tcBorders>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b/>
                      <w:kern w:val="2"/>
                      <w:sz w:val="21"/>
                      <w:szCs w:val="21"/>
                      <w:u w:val="none"/>
                    </w:rPr>
                    <w:t>噪声背景值/dB(A)</w:t>
                  </w:r>
                </w:p>
              </w:tc>
              <w:tc>
                <w:tcPr>
                  <w:tcW w:w="523" w:type="pct"/>
                  <w:gridSpan w:val="2"/>
                  <w:tcBorders>
                    <w:tl2br w:val="nil"/>
                    <w:tr2bl w:val="nil"/>
                  </w:tcBorders>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b/>
                      <w:kern w:val="2"/>
                      <w:sz w:val="21"/>
                      <w:szCs w:val="21"/>
                      <w:u w:val="none"/>
                    </w:rPr>
                    <w:t>噪声标准/dB(A)</w:t>
                  </w:r>
                </w:p>
              </w:tc>
              <w:tc>
                <w:tcPr>
                  <w:tcW w:w="744" w:type="pct"/>
                  <w:gridSpan w:val="2"/>
                  <w:tcBorders>
                    <w:tl2br w:val="nil"/>
                    <w:tr2bl w:val="nil"/>
                  </w:tcBorders>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b/>
                      <w:kern w:val="2"/>
                      <w:sz w:val="21"/>
                      <w:szCs w:val="21"/>
                      <w:u w:val="none"/>
                    </w:rPr>
                    <w:t>噪声贡献值/dB(A)</w:t>
                  </w:r>
                </w:p>
              </w:tc>
              <w:tc>
                <w:tcPr>
                  <w:tcW w:w="616" w:type="pct"/>
                  <w:gridSpan w:val="2"/>
                  <w:tcBorders>
                    <w:tl2br w:val="nil"/>
                    <w:tr2bl w:val="nil"/>
                  </w:tcBorders>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b/>
                      <w:kern w:val="2"/>
                      <w:sz w:val="21"/>
                      <w:szCs w:val="21"/>
                      <w:u w:val="none"/>
                    </w:rPr>
                    <w:t>噪声预测值/dB(A)</w:t>
                  </w:r>
                </w:p>
              </w:tc>
              <w:tc>
                <w:tcPr>
                  <w:tcW w:w="662" w:type="pct"/>
                  <w:gridSpan w:val="2"/>
                  <w:tcBorders>
                    <w:tl2br w:val="nil"/>
                    <w:tr2bl w:val="nil"/>
                  </w:tcBorders>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b/>
                      <w:kern w:val="2"/>
                      <w:sz w:val="21"/>
                      <w:szCs w:val="21"/>
                      <w:u w:val="none"/>
                    </w:rPr>
                    <w:t>较现状增量/dB(A)</w:t>
                  </w:r>
                </w:p>
              </w:tc>
              <w:tc>
                <w:tcPr>
                  <w:tcW w:w="462" w:type="pct"/>
                  <w:gridSpan w:val="2"/>
                  <w:tcBorders>
                    <w:tl2br w:val="nil"/>
                    <w:tr2bl w:val="nil"/>
                  </w:tcBorders>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b/>
                      <w:kern w:val="2"/>
                      <w:sz w:val="21"/>
                      <w:szCs w:val="21"/>
                      <w:u w:val="none"/>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p>
              </w:tc>
              <w:tc>
                <w:tcPr>
                  <w:tcW w:w="661" w:type="pct"/>
                  <w:vMerge w:val="continue"/>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p>
              </w:tc>
              <w:tc>
                <w:tcPr>
                  <w:tcW w:w="498" w:type="pct"/>
                  <w:vMerge w:val="continue"/>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p>
              </w:tc>
              <w:tc>
                <w:tcPr>
                  <w:tcW w:w="297" w:type="pct"/>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rPr>
                    <w:t>昼间</w:t>
                  </w:r>
                </w:p>
              </w:tc>
              <w:tc>
                <w:tcPr>
                  <w:tcW w:w="298" w:type="pct"/>
                  <w:tcBorders>
                    <w:tl2br w:val="nil"/>
                    <w:tr2bl w:val="nil"/>
                  </w:tcBorders>
                  <w:shd w:val="clear" w:color="auto" w:fill="FFFFFF"/>
                  <w:noWrap w:val="0"/>
                  <w:vAlign w:val="center"/>
                </w:tcPr>
                <w:p>
                  <w:pPr>
                    <w:widowControl w:val="0"/>
                    <w:jc w:val="center"/>
                    <w:rPr>
                      <w:rFonts w:hint="eastAsia" w:ascii="Times New Roman" w:hAnsi="Times New Roman" w:eastAsia="宋体" w:cs="Times New Roman"/>
                      <w:kern w:val="2"/>
                      <w:sz w:val="21"/>
                      <w:szCs w:val="21"/>
                      <w:u w:val="none"/>
                      <w:lang w:val="en-US" w:eastAsia="zh-CN"/>
                    </w:rPr>
                  </w:pPr>
                  <w:r>
                    <w:rPr>
                      <w:rFonts w:hint="eastAsia" w:cs="Times New Roman"/>
                      <w:kern w:val="2"/>
                      <w:sz w:val="21"/>
                      <w:szCs w:val="21"/>
                      <w:u w:val="none"/>
                      <w:lang w:val="en-US" w:eastAsia="zh-CN"/>
                    </w:rPr>
                    <w:t>夜间</w:t>
                  </w:r>
                </w:p>
              </w:tc>
              <w:tc>
                <w:tcPr>
                  <w:tcW w:w="268" w:type="pct"/>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rPr>
                    <w:t>昼间</w:t>
                  </w:r>
                </w:p>
              </w:tc>
              <w:tc>
                <w:tcPr>
                  <w:tcW w:w="254" w:type="pct"/>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rPr>
                    <w:t>夜间</w:t>
                  </w:r>
                </w:p>
              </w:tc>
              <w:tc>
                <w:tcPr>
                  <w:tcW w:w="380" w:type="pct"/>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rPr>
                    <w:t>昼间</w:t>
                  </w:r>
                </w:p>
              </w:tc>
              <w:tc>
                <w:tcPr>
                  <w:tcW w:w="363" w:type="pct"/>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r>
                    <w:rPr>
                      <w:rFonts w:hint="eastAsia" w:cs="Times New Roman"/>
                      <w:kern w:val="2"/>
                      <w:sz w:val="21"/>
                      <w:szCs w:val="21"/>
                      <w:u w:val="none"/>
                      <w:lang w:val="en-US" w:eastAsia="zh-CN"/>
                    </w:rPr>
                    <w:t>夜间</w:t>
                  </w:r>
                </w:p>
              </w:tc>
              <w:tc>
                <w:tcPr>
                  <w:tcW w:w="330" w:type="pct"/>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rPr>
                    <w:t>昼间</w:t>
                  </w:r>
                </w:p>
              </w:tc>
              <w:tc>
                <w:tcPr>
                  <w:tcW w:w="285" w:type="pct"/>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r>
                    <w:rPr>
                      <w:rFonts w:hint="eastAsia" w:cs="Times New Roman"/>
                      <w:kern w:val="2"/>
                      <w:sz w:val="21"/>
                      <w:szCs w:val="21"/>
                      <w:u w:val="none"/>
                      <w:lang w:val="en-US" w:eastAsia="zh-CN"/>
                    </w:rPr>
                    <w:t>夜间</w:t>
                  </w:r>
                </w:p>
              </w:tc>
              <w:tc>
                <w:tcPr>
                  <w:tcW w:w="348" w:type="pct"/>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rPr>
                    <w:t>昼间</w:t>
                  </w:r>
                </w:p>
              </w:tc>
              <w:tc>
                <w:tcPr>
                  <w:tcW w:w="313" w:type="pct"/>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r>
                    <w:rPr>
                      <w:rFonts w:hint="eastAsia" w:cs="Times New Roman"/>
                      <w:kern w:val="2"/>
                      <w:sz w:val="21"/>
                      <w:szCs w:val="21"/>
                      <w:u w:val="none"/>
                      <w:lang w:val="en-US" w:eastAsia="zh-CN"/>
                    </w:rPr>
                    <w:t>夜间</w:t>
                  </w:r>
                </w:p>
              </w:tc>
              <w:tc>
                <w:tcPr>
                  <w:tcW w:w="244" w:type="pct"/>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rPr>
                    <w:t>昼间</w:t>
                  </w:r>
                </w:p>
              </w:tc>
              <w:tc>
                <w:tcPr>
                  <w:tcW w:w="217" w:type="pct"/>
                  <w:tcBorders>
                    <w:tl2br w:val="nil"/>
                    <w:tr2bl w:val="nil"/>
                  </w:tcBorders>
                  <w:shd w:val="clear" w:color="auto" w:fill="FFFFFF"/>
                  <w:noWrap w:val="0"/>
                  <w:vAlign w:val="center"/>
                </w:tcPr>
                <w:p>
                  <w:pPr>
                    <w:widowControl w:val="0"/>
                    <w:jc w:val="center"/>
                    <w:rPr>
                      <w:rFonts w:ascii="Times New Roman" w:hAnsi="Times New Roman" w:eastAsia="宋体" w:cs="Times New Roman"/>
                      <w:kern w:val="2"/>
                      <w:sz w:val="21"/>
                      <w:szCs w:val="21"/>
                      <w:u w:val="none"/>
                    </w:rPr>
                  </w:pPr>
                  <w:r>
                    <w:rPr>
                      <w:rFonts w:hint="eastAsia" w:cs="Times New Roman"/>
                      <w:kern w:val="2"/>
                      <w:sz w:val="21"/>
                      <w:szCs w:val="21"/>
                      <w:u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4" w:hRule="atLeast"/>
                <w:jc w:val="center"/>
              </w:trPr>
              <w:tc>
                <w:tcPr>
                  <w:tcW w:w="234"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21"/>
                      <w:szCs w:val="21"/>
                      <w:u w:val="none"/>
                    </w:rPr>
                  </w:pPr>
                  <w:r>
                    <w:rPr>
                      <w:rFonts w:hint="default" w:ascii="Times New Roman" w:hAnsi="Times New Roman" w:eastAsia="Arial" w:cs="Times New Roman"/>
                      <w:kern w:val="2"/>
                      <w:sz w:val="21"/>
                      <w:szCs w:val="21"/>
                      <w:u w:val="none"/>
                    </w:rPr>
                    <w:t>1</w:t>
                  </w:r>
                </w:p>
              </w:tc>
              <w:tc>
                <w:tcPr>
                  <w:tcW w:w="661" w:type="pct"/>
                  <w:tcBorders>
                    <w:tl2br w:val="nil"/>
                    <w:tr2bl w:val="nil"/>
                  </w:tcBorders>
                  <w:shd w:val="clear" w:color="auto" w:fill="FFFFFF"/>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center"/>
                    <w:rPr>
                      <w:rFonts w:hint="default" w:ascii="Times New Roman" w:hAnsi="Times New Roman" w:eastAsia="宋体" w:cs="Times New Roman"/>
                      <w:kern w:val="2"/>
                      <w:sz w:val="21"/>
                      <w:szCs w:val="21"/>
                      <w:u w:val="none"/>
                      <w:lang w:val="en-US" w:eastAsia="zh-CN"/>
                    </w:rPr>
                  </w:pPr>
                  <w:r>
                    <w:rPr>
                      <w:rFonts w:hint="eastAsia" w:ascii="Times New Roman" w:hAnsi="Times New Roman" w:eastAsia="宋体" w:cs="Times New Roman"/>
                      <w:kern w:val="2"/>
                      <w:sz w:val="21"/>
                      <w:szCs w:val="21"/>
                      <w:u w:val="none"/>
                      <w:lang w:val="en-US" w:eastAsia="zh-CN"/>
                    </w:rPr>
                    <w:t>花垣县疾控中心</w:t>
                  </w:r>
                </w:p>
              </w:tc>
              <w:tc>
                <w:tcPr>
                  <w:tcW w:w="498" w:type="pct"/>
                  <w:tcBorders>
                    <w:tl2br w:val="nil"/>
                    <w:tr2bl w:val="nil"/>
                  </w:tcBorders>
                  <w:shd w:val="clear" w:color="auto" w:fill="FFFFFF"/>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center"/>
                    <w:rPr>
                      <w:rFonts w:hint="default" w:cs="宋体"/>
                      <w:sz w:val="18"/>
                      <w:szCs w:val="18"/>
                      <w:u w:val="none"/>
                      <w:lang w:val="en-US" w:eastAsia="zh-CN"/>
                    </w:rPr>
                  </w:pPr>
                  <w:r>
                    <w:rPr>
                      <w:rFonts w:hint="eastAsia" w:cs="宋体"/>
                      <w:sz w:val="18"/>
                      <w:szCs w:val="18"/>
                      <w:u w:val="none"/>
                      <w:lang w:val="en-US" w:eastAsia="zh-CN"/>
                    </w:rPr>
                    <w:t>紧邻</w:t>
                  </w:r>
                </w:p>
              </w:tc>
              <w:tc>
                <w:tcPr>
                  <w:tcW w:w="297"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highlight w:val="none"/>
                      <w:u w:val="none"/>
                      <w:lang w:val="en-US" w:eastAsia="zh-CN"/>
                    </w:rPr>
                  </w:pPr>
                  <w:r>
                    <w:rPr>
                      <w:rFonts w:hint="eastAsia" w:ascii="Times New Roman" w:hAnsi="Times New Roman" w:eastAsia="宋体" w:cs="Times New Roman"/>
                      <w:kern w:val="2"/>
                      <w:sz w:val="18"/>
                      <w:szCs w:val="18"/>
                      <w:highlight w:val="none"/>
                      <w:u w:val="none"/>
                      <w:lang w:val="en-US" w:eastAsia="zh-CN"/>
                    </w:rPr>
                    <w:t>5</w:t>
                  </w:r>
                  <w:r>
                    <w:rPr>
                      <w:rFonts w:hint="eastAsia" w:cs="Times New Roman"/>
                      <w:kern w:val="2"/>
                      <w:sz w:val="18"/>
                      <w:szCs w:val="18"/>
                      <w:highlight w:val="none"/>
                      <w:u w:val="none"/>
                      <w:lang w:val="en-US" w:eastAsia="zh-CN"/>
                    </w:rPr>
                    <w:t>6</w:t>
                  </w:r>
                </w:p>
              </w:tc>
              <w:tc>
                <w:tcPr>
                  <w:tcW w:w="298"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highlight w:val="none"/>
                      <w:u w:val="none"/>
                      <w:lang w:val="en-US" w:eastAsia="zh-CN"/>
                    </w:rPr>
                  </w:pPr>
                  <w:r>
                    <w:rPr>
                      <w:rFonts w:hint="eastAsia" w:cs="Times New Roman"/>
                      <w:kern w:val="2"/>
                      <w:sz w:val="18"/>
                      <w:szCs w:val="18"/>
                      <w:highlight w:val="none"/>
                      <w:u w:val="none"/>
                      <w:lang w:val="en-US" w:eastAsia="zh-CN"/>
                    </w:rPr>
                    <w:t>42</w:t>
                  </w:r>
                </w:p>
              </w:tc>
              <w:tc>
                <w:tcPr>
                  <w:tcW w:w="268"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ascii="Times New Roman" w:hAnsi="Times New Roman" w:eastAsia="宋体" w:cs="Times New Roman"/>
                      <w:kern w:val="2"/>
                      <w:sz w:val="18"/>
                      <w:szCs w:val="18"/>
                      <w:u w:val="none"/>
                      <w:lang w:val="en-US" w:eastAsia="zh-CN"/>
                    </w:rPr>
                    <w:t>60</w:t>
                  </w:r>
                </w:p>
              </w:tc>
              <w:tc>
                <w:tcPr>
                  <w:tcW w:w="254"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ascii="Times New Roman" w:hAnsi="Times New Roman" w:eastAsia="宋体" w:cs="Times New Roman"/>
                      <w:kern w:val="2"/>
                      <w:sz w:val="18"/>
                      <w:szCs w:val="18"/>
                      <w:u w:val="none"/>
                      <w:lang w:val="en-US" w:eastAsia="zh-CN"/>
                    </w:rPr>
                    <w:t>50</w:t>
                  </w:r>
                </w:p>
              </w:tc>
              <w:tc>
                <w:tcPr>
                  <w:tcW w:w="380"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lang w:val="en-US" w:eastAsia="zh-CN"/>
                    </w:rPr>
                  </w:pPr>
                  <w:r>
                    <w:rPr>
                      <w:rFonts w:hint="eastAsia" w:eastAsia="Arial" w:cs="Times New Roman"/>
                      <w:kern w:val="2"/>
                      <w:sz w:val="18"/>
                      <w:szCs w:val="18"/>
                      <w:u w:val="none"/>
                      <w:lang w:val="en-US" w:eastAsia="zh-CN"/>
                    </w:rPr>
                    <w:t>44.88</w:t>
                  </w:r>
                </w:p>
              </w:tc>
              <w:tc>
                <w:tcPr>
                  <w:tcW w:w="363"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lang w:val="en-US" w:eastAsia="zh-CN"/>
                    </w:rPr>
                  </w:pPr>
                  <w:r>
                    <w:rPr>
                      <w:rFonts w:hint="eastAsia" w:eastAsia="Arial" w:cs="Times New Roman"/>
                      <w:kern w:val="2"/>
                      <w:sz w:val="18"/>
                      <w:szCs w:val="18"/>
                      <w:u w:val="none"/>
                      <w:lang w:val="en-US" w:eastAsia="zh-CN"/>
                    </w:rPr>
                    <w:t>44.88</w:t>
                  </w:r>
                </w:p>
              </w:tc>
              <w:tc>
                <w:tcPr>
                  <w:tcW w:w="330"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cs="Times New Roman"/>
                      <w:kern w:val="2"/>
                      <w:sz w:val="18"/>
                      <w:szCs w:val="18"/>
                      <w:u w:val="none"/>
                      <w:lang w:val="en-US" w:eastAsia="zh-CN"/>
                    </w:rPr>
                    <w:t>56.32</w:t>
                  </w:r>
                </w:p>
              </w:tc>
              <w:tc>
                <w:tcPr>
                  <w:tcW w:w="285"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cs="Times New Roman"/>
                      <w:kern w:val="2"/>
                      <w:sz w:val="18"/>
                      <w:szCs w:val="18"/>
                      <w:u w:val="none"/>
                      <w:lang w:val="en-US" w:eastAsia="zh-CN"/>
                    </w:rPr>
                    <w:t>46.69</w:t>
                  </w:r>
                </w:p>
              </w:tc>
              <w:tc>
                <w:tcPr>
                  <w:tcW w:w="348"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default" w:ascii="Times New Roman" w:hAnsi="Times New Roman" w:eastAsia="Arial" w:cs="Times New Roman"/>
                      <w:kern w:val="2"/>
                      <w:sz w:val="18"/>
                      <w:szCs w:val="18"/>
                      <w:u w:val="none"/>
                    </w:rPr>
                    <w:t>0.</w:t>
                  </w:r>
                  <w:r>
                    <w:rPr>
                      <w:rFonts w:hint="eastAsia" w:eastAsia="宋体" w:cs="Times New Roman"/>
                      <w:kern w:val="2"/>
                      <w:sz w:val="18"/>
                      <w:szCs w:val="18"/>
                      <w:u w:val="none"/>
                      <w:lang w:val="en-US" w:eastAsia="zh-CN"/>
                    </w:rPr>
                    <w:t>32</w:t>
                  </w:r>
                </w:p>
              </w:tc>
              <w:tc>
                <w:tcPr>
                  <w:tcW w:w="313"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eastAsia="宋体" w:cs="Times New Roman"/>
                      <w:kern w:val="2"/>
                      <w:sz w:val="18"/>
                      <w:szCs w:val="18"/>
                      <w:u w:val="none"/>
                      <w:lang w:val="en-US" w:eastAsia="zh-CN"/>
                    </w:rPr>
                    <w:t>4.69</w:t>
                  </w:r>
                </w:p>
              </w:tc>
              <w:tc>
                <w:tcPr>
                  <w:tcW w:w="462" w:type="pct"/>
                  <w:gridSpan w:val="2"/>
                  <w:tcBorders>
                    <w:tl2br w:val="nil"/>
                    <w:tr2bl w:val="nil"/>
                  </w:tcBorders>
                  <w:shd w:val="clear" w:color="auto" w:fill="FFFFFF"/>
                  <w:noWrap w:val="0"/>
                  <w:vAlign w:val="center"/>
                </w:tcPr>
                <w:p>
                  <w:pPr>
                    <w:widowControl w:val="0"/>
                    <w:spacing w:line="240" w:lineRule="auto"/>
                    <w:jc w:val="center"/>
                    <w:rPr>
                      <w:rFonts w:hint="eastAsia" w:ascii="Times New Roman" w:hAnsi="Times New Roman" w:eastAsia="Arial" w:cs="Times New Roman"/>
                      <w:kern w:val="2"/>
                      <w:sz w:val="21"/>
                      <w:szCs w:val="21"/>
                      <w:u w:val="none"/>
                    </w:rPr>
                  </w:pPr>
                  <w:r>
                    <w:rPr>
                      <w:rFonts w:hint="eastAsia" w:ascii="Times New Roman" w:hAnsi="Times New Roman" w:eastAsia="Arial" w:cs="Times New Roman"/>
                      <w:kern w:val="2"/>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49" w:hRule="atLeast"/>
                <w:jc w:val="center"/>
              </w:trPr>
              <w:tc>
                <w:tcPr>
                  <w:tcW w:w="234"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21"/>
                      <w:szCs w:val="21"/>
                      <w:u w:val="none"/>
                    </w:rPr>
                  </w:pPr>
                  <w:r>
                    <w:rPr>
                      <w:rFonts w:hint="default" w:ascii="Times New Roman" w:hAnsi="Times New Roman" w:eastAsia="Arial" w:cs="Times New Roman"/>
                      <w:kern w:val="2"/>
                      <w:sz w:val="21"/>
                      <w:szCs w:val="21"/>
                      <w:u w:val="none"/>
                    </w:rPr>
                    <w:t>2</w:t>
                  </w:r>
                </w:p>
              </w:tc>
              <w:tc>
                <w:tcPr>
                  <w:tcW w:w="661" w:type="pct"/>
                  <w:tcBorders>
                    <w:tl2br w:val="nil"/>
                    <w:tr2bl w:val="nil"/>
                  </w:tcBorders>
                  <w:shd w:val="clear" w:color="auto" w:fill="FFFFFF"/>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center"/>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lang w:val="en-US" w:eastAsia="zh-CN"/>
                    </w:rPr>
                    <w:t>花垣县人民政府政务服务中心</w:t>
                  </w:r>
                </w:p>
              </w:tc>
              <w:tc>
                <w:tcPr>
                  <w:tcW w:w="498" w:type="pct"/>
                  <w:tcBorders>
                    <w:tl2br w:val="nil"/>
                    <w:tr2bl w:val="nil"/>
                  </w:tcBorders>
                  <w:shd w:val="clear" w:color="auto" w:fill="FFFFFF"/>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center"/>
                    <w:rPr>
                      <w:rFonts w:hint="default" w:cs="宋体"/>
                      <w:sz w:val="18"/>
                      <w:szCs w:val="18"/>
                      <w:u w:val="none"/>
                      <w:lang w:val="en-US" w:eastAsia="zh-CN"/>
                    </w:rPr>
                  </w:pPr>
                  <w:r>
                    <w:rPr>
                      <w:rFonts w:hint="eastAsia" w:cs="宋体"/>
                      <w:sz w:val="18"/>
                      <w:szCs w:val="18"/>
                      <w:u w:val="none"/>
                      <w:lang w:val="en-US" w:eastAsia="zh-CN"/>
                    </w:rPr>
                    <w:t>6m</w:t>
                  </w:r>
                </w:p>
              </w:tc>
              <w:tc>
                <w:tcPr>
                  <w:tcW w:w="297"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highlight w:val="none"/>
                      <w:u w:val="none"/>
                      <w:lang w:val="en-US" w:eastAsia="zh-CN"/>
                    </w:rPr>
                  </w:pPr>
                  <w:r>
                    <w:rPr>
                      <w:rFonts w:hint="eastAsia" w:ascii="Times New Roman" w:hAnsi="Times New Roman" w:eastAsia="宋体" w:cs="Times New Roman"/>
                      <w:kern w:val="2"/>
                      <w:sz w:val="18"/>
                      <w:szCs w:val="18"/>
                      <w:highlight w:val="none"/>
                      <w:u w:val="none"/>
                      <w:lang w:val="en-US" w:eastAsia="zh-CN"/>
                    </w:rPr>
                    <w:t>5</w:t>
                  </w:r>
                  <w:r>
                    <w:rPr>
                      <w:rFonts w:hint="eastAsia" w:cs="Times New Roman"/>
                      <w:kern w:val="2"/>
                      <w:sz w:val="18"/>
                      <w:szCs w:val="18"/>
                      <w:highlight w:val="none"/>
                      <w:u w:val="none"/>
                      <w:lang w:val="en-US" w:eastAsia="zh-CN"/>
                    </w:rPr>
                    <w:t>7</w:t>
                  </w:r>
                </w:p>
              </w:tc>
              <w:tc>
                <w:tcPr>
                  <w:tcW w:w="298"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highlight w:val="none"/>
                      <w:u w:val="none"/>
                      <w:lang w:val="en-US" w:eastAsia="zh-CN"/>
                    </w:rPr>
                  </w:pPr>
                  <w:r>
                    <w:rPr>
                      <w:rFonts w:hint="eastAsia" w:cs="Times New Roman"/>
                      <w:kern w:val="2"/>
                      <w:sz w:val="18"/>
                      <w:szCs w:val="18"/>
                      <w:highlight w:val="none"/>
                      <w:u w:val="none"/>
                      <w:lang w:val="en-US" w:eastAsia="zh-CN"/>
                    </w:rPr>
                    <w:t>43</w:t>
                  </w:r>
                </w:p>
              </w:tc>
              <w:tc>
                <w:tcPr>
                  <w:tcW w:w="268"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rPr>
                  </w:pPr>
                  <w:r>
                    <w:rPr>
                      <w:rFonts w:hint="default" w:ascii="Times New Roman" w:hAnsi="Times New Roman" w:eastAsia="Arial" w:cs="Times New Roman"/>
                      <w:kern w:val="2"/>
                      <w:sz w:val="18"/>
                      <w:szCs w:val="18"/>
                      <w:u w:val="none"/>
                    </w:rPr>
                    <w:t>60</w:t>
                  </w:r>
                </w:p>
              </w:tc>
              <w:tc>
                <w:tcPr>
                  <w:tcW w:w="254"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rPr>
                  </w:pPr>
                  <w:r>
                    <w:rPr>
                      <w:rFonts w:hint="default" w:ascii="Times New Roman" w:hAnsi="Times New Roman" w:eastAsia="Arial" w:cs="Times New Roman"/>
                      <w:kern w:val="2"/>
                      <w:sz w:val="18"/>
                      <w:szCs w:val="18"/>
                      <w:u w:val="none"/>
                    </w:rPr>
                    <w:t>50</w:t>
                  </w:r>
                </w:p>
              </w:tc>
              <w:tc>
                <w:tcPr>
                  <w:tcW w:w="380"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lang w:val="en-US" w:eastAsia="zh-CN"/>
                    </w:rPr>
                  </w:pPr>
                  <w:r>
                    <w:rPr>
                      <w:rFonts w:hint="eastAsia" w:eastAsia="Arial" w:cs="Times New Roman"/>
                      <w:kern w:val="2"/>
                      <w:sz w:val="18"/>
                      <w:szCs w:val="18"/>
                      <w:u w:val="none"/>
                      <w:lang w:val="en-US" w:eastAsia="zh-CN"/>
                    </w:rPr>
                    <w:t>34.97</w:t>
                  </w:r>
                </w:p>
              </w:tc>
              <w:tc>
                <w:tcPr>
                  <w:tcW w:w="363"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lang w:val="en-US" w:eastAsia="zh-CN"/>
                    </w:rPr>
                  </w:pPr>
                  <w:r>
                    <w:rPr>
                      <w:rFonts w:hint="eastAsia" w:eastAsia="Arial" w:cs="Times New Roman"/>
                      <w:kern w:val="2"/>
                      <w:sz w:val="18"/>
                      <w:szCs w:val="18"/>
                      <w:u w:val="none"/>
                      <w:lang w:val="en-US" w:eastAsia="zh-CN"/>
                    </w:rPr>
                    <w:t>34.97</w:t>
                  </w:r>
                </w:p>
              </w:tc>
              <w:tc>
                <w:tcPr>
                  <w:tcW w:w="330"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ascii="Times New Roman" w:hAnsi="Times New Roman" w:eastAsia="宋体" w:cs="Times New Roman"/>
                      <w:kern w:val="2"/>
                      <w:sz w:val="18"/>
                      <w:szCs w:val="18"/>
                      <w:u w:val="none"/>
                      <w:lang w:val="en-US" w:eastAsia="zh-CN"/>
                    </w:rPr>
                    <w:t>5</w:t>
                  </w:r>
                  <w:r>
                    <w:rPr>
                      <w:rFonts w:hint="eastAsia" w:cs="Times New Roman"/>
                      <w:kern w:val="2"/>
                      <w:sz w:val="18"/>
                      <w:szCs w:val="18"/>
                      <w:u w:val="none"/>
                      <w:lang w:val="en-US" w:eastAsia="zh-CN"/>
                    </w:rPr>
                    <w:t>7.03</w:t>
                  </w:r>
                </w:p>
              </w:tc>
              <w:tc>
                <w:tcPr>
                  <w:tcW w:w="285"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cs="Times New Roman"/>
                      <w:kern w:val="2"/>
                      <w:sz w:val="18"/>
                      <w:szCs w:val="18"/>
                      <w:u w:val="none"/>
                      <w:lang w:val="en-US" w:eastAsia="zh-CN"/>
                    </w:rPr>
                    <w:t>43.63</w:t>
                  </w:r>
                </w:p>
              </w:tc>
              <w:tc>
                <w:tcPr>
                  <w:tcW w:w="348"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ascii="Times New Roman" w:hAnsi="Times New Roman" w:eastAsia="宋体" w:cs="Times New Roman"/>
                      <w:kern w:val="2"/>
                      <w:sz w:val="18"/>
                      <w:szCs w:val="18"/>
                      <w:u w:val="none"/>
                      <w:lang w:val="en-US" w:eastAsia="zh-CN"/>
                    </w:rPr>
                    <w:t>0.</w:t>
                  </w:r>
                  <w:r>
                    <w:rPr>
                      <w:rFonts w:hint="eastAsia" w:cs="Times New Roman"/>
                      <w:kern w:val="2"/>
                      <w:sz w:val="18"/>
                      <w:szCs w:val="18"/>
                      <w:u w:val="none"/>
                      <w:lang w:val="en-US" w:eastAsia="zh-CN"/>
                    </w:rPr>
                    <w:t>03</w:t>
                  </w:r>
                </w:p>
              </w:tc>
              <w:tc>
                <w:tcPr>
                  <w:tcW w:w="313"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cs="Times New Roman"/>
                      <w:kern w:val="2"/>
                      <w:sz w:val="18"/>
                      <w:szCs w:val="18"/>
                      <w:u w:val="none"/>
                      <w:lang w:val="en-US" w:eastAsia="zh-CN"/>
                    </w:rPr>
                    <w:t>0.63</w:t>
                  </w:r>
                </w:p>
              </w:tc>
              <w:tc>
                <w:tcPr>
                  <w:tcW w:w="462" w:type="pct"/>
                  <w:gridSpan w:val="2"/>
                  <w:tcBorders>
                    <w:tl2br w:val="nil"/>
                    <w:tr2bl w:val="nil"/>
                  </w:tcBorders>
                  <w:shd w:val="clear" w:color="auto" w:fill="FFFFFF"/>
                  <w:noWrap w:val="0"/>
                  <w:vAlign w:val="center"/>
                </w:tcPr>
                <w:p>
                  <w:pPr>
                    <w:widowControl w:val="0"/>
                    <w:spacing w:line="240" w:lineRule="auto"/>
                    <w:jc w:val="center"/>
                    <w:rPr>
                      <w:rFonts w:hint="eastAsia" w:ascii="Times New Roman" w:hAnsi="Times New Roman" w:eastAsia="Arial" w:cs="Times New Roman"/>
                      <w:kern w:val="2"/>
                      <w:sz w:val="21"/>
                      <w:szCs w:val="21"/>
                      <w:u w:val="none"/>
                    </w:rPr>
                  </w:pPr>
                  <w:r>
                    <w:rPr>
                      <w:rFonts w:hint="eastAsia" w:ascii="Times New Roman" w:hAnsi="Times New Roman" w:eastAsia="Arial" w:cs="Times New Roman"/>
                      <w:kern w:val="2"/>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49" w:hRule="atLeast"/>
                <w:jc w:val="center"/>
              </w:trPr>
              <w:tc>
                <w:tcPr>
                  <w:tcW w:w="234" w:type="pct"/>
                  <w:tcBorders>
                    <w:tl2br w:val="nil"/>
                    <w:tr2bl w:val="nil"/>
                  </w:tcBorders>
                  <w:shd w:val="clear" w:color="auto" w:fill="FFFFFF"/>
                  <w:noWrap w:val="0"/>
                  <w:vAlign w:val="center"/>
                </w:tcPr>
                <w:p>
                  <w:pPr>
                    <w:widowControl w:val="0"/>
                    <w:spacing w:line="240" w:lineRule="auto"/>
                    <w:jc w:val="center"/>
                    <w:rPr>
                      <w:rFonts w:hint="eastAsia" w:ascii="Times New Roman" w:hAnsi="Times New Roman" w:eastAsia="宋体" w:cs="Times New Roman"/>
                      <w:kern w:val="2"/>
                      <w:sz w:val="21"/>
                      <w:szCs w:val="21"/>
                      <w:u w:val="none"/>
                      <w:lang w:val="en-US" w:eastAsia="zh-CN"/>
                    </w:rPr>
                  </w:pPr>
                  <w:r>
                    <w:rPr>
                      <w:rFonts w:hint="eastAsia" w:eastAsia="宋体" w:cs="Times New Roman"/>
                      <w:kern w:val="2"/>
                      <w:sz w:val="21"/>
                      <w:szCs w:val="21"/>
                      <w:u w:val="none"/>
                      <w:lang w:val="en-US" w:eastAsia="zh-CN"/>
                    </w:rPr>
                    <w:t>3</w:t>
                  </w:r>
                </w:p>
              </w:tc>
              <w:tc>
                <w:tcPr>
                  <w:tcW w:w="661" w:type="pct"/>
                  <w:tcBorders>
                    <w:tl2br w:val="nil"/>
                    <w:tr2bl w:val="nil"/>
                  </w:tcBorders>
                  <w:shd w:val="clear" w:color="auto" w:fill="FFFFFF"/>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center"/>
                    <w:rPr>
                      <w:rFonts w:hint="default" w:ascii="Times New Roman" w:hAnsi="Times New Roman" w:eastAsia="宋体" w:cs="Times New Roman"/>
                      <w:kern w:val="2"/>
                      <w:sz w:val="21"/>
                      <w:szCs w:val="21"/>
                      <w:u w:val="none"/>
                      <w:lang w:val="en-US" w:eastAsia="zh-CN"/>
                    </w:rPr>
                  </w:pPr>
                  <w:r>
                    <w:rPr>
                      <w:rFonts w:hint="eastAsia" w:cs="Times New Roman"/>
                      <w:kern w:val="2"/>
                      <w:sz w:val="21"/>
                      <w:szCs w:val="21"/>
                      <w:u w:val="none"/>
                      <w:lang w:val="en-US" w:eastAsia="zh-CN"/>
                    </w:rPr>
                    <w:t>花垣县税务局</w:t>
                  </w:r>
                </w:p>
              </w:tc>
              <w:tc>
                <w:tcPr>
                  <w:tcW w:w="498" w:type="pct"/>
                  <w:tcBorders>
                    <w:tl2br w:val="nil"/>
                    <w:tr2bl w:val="nil"/>
                  </w:tcBorders>
                  <w:shd w:val="clear" w:color="auto" w:fill="FFFFFF"/>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center"/>
                    <w:rPr>
                      <w:rFonts w:hint="default" w:cs="宋体"/>
                      <w:sz w:val="18"/>
                      <w:szCs w:val="18"/>
                      <w:u w:val="none"/>
                      <w:lang w:val="en-US" w:eastAsia="zh-CN"/>
                    </w:rPr>
                  </w:pPr>
                  <w:r>
                    <w:rPr>
                      <w:rFonts w:hint="eastAsia" w:cs="宋体"/>
                      <w:sz w:val="18"/>
                      <w:szCs w:val="18"/>
                      <w:u w:val="none"/>
                      <w:lang w:val="en-US" w:eastAsia="zh-CN"/>
                    </w:rPr>
                    <w:t>35m</w:t>
                  </w:r>
                </w:p>
              </w:tc>
              <w:tc>
                <w:tcPr>
                  <w:tcW w:w="297"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highlight w:val="none"/>
                      <w:u w:val="none"/>
                      <w:lang w:val="en-US" w:eastAsia="zh-CN"/>
                    </w:rPr>
                  </w:pPr>
                  <w:r>
                    <w:rPr>
                      <w:rFonts w:hint="eastAsia" w:cs="Times New Roman"/>
                      <w:kern w:val="2"/>
                      <w:sz w:val="18"/>
                      <w:szCs w:val="18"/>
                      <w:highlight w:val="none"/>
                      <w:u w:val="none"/>
                      <w:lang w:val="en-US" w:eastAsia="zh-CN"/>
                    </w:rPr>
                    <w:t>55</w:t>
                  </w:r>
                </w:p>
              </w:tc>
              <w:tc>
                <w:tcPr>
                  <w:tcW w:w="298" w:type="pct"/>
                  <w:tcBorders>
                    <w:tl2br w:val="nil"/>
                    <w:tr2bl w:val="nil"/>
                  </w:tcBorders>
                  <w:shd w:val="clear" w:color="auto" w:fill="FFFFFF"/>
                  <w:noWrap w:val="0"/>
                  <w:vAlign w:val="center"/>
                </w:tcPr>
                <w:p>
                  <w:pPr>
                    <w:widowControl w:val="0"/>
                    <w:spacing w:line="240" w:lineRule="auto"/>
                    <w:jc w:val="center"/>
                    <w:rPr>
                      <w:rFonts w:hint="default" w:cs="Times New Roman"/>
                      <w:kern w:val="2"/>
                      <w:sz w:val="18"/>
                      <w:szCs w:val="18"/>
                      <w:highlight w:val="none"/>
                      <w:u w:val="none"/>
                      <w:lang w:val="en-US" w:eastAsia="zh-CN"/>
                    </w:rPr>
                  </w:pPr>
                  <w:r>
                    <w:rPr>
                      <w:rFonts w:hint="eastAsia" w:cs="Times New Roman"/>
                      <w:kern w:val="2"/>
                      <w:sz w:val="18"/>
                      <w:szCs w:val="18"/>
                      <w:highlight w:val="none"/>
                      <w:u w:val="none"/>
                      <w:lang w:val="en-US" w:eastAsia="zh-CN"/>
                    </w:rPr>
                    <w:t>40</w:t>
                  </w:r>
                </w:p>
              </w:tc>
              <w:tc>
                <w:tcPr>
                  <w:tcW w:w="268"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rPr>
                  </w:pPr>
                  <w:r>
                    <w:rPr>
                      <w:rFonts w:hint="eastAsia" w:ascii="Times New Roman" w:hAnsi="Times New Roman" w:eastAsia="宋体" w:cs="Times New Roman"/>
                      <w:kern w:val="2"/>
                      <w:sz w:val="18"/>
                      <w:szCs w:val="18"/>
                      <w:u w:val="none"/>
                      <w:lang w:val="en-US" w:eastAsia="zh-CN"/>
                    </w:rPr>
                    <w:t>60</w:t>
                  </w:r>
                </w:p>
              </w:tc>
              <w:tc>
                <w:tcPr>
                  <w:tcW w:w="254"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rPr>
                  </w:pPr>
                  <w:r>
                    <w:rPr>
                      <w:rFonts w:hint="eastAsia" w:ascii="Times New Roman" w:hAnsi="Times New Roman" w:eastAsia="宋体" w:cs="Times New Roman"/>
                      <w:kern w:val="2"/>
                      <w:sz w:val="18"/>
                      <w:szCs w:val="18"/>
                      <w:u w:val="none"/>
                      <w:lang w:val="en-US" w:eastAsia="zh-CN"/>
                    </w:rPr>
                    <w:t>50</w:t>
                  </w:r>
                </w:p>
              </w:tc>
              <w:tc>
                <w:tcPr>
                  <w:tcW w:w="380"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lang w:val="en-US" w:eastAsia="zh-CN"/>
                    </w:rPr>
                  </w:pPr>
                  <w:r>
                    <w:rPr>
                      <w:rFonts w:hint="eastAsia" w:eastAsia="Arial" w:cs="Times New Roman"/>
                      <w:kern w:val="2"/>
                      <w:sz w:val="18"/>
                      <w:szCs w:val="18"/>
                      <w:u w:val="none"/>
                      <w:lang w:val="en-US" w:eastAsia="zh-CN"/>
                    </w:rPr>
                    <w:t>26.09</w:t>
                  </w:r>
                </w:p>
              </w:tc>
              <w:tc>
                <w:tcPr>
                  <w:tcW w:w="363"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lang w:val="en-US" w:eastAsia="zh-CN"/>
                    </w:rPr>
                  </w:pPr>
                  <w:r>
                    <w:rPr>
                      <w:rFonts w:hint="eastAsia" w:eastAsia="Arial" w:cs="Times New Roman"/>
                      <w:kern w:val="2"/>
                      <w:sz w:val="18"/>
                      <w:szCs w:val="18"/>
                      <w:u w:val="none"/>
                      <w:lang w:val="en-US" w:eastAsia="zh-CN"/>
                    </w:rPr>
                    <w:t>26.09</w:t>
                  </w:r>
                </w:p>
              </w:tc>
              <w:tc>
                <w:tcPr>
                  <w:tcW w:w="330" w:type="pct"/>
                  <w:tcBorders>
                    <w:tl2br w:val="nil"/>
                    <w:tr2bl w:val="nil"/>
                  </w:tcBorders>
                  <w:shd w:val="clear" w:color="auto" w:fill="FFFFFF"/>
                  <w:noWrap w:val="0"/>
                  <w:vAlign w:val="center"/>
                </w:tcPr>
                <w:p>
                  <w:pPr>
                    <w:widowControl w:val="0"/>
                    <w:spacing w:line="240" w:lineRule="auto"/>
                    <w:jc w:val="center"/>
                    <w:rPr>
                      <w:rFonts w:hint="eastAsia" w:ascii="Times New Roman" w:hAnsi="Times New Roman" w:eastAsia="宋体" w:cs="Times New Roman"/>
                      <w:kern w:val="2"/>
                      <w:sz w:val="18"/>
                      <w:szCs w:val="18"/>
                      <w:u w:val="none"/>
                      <w:lang w:val="en-US" w:eastAsia="zh-CN"/>
                    </w:rPr>
                  </w:pPr>
                  <w:r>
                    <w:rPr>
                      <w:rFonts w:hint="eastAsia" w:eastAsia="Arial" w:cs="Times New Roman"/>
                      <w:kern w:val="2"/>
                      <w:sz w:val="18"/>
                      <w:szCs w:val="18"/>
                      <w:u w:val="none"/>
                      <w:lang w:val="en-US" w:eastAsia="zh-CN"/>
                    </w:rPr>
                    <w:t>55.01</w:t>
                  </w:r>
                </w:p>
              </w:tc>
              <w:tc>
                <w:tcPr>
                  <w:tcW w:w="285" w:type="pct"/>
                  <w:tcBorders>
                    <w:tl2br w:val="nil"/>
                    <w:tr2bl w:val="nil"/>
                  </w:tcBorders>
                  <w:shd w:val="clear" w:color="auto" w:fill="FFFFFF"/>
                  <w:noWrap w:val="0"/>
                  <w:vAlign w:val="center"/>
                </w:tcPr>
                <w:p>
                  <w:pPr>
                    <w:widowControl w:val="0"/>
                    <w:spacing w:line="240" w:lineRule="auto"/>
                    <w:jc w:val="center"/>
                    <w:rPr>
                      <w:rFonts w:hint="eastAsia" w:ascii="Times New Roman" w:hAnsi="Times New Roman" w:eastAsia="宋体" w:cs="Times New Roman"/>
                      <w:kern w:val="2"/>
                      <w:sz w:val="18"/>
                      <w:szCs w:val="18"/>
                      <w:u w:val="none"/>
                      <w:lang w:val="en-US" w:eastAsia="zh-CN"/>
                    </w:rPr>
                  </w:pPr>
                  <w:r>
                    <w:rPr>
                      <w:rFonts w:hint="eastAsia" w:eastAsia="Arial" w:cs="Times New Roman"/>
                      <w:kern w:val="2"/>
                      <w:sz w:val="18"/>
                      <w:szCs w:val="18"/>
                      <w:u w:val="none"/>
                      <w:lang w:val="en-US" w:eastAsia="zh-CN"/>
                    </w:rPr>
                    <w:t>40.17</w:t>
                  </w:r>
                </w:p>
              </w:tc>
              <w:tc>
                <w:tcPr>
                  <w:tcW w:w="348"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cs="Times New Roman"/>
                      <w:kern w:val="2"/>
                      <w:sz w:val="18"/>
                      <w:szCs w:val="18"/>
                      <w:u w:val="none"/>
                      <w:lang w:val="en-US" w:eastAsia="zh-CN"/>
                    </w:rPr>
                    <w:t>0.01</w:t>
                  </w:r>
                </w:p>
              </w:tc>
              <w:tc>
                <w:tcPr>
                  <w:tcW w:w="313"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cs="Times New Roman"/>
                      <w:kern w:val="2"/>
                      <w:sz w:val="18"/>
                      <w:szCs w:val="18"/>
                      <w:u w:val="none"/>
                      <w:lang w:val="en-US" w:eastAsia="zh-CN"/>
                    </w:rPr>
                    <w:t>0.17</w:t>
                  </w:r>
                </w:p>
              </w:tc>
              <w:tc>
                <w:tcPr>
                  <w:tcW w:w="462" w:type="pct"/>
                  <w:gridSpan w:val="2"/>
                  <w:tcBorders>
                    <w:tl2br w:val="nil"/>
                    <w:tr2bl w:val="nil"/>
                  </w:tcBorders>
                  <w:shd w:val="clear" w:color="auto" w:fill="FFFFFF"/>
                  <w:noWrap w:val="0"/>
                  <w:vAlign w:val="center"/>
                </w:tcPr>
                <w:p>
                  <w:pPr>
                    <w:widowControl w:val="0"/>
                    <w:spacing w:line="240" w:lineRule="auto"/>
                    <w:jc w:val="center"/>
                    <w:rPr>
                      <w:rFonts w:hint="eastAsia" w:ascii="Times New Roman" w:hAnsi="Times New Roman" w:eastAsia="Arial" w:cs="Times New Roman"/>
                      <w:kern w:val="2"/>
                      <w:sz w:val="21"/>
                      <w:szCs w:val="21"/>
                      <w:u w:val="none"/>
                    </w:rPr>
                  </w:pPr>
                  <w:r>
                    <w:rPr>
                      <w:rFonts w:hint="eastAsia" w:ascii="Times New Roman" w:hAnsi="Times New Roman" w:eastAsia="Arial" w:cs="Times New Roman"/>
                      <w:kern w:val="2"/>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49" w:hRule="atLeast"/>
                <w:jc w:val="center"/>
              </w:trPr>
              <w:tc>
                <w:tcPr>
                  <w:tcW w:w="234" w:type="pct"/>
                  <w:tcBorders>
                    <w:tl2br w:val="nil"/>
                    <w:tr2bl w:val="nil"/>
                  </w:tcBorders>
                  <w:shd w:val="clear" w:color="auto" w:fill="FFFFFF"/>
                  <w:noWrap w:val="0"/>
                  <w:vAlign w:val="center"/>
                </w:tcPr>
                <w:p>
                  <w:pPr>
                    <w:widowControl w:val="0"/>
                    <w:spacing w:line="240" w:lineRule="auto"/>
                    <w:jc w:val="center"/>
                    <w:rPr>
                      <w:rFonts w:hint="eastAsia" w:ascii="Times New Roman" w:hAnsi="Times New Roman" w:eastAsia="宋体" w:cs="Times New Roman"/>
                      <w:kern w:val="2"/>
                      <w:sz w:val="21"/>
                      <w:szCs w:val="21"/>
                      <w:u w:val="none"/>
                      <w:lang w:val="en-US" w:eastAsia="zh-CN"/>
                    </w:rPr>
                  </w:pPr>
                  <w:r>
                    <w:rPr>
                      <w:rFonts w:hint="eastAsia" w:eastAsia="宋体" w:cs="Times New Roman"/>
                      <w:kern w:val="2"/>
                      <w:sz w:val="21"/>
                      <w:szCs w:val="21"/>
                      <w:u w:val="none"/>
                      <w:lang w:val="en-US" w:eastAsia="zh-CN"/>
                    </w:rPr>
                    <w:t>4</w:t>
                  </w:r>
                </w:p>
              </w:tc>
              <w:tc>
                <w:tcPr>
                  <w:tcW w:w="661" w:type="pct"/>
                  <w:tcBorders>
                    <w:tl2br w:val="nil"/>
                    <w:tr2bl w:val="nil"/>
                  </w:tcBorders>
                  <w:shd w:val="clear" w:color="auto" w:fill="FFFFFF"/>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center"/>
                    <w:rPr>
                      <w:rFonts w:hint="default" w:ascii="Times New Roman" w:hAnsi="Times New Roman" w:eastAsia="宋体" w:cs="Times New Roman"/>
                      <w:kern w:val="2"/>
                      <w:sz w:val="21"/>
                      <w:szCs w:val="21"/>
                      <w:u w:val="none"/>
                      <w:lang w:val="en-US" w:eastAsia="zh-CN"/>
                    </w:rPr>
                  </w:pPr>
                  <w:r>
                    <w:rPr>
                      <w:rFonts w:hint="eastAsia" w:cs="Times New Roman"/>
                      <w:kern w:val="2"/>
                      <w:sz w:val="21"/>
                      <w:szCs w:val="21"/>
                      <w:u w:val="none"/>
                      <w:lang w:val="en-US" w:eastAsia="zh-CN"/>
                    </w:rPr>
                    <w:t>和悦家园小区</w:t>
                  </w:r>
                </w:p>
              </w:tc>
              <w:tc>
                <w:tcPr>
                  <w:tcW w:w="498" w:type="pct"/>
                  <w:tcBorders>
                    <w:tl2br w:val="nil"/>
                    <w:tr2bl w:val="nil"/>
                  </w:tcBorders>
                  <w:shd w:val="clear" w:color="auto" w:fill="FFFFFF"/>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center"/>
                    <w:rPr>
                      <w:rFonts w:hint="default" w:cs="宋体"/>
                      <w:sz w:val="18"/>
                      <w:szCs w:val="18"/>
                      <w:u w:val="none"/>
                      <w:lang w:val="en-US" w:eastAsia="zh-CN"/>
                    </w:rPr>
                  </w:pPr>
                  <w:r>
                    <w:rPr>
                      <w:rFonts w:hint="eastAsia" w:cs="宋体"/>
                      <w:sz w:val="18"/>
                      <w:szCs w:val="18"/>
                      <w:u w:val="none"/>
                      <w:lang w:val="en-US" w:eastAsia="zh-CN"/>
                    </w:rPr>
                    <w:t>47m</w:t>
                  </w:r>
                </w:p>
              </w:tc>
              <w:tc>
                <w:tcPr>
                  <w:tcW w:w="297"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highlight w:val="none"/>
                      <w:u w:val="none"/>
                      <w:lang w:val="en-US" w:eastAsia="zh-CN"/>
                    </w:rPr>
                  </w:pPr>
                  <w:r>
                    <w:rPr>
                      <w:rFonts w:hint="eastAsia" w:cs="Times New Roman"/>
                      <w:kern w:val="2"/>
                      <w:sz w:val="18"/>
                      <w:szCs w:val="18"/>
                      <w:highlight w:val="none"/>
                      <w:u w:val="none"/>
                      <w:lang w:val="en-US" w:eastAsia="zh-CN"/>
                    </w:rPr>
                    <w:t>58</w:t>
                  </w:r>
                </w:p>
              </w:tc>
              <w:tc>
                <w:tcPr>
                  <w:tcW w:w="298" w:type="pct"/>
                  <w:tcBorders>
                    <w:tl2br w:val="nil"/>
                    <w:tr2bl w:val="nil"/>
                  </w:tcBorders>
                  <w:shd w:val="clear" w:color="auto" w:fill="FFFFFF"/>
                  <w:noWrap w:val="0"/>
                  <w:vAlign w:val="center"/>
                </w:tcPr>
                <w:p>
                  <w:pPr>
                    <w:widowControl w:val="0"/>
                    <w:spacing w:line="240" w:lineRule="auto"/>
                    <w:jc w:val="center"/>
                    <w:rPr>
                      <w:rFonts w:hint="default" w:cs="Times New Roman"/>
                      <w:kern w:val="2"/>
                      <w:sz w:val="18"/>
                      <w:szCs w:val="18"/>
                      <w:highlight w:val="none"/>
                      <w:u w:val="none"/>
                      <w:lang w:val="en-US" w:eastAsia="zh-CN"/>
                    </w:rPr>
                  </w:pPr>
                  <w:r>
                    <w:rPr>
                      <w:rFonts w:hint="eastAsia" w:cs="Times New Roman"/>
                      <w:kern w:val="2"/>
                      <w:sz w:val="18"/>
                      <w:szCs w:val="18"/>
                      <w:highlight w:val="none"/>
                      <w:u w:val="none"/>
                      <w:lang w:val="en-US" w:eastAsia="zh-CN"/>
                    </w:rPr>
                    <w:t>42</w:t>
                  </w:r>
                </w:p>
              </w:tc>
              <w:tc>
                <w:tcPr>
                  <w:tcW w:w="268"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rPr>
                  </w:pPr>
                  <w:r>
                    <w:rPr>
                      <w:rFonts w:hint="default" w:ascii="Times New Roman" w:hAnsi="Times New Roman" w:eastAsia="Arial" w:cs="Times New Roman"/>
                      <w:kern w:val="2"/>
                      <w:sz w:val="18"/>
                      <w:szCs w:val="18"/>
                      <w:u w:val="none"/>
                    </w:rPr>
                    <w:t>60</w:t>
                  </w:r>
                </w:p>
              </w:tc>
              <w:tc>
                <w:tcPr>
                  <w:tcW w:w="254"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rPr>
                  </w:pPr>
                  <w:r>
                    <w:rPr>
                      <w:rFonts w:hint="default" w:ascii="Times New Roman" w:hAnsi="Times New Roman" w:eastAsia="Arial" w:cs="Times New Roman"/>
                      <w:kern w:val="2"/>
                      <w:sz w:val="18"/>
                      <w:szCs w:val="18"/>
                      <w:u w:val="none"/>
                    </w:rPr>
                    <w:t>50</w:t>
                  </w:r>
                </w:p>
              </w:tc>
              <w:tc>
                <w:tcPr>
                  <w:tcW w:w="380"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lang w:val="en-US" w:eastAsia="zh-CN"/>
                    </w:rPr>
                  </w:pPr>
                  <w:r>
                    <w:rPr>
                      <w:rFonts w:hint="eastAsia" w:eastAsia="Arial" w:cs="Times New Roman"/>
                      <w:kern w:val="2"/>
                      <w:sz w:val="18"/>
                      <w:szCs w:val="18"/>
                      <w:u w:val="none"/>
                      <w:lang w:val="en-US" w:eastAsia="zh-CN"/>
                    </w:rPr>
                    <w:t>25.86</w:t>
                  </w:r>
                </w:p>
              </w:tc>
              <w:tc>
                <w:tcPr>
                  <w:tcW w:w="363"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Arial" w:cs="Times New Roman"/>
                      <w:kern w:val="2"/>
                      <w:sz w:val="18"/>
                      <w:szCs w:val="18"/>
                      <w:u w:val="none"/>
                      <w:lang w:val="en-US" w:eastAsia="zh-CN"/>
                    </w:rPr>
                  </w:pPr>
                  <w:r>
                    <w:rPr>
                      <w:rFonts w:hint="eastAsia" w:eastAsia="Arial" w:cs="Times New Roman"/>
                      <w:kern w:val="2"/>
                      <w:sz w:val="18"/>
                      <w:szCs w:val="18"/>
                      <w:u w:val="none"/>
                      <w:lang w:val="en-US" w:eastAsia="zh-CN"/>
                    </w:rPr>
                    <w:t>25.86</w:t>
                  </w:r>
                </w:p>
              </w:tc>
              <w:tc>
                <w:tcPr>
                  <w:tcW w:w="330"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cs="Times New Roman"/>
                      <w:kern w:val="2"/>
                      <w:sz w:val="18"/>
                      <w:szCs w:val="18"/>
                      <w:u w:val="none"/>
                      <w:lang w:val="en-US" w:eastAsia="zh-CN"/>
                    </w:rPr>
                    <w:t>58</w:t>
                  </w:r>
                </w:p>
              </w:tc>
              <w:tc>
                <w:tcPr>
                  <w:tcW w:w="285"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cs="Times New Roman"/>
                      <w:kern w:val="2"/>
                      <w:sz w:val="18"/>
                      <w:szCs w:val="18"/>
                      <w:u w:val="none"/>
                      <w:lang w:val="en-US" w:eastAsia="zh-CN"/>
                    </w:rPr>
                    <w:t>42.1</w:t>
                  </w:r>
                </w:p>
              </w:tc>
              <w:tc>
                <w:tcPr>
                  <w:tcW w:w="348"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cs="Times New Roman"/>
                      <w:kern w:val="2"/>
                      <w:sz w:val="18"/>
                      <w:szCs w:val="18"/>
                      <w:u w:val="none"/>
                      <w:lang w:val="en-US" w:eastAsia="zh-CN"/>
                    </w:rPr>
                    <w:t>0</w:t>
                  </w:r>
                </w:p>
              </w:tc>
              <w:tc>
                <w:tcPr>
                  <w:tcW w:w="313" w:type="pct"/>
                  <w:tcBorders>
                    <w:tl2br w:val="nil"/>
                    <w:tr2bl w:val="nil"/>
                  </w:tcBorders>
                  <w:shd w:val="clear" w:color="auto" w:fill="FFFFFF"/>
                  <w:noWrap w:val="0"/>
                  <w:vAlign w:val="center"/>
                </w:tcPr>
                <w:p>
                  <w:pPr>
                    <w:widowControl w:val="0"/>
                    <w:spacing w:line="240" w:lineRule="auto"/>
                    <w:jc w:val="center"/>
                    <w:rPr>
                      <w:rFonts w:hint="default" w:ascii="Times New Roman" w:hAnsi="Times New Roman" w:eastAsia="宋体" w:cs="Times New Roman"/>
                      <w:kern w:val="2"/>
                      <w:sz w:val="18"/>
                      <w:szCs w:val="18"/>
                      <w:u w:val="none"/>
                      <w:lang w:val="en-US" w:eastAsia="zh-CN"/>
                    </w:rPr>
                  </w:pPr>
                  <w:r>
                    <w:rPr>
                      <w:rFonts w:hint="eastAsia" w:cs="Times New Roman"/>
                      <w:kern w:val="2"/>
                      <w:sz w:val="18"/>
                      <w:szCs w:val="18"/>
                      <w:u w:val="none"/>
                      <w:lang w:val="en-US" w:eastAsia="zh-CN"/>
                    </w:rPr>
                    <w:t>0.1</w:t>
                  </w:r>
                </w:p>
              </w:tc>
              <w:tc>
                <w:tcPr>
                  <w:tcW w:w="462" w:type="pct"/>
                  <w:gridSpan w:val="2"/>
                  <w:tcBorders>
                    <w:tl2br w:val="nil"/>
                    <w:tr2bl w:val="nil"/>
                  </w:tcBorders>
                  <w:shd w:val="clear" w:color="auto" w:fill="FFFFFF"/>
                  <w:noWrap w:val="0"/>
                  <w:vAlign w:val="center"/>
                </w:tcPr>
                <w:p>
                  <w:pPr>
                    <w:widowControl w:val="0"/>
                    <w:spacing w:line="240" w:lineRule="auto"/>
                    <w:jc w:val="center"/>
                    <w:rPr>
                      <w:rFonts w:hint="eastAsia" w:ascii="Times New Roman" w:hAnsi="Times New Roman" w:eastAsia="Arial" w:cs="Times New Roman"/>
                      <w:kern w:val="2"/>
                      <w:sz w:val="21"/>
                      <w:szCs w:val="21"/>
                      <w:u w:val="none"/>
                    </w:rPr>
                  </w:pPr>
                  <w:r>
                    <w:rPr>
                      <w:rFonts w:hint="eastAsia" w:ascii="Times New Roman" w:hAnsi="Times New Roman" w:eastAsia="Arial" w:cs="Times New Roman"/>
                      <w:kern w:val="2"/>
                      <w:sz w:val="21"/>
                      <w:szCs w:val="21"/>
                      <w:u w:val="none"/>
                    </w:rPr>
                    <w:t>达标</w:t>
                  </w:r>
                </w:p>
              </w:tc>
            </w:tr>
          </w:tbl>
          <w:p>
            <w:pPr>
              <w:keepNext w:val="0"/>
              <w:keepLines w:val="0"/>
              <w:pageBreakBefore w:val="0"/>
              <w:widowControl w:val="0"/>
              <w:kinsoku/>
              <w:wordWrap w:val="0"/>
              <w:overflowPunct/>
              <w:topLinePunct/>
              <w:autoSpaceDE/>
              <w:autoSpaceDN/>
              <w:bidi w:val="0"/>
              <w:adjustRightInd/>
              <w:snapToGrid/>
              <w:spacing w:line="360" w:lineRule="auto"/>
              <w:ind w:firstLine="0" w:firstLineChars="0"/>
              <w:jc w:val="left"/>
              <w:textAlignment w:val="auto"/>
              <w:rPr>
                <w:rFonts w:hint="eastAsia"/>
                <w:b/>
                <w:bCs/>
                <w:sz w:val="21"/>
                <w:szCs w:val="21"/>
                <w:u w:val="none" w:color="auto"/>
                <w:lang w:val="en-US" w:eastAsia="zh-CN"/>
              </w:rPr>
            </w:pPr>
          </w:p>
          <w:p>
            <w:pPr>
              <w:keepNext w:val="0"/>
              <w:keepLines w:val="0"/>
              <w:pageBreakBefore w:val="0"/>
              <w:widowControl w:val="0"/>
              <w:kinsoku/>
              <w:wordWrap w:val="0"/>
              <w:overflowPunct/>
              <w:topLinePunct/>
              <w:autoSpaceDE/>
              <w:autoSpaceDN/>
              <w:bidi w:val="0"/>
              <w:adjustRightInd/>
              <w:snapToGrid/>
              <w:spacing w:line="360" w:lineRule="auto"/>
              <w:ind w:firstLine="0" w:firstLineChars="0"/>
              <w:jc w:val="left"/>
              <w:textAlignment w:val="auto"/>
              <w:rPr>
                <w:rFonts w:hint="eastAsia"/>
                <w:b/>
                <w:bCs/>
                <w:sz w:val="21"/>
                <w:szCs w:val="21"/>
                <w:u w:val="none" w:color="auto"/>
                <w:lang w:val="en-US" w:eastAsia="zh-CN"/>
              </w:rPr>
            </w:pPr>
            <w:r>
              <w:drawing>
                <wp:inline distT="0" distB="0" distL="114300" distR="114300">
                  <wp:extent cx="5173980" cy="3040380"/>
                  <wp:effectExtent l="0" t="0" r="7620" b="762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32"/>
                          <a:stretch>
                            <a:fillRect/>
                          </a:stretch>
                        </pic:blipFill>
                        <pic:spPr>
                          <a:xfrm>
                            <a:off x="0" y="0"/>
                            <a:ext cx="5173980" cy="3040380"/>
                          </a:xfrm>
                          <a:prstGeom prst="rect">
                            <a:avLst/>
                          </a:prstGeom>
                          <a:noFill/>
                          <a:ln>
                            <a:noFill/>
                          </a:ln>
                        </pic:spPr>
                      </pic:pic>
                    </a:graphicData>
                  </a:graphic>
                </wp:inline>
              </w:drawing>
            </w:r>
          </w:p>
          <w:p>
            <w:pPr>
              <w:widowControl w:val="0"/>
              <w:wordWrap w:val="0"/>
              <w:topLinePunct/>
              <w:spacing w:line="360" w:lineRule="auto"/>
              <w:ind w:firstLine="422" w:firstLineChars="200"/>
              <w:jc w:val="center"/>
              <w:rPr>
                <w:rFonts w:ascii="Times New Roman" w:hAnsi="Times New Roman" w:eastAsia="宋体" w:cs="Times New Roman"/>
                <w:color w:val="auto"/>
                <w:u w:val="none" w:color="auto"/>
                <w:lang w:val="zh-CN" w:bidi="zh-CN"/>
              </w:rPr>
            </w:pPr>
            <w:r>
              <w:rPr>
                <w:rFonts w:hint="eastAsia"/>
                <w:b/>
                <w:bCs/>
                <w:sz w:val="21"/>
                <w:szCs w:val="21"/>
                <w:u w:val="none" w:color="auto"/>
                <w:lang w:val="en-US" w:eastAsia="zh-CN"/>
              </w:rPr>
              <w:t>图4-1  项目噪声等声值线图</w:t>
            </w:r>
          </w:p>
          <w:p>
            <w:pPr>
              <w:widowControl w:val="0"/>
              <w:wordWrap w:val="0"/>
              <w:topLinePunct/>
              <w:spacing w:line="360" w:lineRule="auto"/>
              <w:ind w:firstLine="480" w:firstLineChars="200"/>
              <w:jc w:val="both"/>
              <w:rPr>
                <w:rFonts w:ascii="Times New Roman" w:hAnsi="Times New Roman" w:eastAsia="宋体" w:cs="宋体"/>
                <w:lang w:val="zh-CN" w:bidi="zh-CN"/>
              </w:rPr>
            </w:pPr>
            <w:r>
              <w:rPr>
                <w:rFonts w:ascii="Times New Roman" w:hAnsi="Times New Roman" w:eastAsia="宋体" w:cs="Times New Roman"/>
                <w:color w:val="auto"/>
                <w:u w:val="none" w:color="auto"/>
                <w:lang w:val="zh-CN" w:bidi="zh-CN"/>
              </w:rPr>
              <w:t>由表</w:t>
            </w:r>
            <w:r>
              <w:rPr>
                <w:rFonts w:hint="default" w:ascii="Times New Roman" w:hAnsi="Times New Roman" w:eastAsia="宋体" w:cs="Times New Roman"/>
                <w:color w:val="auto"/>
                <w:u w:val="none" w:color="auto"/>
                <w:lang w:val="en-US" w:bidi="zh-CN"/>
              </w:rPr>
              <w:t>4</w:t>
            </w:r>
            <w:r>
              <w:rPr>
                <w:rFonts w:hint="default" w:ascii="Times New Roman" w:hAnsi="Times New Roman" w:eastAsia="宋体" w:cs="Times New Roman"/>
                <w:color w:val="auto"/>
                <w:u w:val="none" w:color="auto"/>
                <w:lang w:val="en-US" w:eastAsia="zh-CN" w:bidi="zh-CN"/>
              </w:rPr>
              <w:t>-</w:t>
            </w:r>
            <w:r>
              <w:rPr>
                <w:rFonts w:hint="eastAsia" w:cs="Times New Roman"/>
                <w:color w:val="auto"/>
                <w:u w:val="none" w:color="auto"/>
                <w:lang w:val="en-US" w:eastAsia="zh-CN" w:bidi="zh-CN"/>
              </w:rPr>
              <w:t>10、4-11</w:t>
            </w:r>
            <w:r>
              <w:rPr>
                <w:rFonts w:ascii="Times New Roman" w:hAnsi="Times New Roman" w:eastAsia="宋体" w:cs="Times New Roman"/>
                <w:color w:val="auto"/>
                <w:u w:val="none" w:color="auto"/>
                <w:lang w:val="zh-CN" w:bidi="zh-CN"/>
              </w:rPr>
              <w:t>预测结果可知，项目运营后采取以上措施后</w:t>
            </w:r>
            <w:r>
              <w:rPr>
                <w:rFonts w:hint="default" w:ascii="Times New Roman" w:hAnsi="Times New Roman" w:eastAsia="宋体" w:cs="Times New Roman"/>
                <w:color w:val="auto"/>
                <w:u w:val="none" w:color="auto"/>
                <w:lang w:val="zh-CN" w:eastAsia="zh-CN" w:bidi="zh-CN"/>
              </w:rPr>
              <w:t>，</w:t>
            </w:r>
            <w:r>
              <w:rPr>
                <w:rFonts w:ascii="Times New Roman" w:hAnsi="Times New Roman" w:eastAsia="宋体" w:cs="Times New Roman"/>
                <w:color w:val="auto"/>
                <w:u w:val="none" w:color="auto"/>
                <w:lang w:val="zh-CN" w:bidi="zh-CN"/>
              </w:rPr>
              <w:t>厂界</w:t>
            </w:r>
            <w:r>
              <w:rPr>
                <w:rFonts w:hint="eastAsia" w:ascii="Times New Roman" w:hAnsi="Times New Roman" w:eastAsia="宋体" w:cs="Times New Roman"/>
                <w:color w:val="auto"/>
                <w:u w:val="none" w:color="auto"/>
                <w:lang w:val="en-US" w:bidi="zh-CN"/>
              </w:rPr>
              <w:t>昼</w:t>
            </w:r>
            <w:r>
              <w:rPr>
                <w:rFonts w:ascii="Times New Roman" w:hAnsi="Times New Roman" w:eastAsia="宋体" w:cs="Times New Roman"/>
                <w:color w:val="auto"/>
                <w:u w:val="none" w:color="auto"/>
                <w:lang w:val="zh-CN" w:bidi="zh-CN"/>
              </w:rPr>
              <w:t>间</w:t>
            </w:r>
            <w:r>
              <w:rPr>
                <w:rFonts w:hint="eastAsia" w:cs="Times New Roman"/>
                <w:color w:val="auto"/>
                <w:u w:val="none" w:color="auto"/>
                <w:lang w:val="zh-CN" w:bidi="zh-CN"/>
              </w:rPr>
              <w:t>、</w:t>
            </w:r>
            <w:r>
              <w:rPr>
                <w:rFonts w:hint="eastAsia" w:cs="Times New Roman"/>
                <w:color w:val="auto"/>
                <w:u w:val="none" w:color="auto"/>
                <w:lang w:val="en-US" w:bidi="zh-CN"/>
              </w:rPr>
              <w:t>夜间</w:t>
            </w:r>
            <w:r>
              <w:rPr>
                <w:rFonts w:ascii="Times New Roman" w:hAnsi="Times New Roman" w:eastAsia="宋体" w:cs="Times New Roman"/>
                <w:color w:val="auto"/>
                <w:u w:val="none" w:color="auto"/>
                <w:lang w:val="zh-CN" w:bidi="zh-CN"/>
              </w:rPr>
              <w:t>噪声排放</w:t>
            </w:r>
            <w:r>
              <w:rPr>
                <w:rFonts w:hint="eastAsia" w:ascii="Times New Roman" w:hAnsi="Times New Roman" w:eastAsia="宋体" w:cs="Times New Roman"/>
                <w:color w:val="auto"/>
                <w:u w:val="none" w:color="auto"/>
                <w:lang w:val="en-US" w:eastAsia="zh-CN" w:bidi="zh-CN"/>
              </w:rPr>
              <w:t>均</w:t>
            </w:r>
            <w:r>
              <w:rPr>
                <w:rFonts w:ascii="Times New Roman" w:hAnsi="Times New Roman" w:eastAsia="宋体" w:cs="Times New Roman"/>
                <w:color w:val="auto"/>
                <w:u w:val="none" w:color="auto"/>
                <w:lang w:val="zh-CN" w:bidi="zh-CN"/>
              </w:rPr>
              <w:t>能达到《工业企业厂界环境噪声排放标准》（GB12348-2008）中</w:t>
            </w:r>
            <w:r>
              <w:rPr>
                <w:rFonts w:hint="default" w:ascii="Times New Roman" w:hAnsi="Times New Roman" w:eastAsia="宋体" w:cs="Times New Roman"/>
                <w:color w:val="auto"/>
                <w:u w:val="none" w:color="auto"/>
                <w:lang w:val="en-US" w:eastAsia="zh-CN" w:bidi="zh-CN"/>
              </w:rPr>
              <w:t>2</w:t>
            </w:r>
            <w:r>
              <w:rPr>
                <w:rFonts w:ascii="Times New Roman" w:hAnsi="Times New Roman" w:eastAsia="宋体" w:cs="Times New Roman"/>
                <w:color w:val="auto"/>
                <w:u w:val="none" w:color="auto"/>
                <w:lang w:val="zh-CN" w:bidi="zh-CN"/>
              </w:rPr>
              <w:t>类标准（</w:t>
            </w:r>
            <w:r>
              <w:rPr>
                <w:rFonts w:hint="eastAsia" w:ascii="Times New Roman" w:hAnsi="Times New Roman" w:eastAsia="宋体" w:cs="Times New Roman"/>
                <w:color w:val="auto"/>
                <w:u w:val="none" w:color="auto"/>
                <w:lang w:val="en-US" w:bidi="zh-CN"/>
              </w:rPr>
              <w:t>昼</w:t>
            </w:r>
            <w:r>
              <w:rPr>
                <w:rFonts w:hint="default" w:ascii="Times New Roman" w:hAnsi="Times New Roman" w:eastAsia="宋体" w:cs="Times New Roman"/>
                <w:color w:val="auto"/>
                <w:u w:val="none" w:color="auto"/>
                <w:lang w:val="en-US" w:eastAsia="zh-CN" w:bidi="zh-CN"/>
              </w:rPr>
              <w:t>间</w:t>
            </w:r>
            <w:r>
              <w:rPr>
                <w:rFonts w:ascii="Times New Roman" w:hAnsi="Times New Roman" w:eastAsia="宋体" w:cs="Times New Roman"/>
                <w:color w:val="auto"/>
                <w:u w:val="none" w:color="auto"/>
                <w:lang w:val="zh-CN" w:bidi="zh-CN"/>
              </w:rPr>
              <w:t>≤</w:t>
            </w:r>
            <w:r>
              <w:rPr>
                <w:rFonts w:hint="eastAsia" w:ascii="Times New Roman" w:hAnsi="Times New Roman" w:eastAsia="宋体" w:cs="Times New Roman"/>
                <w:color w:val="auto"/>
                <w:u w:val="none" w:color="auto"/>
                <w:lang w:val="en-US" w:bidi="zh-CN"/>
              </w:rPr>
              <w:t>6</w:t>
            </w:r>
            <w:r>
              <w:rPr>
                <w:rFonts w:hint="default" w:ascii="Times New Roman" w:hAnsi="Times New Roman" w:eastAsia="宋体" w:cs="Times New Roman"/>
                <w:color w:val="auto"/>
                <w:u w:val="none" w:color="auto"/>
                <w:lang w:val="en-US" w:eastAsia="zh-CN" w:bidi="zh-CN"/>
              </w:rPr>
              <w:t>0</w:t>
            </w:r>
            <w:r>
              <w:rPr>
                <w:rFonts w:ascii="Times New Roman" w:hAnsi="Times New Roman" w:eastAsia="宋体" w:cs="Times New Roman"/>
                <w:color w:val="auto"/>
                <w:u w:val="none" w:color="auto"/>
                <w:lang w:val="zh-CN" w:bidi="zh-CN"/>
              </w:rPr>
              <w:t>dB(A)</w:t>
            </w:r>
            <w:r>
              <w:rPr>
                <w:rFonts w:hint="eastAsia" w:cs="Times New Roman"/>
                <w:color w:val="auto"/>
                <w:u w:val="none" w:color="auto"/>
                <w:lang w:val="zh-CN" w:bidi="zh-CN"/>
              </w:rPr>
              <w:t>，</w:t>
            </w:r>
            <w:r>
              <w:rPr>
                <w:rFonts w:hint="eastAsia" w:ascii="Times New Roman" w:hAnsi="Times New Roman" w:eastAsia="宋体" w:cs="Times New Roman"/>
                <w:color w:val="auto"/>
                <w:u w:val="none" w:color="auto"/>
                <w:lang w:val="en-US" w:bidi="zh-CN"/>
              </w:rPr>
              <w:t>昼</w:t>
            </w:r>
            <w:r>
              <w:rPr>
                <w:rFonts w:hint="default" w:ascii="Times New Roman" w:hAnsi="Times New Roman" w:eastAsia="宋体" w:cs="Times New Roman"/>
                <w:color w:val="auto"/>
                <w:u w:val="none" w:color="auto"/>
                <w:lang w:val="en-US" w:eastAsia="zh-CN" w:bidi="zh-CN"/>
              </w:rPr>
              <w:t>间</w:t>
            </w:r>
            <w:r>
              <w:rPr>
                <w:rFonts w:ascii="Times New Roman" w:hAnsi="Times New Roman" w:eastAsia="宋体" w:cs="Times New Roman"/>
                <w:color w:val="auto"/>
                <w:u w:val="none" w:color="auto"/>
                <w:lang w:val="zh-CN" w:bidi="zh-CN"/>
              </w:rPr>
              <w:t>≤</w:t>
            </w:r>
            <w:r>
              <w:rPr>
                <w:rFonts w:hint="eastAsia" w:cs="Times New Roman"/>
                <w:color w:val="auto"/>
                <w:u w:val="none" w:color="auto"/>
                <w:lang w:val="en-US" w:bidi="zh-CN"/>
              </w:rPr>
              <w:t>5</w:t>
            </w:r>
            <w:r>
              <w:rPr>
                <w:rFonts w:hint="default" w:ascii="Times New Roman" w:hAnsi="Times New Roman" w:eastAsia="宋体" w:cs="Times New Roman"/>
                <w:color w:val="auto"/>
                <w:u w:val="none" w:color="auto"/>
                <w:lang w:val="en-US" w:eastAsia="zh-CN" w:bidi="zh-CN"/>
              </w:rPr>
              <w:t>0</w:t>
            </w:r>
            <w:r>
              <w:rPr>
                <w:rFonts w:ascii="Times New Roman" w:hAnsi="Times New Roman" w:eastAsia="宋体" w:cs="Times New Roman"/>
                <w:color w:val="auto"/>
                <w:u w:val="none" w:color="auto"/>
                <w:lang w:val="zh-CN" w:bidi="zh-CN"/>
              </w:rPr>
              <w:t>dB(A)）</w:t>
            </w:r>
            <w:r>
              <w:rPr>
                <w:rFonts w:hint="eastAsia" w:ascii="Times New Roman" w:hAnsi="Times New Roman" w:eastAsia="宋体" w:cs="Times New Roman"/>
                <w:color w:val="auto"/>
                <w:u w:val="none" w:color="auto"/>
                <w:lang w:val="zh-CN" w:eastAsia="zh-CN" w:bidi="zh-CN"/>
              </w:rPr>
              <w:t>；</w:t>
            </w:r>
            <w:r>
              <w:rPr>
                <w:rFonts w:hint="eastAsia" w:ascii="Times New Roman" w:hAnsi="Times New Roman" w:eastAsia="宋体" w:cs="Times New Roman"/>
                <w:color w:val="auto"/>
                <w:u w:val="none" w:color="auto"/>
                <w:lang w:val="en-US" w:eastAsia="zh-CN" w:bidi="zh-CN"/>
              </w:rPr>
              <w:t>距离</w:t>
            </w:r>
            <w:r>
              <w:rPr>
                <w:rFonts w:ascii="Times New Roman" w:hAnsi="Times New Roman" w:eastAsia="宋体" w:cs="宋体"/>
                <w:lang w:val="zh-CN" w:bidi="zh-CN"/>
              </w:rPr>
              <w:t>项目最近的</w:t>
            </w:r>
            <w:r>
              <w:rPr>
                <w:rFonts w:hint="eastAsia" w:ascii="Times New Roman" w:hAnsi="Times New Roman" w:eastAsia="宋体" w:cs="宋体"/>
                <w:lang w:val="en-US" w:bidi="zh-CN"/>
              </w:rPr>
              <w:t>花垣县疾控中心</w:t>
            </w:r>
            <w:r>
              <w:rPr>
                <w:rFonts w:ascii="Times New Roman" w:hAnsi="Times New Roman" w:eastAsia="宋体" w:cs="宋体"/>
                <w:lang w:val="zh-CN" w:bidi="zh-CN"/>
              </w:rPr>
              <w:t>，满足《声环境质量标准》（GB3096-2008）</w:t>
            </w:r>
            <w:r>
              <w:rPr>
                <w:rFonts w:hint="eastAsia" w:ascii="Times New Roman" w:hAnsi="Times New Roman" w:eastAsia="宋体" w:cs="宋体"/>
                <w:lang w:val="en-US" w:eastAsia="zh-CN" w:bidi="zh-CN"/>
              </w:rPr>
              <w:t>2</w:t>
            </w:r>
            <w:r>
              <w:rPr>
                <w:rFonts w:ascii="Times New Roman" w:hAnsi="Times New Roman" w:eastAsia="宋体" w:cs="宋体"/>
                <w:lang w:val="zh-CN" w:bidi="zh-CN"/>
              </w:rPr>
              <w:t>类声环境要求</w:t>
            </w:r>
            <w:r>
              <w:rPr>
                <w:rFonts w:hint="eastAsia" w:ascii="Times New Roman" w:hAnsi="Times New Roman" w:eastAsia="宋体" w:cs="宋体"/>
                <w:lang w:val="zh-CN" w:bidi="zh-CN"/>
              </w:rPr>
              <w:t>，对周围环境和敏感点的影响较小。</w:t>
            </w:r>
          </w:p>
          <w:p>
            <w:pPr>
              <w:widowControl w:val="0"/>
              <w:wordWrap w:val="0"/>
              <w:topLinePunct/>
              <w:spacing w:line="360" w:lineRule="auto"/>
              <w:jc w:val="both"/>
              <w:rPr>
                <w:rFonts w:ascii="Times New Roman" w:hAnsi="Times New Roman" w:eastAsia="宋体" w:cs="Times New Roman"/>
                <w:b/>
                <w:bCs/>
                <w:color w:val="auto"/>
                <w:u w:val="none" w:color="auto"/>
                <w:lang w:val="en-US" w:bidi="zh-CN"/>
              </w:rPr>
            </w:pPr>
            <w:r>
              <w:rPr>
                <w:rFonts w:hint="eastAsia" w:ascii="Times New Roman" w:hAnsi="Times New Roman" w:eastAsia="宋体" w:cs="Times New Roman"/>
                <w:b/>
                <w:bCs/>
                <w:color w:val="000000"/>
                <w:kern w:val="2"/>
                <w:sz w:val="24"/>
                <w:szCs w:val="20"/>
                <w:u w:val="none" w:color="auto"/>
                <w:lang w:val="en-US" w:eastAsia="zh-CN" w:bidi="ar-SA"/>
              </w:rPr>
              <w:t>3</w:t>
            </w:r>
            <w:r>
              <w:rPr>
                <w:rFonts w:ascii="Times New Roman" w:hAnsi="Times New Roman" w:eastAsia="宋体" w:cs="Times New Roman"/>
                <w:b/>
                <w:bCs/>
                <w:color w:val="000000"/>
                <w:kern w:val="2"/>
                <w:sz w:val="24"/>
                <w:szCs w:val="20"/>
                <w:u w:val="none" w:color="auto"/>
                <w:lang w:val="en-US" w:eastAsia="zh-CN" w:bidi="ar-SA"/>
              </w:rPr>
              <w:t>.</w:t>
            </w:r>
            <w:r>
              <w:rPr>
                <w:rFonts w:hint="eastAsia" w:ascii="Times New Roman" w:hAnsi="Times New Roman" w:eastAsia="宋体" w:cs="Times New Roman"/>
                <w:b/>
                <w:bCs/>
                <w:color w:val="000000"/>
                <w:kern w:val="2"/>
                <w:sz w:val="24"/>
                <w:szCs w:val="20"/>
                <w:u w:val="none" w:color="auto"/>
                <w:lang w:val="en-US" w:eastAsia="zh-CN" w:bidi="ar-SA"/>
              </w:rPr>
              <w:t>3噪声</w:t>
            </w:r>
            <w:r>
              <w:rPr>
                <w:rFonts w:hint="default" w:ascii="Times New Roman" w:hAnsi="Times New Roman" w:eastAsia="宋体" w:cs="Times New Roman"/>
                <w:b/>
                <w:bCs/>
                <w:color w:val="auto"/>
                <w:u w:val="none" w:color="auto"/>
                <w:lang w:val="en-US" w:bidi="zh-CN"/>
              </w:rPr>
              <w:t>自行监测计划</w:t>
            </w:r>
          </w:p>
          <w:p>
            <w:pPr>
              <w:widowControl w:val="0"/>
              <w:wordWrap/>
              <w:overflowPunct w:val="0"/>
              <w:topLinePunct w:val="0"/>
              <w:autoSpaceDE w:val="0"/>
              <w:autoSpaceDN w:val="0"/>
              <w:spacing w:line="360" w:lineRule="auto"/>
              <w:ind w:firstLine="480" w:firstLineChars="200"/>
              <w:jc w:val="both"/>
              <w:rPr>
                <w:rFonts w:ascii="Times New Roman" w:hAnsi="Times New Roman" w:eastAsia="宋体" w:cs="Times New Roman"/>
                <w:color w:val="auto"/>
                <w:u w:val="none" w:color="auto"/>
                <w:lang w:val="zh-CN" w:bidi="zh-CN"/>
              </w:rPr>
            </w:pPr>
            <w:r>
              <w:rPr>
                <w:rFonts w:hint="default" w:ascii="Times New Roman" w:hAnsi="Times New Roman" w:eastAsia="宋体" w:cs="Times New Roman"/>
                <w:color w:val="auto"/>
                <w:u w:val="none" w:color="auto"/>
                <w:lang w:val="zh-CN" w:bidi="zh-CN"/>
              </w:rPr>
              <w:t>根据</w:t>
            </w:r>
            <w:r>
              <w:rPr>
                <w:rFonts w:hint="default" w:ascii="Times New Roman" w:hAnsi="Times New Roman" w:cs="Times New Roman"/>
                <w:color w:val="000000"/>
                <w:u w:val="none" w:color="auto"/>
              </w:rPr>
              <w:t>《排污单位自行监测技术指南</w:t>
            </w:r>
            <w:r>
              <w:rPr>
                <w:rFonts w:hint="eastAsia" w:ascii="Times New Roman" w:hAnsi="Times New Roman" w:cs="Times New Roman"/>
                <w:color w:val="000000"/>
                <w:u w:val="none" w:color="auto"/>
                <w:lang w:val="en-US" w:eastAsia="zh-CN"/>
              </w:rPr>
              <w:t xml:space="preserve"> </w:t>
            </w:r>
            <w:r>
              <w:rPr>
                <w:rFonts w:hint="default" w:ascii="Times New Roman" w:hAnsi="Times New Roman" w:cs="Times New Roman"/>
                <w:color w:val="000000"/>
                <w:u w:val="none" w:color="auto"/>
              </w:rPr>
              <w:t>总则》(HJ819-2017)</w:t>
            </w:r>
            <w:r>
              <w:rPr>
                <w:rFonts w:hint="default" w:ascii="Times New Roman" w:hAnsi="Times New Roman" w:eastAsia="宋体" w:cs="Times New Roman"/>
                <w:color w:val="auto"/>
                <w:u w:val="none" w:color="auto"/>
                <w:lang w:val="zh-CN" w:bidi="zh-CN"/>
              </w:rPr>
              <w:t>，本项目运营期噪声监测计划如下：</w:t>
            </w:r>
          </w:p>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center"/>
              <w:textAlignment w:val="auto"/>
              <w:rPr>
                <w:rFonts w:ascii="Times New Roman" w:hAnsi="Times New Roman" w:eastAsia="宋体" w:cs="Times New Roman"/>
                <w:b/>
                <w:sz w:val="21"/>
                <w:szCs w:val="21"/>
                <w:u w:val="none" w:color="auto"/>
                <w:lang w:val="zh-CN" w:eastAsia="zh-CN" w:bidi="zh-CN"/>
              </w:rPr>
            </w:pPr>
            <w:r>
              <w:rPr>
                <w:rFonts w:hint="default" w:ascii="Times New Roman" w:hAnsi="Times New Roman" w:eastAsia="宋体" w:cs="Times New Roman"/>
                <w:b/>
                <w:sz w:val="21"/>
                <w:szCs w:val="21"/>
                <w:u w:val="none" w:color="auto"/>
                <w:lang w:val="zh-CN" w:eastAsia="zh-CN" w:bidi="zh-CN"/>
              </w:rPr>
              <w:t>表</w:t>
            </w:r>
            <w:r>
              <w:rPr>
                <w:rFonts w:hint="default" w:ascii="Times New Roman" w:hAnsi="Times New Roman" w:eastAsia="宋体" w:cs="Times New Roman"/>
                <w:b/>
                <w:sz w:val="21"/>
                <w:szCs w:val="21"/>
                <w:u w:val="none" w:color="auto"/>
                <w:lang w:val="en-US" w:eastAsia="zh-CN" w:bidi="zh-CN"/>
              </w:rPr>
              <w:t>4</w:t>
            </w:r>
            <w:r>
              <w:rPr>
                <w:rFonts w:ascii="Times New Roman" w:hAnsi="Times New Roman" w:eastAsia="宋体" w:cs="Times New Roman"/>
                <w:b/>
                <w:sz w:val="21"/>
                <w:szCs w:val="21"/>
                <w:u w:val="none" w:color="auto"/>
                <w:lang w:val="zh-CN" w:eastAsia="zh-CN" w:bidi="zh-CN"/>
              </w:rPr>
              <w:t>-</w:t>
            </w:r>
            <w:r>
              <w:rPr>
                <w:rFonts w:hint="eastAsia" w:cs="Times New Roman"/>
                <w:b/>
                <w:sz w:val="21"/>
                <w:szCs w:val="21"/>
                <w:u w:val="none" w:color="auto"/>
                <w:lang w:val="en-US" w:eastAsia="zh-CN" w:bidi="zh-CN"/>
              </w:rPr>
              <w:t xml:space="preserve">12 </w:t>
            </w:r>
            <w:r>
              <w:rPr>
                <w:rFonts w:hint="eastAsia" w:ascii="Times New Roman" w:hAnsi="Times New Roman" w:eastAsia="宋体" w:cs="Times New Roman"/>
                <w:b/>
                <w:sz w:val="21"/>
                <w:szCs w:val="21"/>
                <w:u w:val="none" w:color="auto"/>
                <w:lang w:val="en-US" w:eastAsia="zh-CN" w:bidi="zh-CN"/>
              </w:rPr>
              <w:t xml:space="preserve"> </w:t>
            </w:r>
            <w:r>
              <w:rPr>
                <w:rFonts w:hint="default" w:ascii="Times New Roman" w:hAnsi="Times New Roman" w:eastAsia="宋体" w:cs="Times New Roman"/>
                <w:b/>
                <w:sz w:val="21"/>
                <w:szCs w:val="21"/>
                <w:u w:val="none" w:color="auto"/>
                <w:lang w:val="zh-CN" w:eastAsia="zh-CN" w:bidi="zh-CN"/>
              </w:rPr>
              <w:t>项目噪声监测计划表</w:t>
            </w:r>
          </w:p>
          <w:tbl>
            <w:tblPr>
              <w:tblStyle w:val="35"/>
              <w:tblW w:w="4942"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82"/>
              <w:gridCol w:w="1190"/>
              <w:gridCol w:w="1853"/>
              <w:gridCol w:w="25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8" w:hRule="atLeast"/>
                <w:jc w:val="center"/>
              </w:trPr>
              <w:tc>
                <w:tcPr>
                  <w:tcW w:w="1444" w:type="pct"/>
                  <w:tcBorders>
                    <w:tl2br w:val="nil"/>
                    <w:tr2bl w:val="nil"/>
                  </w:tcBorders>
                  <w:noWrap w:val="0"/>
                  <w:vAlign w:val="center"/>
                </w:tcPr>
                <w:p>
                  <w:pPr>
                    <w:widowControl w:val="0"/>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bidi="zh-CN"/>
                    </w:rPr>
                  </w:pPr>
                  <w:r>
                    <w:rPr>
                      <w:rFonts w:hint="default" w:ascii="Times New Roman" w:hAnsi="Times New Roman" w:eastAsia="宋体" w:cs="Times New Roman"/>
                      <w:b/>
                      <w:bCs/>
                      <w:color w:val="auto"/>
                      <w:sz w:val="21"/>
                      <w:szCs w:val="21"/>
                      <w:u w:val="none" w:color="auto"/>
                      <w:lang w:val="en-US" w:eastAsia="zh-CN" w:bidi="zh-CN"/>
                    </w:rPr>
                    <w:t>监测点位</w:t>
                  </w:r>
                </w:p>
              </w:tc>
              <w:tc>
                <w:tcPr>
                  <w:tcW w:w="753" w:type="pct"/>
                  <w:tcBorders>
                    <w:tl2br w:val="nil"/>
                    <w:tr2bl w:val="nil"/>
                  </w:tcBorders>
                  <w:noWrap w:val="0"/>
                  <w:vAlign w:val="center"/>
                </w:tcPr>
                <w:p>
                  <w:pPr>
                    <w:widowControl w:val="0"/>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bidi="zh-CN"/>
                    </w:rPr>
                  </w:pPr>
                  <w:r>
                    <w:rPr>
                      <w:rFonts w:hint="default" w:ascii="Times New Roman" w:hAnsi="Times New Roman" w:eastAsia="宋体" w:cs="Times New Roman"/>
                      <w:b/>
                      <w:bCs/>
                      <w:color w:val="auto"/>
                      <w:sz w:val="21"/>
                      <w:szCs w:val="21"/>
                      <w:u w:val="none" w:color="auto"/>
                      <w:lang w:val="en-US" w:eastAsia="zh-CN" w:bidi="zh-CN"/>
                    </w:rPr>
                    <w:t>监测指标</w:t>
                  </w:r>
                </w:p>
              </w:tc>
              <w:tc>
                <w:tcPr>
                  <w:tcW w:w="1172" w:type="pct"/>
                  <w:tcBorders>
                    <w:tl2br w:val="nil"/>
                    <w:tr2bl w:val="nil"/>
                  </w:tcBorders>
                  <w:noWrap w:val="0"/>
                  <w:vAlign w:val="center"/>
                </w:tcPr>
                <w:p>
                  <w:pPr>
                    <w:widowControl w:val="0"/>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bidi="zh-CN"/>
                    </w:rPr>
                  </w:pPr>
                  <w:r>
                    <w:rPr>
                      <w:rFonts w:hint="default" w:ascii="Times New Roman" w:hAnsi="Times New Roman" w:eastAsia="宋体" w:cs="Times New Roman"/>
                      <w:b/>
                      <w:bCs/>
                      <w:color w:val="auto"/>
                      <w:sz w:val="21"/>
                      <w:szCs w:val="21"/>
                      <w:u w:val="none" w:color="auto"/>
                      <w:lang w:val="en-US" w:eastAsia="zh-CN" w:bidi="zh-CN"/>
                    </w:rPr>
                    <w:t>监测频次</w:t>
                  </w:r>
                </w:p>
              </w:tc>
              <w:tc>
                <w:tcPr>
                  <w:tcW w:w="1628" w:type="pct"/>
                  <w:tcBorders>
                    <w:tl2br w:val="nil"/>
                    <w:tr2bl w:val="nil"/>
                  </w:tcBorders>
                  <w:noWrap w:val="0"/>
                  <w:vAlign w:val="center"/>
                </w:tcPr>
                <w:p>
                  <w:pPr>
                    <w:widowControl w:val="0"/>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bidi="zh-CN"/>
                    </w:rPr>
                  </w:pPr>
                  <w:r>
                    <w:rPr>
                      <w:rFonts w:hint="default" w:ascii="Times New Roman" w:hAnsi="Times New Roman" w:eastAsia="宋体" w:cs="Times New Roman"/>
                      <w:b/>
                      <w:bCs/>
                      <w:color w:val="auto"/>
                      <w:sz w:val="21"/>
                      <w:szCs w:val="21"/>
                      <w:u w:val="none" w:color="auto"/>
                      <w:lang w:val="en-US" w:eastAsia="zh-CN" w:bidi="zh-CN"/>
                    </w:rPr>
                    <w:t>执行排放标准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1444" w:type="pct"/>
                  <w:tcBorders>
                    <w:tl2br w:val="nil"/>
                    <w:tr2bl w:val="nil"/>
                  </w:tcBorders>
                  <w:noWrap w:val="0"/>
                  <w:vAlign w:val="center"/>
                </w:tcPr>
                <w:p>
                  <w:pPr>
                    <w:widowControl w:val="0"/>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bidi="zh-CN"/>
                    </w:rPr>
                  </w:pPr>
                  <w:r>
                    <w:rPr>
                      <w:rFonts w:hint="default" w:ascii="Times New Roman" w:hAnsi="Times New Roman" w:eastAsia="宋体" w:cs="Times New Roman"/>
                      <w:color w:val="auto"/>
                      <w:sz w:val="21"/>
                      <w:szCs w:val="21"/>
                      <w:u w:val="none" w:color="auto"/>
                      <w:lang w:val="zh-CN" w:eastAsia="zh-CN" w:bidi="zh-CN"/>
                    </w:rPr>
                    <w:t>项目</w:t>
                  </w:r>
                  <w:r>
                    <w:rPr>
                      <w:rFonts w:hint="eastAsia" w:ascii="Times New Roman" w:hAnsi="Times New Roman" w:eastAsia="宋体" w:cs="Times New Roman"/>
                      <w:color w:val="auto"/>
                      <w:sz w:val="21"/>
                      <w:szCs w:val="21"/>
                      <w:u w:val="none" w:color="auto"/>
                      <w:lang w:val="en-US" w:eastAsia="zh-CN" w:bidi="zh-CN"/>
                    </w:rPr>
                    <w:t>厂</w:t>
                  </w:r>
                  <w:r>
                    <w:rPr>
                      <w:rFonts w:hint="default" w:ascii="Times New Roman" w:hAnsi="Times New Roman" w:eastAsia="宋体" w:cs="Times New Roman"/>
                      <w:color w:val="auto"/>
                      <w:sz w:val="21"/>
                      <w:szCs w:val="21"/>
                      <w:u w:val="none" w:color="auto"/>
                      <w:lang w:val="zh-CN" w:eastAsia="zh-CN" w:bidi="zh-CN"/>
                    </w:rPr>
                    <w:t>界</w:t>
                  </w:r>
                  <w:r>
                    <w:rPr>
                      <w:rFonts w:hint="eastAsia" w:ascii="Times New Roman" w:hAnsi="Times New Roman" w:eastAsia="宋体" w:cs="Times New Roman"/>
                      <w:color w:val="auto"/>
                      <w:sz w:val="21"/>
                      <w:szCs w:val="21"/>
                      <w:u w:val="none" w:color="auto"/>
                      <w:lang w:val="en-US" w:eastAsia="zh-CN" w:bidi="zh-CN"/>
                    </w:rPr>
                    <w:t>四周</w:t>
                  </w:r>
                  <w:r>
                    <w:rPr>
                      <w:rFonts w:hint="default" w:ascii="Times New Roman" w:hAnsi="Times New Roman" w:eastAsia="宋体" w:cs="Times New Roman"/>
                      <w:color w:val="auto"/>
                      <w:sz w:val="21"/>
                      <w:szCs w:val="21"/>
                      <w:u w:val="none" w:color="auto"/>
                      <w:lang w:val="zh-CN" w:eastAsia="zh-CN" w:bidi="zh-CN"/>
                    </w:rPr>
                    <w:t>外</w:t>
                  </w:r>
                  <w:r>
                    <w:rPr>
                      <w:rFonts w:hint="default" w:ascii="Times New Roman" w:hAnsi="Times New Roman" w:eastAsia="宋体" w:cs="Times New Roman"/>
                      <w:color w:val="auto"/>
                      <w:sz w:val="21"/>
                      <w:szCs w:val="21"/>
                      <w:u w:val="none" w:color="auto"/>
                      <w:lang w:val="en-US" w:eastAsia="zh-CN" w:bidi="zh-CN"/>
                    </w:rPr>
                    <w:t>1m</w:t>
                  </w:r>
                  <w:r>
                    <w:rPr>
                      <w:rFonts w:hint="eastAsia" w:ascii="Times New Roman" w:hAnsi="Times New Roman" w:eastAsia="宋体" w:cs="Times New Roman"/>
                      <w:color w:val="auto"/>
                      <w:sz w:val="21"/>
                      <w:szCs w:val="21"/>
                      <w:u w:val="none" w:color="auto"/>
                      <w:lang w:val="en-US" w:eastAsia="zh-CN" w:bidi="zh-CN"/>
                    </w:rPr>
                    <w:t>处</w:t>
                  </w:r>
                </w:p>
              </w:tc>
              <w:tc>
                <w:tcPr>
                  <w:tcW w:w="753" w:type="pct"/>
                  <w:tcBorders>
                    <w:tl2br w:val="nil"/>
                    <w:tr2bl w:val="nil"/>
                  </w:tcBorders>
                  <w:noWrap w:val="0"/>
                  <w:vAlign w:val="center"/>
                </w:tcPr>
                <w:p>
                  <w:pPr>
                    <w:widowControl w:val="0"/>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bidi="zh-CN"/>
                    </w:rPr>
                  </w:pPr>
                  <w:r>
                    <w:rPr>
                      <w:rFonts w:hint="default" w:ascii="Times New Roman" w:hAnsi="Times New Roman" w:eastAsia="宋体" w:cs="Times New Roman"/>
                      <w:color w:val="000000"/>
                      <w:kern w:val="0"/>
                      <w:szCs w:val="21"/>
                    </w:rPr>
                    <w:t>Leq(A)</w:t>
                  </w:r>
                </w:p>
              </w:tc>
              <w:tc>
                <w:tcPr>
                  <w:tcW w:w="1172" w:type="pct"/>
                  <w:tcBorders>
                    <w:tl2br w:val="nil"/>
                    <w:tr2bl w:val="nil"/>
                  </w:tcBorders>
                  <w:noWrap w:val="0"/>
                  <w:vAlign w:val="center"/>
                </w:tcPr>
                <w:p>
                  <w:pPr>
                    <w:widowControl w:val="0"/>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bidi="zh-CN"/>
                    </w:rPr>
                    <w:t>每季度一次</w:t>
                  </w:r>
                </w:p>
              </w:tc>
              <w:tc>
                <w:tcPr>
                  <w:tcW w:w="1628" w:type="pct"/>
                  <w:tcBorders>
                    <w:tl2br w:val="nil"/>
                    <w:tr2bl w:val="nil"/>
                  </w:tcBorders>
                  <w:noWrap w:val="0"/>
                  <w:vAlign w:val="center"/>
                </w:tcPr>
                <w:p>
                  <w:pPr>
                    <w:widowControl w:val="0"/>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zh-CN" w:eastAsia="zh-CN" w:bidi="zh-CN"/>
                    </w:rPr>
                  </w:pPr>
                  <w:r>
                    <w:rPr>
                      <w:rFonts w:hint="default" w:ascii="Times New Roman" w:hAnsi="Times New Roman" w:eastAsia="宋体" w:cs="Times New Roman"/>
                      <w:color w:val="auto"/>
                      <w:sz w:val="21"/>
                      <w:szCs w:val="21"/>
                      <w:highlight w:val="none"/>
                      <w:u w:val="none" w:color="auto"/>
                      <w:lang w:val="en-US" w:eastAsia="zh-CN" w:bidi="zh-CN"/>
                    </w:rPr>
                    <w:t>《工业企业厂界环境噪声排放标准》中2类区标准</w:t>
                  </w:r>
                </w:p>
              </w:tc>
            </w:tr>
          </w:tbl>
          <w:p>
            <w:pPr>
              <w:pStyle w:val="161"/>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4、固体废物环境影响和保护措施分析</w:t>
            </w:r>
          </w:p>
          <w:p>
            <w:pPr>
              <w:widowControl w:val="0"/>
              <w:wordWrap w:val="0"/>
              <w:topLinePunct/>
              <w:spacing w:line="360" w:lineRule="auto"/>
              <w:jc w:val="both"/>
              <w:rPr>
                <w:rFonts w:hint="default" w:ascii="Times New Roman" w:hAnsi="Times New Roman" w:eastAsia="宋体" w:cs="Times New Roman"/>
                <w:b/>
                <w:bCs/>
                <w:color w:val="auto"/>
                <w:u w:val="none" w:color="auto"/>
                <w:lang w:val="en-US" w:bidi="zh-CN"/>
              </w:rPr>
            </w:pPr>
            <w:r>
              <w:rPr>
                <w:rFonts w:hint="eastAsia" w:ascii="Times New Roman" w:hAnsi="Times New Roman" w:eastAsia="宋体" w:cs="Times New Roman"/>
                <w:b/>
                <w:bCs/>
                <w:color w:val="000000"/>
                <w:kern w:val="2"/>
                <w:sz w:val="24"/>
                <w:szCs w:val="20"/>
                <w:u w:val="none" w:color="auto"/>
                <w:lang w:val="en-US" w:eastAsia="zh-CN" w:bidi="ar-SA"/>
              </w:rPr>
              <w:t>4</w:t>
            </w:r>
            <w:r>
              <w:rPr>
                <w:rFonts w:ascii="Times New Roman" w:hAnsi="Times New Roman" w:eastAsia="宋体" w:cs="Times New Roman"/>
                <w:b/>
                <w:bCs/>
                <w:color w:val="000000"/>
                <w:kern w:val="2"/>
                <w:sz w:val="24"/>
                <w:szCs w:val="20"/>
                <w:u w:val="none" w:color="auto"/>
                <w:lang w:val="en-US" w:eastAsia="zh-CN" w:bidi="ar-SA"/>
              </w:rPr>
              <w:t>.</w:t>
            </w:r>
            <w:r>
              <w:rPr>
                <w:rFonts w:hint="eastAsia" w:ascii="Times New Roman" w:hAnsi="Times New Roman" w:eastAsia="宋体" w:cs="Times New Roman"/>
                <w:b/>
                <w:bCs/>
                <w:color w:val="000000"/>
                <w:kern w:val="2"/>
                <w:sz w:val="24"/>
                <w:szCs w:val="20"/>
                <w:u w:val="none" w:color="auto"/>
                <w:lang w:val="en-US" w:eastAsia="zh-CN" w:bidi="ar-SA"/>
              </w:rPr>
              <w:t>1固体废物产生情况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eastAsia="宋体"/>
                <w:color w:val="000000"/>
                <w:sz w:val="24"/>
                <w:szCs w:val="24"/>
                <w:u w:val="none"/>
              </w:rPr>
            </w:pPr>
            <w:r>
              <w:rPr>
                <w:rFonts w:eastAsia="宋体"/>
                <w:color w:val="000000"/>
                <w:sz w:val="24"/>
                <w:szCs w:val="24"/>
                <w:u w:val="none"/>
              </w:rPr>
              <w:t>本项目固体废物主要有医疗废物、</w:t>
            </w:r>
            <w:r>
              <w:rPr>
                <w:rFonts w:hint="eastAsia"/>
                <w:color w:val="000000"/>
                <w:sz w:val="24"/>
                <w:szCs w:val="24"/>
                <w:u w:val="none"/>
                <w:lang w:val="en-US" w:eastAsia="zh-CN"/>
              </w:rPr>
              <w:t>化粪池</w:t>
            </w:r>
            <w:r>
              <w:rPr>
                <w:rFonts w:eastAsia="宋体"/>
                <w:color w:val="000000"/>
                <w:sz w:val="24"/>
                <w:szCs w:val="24"/>
                <w:u w:val="none"/>
              </w:rPr>
              <w:t>污泥、</w:t>
            </w:r>
            <w:r>
              <w:rPr>
                <w:rFonts w:hint="eastAsia"/>
                <w:color w:val="000000"/>
                <w:sz w:val="24"/>
                <w:szCs w:val="24"/>
                <w:u w:val="none"/>
                <w:lang w:val="en-US" w:eastAsia="zh-CN"/>
              </w:rPr>
              <w:t>废药物药品及</w:t>
            </w:r>
            <w:r>
              <w:rPr>
                <w:rFonts w:eastAsia="宋体"/>
                <w:color w:val="000000"/>
                <w:sz w:val="24"/>
                <w:szCs w:val="24"/>
                <w:u w:val="none"/>
              </w:rPr>
              <w:t>生活垃圾</w:t>
            </w:r>
            <w:r>
              <w:rPr>
                <w:rFonts w:eastAsia="宋体"/>
                <w:kern w:val="0"/>
                <w:sz w:val="24"/>
                <w:u w:val="none"/>
              </w:rPr>
              <w:t>等</w:t>
            </w:r>
            <w:r>
              <w:rPr>
                <w:rFonts w:eastAsia="宋体"/>
                <w:color w:val="000000"/>
                <w:sz w:val="24"/>
                <w:szCs w:val="24"/>
                <w:u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eastAsia="宋体"/>
                <w:color w:val="000000"/>
                <w:sz w:val="24"/>
                <w:szCs w:val="24"/>
                <w:u w:val="none"/>
              </w:rPr>
            </w:pPr>
            <w:r>
              <w:rPr>
                <w:rFonts w:eastAsia="宋体"/>
                <w:color w:val="000000"/>
                <w:sz w:val="24"/>
                <w:szCs w:val="24"/>
                <w:u w:val="none"/>
              </w:rPr>
              <w:t>（1）医疗废物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eastAsia="宋体"/>
                <w:color w:val="000000"/>
                <w:sz w:val="24"/>
                <w:szCs w:val="24"/>
                <w:u w:val="none"/>
              </w:rPr>
            </w:pPr>
            <w:r>
              <w:rPr>
                <w:rFonts w:eastAsia="宋体"/>
                <w:color w:val="000000"/>
                <w:sz w:val="24"/>
                <w:szCs w:val="24"/>
                <w:u w:val="none"/>
              </w:rPr>
              <w:t>项目医疗废物按《医疗废物分类目录（2021年版）》主要分为以下5类，详见下表。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000000"/>
                <w:sz w:val="21"/>
                <w:szCs w:val="21"/>
                <w:u w:val="none"/>
              </w:rPr>
            </w:pPr>
            <w:r>
              <w:rPr>
                <w:b/>
                <w:color w:val="000000"/>
                <w:sz w:val="21"/>
                <w:szCs w:val="21"/>
                <w:u w:val="none"/>
              </w:rPr>
              <w:t>表</w:t>
            </w:r>
            <w:r>
              <w:rPr>
                <w:rFonts w:hint="eastAsia"/>
                <w:b/>
                <w:color w:val="000000"/>
                <w:sz w:val="21"/>
                <w:szCs w:val="21"/>
                <w:u w:val="none"/>
                <w:lang w:val="en-US" w:eastAsia="zh-CN"/>
              </w:rPr>
              <w:t>4</w:t>
            </w:r>
            <w:r>
              <w:rPr>
                <w:rFonts w:hint="eastAsia"/>
                <w:b/>
                <w:color w:val="000000"/>
                <w:sz w:val="21"/>
                <w:szCs w:val="21"/>
                <w:u w:val="none"/>
              </w:rPr>
              <w:t>-</w:t>
            </w:r>
            <w:r>
              <w:rPr>
                <w:rFonts w:hint="eastAsia"/>
                <w:b/>
                <w:color w:val="000000"/>
                <w:sz w:val="21"/>
                <w:szCs w:val="21"/>
                <w:u w:val="none"/>
                <w:lang w:val="en-US" w:eastAsia="zh-CN"/>
              </w:rPr>
              <w:t>13</w:t>
            </w:r>
            <w:r>
              <w:rPr>
                <w:rFonts w:hint="eastAsia"/>
                <w:b/>
                <w:color w:val="000000"/>
                <w:sz w:val="21"/>
                <w:szCs w:val="21"/>
                <w:u w:val="none"/>
              </w:rPr>
              <w:t xml:space="preserve">  </w:t>
            </w:r>
            <w:r>
              <w:rPr>
                <w:b/>
                <w:color w:val="000000"/>
                <w:sz w:val="21"/>
                <w:szCs w:val="21"/>
                <w:u w:val="none"/>
              </w:rPr>
              <w:t>本项目产生医疗废物分类目录</w:t>
            </w:r>
          </w:p>
          <w:tbl>
            <w:tblPr>
              <w:tblStyle w:val="34"/>
              <w:tblW w:w="499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716"/>
              <w:gridCol w:w="1785"/>
              <w:gridCol w:w="547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b/>
                      <w:bCs/>
                      <w:kern w:val="0"/>
                      <w:sz w:val="21"/>
                      <w:szCs w:val="18"/>
                      <w:u w:val="none"/>
                      <w:lang w:eastAsia="zh-CN"/>
                    </w:rPr>
                  </w:pPr>
                  <w:r>
                    <w:rPr>
                      <w:rFonts w:hint="eastAsia" w:ascii="Times New Roman" w:hAnsi="Times New Roman"/>
                      <w:b/>
                      <w:bCs/>
                      <w:kern w:val="0"/>
                      <w:sz w:val="21"/>
                      <w:szCs w:val="18"/>
                      <w:u w:val="none"/>
                      <w:lang w:val="en-US" w:eastAsia="zh-CN"/>
                    </w:rPr>
                    <w:t>类别</w:t>
                  </w:r>
                </w:p>
              </w:tc>
              <w:tc>
                <w:tcPr>
                  <w:tcW w:w="21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b/>
                      <w:bCs/>
                      <w:kern w:val="0"/>
                      <w:sz w:val="21"/>
                      <w:szCs w:val="18"/>
                      <w:u w:val="none"/>
                      <w:lang w:eastAsia="zh-CN"/>
                    </w:rPr>
                  </w:pPr>
                  <w:r>
                    <w:rPr>
                      <w:rFonts w:hint="eastAsia" w:ascii="Times New Roman" w:hAnsi="Times New Roman"/>
                      <w:b/>
                      <w:bCs/>
                      <w:kern w:val="0"/>
                      <w:sz w:val="21"/>
                      <w:szCs w:val="18"/>
                      <w:u w:val="none"/>
                      <w:lang w:val="en-US" w:eastAsia="zh-CN"/>
                    </w:rPr>
                    <w:t>特征</w:t>
                  </w:r>
                </w:p>
              </w:tc>
              <w:tc>
                <w:tcPr>
                  <w:tcW w:w="65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b/>
                      <w:bCs/>
                      <w:kern w:val="0"/>
                      <w:sz w:val="21"/>
                      <w:szCs w:val="18"/>
                      <w:u w:val="none"/>
                    </w:rPr>
                  </w:pPr>
                  <w:r>
                    <w:rPr>
                      <w:rFonts w:ascii="Times New Roman" w:hAnsi="Times New Roman" w:eastAsia="宋体"/>
                      <w:b/>
                      <w:bCs/>
                      <w:kern w:val="0"/>
                      <w:sz w:val="21"/>
                      <w:szCs w:val="18"/>
                      <w:u w:val="none"/>
                    </w:rPr>
                    <w:t>常见组分或废物名称</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感染性废物</w:t>
                  </w:r>
                </w:p>
              </w:tc>
              <w:tc>
                <w:tcPr>
                  <w:tcW w:w="21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携带病原微生物具有引发感染性疾病传播危险的医疗废物</w:t>
                  </w:r>
                </w:p>
              </w:tc>
              <w:tc>
                <w:tcPr>
                  <w:tcW w:w="65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1.被患者血液、体液、排泄物等污染的除锐器以外的废物；</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2.使用后废弃的一次性使用医疗器械，如注射器、输液器、透析器等；</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3.病原微生物实验室废弃的病原体培养基、标本，菌种和毒种保存液及其容器；其他实验室及科室废弃的血液、血清、分泌物等标本和容器；</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4.隔离传染病患者或者疑似传染病患者产生的废弃物。</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损伤性废物</w:t>
                  </w:r>
                </w:p>
              </w:tc>
              <w:tc>
                <w:tcPr>
                  <w:tcW w:w="21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能够刺伤或者割伤人体的废弃的医用锐器。</w:t>
                  </w:r>
                </w:p>
              </w:tc>
              <w:tc>
                <w:tcPr>
                  <w:tcW w:w="65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hint="eastAsia" w:ascii="Times New Roman" w:hAnsi="Times New Roman"/>
                      <w:kern w:val="0"/>
                      <w:sz w:val="21"/>
                      <w:szCs w:val="18"/>
                      <w:u w:val="none"/>
                      <w:lang w:val="en-US" w:eastAsia="zh-CN"/>
                    </w:rPr>
                  </w:pPr>
                  <w:r>
                    <w:rPr>
                      <w:rFonts w:ascii="Times New Roman" w:hAnsi="Times New Roman" w:eastAsia="宋体"/>
                      <w:kern w:val="0"/>
                      <w:sz w:val="21"/>
                      <w:szCs w:val="18"/>
                      <w:u w:val="none"/>
                    </w:rPr>
                    <w:t>1.废弃的金属类锐器，如针头、缝合针、针灸针、探针、穿刺针、解剖刀、手术刀、手术锯、备皮刀、钢钉和导丝</w:t>
                  </w:r>
                  <w:r>
                    <w:rPr>
                      <w:rFonts w:hint="eastAsia" w:ascii="Times New Roman" w:hAnsi="Times New Roman"/>
                      <w:kern w:val="0"/>
                      <w:sz w:val="21"/>
                      <w:szCs w:val="18"/>
                      <w:u w:val="none"/>
                      <w:lang w:val="en-US" w:eastAsia="zh-CN"/>
                    </w:rPr>
                    <w:t>等；</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right="0" w:rightChars="0"/>
                    <w:jc w:val="both"/>
                    <w:textAlignment w:val="auto"/>
                    <w:rPr>
                      <w:rFonts w:hint="eastAsia" w:ascii="Times New Roman" w:hAnsi="Times New Roman"/>
                      <w:kern w:val="0"/>
                      <w:sz w:val="21"/>
                      <w:szCs w:val="18"/>
                      <w:u w:val="none"/>
                      <w:lang w:val="en-US" w:eastAsia="zh-CN"/>
                    </w:rPr>
                  </w:pPr>
                  <w:r>
                    <w:rPr>
                      <w:rFonts w:hint="eastAsia" w:ascii="Times New Roman" w:hAnsi="Times New Roman"/>
                      <w:kern w:val="0"/>
                      <w:sz w:val="21"/>
                      <w:szCs w:val="18"/>
                      <w:u w:val="none"/>
                      <w:lang w:val="en-US" w:eastAsia="zh-CN"/>
                    </w:rPr>
                    <w:t>2</w:t>
                  </w:r>
                  <w:r>
                    <w:rPr>
                      <w:rFonts w:ascii="Times New Roman" w:hAnsi="Times New Roman" w:eastAsia="宋体"/>
                      <w:kern w:val="0"/>
                      <w:sz w:val="21"/>
                      <w:szCs w:val="18"/>
                      <w:u w:val="none"/>
                    </w:rPr>
                    <w:t>.</w:t>
                  </w:r>
                  <w:r>
                    <w:rPr>
                      <w:rFonts w:hint="eastAsia" w:ascii="Times New Roman" w:hAnsi="Times New Roman"/>
                      <w:kern w:val="0"/>
                      <w:sz w:val="21"/>
                      <w:szCs w:val="18"/>
                      <w:u w:val="none"/>
                      <w:lang w:val="en-US" w:eastAsia="zh-CN"/>
                    </w:rPr>
                    <w:t>废弃的玻璃类锐器，如盖玻片、载玻片、玻璃安瓿等；</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right="0" w:rightChars="0"/>
                    <w:jc w:val="both"/>
                    <w:textAlignment w:val="auto"/>
                    <w:rPr>
                      <w:rFonts w:hint="eastAsia" w:ascii="Times New Roman" w:hAnsi="Times New Roman" w:eastAsia="宋体"/>
                      <w:kern w:val="0"/>
                      <w:sz w:val="21"/>
                      <w:szCs w:val="18"/>
                      <w:u w:val="none"/>
                      <w:lang w:val="en-US" w:eastAsia="zh-CN"/>
                    </w:rPr>
                  </w:pPr>
                  <w:r>
                    <w:rPr>
                      <w:rFonts w:hint="eastAsia" w:ascii="Times New Roman" w:hAnsi="Times New Roman"/>
                      <w:kern w:val="0"/>
                      <w:sz w:val="21"/>
                      <w:szCs w:val="18"/>
                      <w:u w:val="none"/>
                      <w:lang w:val="en-US" w:eastAsia="zh-CN"/>
                    </w:rPr>
                    <w:t>3.废弃的其他材质类锐器。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病理性废物</w:t>
                  </w:r>
                </w:p>
              </w:tc>
              <w:tc>
                <w:tcPr>
                  <w:tcW w:w="21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诊疗过程中产生的人体废弃物和医学实验动物尸体等</w:t>
                  </w:r>
                </w:p>
              </w:tc>
              <w:tc>
                <w:tcPr>
                  <w:tcW w:w="65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1.手术及其他医学服务过程中产生的废弃的人体组织、器官；</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2.病理切片后废弃的人体组织、病理蜡块；</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3.废弃的医学实验动物的组织和尸体；</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4.16周胎龄以下或重量不足500克的胚胎组织等；</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5.确诊、疑似传染病或携带传染病病原体的产妇的胎盘。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药物性废物</w:t>
                  </w:r>
                </w:p>
              </w:tc>
              <w:tc>
                <w:tcPr>
                  <w:tcW w:w="21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过期、淘汰、变质或者被污染的废弃的药物。</w:t>
                  </w:r>
                </w:p>
              </w:tc>
              <w:tc>
                <w:tcPr>
                  <w:tcW w:w="65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1.废弃的一般性药物；</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2.废弃的细胞毒性药物和遗传毒性药物；</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3.废弃的疫苗及血液制品。</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化学性废物</w:t>
                  </w:r>
                </w:p>
              </w:tc>
              <w:tc>
                <w:tcPr>
                  <w:tcW w:w="21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具有毒性、腐蚀性、易燃性、反应性的废弃的化学物品。</w:t>
                  </w:r>
                </w:p>
              </w:tc>
              <w:tc>
                <w:tcPr>
                  <w:tcW w:w="65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both"/>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列入《国家危险废物名录》中的废弃危险化学品，如甲醛、二甲苯等；非特定行业来源的危险废物，如含汞血压计、含汞体温计，废弃的牙科汞合金材料及其残余物等</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 w:val="0"/>
                <w:bCs w:val="0"/>
                <w:sz w:val="24"/>
                <w:szCs w:val="24"/>
                <w:u w:val="none"/>
              </w:rPr>
            </w:pPr>
            <w:r>
              <w:rPr>
                <w:rFonts w:hint="eastAsia" w:ascii="Times New Roman" w:hAnsi="Times New Roman" w:eastAsia="宋体" w:cs="Times New Roman"/>
                <w:b w:val="0"/>
                <w:bCs w:val="0"/>
                <w:sz w:val="24"/>
                <w:szCs w:val="24"/>
                <w:u w:val="none"/>
                <w:lang w:val="en-US" w:eastAsia="zh-CN"/>
              </w:rPr>
              <w:t>本项目主要为精神病人护理治疗，</w:t>
            </w:r>
            <w:r>
              <w:rPr>
                <w:rFonts w:ascii="Times New Roman" w:hAnsi="Times New Roman" w:eastAsia="宋体" w:cs="Times New Roman"/>
                <w:b w:val="0"/>
                <w:bCs w:val="0"/>
                <w:sz w:val="24"/>
                <w:szCs w:val="24"/>
                <w:u w:val="none"/>
              </w:rPr>
              <w:t>根据《医疗机构水污染物排放标准》（GB18466-2005）及《国家危险废物名录》（2021年），本项目产生的感染性废物、药物性废物和化学性废物属于医疗废物，废物类别为HW01，废物代码分别为感染性废物（841-001-01）、药物性废物（841-005-01）和化学性废物（841-004-01）。</w:t>
            </w:r>
          </w:p>
          <w:p>
            <w:pPr>
              <w:pStyle w:val="98"/>
              <w:ind w:firstLine="480"/>
              <w:rPr>
                <w:rFonts w:hint="eastAsia" w:eastAsia="宋体"/>
                <w:sz w:val="24"/>
                <w:szCs w:val="24"/>
                <w:u w:val="none"/>
                <w:lang w:val="en-US" w:eastAsia="zh-CN"/>
              </w:rPr>
            </w:pPr>
            <w:r>
              <w:rPr>
                <w:rFonts w:hint="eastAsia"/>
                <w:sz w:val="24"/>
                <w:szCs w:val="24"/>
                <w:u w:val="none"/>
                <w:lang w:val="en-US" w:eastAsia="zh-CN"/>
              </w:rPr>
              <w:t>本项目医疗废物主要为废一次性医疗用品等</w:t>
            </w:r>
            <w:r>
              <w:rPr>
                <w:rFonts w:hint="eastAsia"/>
                <w:sz w:val="24"/>
                <w:szCs w:val="24"/>
                <w:u w:val="none"/>
              </w:rPr>
              <w:t>。</w:t>
            </w:r>
            <w:r>
              <w:rPr>
                <w:color w:val="000000"/>
                <w:sz w:val="24"/>
                <w:u w:val="none" w:color="auto"/>
              </w:rPr>
              <w:t>根据《第一次全国污染源普查城镇生活源产排系数手册》（国务院第一次全国污染源普查领导小组办公室2008年3月），本项目床位共计</w:t>
            </w:r>
            <w:r>
              <w:rPr>
                <w:rFonts w:hint="eastAsia"/>
                <w:color w:val="000000"/>
                <w:sz w:val="24"/>
                <w:u w:val="none" w:color="auto"/>
                <w:lang w:val="en-US" w:eastAsia="zh-CN"/>
              </w:rPr>
              <w:t>48</w:t>
            </w:r>
            <w:r>
              <w:rPr>
                <w:color w:val="000000"/>
                <w:sz w:val="24"/>
                <w:u w:val="none" w:color="auto"/>
              </w:rPr>
              <w:t>张</w:t>
            </w:r>
            <w:r>
              <w:rPr>
                <w:rFonts w:hint="eastAsia"/>
                <w:color w:val="000000"/>
                <w:sz w:val="24"/>
                <w:u w:val="none" w:color="auto"/>
                <w:lang w:eastAsia="zh-CN"/>
              </w:rPr>
              <w:t>，</w:t>
            </w:r>
            <w:r>
              <w:rPr>
                <w:color w:val="000000"/>
                <w:sz w:val="24"/>
                <w:u w:val="none" w:color="auto"/>
              </w:rPr>
              <w:t>依据排污手册医疗垃圾核算系数为每病床每日产生医疗废物0.53kg床•日，则本项目产生的医疗废物约</w:t>
            </w:r>
            <w:r>
              <w:rPr>
                <w:rFonts w:hint="eastAsia"/>
                <w:color w:val="000000"/>
                <w:sz w:val="24"/>
                <w:u w:val="none" w:color="auto"/>
                <w:lang w:val="en-US" w:eastAsia="zh-CN"/>
              </w:rPr>
              <w:t>25.44</w:t>
            </w:r>
            <w:r>
              <w:rPr>
                <w:color w:val="000000"/>
                <w:sz w:val="24"/>
                <w:u w:val="none" w:color="auto"/>
              </w:rPr>
              <w:t>kg/d（</w:t>
            </w:r>
            <w:r>
              <w:rPr>
                <w:rFonts w:hint="eastAsia"/>
                <w:color w:val="000000"/>
                <w:sz w:val="24"/>
                <w:u w:val="none" w:color="auto"/>
                <w:lang w:val="en-US" w:eastAsia="zh-CN"/>
              </w:rPr>
              <w:t>9.286</w:t>
            </w:r>
            <w:r>
              <w:rPr>
                <w:color w:val="000000"/>
                <w:sz w:val="24"/>
                <w:u w:val="none" w:color="auto"/>
              </w:rPr>
              <w:t>t/a）。产生的医疗废物，由专人打包收集至</w:t>
            </w:r>
            <w:r>
              <w:rPr>
                <w:rFonts w:hint="eastAsia"/>
                <w:color w:val="000000"/>
                <w:sz w:val="24"/>
                <w:u w:val="none" w:color="auto"/>
                <w:lang w:val="en-US" w:eastAsia="zh-CN"/>
              </w:rPr>
              <w:t>医疗废物</w:t>
            </w:r>
            <w:r>
              <w:rPr>
                <w:color w:val="000000"/>
                <w:sz w:val="24"/>
                <w:u w:val="none" w:color="auto"/>
              </w:rPr>
              <w:t>暂存间，定期交由资质单位回收</w:t>
            </w:r>
            <w:r>
              <w:rPr>
                <w:rFonts w:hint="eastAsia"/>
                <w:color w:val="000000"/>
                <w:sz w:val="24"/>
                <w:u w:val="none" w:color="auto"/>
                <w:lang w:val="en-US" w:eastAsia="zh-CN"/>
              </w:rPr>
              <w:t>处置</w:t>
            </w:r>
            <w:r>
              <w:rPr>
                <w:rFonts w:hint="eastAsia"/>
                <w:sz w:val="24"/>
                <w:szCs w:val="24"/>
                <w:u w:val="none"/>
                <w:lang w:eastAsia="zh-CN"/>
              </w:rPr>
              <w:t>。</w:t>
            </w:r>
          </w:p>
          <w:p>
            <w:pPr>
              <w:pStyle w:val="98"/>
              <w:ind w:firstLine="480"/>
              <w:rPr>
                <w:rFonts w:hint="default" w:eastAsia="宋体"/>
                <w:sz w:val="24"/>
                <w:szCs w:val="24"/>
                <w:u w:val="none"/>
                <w:lang w:val="en-US" w:eastAsia="zh-CN"/>
              </w:rPr>
            </w:pPr>
            <w:r>
              <w:rPr>
                <w:sz w:val="24"/>
                <w:szCs w:val="24"/>
                <w:u w:val="none"/>
              </w:rPr>
              <w:t>（</w:t>
            </w:r>
            <w:r>
              <w:rPr>
                <w:rFonts w:hint="eastAsia"/>
                <w:sz w:val="24"/>
                <w:szCs w:val="24"/>
                <w:u w:val="none"/>
              </w:rPr>
              <w:t>2</w:t>
            </w:r>
            <w:r>
              <w:rPr>
                <w:sz w:val="24"/>
                <w:szCs w:val="24"/>
                <w:u w:val="none"/>
              </w:rPr>
              <w:t>）</w:t>
            </w:r>
            <w:r>
              <w:rPr>
                <w:rFonts w:hint="eastAsia"/>
                <w:sz w:val="24"/>
                <w:szCs w:val="24"/>
                <w:u w:val="none"/>
                <w:lang w:val="en-US" w:eastAsia="zh-CN"/>
              </w:rPr>
              <w:t>化粪池污泥</w:t>
            </w:r>
          </w:p>
          <w:p>
            <w:pPr>
              <w:pStyle w:val="98"/>
              <w:ind w:firstLine="480"/>
              <w:rPr>
                <w:sz w:val="24"/>
                <w:szCs w:val="24"/>
                <w:u w:val="none"/>
              </w:rPr>
            </w:pPr>
            <w:r>
              <w:rPr>
                <w:rFonts w:hint="default"/>
                <w:sz w:val="24"/>
                <w:szCs w:val="24"/>
                <w:u w:val="none"/>
              </w:rPr>
              <w:t>根据《医疗机构水污染物排放标准》（GB18466-2005）中有关污泥控制与处置的规定：化粪池污泥属危险废物（HW49），应按危险废物进行处理和处置，须委托有危废资质处置。污泥清淘前应加入石灰、漂白粉或其它消毒剂对污泥进行消毒处理，达到《医疗机构水污染物排放标准》（GB18466-2005）中表4医疗机构污泥控制标准后进行清淘</w:t>
            </w:r>
            <w:r>
              <w:rPr>
                <w:sz w:val="24"/>
                <w:szCs w:val="24"/>
                <w:u w:val="none"/>
              </w:rPr>
              <w:t>。</w:t>
            </w:r>
          </w:p>
          <w:p>
            <w:pPr>
              <w:pStyle w:val="98"/>
              <w:ind w:firstLine="480"/>
              <w:rPr>
                <w:sz w:val="24"/>
                <w:szCs w:val="24"/>
                <w:u w:val="none"/>
              </w:rPr>
            </w:pPr>
            <w:r>
              <w:rPr>
                <w:sz w:val="24"/>
                <w:szCs w:val="24"/>
                <w:u w:val="none"/>
              </w:rPr>
              <w:t>根据《医院污水处理规范》，医院污水处理设施污泥量（干物质）产生量为14~27g/床·d，本工程污泥产生量按20g/床·d，则本项目污水处理设施污泥产生量为</w:t>
            </w:r>
            <w:r>
              <w:rPr>
                <w:rFonts w:hint="eastAsia"/>
                <w:sz w:val="24"/>
                <w:szCs w:val="24"/>
                <w:u w:val="none"/>
                <w:lang w:val="en-US" w:eastAsia="zh-CN"/>
              </w:rPr>
              <w:t>0.96</w:t>
            </w:r>
            <w:r>
              <w:rPr>
                <w:sz w:val="24"/>
                <w:szCs w:val="24"/>
                <w:u w:val="none"/>
              </w:rPr>
              <w:t>kg/d（0.</w:t>
            </w:r>
            <w:r>
              <w:rPr>
                <w:rFonts w:hint="eastAsia"/>
                <w:sz w:val="24"/>
                <w:szCs w:val="24"/>
                <w:u w:val="none"/>
                <w:lang w:val="en-US" w:eastAsia="zh-CN"/>
              </w:rPr>
              <w:t>35</w:t>
            </w:r>
            <w:r>
              <w:rPr>
                <w:sz w:val="24"/>
                <w:szCs w:val="24"/>
                <w:u w:val="none"/>
              </w:rPr>
              <w:t>t/a）。</w:t>
            </w:r>
          </w:p>
          <w:p>
            <w:pPr>
              <w:pStyle w:val="98"/>
              <w:ind w:firstLine="480"/>
              <w:rPr>
                <w:sz w:val="24"/>
                <w:szCs w:val="24"/>
                <w:u w:val="none"/>
              </w:rPr>
            </w:pPr>
            <w:r>
              <w:rPr>
                <w:sz w:val="24"/>
                <w:szCs w:val="24"/>
                <w:u w:val="none"/>
              </w:rPr>
              <w:t>院内</w:t>
            </w:r>
            <w:r>
              <w:rPr>
                <w:rFonts w:hint="eastAsia"/>
                <w:sz w:val="24"/>
                <w:szCs w:val="24"/>
                <w:u w:val="none"/>
                <w:lang w:val="en-US" w:eastAsia="zh-CN"/>
              </w:rPr>
              <w:t>应设置</w:t>
            </w:r>
            <w:r>
              <w:rPr>
                <w:sz w:val="24"/>
                <w:szCs w:val="24"/>
                <w:u w:val="none"/>
              </w:rPr>
              <w:t>污泥收集桶，</w:t>
            </w:r>
            <w:r>
              <w:rPr>
                <w:rFonts w:hint="eastAsia"/>
                <w:sz w:val="24"/>
                <w:szCs w:val="24"/>
                <w:u w:val="none"/>
                <w:lang w:val="en-US" w:eastAsia="zh-CN"/>
              </w:rPr>
              <w:t>污泥浓缩后</w:t>
            </w:r>
            <w:r>
              <w:rPr>
                <w:sz w:val="24"/>
                <w:szCs w:val="24"/>
                <w:u w:val="none"/>
              </w:rPr>
              <w:t>人工投加漂白粉进行消毒干化，密闭封袋后送至危废间进行暂存，按照感染性废物处理。</w:t>
            </w:r>
          </w:p>
          <w:p>
            <w:pPr>
              <w:pStyle w:val="98"/>
              <w:ind w:firstLine="480"/>
              <w:rPr>
                <w:rFonts w:hint="eastAsia" w:eastAsia="宋体"/>
                <w:sz w:val="24"/>
                <w:szCs w:val="24"/>
                <w:u w:val="none"/>
                <w:lang w:val="en-US" w:eastAsia="zh-CN"/>
              </w:rPr>
            </w:pPr>
            <w:r>
              <w:rPr>
                <w:sz w:val="24"/>
                <w:szCs w:val="24"/>
                <w:u w:val="none"/>
              </w:rPr>
              <w:t>（</w:t>
            </w:r>
            <w:r>
              <w:rPr>
                <w:rFonts w:hint="eastAsia"/>
                <w:sz w:val="24"/>
                <w:szCs w:val="24"/>
                <w:u w:val="none"/>
                <w:lang w:val="en-US" w:eastAsia="zh-CN"/>
              </w:rPr>
              <w:t>3</w:t>
            </w:r>
            <w:r>
              <w:rPr>
                <w:sz w:val="24"/>
                <w:szCs w:val="24"/>
                <w:u w:val="none"/>
              </w:rPr>
              <w:t>）</w:t>
            </w:r>
            <w:r>
              <w:rPr>
                <w:rFonts w:hint="eastAsia"/>
                <w:sz w:val="24"/>
                <w:szCs w:val="24"/>
                <w:u w:val="none"/>
                <w:lang w:val="en-US" w:eastAsia="zh-CN"/>
              </w:rPr>
              <w:t>废药物、药品</w:t>
            </w:r>
          </w:p>
          <w:p>
            <w:pPr>
              <w:pStyle w:val="98"/>
              <w:ind w:firstLine="480"/>
              <w:rPr>
                <w:sz w:val="24"/>
                <w:szCs w:val="24"/>
                <w:u w:val="none"/>
              </w:rPr>
            </w:pPr>
            <w:r>
              <w:rPr>
                <w:rFonts w:hint="eastAsia"/>
                <w:sz w:val="24"/>
                <w:szCs w:val="24"/>
                <w:u w:val="none"/>
                <w:lang w:val="en-US" w:eastAsia="zh-CN"/>
              </w:rPr>
              <w:t>废</w:t>
            </w:r>
            <w:r>
              <w:rPr>
                <w:sz w:val="24"/>
                <w:szCs w:val="24"/>
                <w:u w:val="none"/>
              </w:rPr>
              <w:t>药物</w:t>
            </w:r>
            <w:r>
              <w:rPr>
                <w:rFonts w:hint="eastAsia"/>
                <w:sz w:val="24"/>
                <w:szCs w:val="24"/>
                <w:u w:val="none"/>
                <w:lang w:eastAsia="zh-CN"/>
              </w:rPr>
              <w:t>、</w:t>
            </w:r>
            <w:r>
              <w:rPr>
                <w:sz w:val="24"/>
                <w:szCs w:val="24"/>
                <w:u w:val="none"/>
              </w:rPr>
              <w:t>药品主要为医院失效、变质、不合格、淘汰、伪劣的药物和药品，根据</w:t>
            </w:r>
            <w:r>
              <w:rPr>
                <w:rFonts w:hint="eastAsia"/>
                <w:sz w:val="24"/>
                <w:szCs w:val="24"/>
                <w:u w:val="none"/>
                <w:lang w:val="en-US" w:eastAsia="zh-CN"/>
              </w:rPr>
              <w:t>医院</w:t>
            </w:r>
            <w:r>
              <w:rPr>
                <w:sz w:val="24"/>
                <w:szCs w:val="24"/>
                <w:u w:val="none"/>
              </w:rPr>
              <w:t>提供资料，废药物、药品产生量约0.01t/a，分类收集包装后，进入</w:t>
            </w:r>
            <w:r>
              <w:rPr>
                <w:rFonts w:hint="eastAsia"/>
                <w:sz w:val="24"/>
                <w:szCs w:val="24"/>
                <w:u w:val="none"/>
                <w:lang w:val="en-US" w:eastAsia="zh-CN"/>
              </w:rPr>
              <w:t>医疗废物暂存</w:t>
            </w:r>
            <w:r>
              <w:rPr>
                <w:sz w:val="24"/>
                <w:szCs w:val="24"/>
                <w:u w:val="none"/>
              </w:rPr>
              <w:t>间，然后交由有资质的单位处置。</w:t>
            </w:r>
          </w:p>
          <w:p>
            <w:pPr>
              <w:pStyle w:val="98"/>
              <w:ind w:firstLine="480"/>
              <w:rPr>
                <w:sz w:val="24"/>
                <w:szCs w:val="24"/>
              </w:rPr>
            </w:pPr>
            <w:r>
              <w:rPr>
                <w:sz w:val="24"/>
                <w:szCs w:val="24"/>
              </w:rPr>
              <w:t>（</w:t>
            </w:r>
            <w:r>
              <w:rPr>
                <w:rFonts w:hint="eastAsia"/>
                <w:sz w:val="24"/>
                <w:szCs w:val="24"/>
                <w:lang w:val="en-US" w:eastAsia="zh-CN"/>
              </w:rPr>
              <w:t>4</w:t>
            </w:r>
            <w:r>
              <w:rPr>
                <w:sz w:val="24"/>
                <w:szCs w:val="24"/>
              </w:rPr>
              <w:t>）生活垃圾</w:t>
            </w:r>
          </w:p>
          <w:p>
            <w:pPr>
              <w:pStyle w:val="98"/>
              <w:ind w:firstLine="480"/>
              <w:rPr>
                <w:rFonts w:hint="default" w:eastAsia="宋体"/>
                <w:sz w:val="24"/>
                <w:szCs w:val="24"/>
                <w:lang w:val="en-US" w:eastAsia="zh-CN"/>
              </w:rPr>
            </w:pPr>
            <w:r>
              <w:rPr>
                <w:rFonts w:hint="eastAsia"/>
                <w:sz w:val="24"/>
                <w:szCs w:val="24"/>
                <w:lang w:val="en-US" w:eastAsia="zh-CN"/>
              </w:rPr>
              <w:t>生活垃圾主要来源于住院病人、医务人员的生活垃圾。</w:t>
            </w:r>
          </w:p>
          <w:p>
            <w:pPr>
              <w:pStyle w:val="98"/>
              <w:ind w:firstLine="480"/>
              <w:rPr>
                <w:rFonts w:hint="eastAsia" w:eastAsia="宋体"/>
                <w:sz w:val="24"/>
                <w:szCs w:val="24"/>
                <w:lang w:eastAsia="zh-CN"/>
              </w:rPr>
            </w:pPr>
            <w:r>
              <w:rPr>
                <w:sz w:val="24"/>
                <w:szCs w:val="24"/>
              </w:rPr>
              <w:t>住院病人按每床每日产生生活垃圾0.2kg计，住院人数按最大</w:t>
            </w:r>
            <w:r>
              <w:rPr>
                <w:rFonts w:hint="eastAsia"/>
                <w:sz w:val="24"/>
                <w:szCs w:val="24"/>
                <w:lang w:val="en-US" w:eastAsia="zh-CN"/>
              </w:rPr>
              <w:t>48</w:t>
            </w:r>
            <w:r>
              <w:rPr>
                <w:sz w:val="24"/>
                <w:szCs w:val="24"/>
              </w:rPr>
              <w:t>人/d，则产生生活垃圾为</w:t>
            </w:r>
            <w:r>
              <w:rPr>
                <w:rFonts w:hint="eastAsia"/>
                <w:sz w:val="24"/>
                <w:szCs w:val="24"/>
                <w:lang w:val="en-US" w:eastAsia="zh-CN"/>
              </w:rPr>
              <w:t>9.6</w:t>
            </w:r>
            <w:r>
              <w:rPr>
                <w:sz w:val="24"/>
                <w:szCs w:val="24"/>
              </w:rPr>
              <w:t>kg/d（</w:t>
            </w:r>
            <w:r>
              <w:rPr>
                <w:rFonts w:hint="eastAsia"/>
                <w:sz w:val="24"/>
                <w:szCs w:val="24"/>
                <w:lang w:val="en-US" w:eastAsia="zh-CN"/>
              </w:rPr>
              <w:t>3.504</w:t>
            </w:r>
            <w:r>
              <w:rPr>
                <w:sz w:val="24"/>
                <w:szCs w:val="24"/>
              </w:rPr>
              <w:t>t/a）</w:t>
            </w:r>
            <w:r>
              <w:rPr>
                <w:rFonts w:hint="eastAsia"/>
                <w:sz w:val="24"/>
                <w:szCs w:val="24"/>
                <w:lang w:eastAsia="zh-CN"/>
              </w:rPr>
              <w:t>。</w:t>
            </w:r>
          </w:p>
          <w:p>
            <w:pPr>
              <w:pStyle w:val="98"/>
              <w:ind w:firstLine="480"/>
              <w:rPr>
                <w:sz w:val="24"/>
                <w:szCs w:val="24"/>
              </w:rPr>
            </w:pPr>
            <w:r>
              <w:rPr>
                <w:sz w:val="24"/>
                <w:szCs w:val="24"/>
              </w:rPr>
              <w:t>项目职工定员</w:t>
            </w:r>
            <w:r>
              <w:rPr>
                <w:rFonts w:hint="eastAsia"/>
                <w:sz w:val="24"/>
                <w:szCs w:val="24"/>
                <w:lang w:val="en-US" w:eastAsia="zh-CN"/>
              </w:rPr>
              <w:t>10</w:t>
            </w:r>
            <w:r>
              <w:rPr>
                <w:sz w:val="24"/>
                <w:szCs w:val="24"/>
              </w:rPr>
              <w:t>人，生活垃圾产生量取</w:t>
            </w:r>
            <w:bookmarkStart w:id="24" w:name="不住厂垃圾系数"/>
            <w:r>
              <w:rPr>
                <w:sz w:val="24"/>
                <w:szCs w:val="24"/>
              </w:rPr>
              <w:t>0.5</w:t>
            </w:r>
            <w:bookmarkEnd w:id="24"/>
            <w:r>
              <w:rPr>
                <w:sz w:val="24"/>
                <w:szCs w:val="24"/>
              </w:rPr>
              <w:t>kg/d·人。项目年工作3</w:t>
            </w:r>
            <w:r>
              <w:rPr>
                <w:rFonts w:hint="eastAsia"/>
                <w:sz w:val="24"/>
                <w:szCs w:val="24"/>
                <w:lang w:val="en-US" w:eastAsia="zh-CN"/>
              </w:rPr>
              <w:t>65</w:t>
            </w:r>
            <w:r>
              <w:rPr>
                <w:sz w:val="24"/>
                <w:szCs w:val="24"/>
              </w:rPr>
              <w:t>天，每天共产生生活垃圾</w:t>
            </w:r>
            <w:r>
              <w:rPr>
                <w:rFonts w:hint="eastAsia"/>
                <w:sz w:val="24"/>
                <w:szCs w:val="24"/>
                <w:lang w:val="en-US" w:eastAsia="zh-CN"/>
              </w:rPr>
              <w:t>5</w:t>
            </w:r>
            <w:r>
              <w:rPr>
                <w:sz w:val="24"/>
                <w:szCs w:val="24"/>
              </w:rPr>
              <w:t>kg/d（即</w:t>
            </w:r>
            <w:r>
              <w:rPr>
                <w:rFonts w:hint="eastAsia"/>
                <w:sz w:val="24"/>
                <w:szCs w:val="24"/>
                <w:lang w:val="en-US" w:eastAsia="zh-CN"/>
              </w:rPr>
              <w:t>1.825</w:t>
            </w:r>
            <w:r>
              <w:rPr>
                <w:sz w:val="24"/>
                <w:szCs w:val="24"/>
              </w:rPr>
              <w:t>t/a）。生活垃圾在厂区内设置垃圾</w:t>
            </w:r>
            <w:r>
              <w:rPr>
                <w:rFonts w:hint="eastAsia"/>
                <w:sz w:val="24"/>
                <w:szCs w:val="24"/>
                <w:lang w:val="en-US" w:eastAsia="zh-CN"/>
              </w:rPr>
              <w:t>桶</w:t>
            </w:r>
            <w:r>
              <w:rPr>
                <w:sz w:val="24"/>
                <w:szCs w:val="24"/>
              </w:rPr>
              <w:t>分类集中收集，然后</w:t>
            </w:r>
            <w:r>
              <w:rPr>
                <w:rFonts w:hint="eastAsia"/>
                <w:sz w:val="24"/>
                <w:szCs w:val="24"/>
                <w:lang w:val="en-US" w:eastAsia="zh-CN"/>
              </w:rPr>
              <w:t>交</w:t>
            </w:r>
            <w:r>
              <w:rPr>
                <w:sz w:val="24"/>
                <w:szCs w:val="24"/>
              </w:rPr>
              <w:t>由环卫部门统一处理。</w:t>
            </w:r>
          </w:p>
          <w:p>
            <w:pPr>
              <w:pStyle w:val="98"/>
              <w:ind w:firstLine="480"/>
              <w:rPr>
                <w:sz w:val="24"/>
                <w:szCs w:val="24"/>
              </w:rPr>
            </w:pPr>
            <w:r>
              <w:rPr>
                <w:sz w:val="24"/>
                <w:szCs w:val="24"/>
              </w:rPr>
              <w:t>根据以上分析可知，本项目固体废弃物产生情况见下表</w:t>
            </w:r>
            <w:r>
              <w:rPr>
                <w:rFonts w:hint="eastAsia"/>
                <w:sz w:val="24"/>
                <w:szCs w:val="24"/>
                <w:lang w:val="en-US" w:eastAsia="zh-CN"/>
              </w:rPr>
              <w:t>4-14，危险废物汇总表见下表4-15</w:t>
            </w:r>
            <w:r>
              <w:rPr>
                <w:sz w:val="24"/>
                <w:szCs w:val="24"/>
              </w:rPr>
              <w:t>：</w:t>
            </w:r>
          </w:p>
          <w:p>
            <w:pPr>
              <w:pStyle w:val="8"/>
              <w:keepNext/>
              <w:keepLines w:val="0"/>
              <w:pageBreakBefore w:val="0"/>
              <w:widowControl/>
              <w:kinsoku/>
              <w:wordWrap/>
              <w:overflowPunct/>
              <w:topLinePunct w:val="0"/>
              <w:autoSpaceDE/>
              <w:autoSpaceDN/>
              <w:bidi w:val="0"/>
              <w:adjustRightInd/>
              <w:snapToGrid/>
              <w:spacing w:line="240" w:lineRule="auto"/>
              <w:textAlignment w:val="auto"/>
            </w:pPr>
            <w:r>
              <w:rPr>
                <w:rFonts w:hint="eastAsia"/>
              </w:rPr>
              <w:t>表4-</w:t>
            </w:r>
            <w:r>
              <w:rPr>
                <w:rFonts w:hint="eastAsia"/>
                <w:lang w:val="en-US" w:eastAsia="zh-CN"/>
              </w:rPr>
              <w:t xml:space="preserve">14 </w:t>
            </w:r>
            <w:r>
              <w:t xml:space="preserve"> 项目固体废弃物产生情况一览表</w:t>
            </w:r>
          </w:p>
          <w:tbl>
            <w:tblPr>
              <w:tblStyle w:val="34"/>
              <w:tblW w:w="498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424"/>
              <w:gridCol w:w="483"/>
              <w:gridCol w:w="1300"/>
              <w:gridCol w:w="710"/>
              <w:gridCol w:w="884"/>
              <w:gridCol w:w="1284"/>
              <w:gridCol w:w="1073"/>
              <w:gridCol w:w="181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3" w:hRule="atLeast"/>
                <w:jc w:val="center"/>
              </w:trPr>
              <w:tc>
                <w:tcPr>
                  <w:tcW w:w="2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b/>
                      <w:sz w:val="21"/>
                      <w:szCs w:val="21"/>
                      <w:u w:val="none"/>
                      <w:lang w:val="en-US" w:eastAsia="zh-CN"/>
                    </w:rPr>
                  </w:pPr>
                  <w:r>
                    <w:rPr>
                      <w:rFonts w:hint="eastAsia" w:ascii="Times New Roman" w:hAnsi="Times New Roman" w:eastAsia="宋体"/>
                      <w:b/>
                      <w:sz w:val="21"/>
                      <w:szCs w:val="21"/>
                      <w:u w:val="none"/>
                      <w:lang w:val="en-US" w:eastAsia="zh-CN"/>
                    </w:rPr>
                    <w:t>序号</w:t>
                  </w:r>
                </w:p>
              </w:tc>
              <w:tc>
                <w:tcPr>
                  <w:tcW w:w="111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b/>
                      <w:sz w:val="21"/>
                      <w:szCs w:val="21"/>
                      <w:u w:val="none"/>
                    </w:rPr>
                  </w:pPr>
                  <w:r>
                    <w:rPr>
                      <w:rFonts w:ascii="Times New Roman" w:hAnsi="Times New Roman" w:eastAsia="宋体"/>
                      <w:b/>
                      <w:sz w:val="21"/>
                      <w:szCs w:val="21"/>
                      <w:u w:val="none"/>
                    </w:rPr>
                    <w:t>污染物</w:t>
                  </w:r>
                </w:p>
              </w:tc>
              <w:tc>
                <w:tcPr>
                  <w:tcW w:w="4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b/>
                      <w:sz w:val="21"/>
                      <w:szCs w:val="21"/>
                      <w:u w:val="none"/>
                    </w:rPr>
                  </w:pPr>
                  <w:r>
                    <w:rPr>
                      <w:rFonts w:ascii="Times New Roman" w:hAnsi="Times New Roman" w:eastAsia="宋体"/>
                      <w:b/>
                      <w:sz w:val="21"/>
                      <w:szCs w:val="21"/>
                      <w:u w:val="none"/>
                    </w:rPr>
                    <w:t>固废</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b/>
                      <w:sz w:val="21"/>
                      <w:szCs w:val="21"/>
                      <w:u w:val="none"/>
                    </w:rPr>
                  </w:pPr>
                  <w:r>
                    <w:rPr>
                      <w:rFonts w:ascii="Times New Roman" w:hAnsi="Times New Roman" w:eastAsia="宋体"/>
                      <w:b/>
                      <w:sz w:val="21"/>
                      <w:szCs w:val="21"/>
                      <w:u w:val="none"/>
                    </w:rPr>
                    <w:t>种类</w:t>
                  </w:r>
                </w:p>
              </w:tc>
              <w:tc>
                <w:tcPr>
                  <w:tcW w:w="135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b/>
                      <w:sz w:val="21"/>
                      <w:szCs w:val="21"/>
                      <w:u w:val="none"/>
                      <w:lang w:val="en-US" w:eastAsia="zh-CN"/>
                    </w:rPr>
                  </w:pPr>
                  <w:r>
                    <w:rPr>
                      <w:rFonts w:hint="eastAsia" w:ascii="Times New Roman" w:hAnsi="Times New Roman" w:eastAsia="宋体"/>
                      <w:b/>
                      <w:sz w:val="21"/>
                      <w:szCs w:val="21"/>
                      <w:u w:val="none"/>
                      <w:lang w:val="en-US" w:eastAsia="zh-CN"/>
                    </w:rPr>
                    <w:t>危废代码</w:t>
                  </w:r>
                </w:p>
              </w:tc>
              <w:tc>
                <w:tcPr>
                  <w:tcW w:w="6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b/>
                      <w:sz w:val="21"/>
                      <w:szCs w:val="21"/>
                      <w:u w:val="none"/>
                      <w:lang w:val="en-US" w:eastAsia="zh-CN"/>
                    </w:rPr>
                  </w:pPr>
                  <w:r>
                    <w:rPr>
                      <w:rFonts w:hint="eastAsia" w:ascii="Times New Roman" w:hAnsi="Times New Roman"/>
                      <w:b/>
                      <w:sz w:val="21"/>
                      <w:szCs w:val="21"/>
                      <w:u w:val="none"/>
                      <w:lang w:val="en-US" w:eastAsia="zh-CN"/>
                    </w:rPr>
                    <w:t>产生量（t/a）</w:t>
                  </w:r>
                </w:p>
              </w:tc>
              <w:tc>
                <w:tcPr>
                  <w:tcW w:w="11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b/>
                      <w:sz w:val="21"/>
                      <w:szCs w:val="21"/>
                      <w:u w:val="none"/>
                      <w:lang w:val="en-US" w:eastAsia="zh-CN"/>
                    </w:rPr>
                  </w:pPr>
                  <w:r>
                    <w:rPr>
                      <w:rFonts w:ascii="Times New Roman" w:hAnsi="Times New Roman" w:eastAsia="宋体"/>
                      <w:b/>
                      <w:sz w:val="21"/>
                      <w:szCs w:val="21"/>
                      <w:u w:val="none"/>
                    </w:rPr>
                    <w:t>采取的处理措施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6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1</w:t>
                  </w:r>
                </w:p>
              </w:tc>
              <w:tc>
                <w:tcPr>
                  <w:tcW w:w="3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lang w:val="en-US" w:eastAsia="zh-CN"/>
                    </w:rPr>
                  </w:pPr>
                  <w:r>
                    <w:rPr>
                      <w:rFonts w:hint="eastAsia" w:ascii="Times New Roman" w:hAnsi="Times New Roman" w:eastAsia="宋体"/>
                      <w:color w:val="auto"/>
                      <w:kern w:val="0"/>
                      <w:sz w:val="21"/>
                      <w:u w:val="none"/>
                    </w:rPr>
                    <w:t>医疗废物</w:t>
                  </w:r>
                </w:p>
              </w:tc>
              <w:tc>
                <w:tcPr>
                  <w:tcW w:w="8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textAlignment w:val="auto"/>
                    <w:rPr>
                      <w:rFonts w:ascii="Times New Roman" w:hAnsi="Times New Roman" w:eastAsia="宋体"/>
                      <w:color w:val="auto"/>
                      <w:sz w:val="21"/>
                      <w:szCs w:val="21"/>
                      <w:u w:val="none"/>
                    </w:rPr>
                  </w:pPr>
                  <w:r>
                    <w:rPr>
                      <w:rFonts w:ascii="Times New Roman" w:hAnsi="Times New Roman" w:eastAsia="宋体"/>
                      <w:color w:val="auto"/>
                      <w:kern w:val="0"/>
                      <w:sz w:val="21"/>
                      <w:szCs w:val="18"/>
                      <w:u w:val="none"/>
                    </w:rPr>
                    <w:t>感染性废物</w:t>
                  </w:r>
                </w:p>
              </w:tc>
              <w:tc>
                <w:tcPr>
                  <w:tcW w:w="4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危险</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废物</w:t>
                  </w:r>
                </w:p>
              </w:tc>
              <w:tc>
                <w:tcPr>
                  <w:tcW w:w="55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olor w:val="auto"/>
                      <w:sz w:val="21"/>
                      <w:szCs w:val="21"/>
                      <w:u w:val="none"/>
                    </w:rPr>
                  </w:pPr>
                  <w:r>
                    <w:rPr>
                      <w:rFonts w:hint="eastAsia" w:ascii="Times New Roman" w:hAnsi="Times New Roman" w:eastAsia="宋体"/>
                      <w:color w:val="auto"/>
                      <w:sz w:val="21"/>
                      <w:szCs w:val="21"/>
                      <w:u w:val="none"/>
                    </w:rPr>
                    <w:t>HW01</w:t>
                  </w:r>
                </w:p>
              </w:tc>
              <w:tc>
                <w:tcPr>
                  <w:tcW w:w="8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rPr>
                  </w:pPr>
                  <w:r>
                    <w:rPr>
                      <w:rFonts w:hint="eastAsia" w:ascii="Times New Roman" w:hAnsi="Times New Roman" w:eastAsia="宋体"/>
                      <w:color w:val="auto"/>
                      <w:sz w:val="21"/>
                      <w:szCs w:val="21"/>
                      <w:u w:val="none"/>
                    </w:rPr>
                    <w:t>841-001-01</w:t>
                  </w:r>
                </w:p>
              </w:tc>
              <w:tc>
                <w:tcPr>
                  <w:tcW w:w="6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9.286</w:t>
                  </w:r>
                </w:p>
              </w:tc>
              <w:tc>
                <w:tcPr>
                  <w:tcW w:w="113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olor w:val="auto"/>
                      <w:sz w:val="21"/>
                      <w:szCs w:val="21"/>
                      <w:u w:val="none"/>
                      <w:lang w:val="en-US"/>
                    </w:rPr>
                  </w:pPr>
                  <w:r>
                    <w:rPr>
                      <w:rFonts w:ascii="Times New Roman" w:hAnsi="Times New Roman" w:eastAsia="宋体" w:cs="Times New Roman"/>
                      <w:color w:val="auto"/>
                      <w:kern w:val="0"/>
                      <w:sz w:val="21"/>
                      <w:szCs w:val="18"/>
                      <w:u w:val="none"/>
                      <w:lang w:val="en-US" w:eastAsia="zh-CN" w:bidi="ar-SA"/>
                    </w:rPr>
                    <w:t>暂存于医疗废物暂存间，定期</w:t>
                  </w:r>
                  <w:r>
                    <w:rPr>
                      <w:rFonts w:hint="eastAsia" w:ascii="Times New Roman" w:hAnsi="Times New Roman" w:eastAsia="宋体" w:cs="Times New Roman"/>
                      <w:color w:val="auto"/>
                      <w:kern w:val="0"/>
                      <w:sz w:val="21"/>
                      <w:szCs w:val="18"/>
                      <w:u w:val="none"/>
                      <w:lang w:val="en-US" w:eastAsia="zh-CN" w:bidi="ar-SA"/>
                    </w:rPr>
                    <w:t>交由有资质的单位进行处置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2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lang w:val="en-US" w:eastAsia="zh-CN"/>
                    </w:rPr>
                  </w:pPr>
                </w:p>
              </w:tc>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lang w:val="en-US" w:eastAsia="zh-CN"/>
                    </w:rPr>
                  </w:pPr>
                </w:p>
              </w:tc>
              <w:tc>
                <w:tcPr>
                  <w:tcW w:w="8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textAlignment w:val="auto"/>
                    <w:rPr>
                      <w:rFonts w:ascii="Times New Roman" w:hAnsi="Times New Roman" w:eastAsia="宋体"/>
                      <w:color w:val="auto"/>
                      <w:kern w:val="0"/>
                      <w:sz w:val="21"/>
                      <w:szCs w:val="18"/>
                      <w:u w:val="none"/>
                    </w:rPr>
                  </w:pPr>
                  <w:r>
                    <w:rPr>
                      <w:rFonts w:ascii="Times New Roman" w:hAnsi="Times New Roman" w:eastAsia="宋体"/>
                      <w:color w:val="auto"/>
                      <w:kern w:val="0"/>
                      <w:sz w:val="21"/>
                      <w:szCs w:val="18"/>
                      <w:u w:val="none"/>
                    </w:rPr>
                    <w:t>化学性废物</w:t>
                  </w:r>
                </w:p>
              </w:tc>
              <w:tc>
                <w:tcPr>
                  <w:tcW w:w="4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olor w:val="auto"/>
                      <w:sz w:val="21"/>
                      <w:szCs w:val="21"/>
                      <w:u w:val="none"/>
                    </w:rPr>
                  </w:pPr>
                </w:p>
              </w:tc>
              <w:tc>
                <w:tcPr>
                  <w:tcW w:w="55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olor w:val="auto"/>
                      <w:sz w:val="21"/>
                      <w:szCs w:val="21"/>
                      <w:u w:val="none"/>
                    </w:rPr>
                  </w:pPr>
                </w:p>
              </w:tc>
              <w:tc>
                <w:tcPr>
                  <w:tcW w:w="8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rPr>
                  </w:pPr>
                  <w:r>
                    <w:rPr>
                      <w:rFonts w:hint="eastAsia" w:ascii="Times New Roman" w:hAnsi="Times New Roman" w:eastAsia="宋体"/>
                      <w:color w:val="auto"/>
                      <w:sz w:val="21"/>
                      <w:szCs w:val="21"/>
                      <w:u w:val="none"/>
                      <w:lang w:val="en-US" w:eastAsia="zh-CN"/>
                    </w:rPr>
                    <w:t>841-004-01</w:t>
                  </w:r>
                </w:p>
              </w:tc>
              <w:tc>
                <w:tcPr>
                  <w:tcW w:w="6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lang w:val="en-US" w:eastAsia="zh-CN"/>
                    </w:rPr>
                  </w:pPr>
                </w:p>
              </w:tc>
              <w:tc>
                <w:tcPr>
                  <w:tcW w:w="113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auto"/>
                    <w:rPr>
                      <w:rFonts w:ascii="Times New Roman" w:hAnsi="Times New Roman" w:eastAsia="宋体"/>
                      <w:color w:val="auto"/>
                      <w:kern w:val="0"/>
                      <w:sz w:val="21"/>
                      <w:szCs w:val="18"/>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2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lang w:val="en-US" w:eastAsia="zh-CN"/>
                    </w:rPr>
                  </w:pPr>
                </w:p>
              </w:tc>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lang w:val="en-US" w:eastAsia="zh-CN"/>
                    </w:rPr>
                  </w:pPr>
                </w:p>
              </w:tc>
              <w:tc>
                <w:tcPr>
                  <w:tcW w:w="8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textAlignment w:val="auto"/>
                    <w:rPr>
                      <w:rFonts w:ascii="Times New Roman" w:hAnsi="Times New Roman" w:eastAsia="宋体"/>
                      <w:color w:val="auto"/>
                      <w:sz w:val="21"/>
                      <w:szCs w:val="21"/>
                      <w:u w:val="none"/>
                    </w:rPr>
                  </w:pPr>
                  <w:r>
                    <w:rPr>
                      <w:rFonts w:ascii="Times New Roman" w:hAnsi="Times New Roman" w:eastAsia="宋体"/>
                      <w:color w:val="auto"/>
                      <w:kern w:val="0"/>
                      <w:sz w:val="21"/>
                      <w:szCs w:val="18"/>
                      <w:u w:val="none"/>
                    </w:rPr>
                    <w:t>药物性废物</w:t>
                  </w:r>
                </w:p>
              </w:tc>
              <w:tc>
                <w:tcPr>
                  <w:tcW w:w="4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olor w:val="auto"/>
                      <w:sz w:val="21"/>
                      <w:szCs w:val="21"/>
                      <w:u w:val="none"/>
                    </w:rPr>
                  </w:pPr>
                </w:p>
              </w:tc>
              <w:tc>
                <w:tcPr>
                  <w:tcW w:w="55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olor w:val="auto"/>
                      <w:sz w:val="21"/>
                      <w:szCs w:val="21"/>
                      <w:u w:val="none"/>
                    </w:rPr>
                  </w:pPr>
                </w:p>
              </w:tc>
              <w:tc>
                <w:tcPr>
                  <w:tcW w:w="8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rPr>
                  </w:pPr>
                  <w:r>
                    <w:rPr>
                      <w:rFonts w:hint="eastAsia" w:ascii="Times New Roman" w:hAnsi="Times New Roman" w:eastAsia="宋体"/>
                      <w:color w:val="auto"/>
                      <w:sz w:val="21"/>
                      <w:szCs w:val="21"/>
                      <w:u w:val="none"/>
                    </w:rPr>
                    <w:t>841-005-01</w:t>
                  </w:r>
                </w:p>
              </w:tc>
              <w:tc>
                <w:tcPr>
                  <w:tcW w:w="6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olor w:val="auto"/>
                      <w:sz w:val="21"/>
                      <w:szCs w:val="21"/>
                      <w:u w:val="none"/>
                    </w:rPr>
                  </w:pPr>
                </w:p>
              </w:tc>
              <w:tc>
                <w:tcPr>
                  <w:tcW w:w="113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auto"/>
                    <w:rPr>
                      <w:rFonts w:ascii="Times New Roman" w:hAnsi="Times New Roman" w:eastAsia="宋体"/>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03" w:hRule="atLeast"/>
                <w:jc w:val="center"/>
              </w:trPr>
              <w:tc>
                <w:tcPr>
                  <w:tcW w:w="2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2</w:t>
                  </w:r>
                </w:p>
              </w:tc>
              <w:tc>
                <w:tcPr>
                  <w:tcW w:w="111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18"/>
                      <w:u w:val="none"/>
                      <w:lang w:val="en-US" w:eastAsia="zh-CN"/>
                    </w:rPr>
                  </w:pPr>
                  <w:r>
                    <w:rPr>
                      <w:rFonts w:hint="eastAsia" w:ascii="Times New Roman" w:hAnsi="Times New Roman" w:eastAsia="宋体" w:cs="Times New Roman"/>
                      <w:color w:val="auto"/>
                      <w:kern w:val="0"/>
                      <w:sz w:val="21"/>
                      <w:szCs w:val="18"/>
                      <w:u w:val="none"/>
                      <w:lang w:val="en-US" w:eastAsia="zh-CN"/>
                    </w:rPr>
                    <w:t>化粪池污泥</w:t>
                  </w:r>
                </w:p>
              </w:tc>
              <w:tc>
                <w:tcPr>
                  <w:tcW w:w="4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18"/>
                      <w:u w:val="none"/>
                      <w:lang w:val="en-US" w:eastAsia="zh-CN"/>
                    </w:rPr>
                  </w:pPr>
                  <w:r>
                    <w:rPr>
                      <w:rFonts w:hint="eastAsia" w:ascii="Times New Roman" w:hAnsi="Times New Roman" w:eastAsia="宋体" w:cs="Times New Roman"/>
                      <w:color w:val="auto"/>
                      <w:kern w:val="0"/>
                      <w:sz w:val="21"/>
                      <w:szCs w:val="18"/>
                      <w:u w:val="none"/>
                      <w:lang w:val="en-US" w:eastAsia="zh-CN"/>
                    </w:rPr>
                    <w:t>危险</w:t>
                  </w:r>
                </w:p>
                <w:p>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textAlignment w:val="auto"/>
                    <w:rPr>
                      <w:rFonts w:ascii="Times New Roman" w:hAnsi="Times New Roman" w:eastAsia="宋体" w:cs="Times New Roman"/>
                      <w:color w:val="auto"/>
                      <w:kern w:val="0"/>
                      <w:sz w:val="21"/>
                      <w:szCs w:val="18"/>
                      <w:u w:val="none"/>
                    </w:rPr>
                  </w:pPr>
                  <w:r>
                    <w:rPr>
                      <w:rFonts w:hint="eastAsia" w:ascii="Times New Roman" w:hAnsi="Times New Roman" w:eastAsia="宋体" w:cs="Times New Roman"/>
                      <w:color w:val="auto"/>
                      <w:kern w:val="0"/>
                      <w:sz w:val="21"/>
                      <w:szCs w:val="18"/>
                      <w:u w:val="none"/>
                      <w:lang w:val="en-US" w:eastAsia="zh-CN"/>
                    </w:rPr>
                    <w:t>废物</w:t>
                  </w:r>
                </w:p>
              </w:tc>
              <w:tc>
                <w:tcPr>
                  <w:tcW w:w="5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18"/>
                      <w:u w:val="none"/>
                      <w:lang w:val="en-US" w:eastAsia="zh-CN"/>
                    </w:rPr>
                  </w:pPr>
                  <w:r>
                    <w:rPr>
                      <w:rFonts w:ascii="Times New Roman" w:hAnsi="Times New Roman" w:eastAsia="宋体" w:cs="Times New Roman"/>
                      <w:color w:val="auto"/>
                      <w:kern w:val="0"/>
                      <w:sz w:val="21"/>
                      <w:szCs w:val="18"/>
                      <w:u w:val="none"/>
                    </w:rPr>
                    <w:t>HW</w:t>
                  </w:r>
                  <w:r>
                    <w:rPr>
                      <w:rFonts w:hint="eastAsia" w:ascii="Times New Roman" w:hAnsi="Times New Roman" w:eastAsia="宋体" w:cs="Times New Roman"/>
                      <w:color w:val="auto"/>
                      <w:kern w:val="0"/>
                      <w:sz w:val="21"/>
                      <w:szCs w:val="18"/>
                      <w:u w:val="none"/>
                      <w:lang w:val="en-US" w:eastAsia="zh-CN"/>
                    </w:rPr>
                    <w:t>49</w:t>
                  </w:r>
                </w:p>
              </w:tc>
              <w:tc>
                <w:tcPr>
                  <w:tcW w:w="8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18"/>
                      <w:u w:val="none"/>
                    </w:rPr>
                  </w:pPr>
                  <w:r>
                    <w:rPr>
                      <w:rFonts w:hint="eastAsia" w:ascii="Times New Roman" w:hAnsi="Times New Roman" w:eastAsia="宋体" w:cs="Times New Roman"/>
                      <w:color w:val="auto"/>
                      <w:kern w:val="0"/>
                      <w:sz w:val="21"/>
                      <w:szCs w:val="18"/>
                      <w:u w:val="none"/>
                    </w:rPr>
                    <w:t>772-006-49</w:t>
                  </w:r>
                </w:p>
              </w:tc>
              <w:tc>
                <w:tcPr>
                  <w:tcW w:w="67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18"/>
                      <w:u w:val="none"/>
                      <w:lang w:val="en-US" w:eastAsia="zh-CN"/>
                    </w:rPr>
                  </w:pPr>
                  <w:r>
                    <w:rPr>
                      <w:rFonts w:hint="eastAsia" w:ascii="Times New Roman" w:hAnsi="Times New Roman" w:cs="Times New Roman"/>
                      <w:color w:val="auto"/>
                      <w:kern w:val="0"/>
                      <w:sz w:val="21"/>
                      <w:szCs w:val="18"/>
                      <w:u w:val="none"/>
                      <w:lang w:val="en-US" w:eastAsia="zh-CN"/>
                    </w:rPr>
                    <w:t>0.35</w:t>
                  </w:r>
                </w:p>
              </w:tc>
              <w:tc>
                <w:tcPr>
                  <w:tcW w:w="113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auto"/>
                    <w:rPr>
                      <w:rFonts w:ascii="Times New Roman" w:hAnsi="Times New Roman" w:eastAsia="宋体"/>
                      <w:color w:val="auto"/>
                      <w:kern w:val="0"/>
                      <w:sz w:val="21"/>
                      <w:szCs w:val="18"/>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2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3</w:t>
                  </w:r>
                </w:p>
              </w:tc>
              <w:tc>
                <w:tcPr>
                  <w:tcW w:w="1118" w:type="pct"/>
                  <w:gridSpan w:val="2"/>
                  <w:tcBorders>
                    <w:tl2br w:val="nil"/>
                    <w:tr2bl w:val="nil"/>
                  </w:tcBorders>
                  <w:noWrap w:val="0"/>
                  <w:vAlign w:val="center"/>
                </w:tcPr>
                <w:p>
                  <w:pPr>
                    <w:pStyle w:val="183"/>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0"/>
                      <w:sz w:val="21"/>
                      <w:szCs w:val="18"/>
                      <w:u w:val="none"/>
                      <w:lang w:val="en-US" w:eastAsia="zh-CN" w:bidi="ar-SA"/>
                    </w:rPr>
                  </w:pPr>
                  <w:r>
                    <w:rPr>
                      <w:rFonts w:hint="eastAsia" w:ascii="Times New Roman" w:hAnsi="Times New Roman" w:eastAsia="宋体" w:cs="Times New Roman"/>
                      <w:color w:val="auto"/>
                      <w:kern w:val="0"/>
                      <w:sz w:val="21"/>
                      <w:szCs w:val="18"/>
                      <w:u w:val="none"/>
                      <w:lang w:val="en-US" w:eastAsia="zh-CN" w:bidi="ar-SA"/>
                    </w:rPr>
                    <w:t>废药物、药品</w:t>
                  </w:r>
                </w:p>
              </w:tc>
              <w:tc>
                <w:tcPr>
                  <w:tcW w:w="4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s="Times New Roman"/>
                      <w:color w:val="auto"/>
                      <w:kern w:val="0"/>
                      <w:sz w:val="21"/>
                      <w:szCs w:val="18"/>
                      <w:u w:val="none"/>
                      <w:lang w:val="en-US" w:eastAsia="zh-CN" w:bidi="ar-SA"/>
                    </w:rPr>
                  </w:pPr>
                  <w:r>
                    <w:rPr>
                      <w:rFonts w:hint="eastAsia" w:ascii="Times New Roman" w:hAnsi="Times New Roman" w:eastAsia="宋体" w:cs="Times New Roman"/>
                      <w:color w:val="auto"/>
                      <w:kern w:val="0"/>
                      <w:sz w:val="21"/>
                      <w:szCs w:val="18"/>
                      <w:u w:val="none"/>
                      <w:lang w:val="en-US" w:eastAsia="zh-CN" w:bidi="ar-SA"/>
                    </w:rPr>
                    <w:t>危险</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0"/>
                      <w:sz w:val="21"/>
                      <w:szCs w:val="18"/>
                      <w:u w:val="none"/>
                      <w:lang w:val="en-US" w:eastAsia="zh-CN" w:bidi="ar-SA"/>
                    </w:rPr>
                  </w:pPr>
                  <w:r>
                    <w:rPr>
                      <w:rFonts w:hint="eastAsia" w:ascii="Times New Roman" w:hAnsi="Times New Roman" w:eastAsia="宋体" w:cs="Times New Roman"/>
                      <w:color w:val="auto"/>
                      <w:kern w:val="0"/>
                      <w:sz w:val="21"/>
                      <w:szCs w:val="18"/>
                      <w:u w:val="none"/>
                      <w:lang w:val="en-US" w:eastAsia="zh-CN" w:bidi="ar-SA"/>
                    </w:rPr>
                    <w:t>废物</w:t>
                  </w:r>
                </w:p>
              </w:tc>
              <w:tc>
                <w:tcPr>
                  <w:tcW w:w="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0"/>
                      <w:sz w:val="21"/>
                      <w:szCs w:val="18"/>
                      <w:u w:val="none"/>
                      <w:lang w:val="en-US" w:eastAsia="zh-CN" w:bidi="ar-SA"/>
                    </w:rPr>
                  </w:pPr>
                  <w:r>
                    <w:rPr>
                      <w:rFonts w:hint="eastAsia" w:ascii="Times New Roman" w:hAnsi="Times New Roman" w:eastAsia="宋体" w:cs="Times New Roman"/>
                      <w:color w:val="auto"/>
                      <w:kern w:val="0"/>
                      <w:sz w:val="21"/>
                      <w:szCs w:val="18"/>
                      <w:u w:val="none"/>
                      <w:lang w:val="en-US" w:eastAsia="zh-CN" w:bidi="ar-SA"/>
                    </w:rPr>
                    <w:t>HW03</w:t>
                  </w:r>
                </w:p>
              </w:tc>
              <w:tc>
                <w:tcPr>
                  <w:tcW w:w="8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0"/>
                      <w:sz w:val="21"/>
                      <w:szCs w:val="18"/>
                      <w:u w:val="none"/>
                      <w:lang w:val="en-US" w:eastAsia="zh-CN" w:bidi="ar-SA"/>
                    </w:rPr>
                  </w:pPr>
                  <w:r>
                    <w:rPr>
                      <w:rFonts w:hint="eastAsia" w:ascii="Times New Roman" w:hAnsi="Times New Roman" w:eastAsia="宋体" w:cs="Times New Roman"/>
                      <w:kern w:val="0"/>
                      <w:sz w:val="21"/>
                      <w:szCs w:val="18"/>
                      <w:u w:val="none"/>
                      <w:lang w:val="en-US" w:eastAsia="zh-CN" w:bidi="ar-SA"/>
                    </w:rPr>
                    <w:t>900</w:t>
                  </w:r>
                  <w:r>
                    <w:rPr>
                      <w:rFonts w:hint="default" w:ascii="Times New Roman" w:hAnsi="Times New Roman" w:eastAsia="宋体" w:cs="Times New Roman"/>
                      <w:kern w:val="0"/>
                      <w:sz w:val="21"/>
                      <w:szCs w:val="18"/>
                      <w:u w:val="none"/>
                      <w:lang w:val="en-US" w:eastAsia="zh-CN" w:bidi="ar-SA"/>
                    </w:rPr>
                    <w:t>-00</w:t>
                  </w:r>
                  <w:r>
                    <w:rPr>
                      <w:rFonts w:hint="eastAsia" w:ascii="Times New Roman" w:hAnsi="Times New Roman" w:eastAsia="宋体" w:cs="Times New Roman"/>
                      <w:kern w:val="0"/>
                      <w:sz w:val="21"/>
                      <w:szCs w:val="18"/>
                      <w:u w:val="none"/>
                      <w:lang w:val="en-US" w:eastAsia="zh-CN" w:bidi="ar-SA"/>
                    </w:rPr>
                    <w:t>2</w:t>
                  </w:r>
                  <w:r>
                    <w:rPr>
                      <w:rFonts w:hint="default" w:ascii="Times New Roman" w:hAnsi="Times New Roman" w:eastAsia="宋体" w:cs="Times New Roman"/>
                      <w:kern w:val="0"/>
                      <w:sz w:val="21"/>
                      <w:szCs w:val="18"/>
                      <w:u w:val="none"/>
                      <w:lang w:val="en-US" w:eastAsia="zh-CN" w:bidi="ar-SA"/>
                    </w:rPr>
                    <w:t>-0</w:t>
                  </w:r>
                  <w:r>
                    <w:rPr>
                      <w:rFonts w:hint="eastAsia" w:ascii="Times New Roman" w:hAnsi="Times New Roman" w:eastAsia="宋体" w:cs="Times New Roman"/>
                      <w:kern w:val="0"/>
                      <w:sz w:val="21"/>
                      <w:szCs w:val="18"/>
                      <w:u w:val="none"/>
                      <w:lang w:val="en-US" w:eastAsia="zh-CN" w:bidi="ar-SA"/>
                    </w:rPr>
                    <w:t>3</w:t>
                  </w:r>
                </w:p>
              </w:tc>
              <w:tc>
                <w:tcPr>
                  <w:tcW w:w="6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kern w:val="0"/>
                      <w:sz w:val="21"/>
                      <w:szCs w:val="18"/>
                      <w:u w:val="none"/>
                      <w:lang w:val="en-US" w:eastAsia="zh-CN" w:bidi="ar-SA"/>
                    </w:rPr>
                  </w:pPr>
                  <w:r>
                    <w:rPr>
                      <w:rFonts w:hint="eastAsia" w:ascii="Times New Roman" w:hAnsi="Times New Roman" w:cs="Times New Roman"/>
                      <w:color w:val="auto"/>
                      <w:kern w:val="0"/>
                      <w:sz w:val="21"/>
                      <w:szCs w:val="18"/>
                      <w:u w:val="none"/>
                      <w:lang w:val="en-US" w:eastAsia="zh-CN" w:bidi="ar-SA"/>
                    </w:rPr>
                    <w:t>0.01</w:t>
                  </w:r>
                </w:p>
              </w:tc>
              <w:tc>
                <w:tcPr>
                  <w:tcW w:w="11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s="Times New Roman"/>
                      <w:color w:val="auto"/>
                      <w:kern w:val="0"/>
                      <w:sz w:val="21"/>
                      <w:szCs w:val="18"/>
                      <w:u w:val="none"/>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sz w:val="21"/>
                      <w:szCs w:val="21"/>
                      <w:u w:val="none"/>
                      <w:lang w:val="en-US" w:eastAsia="zh-CN"/>
                    </w:rPr>
                  </w:pPr>
                  <w:r>
                    <w:rPr>
                      <w:rFonts w:hint="eastAsia" w:ascii="Times New Roman" w:hAnsi="Times New Roman"/>
                      <w:sz w:val="21"/>
                      <w:szCs w:val="21"/>
                      <w:u w:val="none"/>
                      <w:lang w:val="en-US" w:eastAsia="zh-CN"/>
                    </w:rPr>
                    <w:t>4</w:t>
                  </w:r>
                </w:p>
              </w:tc>
              <w:tc>
                <w:tcPr>
                  <w:tcW w:w="111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sz w:val="21"/>
                      <w:szCs w:val="24"/>
                      <w:u w:val="none"/>
                      <w:lang w:val="en-US" w:eastAsia="zh-CN"/>
                    </w:rPr>
                  </w:pPr>
                  <w:r>
                    <w:rPr>
                      <w:rFonts w:hint="eastAsia" w:ascii="Times New Roman" w:hAnsi="Times New Roman" w:eastAsia="宋体"/>
                      <w:sz w:val="21"/>
                      <w:szCs w:val="24"/>
                      <w:u w:val="none"/>
                      <w:lang w:val="en-US" w:eastAsia="zh-CN"/>
                    </w:rPr>
                    <w:t>生活垃圾</w:t>
                  </w:r>
                </w:p>
              </w:tc>
              <w:tc>
                <w:tcPr>
                  <w:tcW w:w="4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sz w:val="21"/>
                      <w:szCs w:val="21"/>
                      <w:u w:val="none"/>
                    </w:rPr>
                  </w:pPr>
                  <w:r>
                    <w:rPr>
                      <w:rFonts w:ascii="Times New Roman" w:hAnsi="Times New Roman" w:eastAsia="宋体"/>
                      <w:sz w:val="21"/>
                      <w:szCs w:val="21"/>
                      <w:u w:val="none"/>
                    </w:rPr>
                    <w:t>一般</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sz w:val="21"/>
                      <w:szCs w:val="21"/>
                      <w:u w:val="none"/>
                    </w:rPr>
                  </w:pPr>
                  <w:r>
                    <w:rPr>
                      <w:rFonts w:ascii="Times New Roman" w:hAnsi="Times New Roman" w:eastAsia="宋体"/>
                      <w:sz w:val="21"/>
                      <w:szCs w:val="21"/>
                      <w:u w:val="none"/>
                    </w:rPr>
                    <w:t>固废</w:t>
                  </w:r>
                </w:p>
              </w:tc>
              <w:tc>
                <w:tcPr>
                  <w:tcW w:w="135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sz w:val="21"/>
                      <w:szCs w:val="21"/>
                      <w:u w:val="none"/>
                      <w:lang w:val="en-US" w:eastAsia="zh-CN"/>
                    </w:rPr>
                  </w:pPr>
                  <w:r>
                    <w:rPr>
                      <w:rFonts w:hint="eastAsia" w:ascii="Times New Roman" w:hAnsi="Times New Roman"/>
                      <w:sz w:val="21"/>
                      <w:szCs w:val="21"/>
                      <w:u w:val="none"/>
                      <w:lang w:val="en-US" w:eastAsia="zh-CN"/>
                    </w:rPr>
                    <w:t>/</w:t>
                  </w:r>
                </w:p>
              </w:tc>
              <w:tc>
                <w:tcPr>
                  <w:tcW w:w="6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sz w:val="21"/>
                      <w:szCs w:val="21"/>
                      <w:u w:val="none"/>
                      <w:lang w:val="en-US" w:eastAsia="zh-CN"/>
                    </w:rPr>
                  </w:pPr>
                  <w:r>
                    <w:rPr>
                      <w:rFonts w:hint="eastAsia" w:ascii="Times New Roman" w:hAnsi="Times New Roman"/>
                      <w:sz w:val="21"/>
                      <w:szCs w:val="21"/>
                      <w:u w:val="none"/>
                      <w:lang w:val="en-US" w:eastAsia="zh-CN"/>
                    </w:rPr>
                    <w:t>5.329</w:t>
                  </w:r>
                </w:p>
              </w:tc>
              <w:tc>
                <w:tcPr>
                  <w:tcW w:w="11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textAlignment w:val="auto"/>
                    <w:rPr>
                      <w:rFonts w:hint="default" w:ascii="Times New Roman" w:hAnsi="Times New Roman" w:eastAsia="宋体"/>
                      <w:sz w:val="21"/>
                      <w:szCs w:val="21"/>
                      <w:u w:val="none"/>
                      <w:lang w:val="en-US" w:eastAsia="zh-CN"/>
                    </w:rPr>
                  </w:pPr>
                  <w:r>
                    <w:rPr>
                      <w:rFonts w:hint="eastAsia" w:ascii="Times New Roman" w:hAnsi="Times New Roman" w:eastAsia="宋体"/>
                      <w:sz w:val="21"/>
                      <w:szCs w:val="21"/>
                      <w:u w:val="none"/>
                      <w:lang w:val="en-US" w:eastAsia="zh-CN"/>
                    </w:rPr>
                    <w:t>交由环卫部门统一处理</w:t>
                  </w:r>
                </w:p>
              </w:tc>
            </w:tr>
          </w:tbl>
          <w:p>
            <w:pPr>
              <w:pStyle w:val="8"/>
              <w:keepNext/>
              <w:keepLines w:val="0"/>
              <w:pageBreakBefore w:val="0"/>
              <w:widowControl/>
              <w:kinsoku/>
              <w:wordWrap/>
              <w:overflowPunct/>
              <w:topLinePunct w:val="0"/>
              <w:autoSpaceDE/>
              <w:autoSpaceDN/>
              <w:bidi w:val="0"/>
              <w:adjustRightInd/>
              <w:snapToGrid/>
              <w:spacing w:line="240" w:lineRule="auto"/>
              <w:textAlignment w:val="auto"/>
              <w:rPr>
                <w:rFonts w:hint="eastAsia"/>
              </w:rPr>
            </w:pPr>
          </w:p>
          <w:p>
            <w:pPr>
              <w:pStyle w:val="8"/>
              <w:keepNext/>
              <w:keepLines w:val="0"/>
              <w:pageBreakBefore w:val="0"/>
              <w:widowControl/>
              <w:kinsoku/>
              <w:wordWrap/>
              <w:overflowPunct/>
              <w:topLinePunct w:val="0"/>
              <w:autoSpaceDE/>
              <w:autoSpaceDN/>
              <w:bidi w:val="0"/>
              <w:adjustRightInd/>
              <w:snapToGrid/>
              <w:spacing w:line="240" w:lineRule="auto"/>
              <w:textAlignment w:val="auto"/>
              <w:rPr>
                <w:rFonts w:hint="eastAsia"/>
              </w:rPr>
            </w:pPr>
          </w:p>
          <w:p>
            <w:pPr>
              <w:pStyle w:val="8"/>
              <w:keepNext/>
              <w:keepLines w:val="0"/>
              <w:pageBreakBefore w:val="0"/>
              <w:widowControl/>
              <w:kinsoku/>
              <w:wordWrap/>
              <w:overflowPunct/>
              <w:topLinePunct w:val="0"/>
              <w:autoSpaceDE/>
              <w:autoSpaceDN/>
              <w:bidi w:val="0"/>
              <w:adjustRightInd/>
              <w:snapToGrid/>
              <w:spacing w:line="240" w:lineRule="auto"/>
              <w:textAlignment w:val="auto"/>
              <w:rPr>
                <w:rFonts w:hint="eastAsia"/>
              </w:rPr>
            </w:pPr>
          </w:p>
          <w:p>
            <w:pPr>
              <w:pStyle w:val="8"/>
              <w:keepNext/>
              <w:keepLines w:val="0"/>
              <w:pageBreakBefore w:val="0"/>
              <w:widowControl/>
              <w:kinsoku/>
              <w:wordWrap/>
              <w:overflowPunct/>
              <w:topLinePunct w:val="0"/>
              <w:autoSpaceDE/>
              <w:autoSpaceDN/>
              <w:bidi w:val="0"/>
              <w:adjustRightInd/>
              <w:snapToGrid/>
              <w:spacing w:line="240" w:lineRule="auto"/>
              <w:textAlignment w:val="auto"/>
              <w:rPr>
                <w:rFonts w:hint="default" w:eastAsia="宋体"/>
                <w:lang w:val="en-US" w:eastAsia="zh-CN"/>
              </w:rPr>
            </w:pPr>
            <w:r>
              <w:rPr>
                <w:rFonts w:hint="eastAsia"/>
              </w:rPr>
              <w:t>表4-</w:t>
            </w:r>
            <w:r>
              <w:rPr>
                <w:rFonts w:hint="eastAsia"/>
                <w:lang w:val="en-US" w:eastAsia="zh-CN"/>
              </w:rPr>
              <w:t xml:space="preserve">15  </w:t>
            </w:r>
            <w:r>
              <w:t>项目</w:t>
            </w:r>
            <w:r>
              <w:rPr>
                <w:rFonts w:hint="eastAsia"/>
                <w:lang w:val="en-US" w:eastAsia="zh-CN"/>
              </w:rPr>
              <w:t>危险废物汇总表</w:t>
            </w:r>
          </w:p>
          <w:tbl>
            <w:tblPr>
              <w:tblStyle w:val="3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670"/>
              <w:gridCol w:w="477"/>
              <w:gridCol w:w="1167"/>
              <w:gridCol w:w="783"/>
              <w:gridCol w:w="546"/>
              <w:gridCol w:w="558"/>
              <w:gridCol w:w="825"/>
              <w:gridCol w:w="640"/>
              <w:gridCol w:w="780"/>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9" w:type="pct"/>
                  <w:noWrap w:val="0"/>
                  <w:vAlign w:val="center"/>
                </w:tcPr>
                <w:p>
                  <w:pPr>
                    <w:jc w:val="center"/>
                    <w:rPr>
                      <w:color w:val="000000"/>
                      <w:sz w:val="18"/>
                      <w:szCs w:val="18"/>
                      <w:u w:val="none" w:color="auto"/>
                    </w:rPr>
                  </w:pPr>
                  <w:r>
                    <w:rPr>
                      <w:color w:val="000000"/>
                      <w:sz w:val="18"/>
                      <w:szCs w:val="18"/>
                      <w:u w:val="none" w:color="auto"/>
                    </w:rPr>
                    <w:t>产生环节</w:t>
                  </w:r>
                </w:p>
              </w:tc>
              <w:tc>
                <w:tcPr>
                  <w:tcW w:w="419" w:type="pct"/>
                  <w:noWrap w:val="0"/>
                  <w:vAlign w:val="center"/>
                </w:tcPr>
                <w:p>
                  <w:pPr>
                    <w:jc w:val="center"/>
                    <w:rPr>
                      <w:color w:val="000000"/>
                      <w:sz w:val="18"/>
                      <w:szCs w:val="18"/>
                      <w:u w:val="none" w:color="auto"/>
                    </w:rPr>
                  </w:pPr>
                  <w:r>
                    <w:rPr>
                      <w:color w:val="000000"/>
                      <w:sz w:val="18"/>
                      <w:szCs w:val="18"/>
                      <w:u w:val="none" w:color="auto"/>
                    </w:rPr>
                    <w:t>名称</w:t>
                  </w:r>
                </w:p>
              </w:tc>
              <w:tc>
                <w:tcPr>
                  <w:tcW w:w="298" w:type="pct"/>
                  <w:noWrap w:val="0"/>
                  <w:vAlign w:val="center"/>
                </w:tcPr>
                <w:p>
                  <w:pPr>
                    <w:jc w:val="center"/>
                    <w:rPr>
                      <w:color w:val="000000"/>
                      <w:sz w:val="18"/>
                      <w:szCs w:val="18"/>
                      <w:u w:val="none" w:color="auto"/>
                    </w:rPr>
                  </w:pPr>
                  <w:r>
                    <w:rPr>
                      <w:color w:val="000000"/>
                      <w:sz w:val="18"/>
                      <w:szCs w:val="18"/>
                      <w:u w:val="none" w:color="auto"/>
                    </w:rPr>
                    <w:t>属性</w:t>
                  </w:r>
                </w:p>
              </w:tc>
              <w:tc>
                <w:tcPr>
                  <w:tcW w:w="729" w:type="pct"/>
                  <w:noWrap w:val="0"/>
                  <w:vAlign w:val="center"/>
                </w:tcPr>
                <w:p>
                  <w:pPr>
                    <w:jc w:val="center"/>
                    <w:rPr>
                      <w:color w:val="000000"/>
                      <w:sz w:val="18"/>
                      <w:szCs w:val="18"/>
                      <w:u w:val="none" w:color="auto"/>
                    </w:rPr>
                  </w:pPr>
                  <w:r>
                    <w:rPr>
                      <w:color w:val="000000"/>
                      <w:sz w:val="18"/>
                      <w:szCs w:val="18"/>
                      <w:u w:val="none" w:color="auto"/>
                    </w:rPr>
                    <w:t>类别</w:t>
                  </w:r>
                </w:p>
                <w:p>
                  <w:pPr>
                    <w:jc w:val="center"/>
                    <w:rPr>
                      <w:color w:val="000000"/>
                      <w:sz w:val="18"/>
                      <w:szCs w:val="18"/>
                      <w:u w:val="none" w:color="auto"/>
                    </w:rPr>
                  </w:pPr>
                  <w:r>
                    <w:rPr>
                      <w:color w:val="000000"/>
                      <w:sz w:val="18"/>
                      <w:szCs w:val="18"/>
                      <w:u w:val="none" w:color="auto"/>
                    </w:rPr>
                    <w:t>及代码*</w:t>
                  </w:r>
                </w:p>
              </w:tc>
              <w:tc>
                <w:tcPr>
                  <w:tcW w:w="489" w:type="pct"/>
                  <w:noWrap w:val="0"/>
                  <w:vAlign w:val="center"/>
                </w:tcPr>
                <w:p>
                  <w:pPr>
                    <w:jc w:val="center"/>
                    <w:rPr>
                      <w:color w:val="000000"/>
                      <w:sz w:val="18"/>
                      <w:szCs w:val="18"/>
                      <w:u w:val="none" w:color="auto"/>
                    </w:rPr>
                  </w:pPr>
                  <w:r>
                    <w:rPr>
                      <w:color w:val="000000"/>
                      <w:sz w:val="18"/>
                      <w:szCs w:val="18"/>
                      <w:u w:val="none" w:color="auto"/>
                    </w:rPr>
                    <w:t>主要有毒有害物质名称</w:t>
                  </w:r>
                </w:p>
              </w:tc>
              <w:tc>
                <w:tcPr>
                  <w:tcW w:w="341" w:type="pct"/>
                  <w:noWrap w:val="0"/>
                  <w:vAlign w:val="center"/>
                </w:tcPr>
                <w:p>
                  <w:pPr>
                    <w:jc w:val="center"/>
                    <w:rPr>
                      <w:color w:val="000000"/>
                      <w:sz w:val="18"/>
                      <w:szCs w:val="18"/>
                      <w:u w:val="none" w:color="auto"/>
                    </w:rPr>
                  </w:pPr>
                  <w:r>
                    <w:rPr>
                      <w:color w:val="000000"/>
                      <w:sz w:val="18"/>
                      <w:szCs w:val="18"/>
                      <w:u w:val="none" w:color="auto"/>
                    </w:rPr>
                    <w:t>物理性状</w:t>
                  </w:r>
                </w:p>
              </w:tc>
              <w:tc>
                <w:tcPr>
                  <w:tcW w:w="349" w:type="pct"/>
                  <w:noWrap w:val="0"/>
                  <w:vAlign w:val="center"/>
                </w:tcPr>
                <w:p>
                  <w:pPr>
                    <w:jc w:val="center"/>
                    <w:rPr>
                      <w:color w:val="000000"/>
                      <w:sz w:val="18"/>
                      <w:szCs w:val="18"/>
                      <w:u w:val="none" w:color="auto"/>
                    </w:rPr>
                  </w:pPr>
                  <w:r>
                    <w:rPr>
                      <w:color w:val="000000"/>
                      <w:sz w:val="18"/>
                      <w:szCs w:val="18"/>
                      <w:u w:val="none" w:color="auto"/>
                    </w:rPr>
                    <w:t>环境危险特性</w:t>
                  </w:r>
                </w:p>
              </w:tc>
              <w:tc>
                <w:tcPr>
                  <w:tcW w:w="516" w:type="pct"/>
                  <w:noWrap w:val="0"/>
                  <w:vAlign w:val="center"/>
                </w:tcPr>
                <w:p>
                  <w:pPr>
                    <w:jc w:val="center"/>
                    <w:rPr>
                      <w:color w:val="000000"/>
                      <w:sz w:val="18"/>
                      <w:szCs w:val="18"/>
                      <w:u w:val="none" w:color="auto"/>
                    </w:rPr>
                  </w:pPr>
                  <w:r>
                    <w:rPr>
                      <w:color w:val="000000"/>
                      <w:sz w:val="18"/>
                      <w:szCs w:val="18"/>
                      <w:u w:val="none" w:color="auto"/>
                    </w:rPr>
                    <w:t>年产生量（t/a）</w:t>
                  </w:r>
                </w:p>
              </w:tc>
              <w:tc>
                <w:tcPr>
                  <w:tcW w:w="400" w:type="pct"/>
                  <w:noWrap w:val="0"/>
                  <w:vAlign w:val="center"/>
                </w:tcPr>
                <w:p>
                  <w:pPr>
                    <w:jc w:val="center"/>
                    <w:rPr>
                      <w:color w:val="000000"/>
                      <w:sz w:val="18"/>
                      <w:szCs w:val="18"/>
                      <w:u w:val="none" w:color="auto"/>
                    </w:rPr>
                  </w:pPr>
                  <w:r>
                    <w:rPr>
                      <w:color w:val="000000"/>
                      <w:sz w:val="18"/>
                      <w:szCs w:val="18"/>
                      <w:u w:val="none" w:color="auto"/>
                    </w:rPr>
                    <w:t>贮存方式</w:t>
                  </w:r>
                </w:p>
              </w:tc>
              <w:tc>
                <w:tcPr>
                  <w:tcW w:w="487" w:type="pct"/>
                  <w:noWrap w:val="0"/>
                  <w:vAlign w:val="center"/>
                </w:tcPr>
                <w:p>
                  <w:pPr>
                    <w:jc w:val="center"/>
                    <w:rPr>
                      <w:color w:val="000000"/>
                      <w:sz w:val="18"/>
                      <w:szCs w:val="18"/>
                      <w:u w:val="none" w:color="auto"/>
                    </w:rPr>
                  </w:pPr>
                  <w:r>
                    <w:rPr>
                      <w:color w:val="000000"/>
                      <w:sz w:val="18"/>
                      <w:szCs w:val="18"/>
                      <w:u w:val="none" w:color="auto"/>
                    </w:rPr>
                    <w:t>利用处置方式和去向</w:t>
                  </w:r>
                </w:p>
              </w:tc>
              <w:tc>
                <w:tcPr>
                  <w:tcW w:w="529" w:type="pct"/>
                  <w:noWrap w:val="0"/>
                  <w:vAlign w:val="center"/>
                </w:tcPr>
                <w:p>
                  <w:pPr>
                    <w:jc w:val="center"/>
                    <w:rPr>
                      <w:color w:val="000000"/>
                      <w:sz w:val="18"/>
                      <w:szCs w:val="18"/>
                      <w:u w:val="none" w:color="auto"/>
                    </w:rPr>
                  </w:pPr>
                  <w:r>
                    <w:rPr>
                      <w:color w:val="000000"/>
                      <w:sz w:val="18"/>
                      <w:szCs w:val="18"/>
                      <w:u w:val="none" w:color="auto"/>
                    </w:rPr>
                    <w:t>利用或处置量</w:t>
                  </w:r>
                </w:p>
                <w:p>
                  <w:pPr>
                    <w:pStyle w:val="13"/>
                    <w:rPr>
                      <w:color w:val="000000"/>
                      <w:sz w:val="18"/>
                      <w:szCs w:val="18"/>
                      <w:u w:val="none" w:color="auto"/>
                    </w:rPr>
                  </w:pPr>
                  <w:r>
                    <w:rPr>
                      <w:rFonts w:hint="eastAsia"/>
                      <w:color w:val="000000"/>
                      <w:sz w:val="18"/>
                      <w:szCs w:val="18"/>
                      <w:u w:val="none" w:color="auto"/>
                    </w:rPr>
                    <w:t>（</w:t>
                  </w:r>
                  <w:r>
                    <w:rPr>
                      <w:color w:val="000000"/>
                      <w:sz w:val="18"/>
                      <w:szCs w:val="18"/>
                      <w:u w:val="none" w:color="auto"/>
                    </w:rPr>
                    <w:t>t/a</w:t>
                  </w:r>
                  <w:r>
                    <w:rPr>
                      <w:rFonts w:hint="eastAsia"/>
                      <w:color w:val="000000"/>
                      <w:sz w:val="18"/>
                      <w:szCs w:val="18"/>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vMerge w:val="restart"/>
                  <w:noWrap w:val="0"/>
                  <w:vAlign w:val="center"/>
                </w:tcPr>
                <w:p>
                  <w:pPr>
                    <w:jc w:val="center"/>
                    <w:rPr>
                      <w:color w:val="000000"/>
                      <w:sz w:val="18"/>
                      <w:szCs w:val="18"/>
                      <w:u w:val="none" w:color="auto"/>
                    </w:rPr>
                  </w:pPr>
                  <w:r>
                    <w:rPr>
                      <w:color w:val="000000"/>
                      <w:sz w:val="18"/>
                      <w:szCs w:val="18"/>
                      <w:u w:val="none" w:color="auto"/>
                    </w:rPr>
                    <w:t>住院</w:t>
                  </w:r>
                  <w:r>
                    <w:rPr>
                      <w:rFonts w:hint="eastAsia"/>
                      <w:color w:val="000000"/>
                      <w:sz w:val="18"/>
                      <w:szCs w:val="18"/>
                      <w:u w:val="none" w:color="auto"/>
                      <w:lang w:val="en-US" w:eastAsia="zh-CN"/>
                    </w:rPr>
                    <w:t>护理</w:t>
                  </w:r>
                  <w:r>
                    <w:rPr>
                      <w:color w:val="000000"/>
                      <w:sz w:val="18"/>
                      <w:szCs w:val="18"/>
                      <w:u w:val="none" w:color="auto"/>
                    </w:rPr>
                    <w:t>过程</w:t>
                  </w:r>
                </w:p>
              </w:tc>
              <w:tc>
                <w:tcPr>
                  <w:tcW w:w="419" w:type="pct"/>
                  <w:vMerge w:val="restart"/>
                  <w:noWrap w:val="0"/>
                  <w:vAlign w:val="center"/>
                </w:tcPr>
                <w:p>
                  <w:pPr>
                    <w:jc w:val="center"/>
                    <w:rPr>
                      <w:color w:val="000000"/>
                      <w:sz w:val="18"/>
                      <w:szCs w:val="18"/>
                      <w:u w:val="none" w:color="auto"/>
                    </w:rPr>
                  </w:pPr>
                  <w:r>
                    <w:rPr>
                      <w:color w:val="000000"/>
                      <w:sz w:val="18"/>
                      <w:szCs w:val="18"/>
                      <w:u w:val="none" w:color="auto"/>
                    </w:rPr>
                    <w:t>医疗废物</w:t>
                  </w:r>
                </w:p>
              </w:tc>
              <w:tc>
                <w:tcPr>
                  <w:tcW w:w="298" w:type="pct"/>
                  <w:vMerge w:val="restart"/>
                  <w:noWrap w:val="0"/>
                  <w:vAlign w:val="center"/>
                </w:tcPr>
                <w:p>
                  <w:pPr>
                    <w:jc w:val="center"/>
                    <w:rPr>
                      <w:color w:val="000000"/>
                      <w:sz w:val="18"/>
                      <w:szCs w:val="18"/>
                      <w:u w:val="none" w:color="auto"/>
                    </w:rPr>
                  </w:pPr>
                  <w:r>
                    <w:rPr>
                      <w:color w:val="000000"/>
                      <w:sz w:val="18"/>
                      <w:szCs w:val="18"/>
                      <w:u w:val="none" w:color="auto"/>
                    </w:rPr>
                    <w:t>危险废物</w:t>
                  </w:r>
                </w:p>
              </w:tc>
              <w:tc>
                <w:tcPr>
                  <w:tcW w:w="729" w:type="pct"/>
                  <w:noWrap w:val="0"/>
                  <w:vAlign w:val="center"/>
                </w:tcPr>
                <w:p>
                  <w:pPr>
                    <w:jc w:val="center"/>
                    <w:rPr>
                      <w:color w:val="000000"/>
                      <w:sz w:val="18"/>
                      <w:szCs w:val="18"/>
                      <w:u w:val="none" w:color="auto"/>
                    </w:rPr>
                  </w:pPr>
                  <w:r>
                    <w:rPr>
                      <w:color w:val="000000"/>
                      <w:sz w:val="18"/>
                      <w:szCs w:val="18"/>
                      <w:u w:val="none" w:color="auto"/>
                    </w:rPr>
                    <w:t>HW01</w:t>
                  </w:r>
                </w:p>
                <w:p>
                  <w:pPr>
                    <w:jc w:val="center"/>
                    <w:rPr>
                      <w:color w:val="000000"/>
                      <w:sz w:val="18"/>
                      <w:szCs w:val="18"/>
                      <w:u w:val="none" w:color="auto"/>
                    </w:rPr>
                  </w:pPr>
                  <w:r>
                    <w:rPr>
                      <w:color w:val="000000"/>
                      <w:sz w:val="18"/>
                      <w:szCs w:val="18"/>
                      <w:u w:val="none" w:color="auto"/>
                    </w:rPr>
                    <w:t>841-001-01</w:t>
                  </w:r>
                </w:p>
              </w:tc>
              <w:tc>
                <w:tcPr>
                  <w:tcW w:w="489" w:type="pct"/>
                  <w:noWrap w:val="0"/>
                  <w:vAlign w:val="center"/>
                </w:tcPr>
                <w:p>
                  <w:pPr>
                    <w:jc w:val="center"/>
                    <w:rPr>
                      <w:color w:val="000000"/>
                      <w:sz w:val="18"/>
                      <w:szCs w:val="18"/>
                      <w:u w:val="none" w:color="auto"/>
                    </w:rPr>
                  </w:pPr>
                  <w:r>
                    <w:rPr>
                      <w:color w:val="000000"/>
                      <w:sz w:val="18"/>
                      <w:szCs w:val="18"/>
                      <w:u w:val="none" w:color="auto"/>
                    </w:rPr>
                    <w:t>感染性废物</w:t>
                  </w:r>
                </w:p>
              </w:tc>
              <w:tc>
                <w:tcPr>
                  <w:tcW w:w="341" w:type="pct"/>
                  <w:vMerge w:val="restart"/>
                  <w:noWrap w:val="0"/>
                  <w:vAlign w:val="center"/>
                </w:tcPr>
                <w:p>
                  <w:pPr>
                    <w:jc w:val="center"/>
                    <w:rPr>
                      <w:color w:val="000000"/>
                      <w:sz w:val="18"/>
                      <w:szCs w:val="18"/>
                      <w:u w:val="none" w:color="auto"/>
                    </w:rPr>
                  </w:pPr>
                  <w:r>
                    <w:rPr>
                      <w:color w:val="000000"/>
                      <w:sz w:val="18"/>
                      <w:szCs w:val="18"/>
                      <w:u w:val="none" w:color="auto"/>
                    </w:rPr>
                    <w:t>固体、液态</w:t>
                  </w:r>
                </w:p>
              </w:tc>
              <w:tc>
                <w:tcPr>
                  <w:tcW w:w="349" w:type="pct"/>
                  <w:noWrap w:val="0"/>
                  <w:vAlign w:val="center"/>
                </w:tcPr>
                <w:p>
                  <w:pPr>
                    <w:jc w:val="center"/>
                    <w:rPr>
                      <w:color w:val="000000"/>
                      <w:sz w:val="18"/>
                      <w:szCs w:val="18"/>
                      <w:u w:val="none" w:color="auto"/>
                    </w:rPr>
                  </w:pPr>
                  <w:r>
                    <w:rPr>
                      <w:color w:val="000000"/>
                      <w:sz w:val="18"/>
                      <w:szCs w:val="18"/>
                      <w:u w:val="none" w:color="auto"/>
                    </w:rPr>
                    <w:t>In</w:t>
                  </w:r>
                </w:p>
              </w:tc>
              <w:tc>
                <w:tcPr>
                  <w:tcW w:w="516" w:type="pct"/>
                  <w:vMerge w:val="restart"/>
                  <w:noWrap w:val="0"/>
                  <w:vAlign w:val="center"/>
                </w:tcPr>
                <w:p>
                  <w:pPr>
                    <w:jc w:val="center"/>
                    <w:rPr>
                      <w:rFonts w:hint="default" w:eastAsia="宋体"/>
                      <w:color w:val="000000"/>
                      <w:sz w:val="18"/>
                      <w:szCs w:val="18"/>
                      <w:u w:val="none" w:color="auto"/>
                      <w:lang w:val="en-US" w:eastAsia="zh-CN"/>
                    </w:rPr>
                  </w:pPr>
                  <w:r>
                    <w:rPr>
                      <w:rFonts w:hint="eastAsia" w:eastAsia="宋体"/>
                      <w:color w:val="000000"/>
                      <w:sz w:val="18"/>
                      <w:szCs w:val="18"/>
                      <w:u w:val="none" w:color="auto"/>
                      <w:lang w:val="en-US" w:eastAsia="zh-CN"/>
                    </w:rPr>
                    <w:t>9.286</w:t>
                  </w:r>
                </w:p>
              </w:tc>
              <w:tc>
                <w:tcPr>
                  <w:tcW w:w="400" w:type="pct"/>
                  <w:vMerge w:val="restart"/>
                  <w:noWrap w:val="0"/>
                  <w:vAlign w:val="center"/>
                </w:tcPr>
                <w:p>
                  <w:pPr>
                    <w:jc w:val="center"/>
                    <w:rPr>
                      <w:color w:val="000000"/>
                      <w:sz w:val="18"/>
                      <w:szCs w:val="18"/>
                      <w:u w:val="none" w:color="auto"/>
                    </w:rPr>
                  </w:pPr>
                  <w:r>
                    <w:rPr>
                      <w:color w:val="000000"/>
                      <w:sz w:val="18"/>
                      <w:szCs w:val="18"/>
                      <w:u w:val="none" w:color="auto"/>
                    </w:rPr>
                    <w:t>桶装</w:t>
                  </w:r>
                </w:p>
              </w:tc>
              <w:tc>
                <w:tcPr>
                  <w:tcW w:w="487" w:type="pct"/>
                  <w:vMerge w:val="restart"/>
                  <w:noWrap w:val="0"/>
                  <w:vAlign w:val="center"/>
                </w:tcPr>
                <w:p>
                  <w:pPr>
                    <w:jc w:val="center"/>
                    <w:rPr>
                      <w:rFonts w:hint="default" w:eastAsia="宋体"/>
                      <w:color w:val="000000"/>
                      <w:sz w:val="18"/>
                      <w:szCs w:val="18"/>
                      <w:u w:val="none" w:color="auto"/>
                      <w:lang w:val="en-US" w:eastAsia="zh-CN"/>
                    </w:rPr>
                  </w:pPr>
                  <w:r>
                    <w:rPr>
                      <w:color w:val="000000"/>
                      <w:sz w:val="18"/>
                      <w:szCs w:val="18"/>
                      <w:u w:val="none" w:color="auto"/>
                    </w:rPr>
                    <w:t>分类收集后</w:t>
                  </w:r>
                  <w:r>
                    <w:rPr>
                      <w:rFonts w:hint="eastAsia"/>
                      <w:color w:val="000000"/>
                      <w:sz w:val="18"/>
                      <w:szCs w:val="18"/>
                      <w:u w:val="none" w:color="auto"/>
                      <w:lang w:eastAsia="zh-CN"/>
                    </w:rPr>
                    <w:t>，</w:t>
                  </w:r>
                  <w:r>
                    <w:rPr>
                      <w:rFonts w:hint="eastAsia"/>
                      <w:color w:val="000000"/>
                      <w:sz w:val="18"/>
                      <w:szCs w:val="18"/>
                      <w:u w:val="none" w:color="auto"/>
                      <w:lang w:val="en-US" w:eastAsia="zh-CN"/>
                    </w:rPr>
                    <w:t>依托暂存于医废暂存间，定期交由有资质的单位进行处置</w:t>
                  </w:r>
                </w:p>
              </w:tc>
              <w:tc>
                <w:tcPr>
                  <w:tcW w:w="529" w:type="pct"/>
                  <w:vMerge w:val="restart"/>
                  <w:noWrap w:val="0"/>
                  <w:vAlign w:val="center"/>
                </w:tcPr>
                <w:p>
                  <w:pPr>
                    <w:jc w:val="center"/>
                    <w:rPr>
                      <w:rFonts w:hint="default" w:eastAsia="宋体"/>
                      <w:color w:val="000000"/>
                      <w:sz w:val="18"/>
                      <w:szCs w:val="18"/>
                      <w:u w:val="none" w:color="auto"/>
                      <w:lang w:val="en-US" w:eastAsia="zh-CN"/>
                    </w:rPr>
                  </w:pPr>
                  <w:r>
                    <w:rPr>
                      <w:rFonts w:hint="eastAsia" w:eastAsia="宋体"/>
                      <w:color w:val="000000"/>
                      <w:sz w:val="18"/>
                      <w:szCs w:val="18"/>
                      <w:u w:val="none" w:color="auto"/>
                      <w:lang w:val="en-US" w:eastAsia="zh-CN"/>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jc w:val="center"/>
                    <w:rPr>
                      <w:color w:val="000000"/>
                      <w:sz w:val="18"/>
                      <w:szCs w:val="18"/>
                      <w:u w:val="none" w:color="auto"/>
                    </w:rPr>
                  </w:pPr>
                </w:p>
              </w:tc>
              <w:tc>
                <w:tcPr>
                  <w:tcW w:w="419" w:type="pct"/>
                  <w:vMerge w:val="continue"/>
                  <w:noWrap w:val="0"/>
                  <w:vAlign w:val="center"/>
                </w:tcPr>
                <w:p>
                  <w:pPr>
                    <w:jc w:val="center"/>
                    <w:rPr>
                      <w:color w:val="000000"/>
                      <w:sz w:val="18"/>
                      <w:szCs w:val="18"/>
                      <w:u w:val="none" w:color="auto"/>
                    </w:rPr>
                  </w:pPr>
                </w:p>
              </w:tc>
              <w:tc>
                <w:tcPr>
                  <w:tcW w:w="298" w:type="pct"/>
                  <w:vMerge w:val="continue"/>
                  <w:noWrap w:val="0"/>
                  <w:vAlign w:val="center"/>
                </w:tcPr>
                <w:p>
                  <w:pPr>
                    <w:jc w:val="center"/>
                    <w:rPr>
                      <w:color w:val="000000"/>
                      <w:sz w:val="18"/>
                      <w:szCs w:val="18"/>
                      <w:u w:val="none" w:color="auto"/>
                    </w:rPr>
                  </w:pPr>
                </w:p>
              </w:tc>
              <w:tc>
                <w:tcPr>
                  <w:tcW w:w="729" w:type="pct"/>
                  <w:noWrap w:val="0"/>
                  <w:vAlign w:val="center"/>
                </w:tcPr>
                <w:p>
                  <w:pPr>
                    <w:jc w:val="center"/>
                    <w:rPr>
                      <w:color w:val="000000"/>
                      <w:sz w:val="18"/>
                      <w:szCs w:val="18"/>
                      <w:u w:val="none" w:color="auto"/>
                    </w:rPr>
                  </w:pPr>
                  <w:r>
                    <w:rPr>
                      <w:color w:val="000000"/>
                      <w:sz w:val="18"/>
                      <w:szCs w:val="18"/>
                      <w:u w:val="none" w:color="auto"/>
                    </w:rPr>
                    <w:t>HW01</w:t>
                  </w:r>
                </w:p>
                <w:p>
                  <w:pPr>
                    <w:jc w:val="center"/>
                    <w:rPr>
                      <w:color w:val="000000"/>
                      <w:sz w:val="18"/>
                      <w:szCs w:val="18"/>
                      <w:u w:val="none" w:color="auto"/>
                    </w:rPr>
                  </w:pPr>
                  <w:r>
                    <w:rPr>
                      <w:color w:val="000000"/>
                      <w:sz w:val="18"/>
                      <w:szCs w:val="18"/>
                      <w:u w:val="none" w:color="auto"/>
                    </w:rPr>
                    <w:t>841-004-01</w:t>
                  </w:r>
                </w:p>
              </w:tc>
              <w:tc>
                <w:tcPr>
                  <w:tcW w:w="489" w:type="pct"/>
                  <w:noWrap w:val="0"/>
                  <w:vAlign w:val="center"/>
                </w:tcPr>
                <w:p>
                  <w:pPr>
                    <w:jc w:val="center"/>
                    <w:rPr>
                      <w:color w:val="000000"/>
                      <w:sz w:val="18"/>
                      <w:szCs w:val="18"/>
                      <w:u w:val="none" w:color="auto"/>
                    </w:rPr>
                  </w:pPr>
                  <w:r>
                    <w:rPr>
                      <w:color w:val="000000"/>
                      <w:sz w:val="18"/>
                      <w:szCs w:val="18"/>
                      <w:u w:val="none" w:color="auto"/>
                    </w:rPr>
                    <w:t>化学性废物</w:t>
                  </w:r>
                </w:p>
              </w:tc>
              <w:tc>
                <w:tcPr>
                  <w:tcW w:w="341" w:type="pct"/>
                  <w:vMerge w:val="continue"/>
                  <w:noWrap w:val="0"/>
                  <w:vAlign w:val="center"/>
                </w:tcPr>
                <w:p>
                  <w:pPr>
                    <w:jc w:val="center"/>
                    <w:rPr>
                      <w:color w:val="000000"/>
                      <w:sz w:val="18"/>
                      <w:szCs w:val="18"/>
                      <w:u w:val="none" w:color="auto"/>
                    </w:rPr>
                  </w:pPr>
                </w:p>
              </w:tc>
              <w:tc>
                <w:tcPr>
                  <w:tcW w:w="349" w:type="pct"/>
                  <w:noWrap w:val="0"/>
                  <w:vAlign w:val="center"/>
                </w:tcPr>
                <w:p>
                  <w:pPr>
                    <w:jc w:val="center"/>
                    <w:rPr>
                      <w:color w:val="000000"/>
                      <w:sz w:val="18"/>
                      <w:szCs w:val="18"/>
                      <w:u w:val="none" w:color="auto"/>
                    </w:rPr>
                  </w:pPr>
                  <w:r>
                    <w:rPr>
                      <w:color w:val="000000"/>
                      <w:sz w:val="18"/>
                      <w:szCs w:val="18"/>
                      <w:u w:val="none" w:color="auto"/>
                    </w:rPr>
                    <w:t>T/C</w:t>
                  </w:r>
                </w:p>
                <w:p>
                  <w:pPr>
                    <w:jc w:val="center"/>
                    <w:rPr>
                      <w:color w:val="000000"/>
                      <w:sz w:val="18"/>
                      <w:szCs w:val="18"/>
                      <w:u w:val="none" w:color="auto"/>
                    </w:rPr>
                  </w:pPr>
                  <w:r>
                    <w:rPr>
                      <w:color w:val="000000"/>
                      <w:sz w:val="18"/>
                      <w:szCs w:val="18"/>
                      <w:u w:val="none" w:color="auto"/>
                    </w:rPr>
                    <w:t>/I/R</w:t>
                  </w:r>
                </w:p>
              </w:tc>
              <w:tc>
                <w:tcPr>
                  <w:tcW w:w="516" w:type="pct"/>
                  <w:vMerge w:val="continue"/>
                  <w:noWrap w:val="0"/>
                  <w:vAlign w:val="center"/>
                </w:tcPr>
                <w:p>
                  <w:pPr>
                    <w:jc w:val="center"/>
                    <w:rPr>
                      <w:color w:val="000000"/>
                      <w:sz w:val="18"/>
                      <w:szCs w:val="18"/>
                      <w:u w:val="none" w:color="auto"/>
                    </w:rPr>
                  </w:pPr>
                </w:p>
              </w:tc>
              <w:tc>
                <w:tcPr>
                  <w:tcW w:w="400" w:type="pct"/>
                  <w:vMerge w:val="continue"/>
                  <w:noWrap w:val="0"/>
                  <w:vAlign w:val="center"/>
                </w:tcPr>
                <w:p>
                  <w:pPr>
                    <w:jc w:val="center"/>
                    <w:rPr>
                      <w:color w:val="000000"/>
                      <w:sz w:val="18"/>
                      <w:szCs w:val="18"/>
                      <w:u w:val="none" w:color="auto"/>
                    </w:rPr>
                  </w:pPr>
                </w:p>
              </w:tc>
              <w:tc>
                <w:tcPr>
                  <w:tcW w:w="487" w:type="pct"/>
                  <w:vMerge w:val="continue"/>
                  <w:noWrap w:val="0"/>
                  <w:vAlign w:val="center"/>
                </w:tcPr>
                <w:p>
                  <w:pPr>
                    <w:jc w:val="center"/>
                    <w:rPr>
                      <w:color w:val="000000"/>
                      <w:sz w:val="18"/>
                      <w:szCs w:val="18"/>
                      <w:u w:val="none" w:color="auto"/>
                    </w:rPr>
                  </w:pPr>
                </w:p>
              </w:tc>
              <w:tc>
                <w:tcPr>
                  <w:tcW w:w="529" w:type="pct"/>
                  <w:vMerge w:val="continue"/>
                  <w:noWrap w:val="0"/>
                  <w:vAlign w:val="center"/>
                </w:tcPr>
                <w:p>
                  <w:pPr>
                    <w:jc w:val="center"/>
                    <w:rPr>
                      <w:color w:val="000000"/>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jc w:val="center"/>
                    <w:rPr>
                      <w:color w:val="000000"/>
                      <w:sz w:val="18"/>
                      <w:szCs w:val="18"/>
                      <w:u w:val="none" w:color="auto"/>
                    </w:rPr>
                  </w:pPr>
                </w:p>
              </w:tc>
              <w:tc>
                <w:tcPr>
                  <w:tcW w:w="419" w:type="pct"/>
                  <w:vMerge w:val="continue"/>
                  <w:noWrap w:val="0"/>
                  <w:vAlign w:val="center"/>
                </w:tcPr>
                <w:p>
                  <w:pPr>
                    <w:jc w:val="center"/>
                    <w:rPr>
                      <w:color w:val="000000"/>
                      <w:sz w:val="18"/>
                      <w:szCs w:val="18"/>
                      <w:u w:val="none" w:color="auto"/>
                    </w:rPr>
                  </w:pPr>
                </w:p>
              </w:tc>
              <w:tc>
                <w:tcPr>
                  <w:tcW w:w="298" w:type="pct"/>
                  <w:vMerge w:val="continue"/>
                  <w:noWrap w:val="0"/>
                  <w:vAlign w:val="center"/>
                </w:tcPr>
                <w:p>
                  <w:pPr>
                    <w:jc w:val="center"/>
                    <w:rPr>
                      <w:color w:val="000000"/>
                      <w:sz w:val="18"/>
                      <w:szCs w:val="18"/>
                      <w:u w:val="none" w:color="auto"/>
                    </w:rPr>
                  </w:pPr>
                </w:p>
              </w:tc>
              <w:tc>
                <w:tcPr>
                  <w:tcW w:w="729" w:type="pct"/>
                  <w:noWrap w:val="0"/>
                  <w:vAlign w:val="center"/>
                </w:tcPr>
                <w:p>
                  <w:pPr>
                    <w:jc w:val="center"/>
                    <w:rPr>
                      <w:color w:val="000000"/>
                      <w:sz w:val="18"/>
                      <w:szCs w:val="18"/>
                      <w:u w:val="none" w:color="auto"/>
                    </w:rPr>
                  </w:pPr>
                  <w:r>
                    <w:rPr>
                      <w:color w:val="000000"/>
                      <w:sz w:val="18"/>
                      <w:szCs w:val="18"/>
                      <w:u w:val="none" w:color="auto"/>
                    </w:rPr>
                    <w:t>HW01</w:t>
                  </w:r>
                </w:p>
                <w:p>
                  <w:pPr>
                    <w:jc w:val="center"/>
                    <w:rPr>
                      <w:color w:val="000000"/>
                      <w:sz w:val="18"/>
                      <w:szCs w:val="18"/>
                      <w:u w:val="none" w:color="auto"/>
                    </w:rPr>
                  </w:pPr>
                  <w:r>
                    <w:rPr>
                      <w:color w:val="000000"/>
                      <w:sz w:val="18"/>
                      <w:szCs w:val="18"/>
                      <w:u w:val="none" w:color="auto"/>
                    </w:rPr>
                    <w:t>841-005-01</w:t>
                  </w:r>
                </w:p>
              </w:tc>
              <w:tc>
                <w:tcPr>
                  <w:tcW w:w="489" w:type="pct"/>
                  <w:noWrap w:val="0"/>
                  <w:vAlign w:val="center"/>
                </w:tcPr>
                <w:p>
                  <w:pPr>
                    <w:jc w:val="center"/>
                    <w:rPr>
                      <w:color w:val="000000"/>
                      <w:sz w:val="18"/>
                      <w:szCs w:val="18"/>
                      <w:u w:val="none" w:color="auto"/>
                    </w:rPr>
                  </w:pPr>
                  <w:r>
                    <w:rPr>
                      <w:color w:val="000000"/>
                      <w:sz w:val="18"/>
                      <w:szCs w:val="18"/>
                      <w:u w:val="none" w:color="auto"/>
                    </w:rPr>
                    <w:t>药物性废物</w:t>
                  </w:r>
                </w:p>
              </w:tc>
              <w:tc>
                <w:tcPr>
                  <w:tcW w:w="341" w:type="pct"/>
                  <w:vMerge w:val="continue"/>
                  <w:noWrap w:val="0"/>
                  <w:vAlign w:val="center"/>
                </w:tcPr>
                <w:p>
                  <w:pPr>
                    <w:jc w:val="center"/>
                    <w:rPr>
                      <w:color w:val="000000"/>
                      <w:sz w:val="18"/>
                      <w:szCs w:val="18"/>
                      <w:u w:val="none" w:color="auto"/>
                    </w:rPr>
                  </w:pPr>
                </w:p>
              </w:tc>
              <w:tc>
                <w:tcPr>
                  <w:tcW w:w="349" w:type="pct"/>
                  <w:noWrap w:val="0"/>
                  <w:vAlign w:val="center"/>
                </w:tcPr>
                <w:p>
                  <w:pPr>
                    <w:jc w:val="center"/>
                    <w:rPr>
                      <w:color w:val="000000"/>
                      <w:sz w:val="18"/>
                      <w:szCs w:val="18"/>
                      <w:u w:val="none" w:color="auto"/>
                    </w:rPr>
                  </w:pPr>
                  <w:r>
                    <w:rPr>
                      <w:color w:val="000000"/>
                      <w:sz w:val="18"/>
                      <w:szCs w:val="18"/>
                      <w:u w:val="none" w:color="auto"/>
                    </w:rPr>
                    <w:t>T</w:t>
                  </w:r>
                </w:p>
              </w:tc>
              <w:tc>
                <w:tcPr>
                  <w:tcW w:w="516" w:type="pct"/>
                  <w:vMerge w:val="continue"/>
                  <w:noWrap w:val="0"/>
                  <w:vAlign w:val="center"/>
                </w:tcPr>
                <w:p>
                  <w:pPr>
                    <w:jc w:val="center"/>
                    <w:rPr>
                      <w:color w:val="000000"/>
                      <w:sz w:val="18"/>
                      <w:szCs w:val="18"/>
                      <w:u w:val="none" w:color="auto"/>
                    </w:rPr>
                  </w:pPr>
                </w:p>
              </w:tc>
              <w:tc>
                <w:tcPr>
                  <w:tcW w:w="400" w:type="pct"/>
                  <w:vMerge w:val="continue"/>
                  <w:noWrap w:val="0"/>
                  <w:vAlign w:val="center"/>
                </w:tcPr>
                <w:p>
                  <w:pPr>
                    <w:jc w:val="center"/>
                    <w:rPr>
                      <w:color w:val="000000"/>
                      <w:sz w:val="18"/>
                      <w:szCs w:val="18"/>
                      <w:u w:val="none" w:color="auto"/>
                    </w:rPr>
                  </w:pPr>
                </w:p>
              </w:tc>
              <w:tc>
                <w:tcPr>
                  <w:tcW w:w="487" w:type="pct"/>
                  <w:vMerge w:val="continue"/>
                  <w:noWrap w:val="0"/>
                  <w:vAlign w:val="center"/>
                </w:tcPr>
                <w:p>
                  <w:pPr>
                    <w:jc w:val="center"/>
                    <w:rPr>
                      <w:color w:val="000000"/>
                      <w:sz w:val="18"/>
                      <w:szCs w:val="18"/>
                      <w:u w:val="none" w:color="auto"/>
                    </w:rPr>
                  </w:pPr>
                </w:p>
              </w:tc>
              <w:tc>
                <w:tcPr>
                  <w:tcW w:w="529" w:type="pct"/>
                  <w:vMerge w:val="continue"/>
                  <w:noWrap w:val="0"/>
                  <w:vAlign w:val="center"/>
                </w:tcPr>
                <w:p>
                  <w:pPr>
                    <w:jc w:val="center"/>
                    <w:rPr>
                      <w:color w:val="000000"/>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noWrap w:val="0"/>
                  <w:vAlign w:val="center"/>
                </w:tcPr>
                <w:p>
                  <w:pPr>
                    <w:jc w:val="center"/>
                    <w:rPr>
                      <w:rFonts w:hint="default" w:eastAsia="宋体"/>
                      <w:color w:val="000000"/>
                      <w:sz w:val="18"/>
                      <w:szCs w:val="18"/>
                      <w:u w:val="none" w:color="auto"/>
                      <w:lang w:val="en-US" w:eastAsia="zh-CN"/>
                    </w:rPr>
                  </w:pPr>
                  <w:r>
                    <w:rPr>
                      <w:rFonts w:hint="eastAsia"/>
                      <w:color w:val="000000"/>
                      <w:sz w:val="18"/>
                      <w:szCs w:val="18"/>
                      <w:u w:val="none" w:color="auto"/>
                      <w:lang w:val="en-US" w:eastAsia="zh-CN"/>
                    </w:rPr>
                    <w:t>化粪池</w:t>
                  </w:r>
                </w:p>
              </w:tc>
              <w:tc>
                <w:tcPr>
                  <w:tcW w:w="419" w:type="pct"/>
                  <w:noWrap w:val="0"/>
                  <w:vAlign w:val="center"/>
                </w:tcPr>
                <w:p>
                  <w:pPr>
                    <w:jc w:val="center"/>
                    <w:rPr>
                      <w:rFonts w:hint="default" w:eastAsia="宋体"/>
                      <w:color w:val="000000"/>
                      <w:sz w:val="18"/>
                      <w:szCs w:val="18"/>
                      <w:u w:val="none" w:color="auto"/>
                      <w:lang w:val="en-US" w:eastAsia="zh-CN"/>
                    </w:rPr>
                  </w:pPr>
                  <w:r>
                    <w:rPr>
                      <w:color w:val="000000"/>
                      <w:sz w:val="18"/>
                      <w:szCs w:val="18"/>
                      <w:u w:val="none" w:color="auto"/>
                    </w:rPr>
                    <w:t>污泥</w:t>
                  </w:r>
                </w:p>
              </w:tc>
              <w:tc>
                <w:tcPr>
                  <w:tcW w:w="298" w:type="pct"/>
                  <w:vMerge w:val="continue"/>
                  <w:noWrap w:val="0"/>
                  <w:vAlign w:val="center"/>
                </w:tcPr>
                <w:p>
                  <w:pPr>
                    <w:jc w:val="center"/>
                    <w:rPr>
                      <w:color w:val="000000"/>
                      <w:sz w:val="18"/>
                      <w:szCs w:val="18"/>
                      <w:u w:val="none" w:color="auto"/>
                    </w:rPr>
                  </w:pPr>
                </w:p>
              </w:tc>
              <w:tc>
                <w:tcPr>
                  <w:tcW w:w="729" w:type="pct"/>
                  <w:noWrap w:val="0"/>
                  <w:vAlign w:val="center"/>
                </w:tcPr>
                <w:p>
                  <w:pPr>
                    <w:jc w:val="center"/>
                    <w:rPr>
                      <w:color w:val="000000"/>
                      <w:sz w:val="18"/>
                      <w:szCs w:val="18"/>
                      <w:u w:val="none" w:color="auto"/>
                    </w:rPr>
                  </w:pPr>
                  <w:r>
                    <w:rPr>
                      <w:color w:val="000000"/>
                      <w:sz w:val="18"/>
                      <w:szCs w:val="18"/>
                      <w:u w:val="none" w:color="auto"/>
                    </w:rPr>
                    <w:t>HW49</w:t>
                  </w:r>
                </w:p>
                <w:p>
                  <w:pPr>
                    <w:jc w:val="center"/>
                    <w:rPr>
                      <w:color w:val="000000"/>
                      <w:sz w:val="18"/>
                      <w:szCs w:val="18"/>
                      <w:u w:val="none" w:color="auto"/>
                    </w:rPr>
                  </w:pPr>
                  <w:r>
                    <w:rPr>
                      <w:color w:val="000000"/>
                      <w:sz w:val="18"/>
                      <w:szCs w:val="18"/>
                      <w:u w:val="none" w:color="auto"/>
                    </w:rPr>
                    <w:t>772-006-49</w:t>
                  </w:r>
                </w:p>
              </w:tc>
              <w:tc>
                <w:tcPr>
                  <w:tcW w:w="489" w:type="pct"/>
                  <w:noWrap w:val="0"/>
                  <w:vAlign w:val="center"/>
                </w:tcPr>
                <w:p>
                  <w:pPr>
                    <w:jc w:val="center"/>
                    <w:rPr>
                      <w:color w:val="000000"/>
                      <w:sz w:val="18"/>
                      <w:szCs w:val="18"/>
                      <w:u w:val="none" w:color="auto"/>
                    </w:rPr>
                  </w:pPr>
                  <w:r>
                    <w:rPr>
                      <w:color w:val="000000"/>
                      <w:sz w:val="18"/>
                      <w:szCs w:val="18"/>
                      <w:u w:val="none" w:color="auto"/>
                    </w:rPr>
                    <w:t>病</w:t>
                  </w:r>
                  <w:r>
                    <w:rPr>
                      <w:rFonts w:hint="eastAsia"/>
                      <w:color w:val="000000"/>
                      <w:sz w:val="18"/>
                      <w:szCs w:val="18"/>
                      <w:u w:val="none" w:color="auto"/>
                      <w:lang w:val="en-US" w:eastAsia="zh-CN"/>
                    </w:rPr>
                    <w:t>原</w:t>
                  </w:r>
                  <w:r>
                    <w:rPr>
                      <w:color w:val="000000"/>
                      <w:sz w:val="18"/>
                      <w:szCs w:val="18"/>
                      <w:u w:val="none" w:color="auto"/>
                    </w:rPr>
                    <w:t>菌</w:t>
                  </w:r>
                </w:p>
              </w:tc>
              <w:tc>
                <w:tcPr>
                  <w:tcW w:w="341" w:type="pct"/>
                  <w:noWrap w:val="0"/>
                  <w:vAlign w:val="center"/>
                </w:tcPr>
                <w:p>
                  <w:pPr>
                    <w:jc w:val="center"/>
                    <w:rPr>
                      <w:color w:val="000000"/>
                      <w:sz w:val="18"/>
                      <w:szCs w:val="18"/>
                      <w:u w:val="none" w:color="auto"/>
                    </w:rPr>
                  </w:pPr>
                  <w:r>
                    <w:rPr>
                      <w:color w:val="000000"/>
                      <w:sz w:val="18"/>
                      <w:szCs w:val="18"/>
                      <w:u w:val="none" w:color="auto"/>
                    </w:rPr>
                    <w:t>固态</w:t>
                  </w:r>
                </w:p>
              </w:tc>
              <w:tc>
                <w:tcPr>
                  <w:tcW w:w="349" w:type="pct"/>
                  <w:noWrap w:val="0"/>
                  <w:vAlign w:val="center"/>
                </w:tcPr>
                <w:p>
                  <w:pPr>
                    <w:jc w:val="center"/>
                    <w:rPr>
                      <w:color w:val="000000"/>
                      <w:sz w:val="18"/>
                      <w:szCs w:val="18"/>
                      <w:u w:val="none" w:color="auto"/>
                    </w:rPr>
                  </w:pPr>
                  <w:r>
                    <w:rPr>
                      <w:color w:val="000000"/>
                      <w:sz w:val="18"/>
                      <w:szCs w:val="18"/>
                      <w:u w:val="none" w:color="auto"/>
                    </w:rPr>
                    <w:t>In</w:t>
                  </w:r>
                </w:p>
              </w:tc>
              <w:tc>
                <w:tcPr>
                  <w:tcW w:w="516" w:type="pct"/>
                  <w:noWrap w:val="0"/>
                  <w:vAlign w:val="center"/>
                </w:tcPr>
                <w:p>
                  <w:pPr>
                    <w:jc w:val="center"/>
                    <w:rPr>
                      <w:rFonts w:hint="default" w:eastAsia="宋体"/>
                      <w:color w:val="000000"/>
                      <w:sz w:val="18"/>
                      <w:szCs w:val="18"/>
                      <w:u w:val="none" w:color="auto"/>
                      <w:lang w:val="en-US" w:eastAsia="zh-CN"/>
                    </w:rPr>
                  </w:pPr>
                  <w:r>
                    <w:rPr>
                      <w:rFonts w:hint="eastAsia"/>
                      <w:color w:val="000000"/>
                      <w:sz w:val="18"/>
                      <w:szCs w:val="18"/>
                      <w:u w:val="none" w:color="auto"/>
                      <w:lang w:val="en-US" w:eastAsia="zh-CN"/>
                    </w:rPr>
                    <w:t>0.35</w:t>
                  </w:r>
                </w:p>
              </w:tc>
              <w:tc>
                <w:tcPr>
                  <w:tcW w:w="400" w:type="pct"/>
                  <w:noWrap w:val="0"/>
                  <w:vAlign w:val="center"/>
                </w:tcPr>
                <w:p>
                  <w:pPr>
                    <w:jc w:val="center"/>
                    <w:rPr>
                      <w:color w:val="000000"/>
                      <w:sz w:val="18"/>
                      <w:szCs w:val="18"/>
                      <w:u w:val="none" w:color="auto"/>
                    </w:rPr>
                  </w:pPr>
                  <w:r>
                    <w:rPr>
                      <w:color w:val="000000"/>
                      <w:sz w:val="18"/>
                      <w:szCs w:val="18"/>
                      <w:u w:val="none" w:color="auto"/>
                    </w:rPr>
                    <w:t>桶装</w:t>
                  </w:r>
                </w:p>
              </w:tc>
              <w:tc>
                <w:tcPr>
                  <w:tcW w:w="487" w:type="pct"/>
                  <w:vMerge w:val="continue"/>
                  <w:noWrap w:val="0"/>
                  <w:vAlign w:val="center"/>
                </w:tcPr>
                <w:p>
                  <w:pPr>
                    <w:jc w:val="center"/>
                    <w:rPr>
                      <w:color w:val="000000"/>
                      <w:sz w:val="18"/>
                      <w:szCs w:val="18"/>
                      <w:u w:val="none" w:color="auto"/>
                    </w:rPr>
                  </w:pPr>
                </w:p>
              </w:tc>
              <w:tc>
                <w:tcPr>
                  <w:tcW w:w="529" w:type="pct"/>
                  <w:noWrap w:val="0"/>
                  <w:vAlign w:val="center"/>
                </w:tcPr>
                <w:p>
                  <w:pPr>
                    <w:jc w:val="center"/>
                    <w:rPr>
                      <w:rFonts w:hint="default" w:eastAsia="宋体"/>
                      <w:color w:val="000000"/>
                      <w:sz w:val="18"/>
                      <w:szCs w:val="18"/>
                      <w:u w:val="none" w:color="auto"/>
                      <w:lang w:val="en-US" w:eastAsia="zh-CN"/>
                    </w:rPr>
                  </w:pPr>
                  <w:r>
                    <w:rPr>
                      <w:rFonts w:hint="eastAsia"/>
                      <w:color w:val="000000"/>
                      <w:sz w:val="18"/>
                      <w:szCs w:val="18"/>
                      <w:u w:val="none" w:color="auto"/>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noWrap w:val="0"/>
                  <w:vAlign w:val="center"/>
                </w:tcPr>
                <w:p>
                  <w:pPr>
                    <w:jc w:val="center"/>
                    <w:rPr>
                      <w:rFonts w:hint="eastAsia" w:eastAsia="宋体"/>
                      <w:color w:val="000000"/>
                      <w:sz w:val="18"/>
                      <w:szCs w:val="18"/>
                      <w:u w:val="none" w:color="auto"/>
                      <w:lang w:val="en-US" w:eastAsia="zh-CN"/>
                    </w:rPr>
                  </w:pPr>
                  <w:r>
                    <w:rPr>
                      <w:color w:val="000000"/>
                      <w:sz w:val="18"/>
                      <w:szCs w:val="18"/>
                      <w:u w:val="none" w:color="auto"/>
                    </w:rPr>
                    <w:t>住院</w:t>
                  </w:r>
                  <w:r>
                    <w:rPr>
                      <w:rFonts w:hint="eastAsia"/>
                      <w:color w:val="000000"/>
                      <w:sz w:val="18"/>
                      <w:szCs w:val="18"/>
                      <w:u w:val="none" w:color="auto"/>
                      <w:lang w:val="en-US" w:eastAsia="zh-CN"/>
                    </w:rPr>
                    <w:t>护理</w:t>
                  </w:r>
                  <w:r>
                    <w:rPr>
                      <w:color w:val="000000"/>
                      <w:sz w:val="18"/>
                      <w:szCs w:val="18"/>
                      <w:u w:val="none" w:color="auto"/>
                    </w:rPr>
                    <w:t>过程</w:t>
                  </w:r>
                </w:p>
              </w:tc>
              <w:tc>
                <w:tcPr>
                  <w:tcW w:w="419" w:type="pct"/>
                  <w:noWrap w:val="0"/>
                  <w:vAlign w:val="center"/>
                </w:tcPr>
                <w:p>
                  <w:pPr>
                    <w:jc w:val="center"/>
                    <w:rPr>
                      <w:rFonts w:hint="default" w:eastAsia="宋体"/>
                      <w:color w:val="000000"/>
                      <w:sz w:val="18"/>
                      <w:szCs w:val="18"/>
                      <w:u w:val="none" w:color="auto"/>
                      <w:lang w:val="en-US" w:eastAsia="zh-CN"/>
                    </w:rPr>
                  </w:pPr>
                  <w:r>
                    <w:rPr>
                      <w:rFonts w:hint="eastAsia"/>
                      <w:color w:val="000000"/>
                      <w:sz w:val="18"/>
                      <w:szCs w:val="18"/>
                      <w:u w:val="none" w:color="auto"/>
                      <w:lang w:val="en-US" w:eastAsia="zh-CN"/>
                    </w:rPr>
                    <w:t>废药物、药品</w:t>
                  </w:r>
                </w:p>
              </w:tc>
              <w:tc>
                <w:tcPr>
                  <w:tcW w:w="298" w:type="pct"/>
                  <w:vMerge w:val="continue"/>
                  <w:noWrap w:val="0"/>
                  <w:vAlign w:val="center"/>
                </w:tcPr>
                <w:p>
                  <w:pPr>
                    <w:jc w:val="center"/>
                    <w:rPr>
                      <w:color w:val="000000"/>
                      <w:sz w:val="18"/>
                      <w:szCs w:val="18"/>
                      <w:u w:val="none" w:color="auto"/>
                    </w:rPr>
                  </w:pPr>
                </w:p>
              </w:tc>
              <w:tc>
                <w:tcPr>
                  <w:tcW w:w="729" w:type="pct"/>
                  <w:noWrap w:val="0"/>
                  <w:vAlign w:val="center"/>
                </w:tcPr>
                <w:p>
                  <w:pPr>
                    <w:jc w:val="center"/>
                    <w:rPr>
                      <w:rFonts w:hint="default" w:eastAsia="宋体"/>
                      <w:color w:val="000000"/>
                      <w:sz w:val="18"/>
                      <w:szCs w:val="18"/>
                      <w:u w:val="none" w:color="auto"/>
                      <w:lang w:val="en-US" w:eastAsia="zh-CN"/>
                    </w:rPr>
                  </w:pPr>
                  <w:r>
                    <w:rPr>
                      <w:color w:val="000000"/>
                      <w:sz w:val="18"/>
                      <w:szCs w:val="18"/>
                      <w:u w:val="none" w:color="auto"/>
                    </w:rPr>
                    <w:t>HW</w:t>
                  </w:r>
                  <w:r>
                    <w:rPr>
                      <w:rFonts w:hint="eastAsia"/>
                      <w:color w:val="000000"/>
                      <w:sz w:val="18"/>
                      <w:szCs w:val="18"/>
                      <w:u w:val="none" w:color="auto"/>
                      <w:lang w:val="en-US" w:eastAsia="zh-CN"/>
                    </w:rPr>
                    <w:t>03</w:t>
                  </w:r>
                </w:p>
                <w:p>
                  <w:pPr>
                    <w:jc w:val="center"/>
                    <w:rPr>
                      <w:rFonts w:hint="default" w:eastAsia="宋体"/>
                      <w:color w:val="000000"/>
                      <w:sz w:val="18"/>
                      <w:szCs w:val="18"/>
                      <w:u w:val="none" w:color="auto"/>
                      <w:lang w:val="en-US" w:eastAsia="zh-CN"/>
                    </w:rPr>
                  </w:pPr>
                  <w:r>
                    <w:rPr>
                      <w:rFonts w:hint="eastAsia"/>
                      <w:color w:val="000000"/>
                      <w:sz w:val="18"/>
                      <w:szCs w:val="18"/>
                      <w:u w:val="none" w:color="auto"/>
                      <w:lang w:val="en-US" w:eastAsia="zh-CN"/>
                    </w:rPr>
                    <w:t>900</w:t>
                  </w:r>
                  <w:r>
                    <w:rPr>
                      <w:color w:val="000000"/>
                      <w:sz w:val="18"/>
                      <w:szCs w:val="18"/>
                      <w:u w:val="none" w:color="auto"/>
                    </w:rPr>
                    <w:t>-00</w:t>
                  </w:r>
                  <w:r>
                    <w:rPr>
                      <w:rFonts w:hint="eastAsia"/>
                      <w:color w:val="000000"/>
                      <w:sz w:val="18"/>
                      <w:szCs w:val="18"/>
                      <w:u w:val="none" w:color="auto"/>
                      <w:lang w:val="en-US" w:eastAsia="zh-CN"/>
                    </w:rPr>
                    <w:t>2</w:t>
                  </w:r>
                  <w:r>
                    <w:rPr>
                      <w:color w:val="000000"/>
                      <w:sz w:val="18"/>
                      <w:szCs w:val="18"/>
                      <w:u w:val="none" w:color="auto"/>
                    </w:rPr>
                    <w:t>-</w:t>
                  </w:r>
                  <w:r>
                    <w:rPr>
                      <w:rFonts w:hint="eastAsia"/>
                      <w:color w:val="000000"/>
                      <w:sz w:val="18"/>
                      <w:szCs w:val="18"/>
                      <w:u w:val="none" w:color="auto"/>
                      <w:lang w:val="en-US" w:eastAsia="zh-CN"/>
                    </w:rPr>
                    <w:t>03</w:t>
                  </w:r>
                </w:p>
              </w:tc>
              <w:tc>
                <w:tcPr>
                  <w:tcW w:w="489" w:type="pct"/>
                  <w:noWrap w:val="0"/>
                  <w:vAlign w:val="center"/>
                </w:tcPr>
                <w:p>
                  <w:pPr>
                    <w:jc w:val="center"/>
                    <w:rPr>
                      <w:rFonts w:hint="eastAsia" w:eastAsia="宋体"/>
                      <w:color w:val="000000"/>
                      <w:sz w:val="18"/>
                      <w:szCs w:val="18"/>
                      <w:u w:val="none" w:color="auto"/>
                      <w:lang w:val="en-US" w:eastAsia="zh-CN"/>
                    </w:rPr>
                  </w:pPr>
                  <w:r>
                    <w:rPr>
                      <w:rFonts w:hint="eastAsia"/>
                      <w:color w:val="000000"/>
                      <w:sz w:val="18"/>
                      <w:szCs w:val="18"/>
                      <w:u w:val="none" w:color="auto"/>
                      <w:lang w:val="en-US" w:eastAsia="zh-CN"/>
                    </w:rPr>
                    <w:t>危化品</w:t>
                  </w:r>
                </w:p>
              </w:tc>
              <w:tc>
                <w:tcPr>
                  <w:tcW w:w="341" w:type="pct"/>
                  <w:noWrap w:val="0"/>
                  <w:vAlign w:val="center"/>
                </w:tcPr>
                <w:p>
                  <w:pPr>
                    <w:jc w:val="center"/>
                    <w:rPr>
                      <w:rFonts w:hint="eastAsia" w:eastAsia="宋体"/>
                      <w:color w:val="000000"/>
                      <w:sz w:val="18"/>
                      <w:szCs w:val="18"/>
                      <w:u w:val="none" w:color="auto"/>
                      <w:lang w:val="en-US" w:eastAsia="zh-CN"/>
                    </w:rPr>
                  </w:pPr>
                  <w:r>
                    <w:rPr>
                      <w:rFonts w:hint="eastAsia"/>
                      <w:color w:val="000000"/>
                      <w:sz w:val="18"/>
                      <w:szCs w:val="18"/>
                      <w:u w:val="none" w:color="auto"/>
                      <w:lang w:val="en-US" w:eastAsia="zh-CN"/>
                    </w:rPr>
                    <w:t>固态</w:t>
                  </w:r>
                </w:p>
              </w:tc>
              <w:tc>
                <w:tcPr>
                  <w:tcW w:w="349" w:type="pct"/>
                  <w:noWrap w:val="0"/>
                  <w:vAlign w:val="center"/>
                </w:tcPr>
                <w:p>
                  <w:pPr>
                    <w:jc w:val="center"/>
                    <w:rPr>
                      <w:rFonts w:hint="eastAsia" w:eastAsia="宋体"/>
                      <w:color w:val="000000"/>
                      <w:sz w:val="18"/>
                      <w:szCs w:val="18"/>
                      <w:u w:val="none" w:color="auto"/>
                      <w:lang w:val="en-US" w:eastAsia="zh-CN"/>
                    </w:rPr>
                  </w:pPr>
                  <w:r>
                    <w:rPr>
                      <w:rFonts w:hint="eastAsia"/>
                      <w:color w:val="000000"/>
                      <w:sz w:val="18"/>
                      <w:szCs w:val="18"/>
                      <w:u w:val="none" w:color="auto"/>
                      <w:lang w:val="en-US" w:eastAsia="zh-CN"/>
                    </w:rPr>
                    <w:t>T</w:t>
                  </w:r>
                </w:p>
              </w:tc>
              <w:tc>
                <w:tcPr>
                  <w:tcW w:w="516" w:type="pct"/>
                  <w:noWrap w:val="0"/>
                  <w:vAlign w:val="center"/>
                </w:tcPr>
                <w:p>
                  <w:pPr>
                    <w:jc w:val="center"/>
                    <w:rPr>
                      <w:rFonts w:hint="default"/>
                      <w:color w:val="000000"/>
                      <w:sz w:val="18"/>
                      <w:szCs w:val="18"/>
                      <w:u w:val="none" w:color="auto"/>
                      <w:lang w:val="en-US" w:eastAsia="zh-CN"/>
                    </w:rPr>
                  </w:pPr>
                  <w:r>
                    <w:rPr>
                      <w:rFonts w:hint="eastAsia"/>
                      <w:color w:val="000000"/>
                      <w:sz w:val="18"/>
                      <w:szCs w:val="18"/>
                      <w:u w:val="none" w:color="auto"/>
                      <w:lang w:val="en-US" w:eastAsia="zh-CN"/>
                    </w:rPr>
                    <w:t>0.01</w:t>
                  </w:r>
                </w:p>
              </w:tc>
              <w:tc>
                <w:tcPr>
                  <w:tcW w:w="400" w:type="pct"/>
                  <w:noWrap w:val="0"/>
                  <w:vAlign w:val="center"/>
                </w:tcPr>
                <w:p>
                  <w:pPr>
                    <w:jc w:val="center"/>
                    <w:rPr>
                      <w:rFonts w:hint="eastAsia" w:eastAsia="宋体"/>
                      <w:color w:val="000000"/>
                      <w:sz w:val="18"/>
                      <w:szCs w:val="18"/>
                      <w:u w:val="none" w:color="auto"/>
                      <w:lang w:val="en-US" w:eastAsia="zh-CN"/>
                    </w:rPr>
                  </w:pPr>
                  <w:r>
                    <w:rPr>
                      <w:rFonts w:hint="eastAsia"/>
                      <w:color w:val="000000"/>
                      <w:sz w:val="18"/>
                      <w:szCs w:val="18"/>
                      <w:u w:val="none" w:color="auto"/>
                      <w:lang w:val="en-US" w:eastAsia="zh-CN"/>
                    </w:rPr>
                    <w:t>桶装</w:t>
                  </w:r>
                </w:p>
              </w:tc>
              <w:tc>
                <w:tcPr>
                  <w:tcW w:w="487" w:type="pct"/>
                  <w:vMerge w:val="continue"/>
                  <w:noWrap w:val="0"/>
                  <w:vAlign w:val="center"/>
                </w:tcPr>
                <w:p>
                  <w:pPr>
                    <w:jc w:val="center"/>
                    <w:rPr>
                      <w:color w:val="000000"/>
                      <w:sz w:val="18"/>
                      <w:szCs w:val="18"/>
                      <w:u w:val="none" w:color="auto"/>
                    </w:rPr>
                  </w:pPr>
                </w:p>
              </w:tc>
              <w:tc>
                <w:tcPr>
                  <w:tcW w:w="529" w:type="pct"/>
                  <w:noWrap w:val="0"/>
                  <w:vAlign w:val="center"/>
                </w:tcPr>
                <w:p>
                  <w:pPr>
                    <w:jc w:val="center"/>
                    <w:rPr>
                      <w:rFonts w:hint="default"/>
                      <w:color w:val="000000"/>
                      <w:sz w:val="18"/>
                      <w:szCs w:val="18"/>
                      <w:u w:val="none" w:color="auto"/>
                      <w:lang w:val="en-US" w:eastAsia="zh-CN"/>
                    </w:rPr>
                  </w:pPr>
                  <w:r>
                    <w:rPr>
                      <w:rFonts w:hint="eastAsia"/>
                      <w:color w:val="000000"/>
                      <w:sz w:val="18"/>
                      <w:szCs w:val="18"/>
                      <w:u w:val="none" w:color="auto"/>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1"/>
                  <w:noWrap w:val="0"/>
                  <w:vAlign w:val="center"/>
                </w:tcPr>
                <w:p>
                  <w:pPr>
                    <w:rPr>
                      <w:color w:val="000000"/>
                      <w:sz w:val="18"/>
                      <w:szCs w:val="18"/>
                      <w:u w:val="none" w:color="auto"/>
                    </w:rPr>
                  </w:pPr>
                  <w:r>
                    <w:rPr>
                      <w:b/>
                      <w:bCs/>
                      <w:color w:val="000000"/>
                      <w:sz w:val="18"/>
                      <w:szCs w:val="18"/>
                      <w:u w:val="none" w:color="auto"/>
                    </w:rPr>
                    <w:t>备注：危险废物参照《国家危险废物名录（2021年版）》</w:t>
                  </w:r>
                </w:p>
              </w:tc>
            </w:tr>
          </w:tbl>
          <w:p>
            <w:pPr>
              <w:widowControl w:val="0"/>
              <w:wordWrap w:val="0"/>
              <w:topLinePunct/>
              <w:spacing w:line="360" w:lineRule="auto"/>
              <w:jc w:val="both"/>
              <w:rPr>
                <w:rFonts w:hint="default" w:ascii="Times New Roman" w:hAnsi="Times New Roman" w:eastAsia="宋体" w:cs="Times New Roman"/>
                <w:b/>
                <w:bCs/>
                <w:color w:val="auto"/>
                <w:u w:val="none" w:color="auto"/>
                <w:lang w:val="en-US" w:bidi="zh-CN"/>
              </w:rPr>
            </w:pPr>
            <w:r>
              <w:rPr>
                <w:rFonts w:hint="eastAsia" w:ascii="Times New Roman" w:hAnsi="Times New Roman" w:eastAsia="宋体" w:cs="Times New Roman"/>
                <w:b/>
                <w:bCs/>
                <w:color w:val="000000"/>
                <w:kern w:val="2"/>
                <w:sz w:val="24"/>
                <w:szCs w:val="20"/>
                <w:u w:val="none" w:color="auto"/>
                <w:lang w:val="en-US" w:eastAsia="zh-CN" w:bidi="ar-SA"/>
              </w:rPr>
              <w:t>4</w:t>
            </w:r>
            <w:r>
              <w:rPr>
                <w:rFonts w:ascii="Times New Roman" w:hAnsi="Times New Roman" w:eastAsia="宋体" w:cs="Times New Roman"/>
                <w:b/>
                <w:bCs/>
                <w:color w:val="000000"/>
                <w:kern w:val="2"/>
                <w:sz w:val="24"/>
                <w:szCs w:val="20"/>
                <w:u w:val="none" w:color="auto"/>
                <w:lang w:val="en-US" w:eastAsia="zh-CN" w:bidi="ar-SA"/>
              </w:rPr>
              <w:t>.</w:t>
            </w:r>
            <w:r>
              <w:rPr>
                <w:rFonts w:hint="eastAsia" w:ascii="Times New Roman" w:hAnsi="Times New Roman" w:eastAsia="宋体" w:cs="Times New Roman"/>
                <w:b/>
                <w:bCs/>
                <w:color w:val="000000"/>
                <w:kern w:val="2"/>
                <w:sz w:val="24"/>
                <w:szCs w:val="20"/>
                <w:u w:val="none" w:color="auto"/>
                <w:lang w:val="en-US" w:eastAsia="zh-CN" w:bidi="ar-SA"/>
              </w:rPr>
              <w:t>2固体废物处置措施可行性分析</w:t>
            </w:r>
          </w:p>
          <w:p>
            <w:pPr>
              <w:pStyle w:val="98"/>
              <w:ind w:firstLine="480"/>
              <w:rPr>
                <w:rFonts w:hint="eastAsia"/>
                <w:sz w:val="24"/>
                <w:szCs w:val="24"/>
                <w:u w:val="none"/>
              </w:rPr>
            </w:pPr>
            <w:r>
              <w:rPr>
                <w:rFonts w:hint="eastAsia"/>
                <w:sz w:val="24"/>
                <w:szCs w:val="24"/>
                <w:u w:val="none"/>
              </w:rPr>
              <w:t>根据《排污许可证申请与核发技术规范-医疗机构》（HJ1105-2020）中危险废物种类和处理方式表3医疗机构排污单位危险废物种类和处理方式表（下表）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000000"/>
                <w:sz w:val="21"/>
                <w:szCs w:val="21"/>
                <w:u w:val="none"/>
              </w:rPr>
            </w:pPr>
            <w:r>
              <w:rPr>
                <w:b/>
                <w:color w:val="000000"/>
                <w:sz w:val="21"/>
                <w:szCs w:val="21"/>
                <w:u w:val="none"/>
              </w:rPr>
              <w:t>表</w:t>
            </w:r>
            <w:r>
              <w:rPr>
                <w:rFonts w:hint="eastAsia"/>
                <w:b/>
                <w:color w:val="000000"/>
                <w:sz w:val="21"/>
                <w:szCs w:val="21"/>
                <w:u w:val="none"/>
                <w:lang w:val="en-US" w:eastAsia="zh-CN"/>
              </w:rPr>
              <w:t>4</w:t>
            </w:r>
            <w:r>
              <w:rPr>
                <w:rFonts w:hint="eastAsia"/>
                <w:b/>
                <w:color w:val="000000"/>
                <w:sz w:val="21"/>
                <w:szCs w:val="21"/>
                <w:u w:val="none"/>
              </w:rPr>
              <w:t>-</w:t>
            </w:r>
            <w:r>
              <w:rPr>
                <w:rFonts w:hint="eastAsia"/>
                <w:b/>
                <w:color w:val="000000"/>
                <w:sz w:val="21"/>
                <w:szCs w:val="21"/>
                <w:u w:val="none"/>
                <w:lang w:val="en-US" w:eastAsia="zh-CN"/>
              </w:rPr>
              <w:t>16</w:t>
            </w:r>
            <w:r>
              <w:rPr>
                <w:rFonts w:hint="eastAsia"/>
                <w:b/>
                <w:color w:val="000000"/>
                <w:sz w:val="21"/>
                <w:szCs w:val="21"/>
                <w:u w:val="none"/>
              </w:rPr>
              <w:t xml:space="preserve"> </w:t>
            </w:r>
            <w:r>
              <w:rPr>
                <w:rFonts w:hint="eastAsia"/>
                <w:b/>
                <w:color w:val="000000"/>
                <w:sz w:val="21"/>
                <w:szCs w:val="21"/>
                <w:u w:val="none"/>
                <w:lang w:val="en-US" w:eastAsia="zh-CN"/>
              </w:rPr>
              <w:t>医疗机构排污单位危险废物种类和处理方式表</w:t>
            </w:r>
          </w:p>
          <w:tbl>
            <w:tblPr>
              <w:tblStyle w:val="34"/>
              <w:tblW w:w="4988"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335"/>
              <w:gridCol w:w="3068"/>
              <w:gridCol w:w="1909"/>
              <w:gridCol w:w="166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b/>
                      <w:bCs/>
                      <w:kern w:val="0"/>
                      <w:sz w:val="21"/>
                      <w:szCs w:val="18"/>
                      <w:u w:val="none"/>
                      <w:lang w:val="en-US" w:eastAsia="zh-CN"/>
                    </w:rPr>
                  </w:pPr>
                  <w:r>
                    <w:rPr>
                      <w:rFonts w:hint="eastAsia" w:ascii="Times New Roman" w:hAnsi="Times New Roman"/>
                      <w:b/>
                      <w:bCs/>
                      <w:kern w:val="0"/>
                      <w:sz w:val="21"/>
                      <w:szCs w:val="18"/>
                      <w:u w:val="none"/>
                      <w:lang w:val="en-US" w:eastAsia="zh-CN"/>
                    </w:rPr>
                    <w:t>危险废物</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b/>
                      <w:bCs/>
                      <w:kern w:val="0"/>
                      <w:sz w:val="21"/>
                      <w:szCs w:val="18"/>
                      <w:u w:val="none"/>
                      <w:lang w:val="en-US" w:eastAsia="zh-CN"/>
                    </w:rPr>
                  </w:pPr>
                  <w:r>
                    <w:rPr>
                      <w:rFonts w:hint="eastAsia" w:ascii="Times New Roman" w:hAnsi="Times New Roman"/>
                      <w:b/>
                      <w:bCs/>
                      <w:kern w:val="0"/>
                      <w:sz w:val="21"/>
                      <w:szCs w:val="18"/>
                      <w:u w:val="none"/>
                      <w:lang w:val="en-US" w:eastAsia="zh-CN"/>
                    </w:rPr>
                    <w:t>种类</w:t>
                  </w:r>
                </w:p>
              </w:tc>
              <w:tc>
                <w:tcPr>
                  <w:tcW w:w="3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b/>
                      <w:bCs/>
                      <w:kern w:val="0"/>
                      <w:sz w:val="21"/>
                      <w:szCs w:val="18"/>
                      <w:u w:val="none"/>
                      <w:lang w:eastAsia="zh-CN"/>
                    </w:rPr>
                  </w:pPr>
                  <w:r>
                    <w:rPr>
                      <w:rFonts w:hint="eastAsia" w:ascii="Times New Roman" w:hAnsi="Times New Roman"/>
                      <w:b/>
                      <w:bCs/>
                      <w:kern w:val="0"/>
                      <w:sz w:val="21"/>
                      <w:szCs w:val="18"/>
                      <w:u w:val="none"/>
                      <w:lang w:val="en-US" w:eastAsia="zh-CN"/>
                    </w:rPr>
                    <w:t>危险废物名称</w:t>
                  </w:r>
                </w:p>
              </w:tc>
              <w:tc>
                <w:tcPr>
                  <w:tcW w:w="19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b/>
                      <w:bCs/>
                      <w:kern w:val="0"/>
                      <w:sz w:val="21"/>
                      <w:szCs w:val="18"/>
                      <w:u w:val="none"/>
                      <w:lang w:val="en-US" w:eastAsia="zh-CN"/>
                    </w:rPr>
                  </w:pPr>
                  <w:r>
                    <w:rPr>
                      <w:rFonts w:hint="eastAsia" w:ascii="Times New Roman" w:hAnsi="Times New Roman" w:eastAsia="宋体"/>
                      <w:b/>
                      <w:bCs/>
                      <w:kern w:val="0"/>
                      <w:sz w:val="21"/>
                      <w:szCs w:val="18"/>
                      <w:u w:val="none"/>
                      <w:lang w:val="en-US" w:eastAsia="zh-CN"/>
                    </w:rPr>
                    <w:t>处理措施</w:t>
                  </w:r>
                </w:p>
              </w:tc>
              <w:tc>
                <w:tcPr>
                  <w:tcW w:w="16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b/>
                      <w:bCs/>
                      <w:kern w:val="0"/>
                      <w:sz w:val="21"/>
                      <w:szCs w:val="18"/>
                      <w:u w:val="none"/>
                      <w:lang w:val="en-US" w:eastAsia="zh-CN"/>
                    </w:rPr>
                  </w:pPr>
                  <w:r>
                    <w:rPr>
                      <w:rFonts w:hint="eastAsia" w:ascii="Times New Roman" w:hAnsi="Times New Roman" w:eastAsia="宋体"/>
                      <w:b/>
                      <w:bCs/>
                      <w:kern w:val="0"/>
                      <w:sz w:val="21"/>
                      <w:szCs w:val="18"/>
                      <w:u w:val="none"/>
                      <w:lang w:val="en-US" w:eastAsia="zh-CN"/>
                    </w:rPr>
                    <w:t>处理方式</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3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HW01：医疗废物</w:t>
                  </w:r>
                </w:p>
              </w:tc>
              <w:tc>
                <w:tcPr>
                  <w:tcW w:w="3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kern w:val="0"/>
                      <w:sz w:val="21"/>
                      <w:szCs w:val="18"/>
                      <w:u w:val="none"/>
                      <w:lang w:val="en-US" w:eastAsia="zh-CN"/>
                    </w:rPr>
                  </w:pPr>
                  <w:r>
                    <w:rPr>
                      <w:rFonts w:hint="eastAsia" w:ascii="Times New Roman" w:hAnsi="Times New Roman" w:eastAsia="宋体"/>
                      <w:kern w:val="0"/>
                      <w:sz w:val="21"/>
                      <w:szCs w:val="18"/>
                      <w:u w:val="none"/>
                      <w:lang w:val="en-US" w:eastAsia="zh-CN"/>
                    </w:rPr>
                    <w:t>感染性废物（841-001-01）、</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kern w:val="0"/>
                      <w:sz w:val="21"/>
                      <w:szCs w:val="18"/>
                      <w:u w:val="none"/>
                      <w:lang w:val="en-US" w:eastAsia="zh-CN"/>
                    </w:rPr>
                  </w:pPr>
                  <w:r>
                    <w:rPr>
                      <w:rFonts w:hint="eastAsia" w:ascii="Times New Roman" w:hAnsi="Times New Roman" w:eastAsia="宋体"/>
                      <w:kern w:val="0"/>
                      <w:sz w:val="21"/>
                      <w:szCs w:val="18"/>
                      <w:u w:val="none"/>
                      <w:lang w:val="en-US" w:eastAsia="zh-CN"/>
                    </w:rPr>
                    <w:t>损伤性废物（841-002-01）、</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kern w:val="0"/>
                      <w:sz w:val="21"/>
                      <w:szCs w:val="18"/>
                      <w:u w:val="none"/>
                      <w:lang w:val="en-US" w:eastAsia="zh-CN"/>
                    </w:rPr>
                  </w:pPr>
                  <w:r>
                    <w:rPr>
                      <w:rFonts w:hint="eastAsia" w:ascii="Times New Roman" w:hAnsi="Times New Roman" w:eastAsia="宋体"/>
                      <w:kern w:val="0"/>
                      <w:sz w:val="21"/>
                      <w:szCs w:val="18"/>
                      <w:u w:val="none"/>
                      <w:lang w:val="en-US" w:eastAsia="zh-CN"/>
                    </w:rPr>
                    <w:t>病理性废物（841-003-01）、</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kern w:val="0"/>
                      <w:sz w:val="21"/>
                      <w:szCs w:val="18"/>
                      <w:u w:val="none"/>
                      <w:lang w:val="en-US" w:eastAsia="zh-CN"/>
                    </w:rPr>
                  </w:pPr>
                  <w:r>
                    <w:rPr>
                      <w:rFonts w:hint="eastAsia" w:ascii="Times New Roman" w:hAnsi="Times New Roman" w:eastAsia="宋体"/>
                      <w:kern w:val="0"/>
                      <w:sz w:val="21"/>
                      <w:szCs w:val="18"/>
                      <w:u w:val="none"/>
                      <w:lang w:val="en-US" w:eastAsia="zh-CN"/>
                    </w:rPr>
                    <w:t>化学性废物（841-004-01）、</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kern w:val="0"/>
                      <w:sz w:val="21"/>
                      <w:szCs w:val="18"/>
                      <w:u w:val="none"/>
                      <w:lang w:val="en-US" w:eastAsia="zh-CN"/>
                    </w:rPr>
                  </w:pPr>
                  <w:r>
                    <w:rPr>
                      <w:rFonts w:hint="eastAsia" w:ascii="Times New Roman" w:hAnsi="Times New Roman" w:eastAsia="宋体"/>
                      <w:kern w:val="0"/>
                      <w:sz w:val="21"/>
                      <w:szCs w:val="18"/>
                      <w:u w:val="none"/>
                      <w:lang w:val="en-US" w:eastAsia="zh-CN"/>
                    </w:rPr>
                    <w:t>药物性废物（841-005-01）</w:t>
                  </w:r>
                </w:p>
              </w:tc>
              <w:tc>
                <w:tcPr>
                  <w:tcW w:w="19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分类收集包装，进入危废暂存间</w:t>
                  </w:r>
                </w:p>
              </w:tc>
              <w:tc>
                <w:tcPr>
                  <w:tcW w:w="166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交由有资质的单位处置</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kern w:val="0"/>
                      <w:sz w:val="21"/>
                      <w:szCs w:val="18"/>
                      <w:u w:val="none"/>
                      <w:lang w:val="en-US" w:eastAsia="zh-CN"/>
                    </w:rPr>
                  </w:pPr>
                  <w:r>
                    <w:rPr>
                      <w:rFonts w:ascii="Times New Roman" w:hAnsi="Times New Roman" w:eastAsia="宋体"/>
                      <w:kern w:val="0"/>
                      <w:sz w:val="21"/>
                      <w:szCs w:val="18"/>
                      <w:u w:val="none"/>
                    </w:rPr>
                    <w:t>HW0</w:t>
                  </w:r>
                  <w:r>
                    <w:rPr>
                      <w:rFonts w:hint="eastAsia" w:ascii="Times New Roman" w:hAnsi="Times New Roman" w:eastAsia="宋体"/>
                      <w:kern w:val="0"/>
                      <w:sz w:val="21"/>
                      <w:szCs w:val="18"/>
                      <w:u w:val="none"/>
                      <w:lang w:val="en-US" w:eastAsia="zh-CN"/>
                    </w:rPr>
                    <w:t>3</w:t>
                  </w:r>
                  <w:r>
                    <w:rPr>
                      <w:rFonts w:ascii="Times New Roman" w:hAnsi="Times New Roman" w:eastAsia="宋体"/>
                      <w:kern w:val="0"/>
                      <w:sz w:val="21"/>
                      <w:szCs w:val="18"/>
                      <w:u w:val="none"/>
                    </w:rPr>
                    <w:t>：</w:t>
                  </w:r>
                  <w:r>
                    <w:rPr>
                      <w:rFonts w:hint="eastAsia" w:ascii="Times New Roman" w:hAnsi="Times New Roman" w:eastAsia="宋体"/>
                      <w:kern w:val="0"/>
                      <w:sz w:val="21"/>
                      <w:szCs w:val="18"/>
                      <w:u w:val="none"/>
                      <w:lang w:val="en-US" w:eastAsia="zh-CN"/>
                    </w:rPr>
                    <w:t>废药物、药品</w:t>
                  </w:r>
                </w:p>
              </w:tc>
              <w:tc>
                <w:tcPr>
                  <w:tcW w:w="3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kern w:val="0"/>
                      <w:sz w:val="21"/>
                      <w:szCs w:val="18"/>
                      <w:u w:val="none"/>
                    </w:rPr>
                  </w:pPr>
                  <w:r>
                    <w:rPr>
                      <w:rFonts w:ascii="Times New Roman" w:hAnsi="Times New Roman" w:eastAsia="宋体"/>
                      <w:kern w:val="0"/>
                      <w:sz w:val="21"/>
                      <w:szCs w:val="18"/>
                      <w:u w:val="none"/>
                    </w:rPr>
                    <w:t>失效、变质、不合格、淘汰、伪劣的药物和药品（900-002-03）</w:t>
                  </w:r>
                </w:p>
              </w:tc>
              <w:tc>
                <w:tcPr>
                  <w:tcW w:w="1909" w:type="dxa"/>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kern w:val="0"/>
                      <w:sz w:val="21"/>
                      <w:szCs w:val="18"/>
                      <w:u w:val="none"/>
                      <w:lang w:val="en-US" w:eastAsia="zh-CN"/>
                    </w:rPr>
                  </w:pPr>
                  <w:r>
                    <w:rPr>
                      <w:rFonts w:hint="eastAsia" w:ascii="Times New Roman" w:hAnsi="Times New Roman" w:eastAsia="宋体"/>
                      <w:kern w:val="0"/>
                      <w:sz w:val="21"/>
                      <w:szCs w:val="18"/>
                      <w:u w:val="none"/>
                      <w:lang w:val="en-US" w:eastAsia="zh-CN"/>
                    </w:rPr>
                    <w:t>分类收集包装，进入危废暂存间</w:t>
                  </w:r>
                </w:p>
              </w:tc>
              <w:tc>
                <w:tcPr>
                  <w:tcW w:w="1662" w:type="dxa"/>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kern w:val="0"/>
                      <w:sz w:val="21"/>
                      <w:szCs w:val="18"/>
                      <w:u w:val="none"/>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kern w:val="0"/>
                      <w:sz w:val="21"/>
                      <w:szCs w:val="18"/>
                      <w:u w:val="none"/>
                      <w:lang w:val="en-US" w:eastAsia="zh-CN"/>
                    </w:rPr>
                  </w:pPr>
                  <w:r>
                    <w:rPr>
                      <w:rFonts w:hint="eastAsia"/>
                      <w:kern w:val="0"/>
                      <w:sz w:val="21"/>
                      <w:szCs w:val="18"/>
                      <w:u w:val="none"/>
                      <w:lang w:val="en-US" w:eastAsia="zh-CN"/>
                    </w:rPr>
                    <w:t>化粪池</w:t>
                  </w:r>
                </w:p>
              </w:tc>
              <w:tc>
                <w:tcPr>
                  <w:tcW w:w="3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kern w:val="0"/>
                      <w:sz w:val="21"/>
                      <w:szCs w:val="18"/>
                      <w:u w:val="none"/>
                      <w:lang w:val="en-US" w:eastAsia="zh-CN"/>
                    </w:rPr>
                  </w:pPr>
                  <w:r>
                    <w:rPr>
                      <w:rFonts w:hint="eastAsia"/>
                      <w:kern w:val="0"/>
                      <w:sz w:val="21"/>
                      <w:szCs w:val="18"/>
                      <w:u w:val="none"/>
                      <w:lang w:val="en-US" w:eastAsia="zh-CN"/>
                    </w:rPr>
                    <w:t>污泥</w:t>
                  </w:r>
                </w:p>
              </w:tc>
              <w:tc>
                <w:tcPr>
                  <w:tcW w:w="19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kern w:val="0"/>
                      <w:sz w:val="21"/>
                      <w:szCs w:val="18"/>
                      <w:u w:val="none"/>
                      <w:lang w:val="en-US" w:eastAsia="zh-CN"/>
                    </w:rPr>
                  </w:pPr>
                  <w:r>
                    <w:rPr>
                      <w:rFonts w:hint="eastAsia" w:ascii="Times New Roman" w:hAnsi="Times New Roman" w:eastAsia="宋体"/>
                      <w:kern w:val="0"/>
                      <w:sz w:val="21"/>
                      <w:szCs w:val="18"/>
                      <w:u w:val="none"/>
                      <w:lang w:val="en-US" w:eastAsia="zh-CN"/>
                    </w:rPr>
                    <w:t>消毒</w:t>
                  </w:r>
                </w:p>
              </w:tc>
              <w:tc>
                <w:tcPr>
                  <w:tcW w:w="166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kern w:val="0"/>
                      <w:sz w:val="21"/>
                      <w:szCs w:val="18"/>
                      <w:u w:val="none"/>
                    </w:rPr>
                  </w:pPr>
                </w:p>
              </w:tc>
            </w:tr>
          </w:tbl>
          <w:p>
            <w:pPr>
              <w:pStyle w:val="98"/>
              <w:ind w:firstLine="480"/>
              <w:rPr>
                <w:rFonts w:hint="eastAsia"/>
                <w:sz w:val="24"/>
                <w:szCs w:val="24"/>
                <w:u w:val="none"/>
              </w:rPr>
            </w:pPr>
            <w:r>
              <w:rPr>
                <w:rFonts w:hint="eastAsia"/>
                <w:sz w:val="24"/>
                <w:szCs w:val="24"/>
                <w:u w:val="none"/>
                <w:lang w:val="en-US" w:eastAsia="zh-CN"/>
              </w:rPr>
              <w:t>本项目医疗废物、化粪池污泥及废药物、药品依托于花垣县疾控中心现有医废暂存间（63m</w:t>
            </w:r>
            <w:r>
              <w:rPr>
                <w:rFonts w:hint="eastAsia"/>
                <w:sz w:val="24"/>
                <w:szCs w:val="24"/>
                <w:u w:val="none"/>
                <w:vertAlign w:val="superscript"/>
                <w:lang w:val="en-US" w:eastAsia="zh-CN"/>
              </w:rPr>
              <w:t>2</w:t>
            </w:r>
            <w:r>
              <w:rPr>
                <w:rFonts w:hint="eastAsia"/>
                <w:sz w:val="24"/>
                <w:szCs w:val="24"/>
                <w:u w:val="none"/>
                <w:lang w:val="en-US" w:eastAsia="zh-CN"/>
              </w:rPr>
              <w:t>）暂存。花垣县疾控中心在现有医疗废物暂存间内无偿提供20m</w:t>
            </w:r>
            <w:r>
              <w:rPr>
                <w:rFonts w:hint="eastAsia"/>
                <w:sz w:val="24"/>
                <w:szCs w:val="24"/>
                <w:u w:val="none"/>
                <w:vertAlign w:val="superscript"/>
                <w:lang w:val="en-US" w:eastAsia="zh-CN"/>
              </w:rPr>
              <w:t>2</w:t>
            </w:r>
            <w:r>
              <w:rPr>
                <w:rFonts w:hint="eastAsia"/>
                <w:sz w:val="24"/>
                <w:szCs w:val="24"/>
                <w:u w:val="none"/>
                <w:lang w:val="en-US" w:eastAsia="zh-CN"/>
              </w:rPr>
              <w:t>用于本项目医疗废物的暂存。</w:t>
            </w:r>
            <w:r>
              <w:rPr>
                <w:rFonts w:hint="eastAsia"/>
                <w:sz w:val="24"/>
                <w:szCs w:val="24"/>
                <w:u w:val="none"/>
              </w:rPr>
              <w:t>医疗废物和废药物、药品分类收集包装后暂存于</w:t>
            </w:r>
            <w:r>
              <w:rPr>
                <w:rFonts w:hint="eastAsia"/>
                <w:sz w:val="24"/>
                <w:szCs w:val="24"/>
                <w:u w:val="none"/>
                <w:lang w:val="en-US" w:eastAsia="zh-CN"/>
              </w:rPr>
              <w:t>医废间</w:t>
            </w:r>
            <w:r>
              <w:rPr>
                <w:rFonts w:hint="eastAsia"/>
                <w:sz w:val="24"/>
                <w:szCs w:val="24"/>
                <w:u w:val="none"/>
              </w:rPr>
              <w:t>后交由有资质的单位处理，院内设有污泥收集桶，</w:t>
            </w:r>
            <w:r>
              <w:rPr>
                <w:rFonts w:hint="eastAsia"/>
                <w:sz w:val="24"/>
                <w:szCs w:val="24"/>
                <w:u w:val="none"/>
                <w:lang w:val="en-US" w:eastAsia="zh-CN"/>
              </w:rPr>
              <w:t>污泥经浓缩后</w:t>
            </w:r>
            <w:r>
              <w:rPr>
                <w:rFonts w:hint="eastAsia"/>
                <w:sz w:val="24"/>
                <w:szCs w:val="24"/>
                <w:u w:val="none"/>
              </w:rPr>
              <w:t>人工投加漂白粉进行消毒干化，密闭封袋后送至</w:t>
            </w:r>
            <w:r>
              <w:rPr>
                <w:rFonts w:hint="eastAsia"/>
                <w:sz w:val="24"/>
                <w:szCs w:val="24"/>
                <w:u w:val="none"/>
                <w:lang w:val="en-US" w:eastAsia="zh-CN"/>
              </w:rPr>
              <w:t>医废</w:t>
            </w:r>
            <w:r>
              <w:rPr>
                <w:rFonts w:hint="eastAsia"/>
                <w:sz w:val="24"/>
                <w:szCs w:val="24"/>
                <w:u w:val="none"/>
              </w:rPr>
              <w:t>间进行暂存，按照感染性废物处理。</w:t>
            </w:r>
          </w:p>
          <w:p>
            <w:pPr>
              <w:widowControl w:val="0"/>
              <w:wordWrap w:val="0"/>
              <w:topLinePunct/>
              <w:spacing w:line="360" w:lineRule="auto"/>
              <w:jc w:val="both"/>
              <w:rPr>
                <w:rFonts w:hint="default" w:ascii="Times New Roman" w:hAnsi="Times New Roman" w:eastAsia="宋体" w:cs="Times New Roman"/>
                <w:b/>
                <w:bCs/>
                <w:color w:val="auto"/>
                <w:u w:val="none" w:color="auto"/>
                <w:lang w:val="en-US" w:bidi="zh-CN"/>
              </w:rPr>
            </w:pPr>
            <w:r>
              <w:rPr>
                <w:rFonts w:hint="eastAsia" w:ascii="Times New Roman" w:hAnsi="Times New Roman" w:eastAsia="宋体" w:cs="Times New Roman"/>
                <w:b/>
                <w:bCs/>
                <w:color w:val="000000"/>
                <w:kern w:val="2"/>
                <w:sz w:val="24"/>
                <w:szCs w:val="20"/>
                <w:u w:val="none" w:color="auto"/>
                <w:lang w:val="en-US" w:eastAsia="zh-CN" w:bidi="ar-SA"/>
              </w:rPr>
              <w:t>4</w:t>
            </w:r>
            <w:r>
              <w:rPr>
                <w:rFonts w:ascii="Times New Roman" w:hAnsi="Times New Roman" w:eastAsia="宋体" w:cs="Times New Roman"/>
                <w:b/>
                <w:bCs/>
                <w:color w:val="000000"/>
                <w:kern w:val="2"/>
                <w:sz w:val="24"/>
                <w:szCs w:val="20"/>
                <w:u w:val="none" w:color="auto"/>
                <w:lang w:val="en-US" w:eastAsia="zh-CN" w:bidi="ar-SA"/>
              </w:rPr>
              <w:t>.</w:t>
            </w:r>
            <w:r>
              <w:rPr>
                <w:rFonts w:hint="eastAsia" w:ascii="Times New Roman" w:hAnsi="Times New Roman" w:eastAsia="宋体" w:cs="Times New Roman"/>
                <w:b/>
                <w:bCs/>
                <w:color w:val="000000"/>
                <w:kern w:val="2"/>
                <w:sz w:val="24"/>
                <w:szCs w:val="20"/>
                <w:u w:val="none" w:color="auto"/>
                <w:lang w:val="en-US" w:eastAsia="zh-CN" w:bidi="ar-SA"/>
              </w:rPr>
              <w:t>3环境管理要求</w:t>
            </w:r>
          </w:p>
          <w:p>
            <w:pPr>
              <w:pStyle w:val="98"/>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b w:val="0"/>
                <w:bCs w:val="0"/>
                <w:sz w:val="24"/>
                <w:u w:val="none"/>
                <w:lang w:eastAsia="zh-CN"/>
              </w:rPr>
            </w:pPr>
            <w:r>
              <w:rPr>
                <w:rFonts w:hint="eastAsia"/>
                <w:b w:val="0"/>
                <w:bCs w:val="0"/>
                <w:sz w:val="24"/>
                <w:u w:val="none"/>
                <w:lang w:eastAsia="zh-CN"/>
              </w:rPr>
              <w:t>本环评要求建设单位严格按照《医疗废物专用包装袋、容器和警示标志标准》（HJ421-2008）和《危险废物贮存污染控制标准》（GB18597-2023）中的有关规定进行整改。医疗废物临时暂存时必须满足《危险废物贮存污染控制标准》（GB18597-2023）和《危险废物转移管理办法》中的相关规定，且转运包装及管理满足《医疗卫生机构医疗废物管理办法》和《医疗废物专用包装袋、容器和警示标注标准》（HJ421-2008）中的相应规定。本项目医疗废物经分类收集暂存于</w:t>
            </w:r>
            <w:r>
              <w:rPr>
                <w:rFonts w:hint="eastAsia"/>
                <w:b w:val="0"/>
                <w:bCs w:val="0"/>
                <w:sz w:val="24"/>
                <w:u w:val="none"/>
                <w:lang w:val="en-US" w:eastAsia="zh-CN"/>
              </w:rPr>
              <w:t>医废</w:t>
            </w:r>
            <w:r>
              <w:rPr>
                <w:rFonts w:hint="eastAsia"/>
                <w:b w:val="0"/>
                <w:bCs w:val="0"/>
                <w:sz w:val="24"/>
                <w:u w:val="none"/>
                <w:lang w:eastAsia="zh-CN"/>
              </w:rPr>
              <w:t>间中，定期由密封车送至资质单位处理，做到无害化处置、防止二次污染。</w:t>
            </w:r>
          </w:p>
          <w:p>
            <w:pPr>
              <w:pStyle w:val="98"/>
              <w:ind w:firstLine="480"/>
              <w:rPr>
                <w:rFonts w:hint="eastAsia"/>
                <w:sz w:val="24"/>
                <w:szCs w:val="24"/>
                <w:u w:val="none"/>
              </w:rPr>
            </w:pPr>
            <w:r>
              <w:rPr>
                <w:rFonts w:hint="eastAsia"/>
                <w:b/>
                <w:bCs/>
                <w:sz w:val="24"/>
                <w:u w:val="none"/>
                <w:lang w:val="en-US" w:eastAsia="zh-CN"/>
              </w:rPr>
              <w:t>医疗废物暂存管理要求</w:t>
            </w:r>
            <w:r>
              <w:rPr>
                <w:rFonts w:hint="eastAsia"/>
                <w:sz w:val="24"/>
                <w:u w:val="none"/>
              </w:rPr>
              <w:t>：医疗废物的暂时贮存设施、设备，不得露天存放医疗废物，医疗废物暂存时间不得超过2d；医院产生的临床废物，必须当日消毒，然后装入容器。常温下储存期不得超过1d，于5℃以下冷藏的，不得超过7d。医疗废物的暂时贮存设施、设备，应当远离医疗区、食品加工区和人员活动区以及生活垃圾存放场所，并设置防渗漏、防鼠、防蚊蝇、防蟑螂、防盗以及预防儿童接触等安全措施。医疗废物的暂时贮存设施、设备应当定期消毒和清洁，必须满足《危险废物贮存污染控制标准》（GB18597-2023）；危险废物暂存设施按照GB15562.2的规定设置警示标志；危险废物暂存设施应配备通讯设备、照明设施、安全防护服装及工具，并设有应急防护设施；定期对储存危险废物包装容器及储存设施进行检查，如发现破损，应及时采取措施清理更换；医院须做好危险废物情况的记录，记录须注明危险废物的名称、来源、数量、特征和包装容器的类别、入库日期、存放库位、废物出库日期及</w:t>
            </w:r>
            <w:r>
              <w:rPr>
                <w:rFonts w:hint="eastAsia"/>
                <w:sz w:val="24"/>
                <w:u w:val="none"/>
                <w:lang w:val="en-US" w:eastAsia="zh-CN"/>
              </w:rPr>
              <w:t>接收单位名称；泄露液、清洗液、浸出液须符合GB8978的要求方可排放，气体导出口排放的气体须经处理后，应满足GB16297和GB14554的要求；危险废物暂存容器应完好无损并满足相应的强度要求，且容器材质和衬里不得与危险废物相互反应，盛装危险废物的容器须粘贴相应的标签；无法装入常用容器的危险废物可用防漏胶袋等盛装。同时为进一步加强医疗废物的管理，本环评对医疗废物的分类收集管理、暂存管理、转运及交接管理提出如下要求</w:t>
            </w:r>
            <w:r>
              <w:rPr>
                <w:rFonts w:hint="eastAsia"/>
                <w:sz w:val="24"/>
                <w:szCs w:val="24"/>
                <w:u w:val="none"/>
              </w:rPr>
              <w:t>。</w:t>
            </w:r>
          </w:p>
          <w:p>
            <w:pPr>
              <w:pStyle w:val="98"/>
              <w:ind w:firstLine="480"/>
              <w:rPr>
                <w:rFonts w:hint="eastAsia"/>
                <w:sz w:val="24"/>
                <w:szCs w:val="24"/>
                <w:u w:val="none"/>
              </w:rPr>
            </w:pPr>
            <w:r>
              <w:rPr>
                <w:rFonts w:hint="eastAsia"/>
                <w:sz w:val="24"/>
                <w:szCs w:val="24"/>
                <w:u w:val="none"/>
              </w:rPr>
              <w:t>①分类收集管理</w:t>
            </w:r>
          </w:p>
          <w:p>
            <w:pPr>
              <w:pStyle w:val="98"/>
              <w:ind w:firstLine="480"/>
              <w:rPr>
                <w:rFonts w:hint="eastAsia"/>
                <w:sz w:val="24"/>
                <w:szCs w:val="24"/>
                <w:u w:val="none"/>
              </w:rPr>
            </w:pPr>
            <w:r>
              <w:rPr>
                <w:rFonts w:hint="eastAsia"/>
                <w:sz w:val="24"/>
                <w:szCs w:val="24"/>
                <w:u w:val="none"/>
              </w:rPr>
              <w:t>医疗废物必须按照《医疗废物分类名录》实施分类收集，医院废物遵循在废物收集处理过程中，将带有传染性的垃圾废料和不带传染性的严格分开，并按照类别分置于防渗漏、防锐器穿透的专用包装物或者密闭的容器类，其专用包装袋、容器应符合《医疗废物专用包装物、容器和警示标志标准》规定。严禁随地放置或丢弃医疗废物。医疗废物先进行灭菌消毒预处理后，用专用医疗废物袋（红色、黑色、黄色），再分类包装。其中：红色：纱布、棉球、手纸、手术服、各类手术残余物及各类受污染的纤维制品；黑色：一次性针头，玻璃器皿及各类金属毁形物；黄色：一次性输液管、注射器及相关塑料制品。</w:t>
            </w:r>
          </w:p>
          <w:p>
            <w:pPr>
              <w:pStyle w:val="98"/>
              <w:ind w:firstLine="480"/>
              <w:rPr>
                <w:rFonts w:hint="eastAsia"/>
                <w:sz w:val="24"/>
                <w:szCs w:val="24"/>
                <w:u w:val="none"/>
              </w:rPr>
            </w:pPr>
            <w:r>
              <w:rPr>
                <w:rFonts w:hint="eastAsia"/>
                <w:sz w:val="24"/>
                <w:szCs w:val="24"/>
                <w:u w:val="none"/>
              </w:rPr>
              <w:t>②暂存管理</w:t>
            </w:r>
          </w:p>
          <w:p>
            <w:pPr>
              <w:pStyle w:val="98"/>
              <w:ind w:firstLine="480"/>
              <w:rPr>
                <w:rFonts w:hint="eastAsia"/>
                <w:sz w:val="24"/>
                <w:szCs w:val="24"/>
                <w:u w:val="none"/>
              </w:rPr>
            </w:pPr>
            <w:r>
              <w:rPr>
                <w:rFonts w:hint="eastAsia"/>
                <w:sz w:val="24"/>
                <w:szCs w:val="24"/>
                <w:u w:val="none"/>
              </w:rPr>
              <w:t>不得露天存放医疗废物，医疗废物暂时贮存的时间不超过2天；危废间应有封闭措施，避免阳光直射，有良好的照明设备和通风条件，应当远离医疗区，明显处需设置国家规定的危险废物和医疗废物警示标识，暂存间应建设耐腐蚀、防渗的地面和墙群，同时做好防蚊虫，防蟑螂，防盗以及预防儿童接触的安全措施；危废间应当定期消毒和清洁，满足《危险废物贮存污染控制标准》（GBl8597-2023）和《医疗废物集中处置技术规范（试行）》。</w:t>
            </w:r>
          </w:p>
          <w:p>
            <w:pPr>
              <w:pStyle w:val="98"/>
              <w:ind w:firstLine="480"/>
              <w:rPr>
                <w:rFonts w:hint="eastAsia"/>
                <w:sz w:val="24"/>
                <w:szCs w:val="24"/>
                <w:u w:val="none"/>
              </w:rPr>
            </w:pPr>
            <w:r>
              <w:rPr>
                <w:rFonts w:hint="eastAsia"/>
                <w:sz w:val="24"/>
                <w:szCs w:val="24"/>
                <w:u w:val="none"/>
              </w:rPr>
              <w:t>③转运管理</w:t>
            </w:r>
          </w:p>
          <w:p>
            <w:pPr>
              <w:pStyle w:val="98"/>
              <w:ind w:firstLine="480"/>
              <w:rPr>
                <w:rFonts w:hint="eastAsia"/>
                <w:sz w:val="24"/>
                <w:szCs w:val="24"/>
                <w:u w:val="none"/>
                <w:lang w:eastAsia="zh-CN"/>
              </w:rPr>
            </w:pPr>
            <w:r>
              <w:rPr>
                <w:rFonts w:hint="eastAsia"/>
                <w:sz w:val="24"/>
                <w:szCs w:val="24"/>
                <w:u w:val="none"/>
              </w:rPr>
              <w:t>根据《医疗废物管理条例》规定，医疗机构在收集医疗废物的过程中应该固定线路。医疗废物产生科室→操作人员进行分类处理集中置入转运箱（交接签字）→经走廊楼梯运至危废间（交接签字）→医疗废物转运车转运（交接签字）</w:t>
            </w:r>
            <w:r>
              <w:rPr>
                <w:rFonts w:hint="eastAsia"/>
                <w:sz w:val="24"/>
                <w:szCs w:val="24"/>
                <w:u w:val="none"/>
                <w:lang w:eastAsia="zh-CN"/>
              </w:rPr>
              <w:t>。</w:t>
            </w:r>
          </w:p>
          <w:p>
            <w:pPr>
              <w:pStyle w:val="98"/>
              <w:numPr>
                <w:ilvl w:val="0"/>
                <w:numId w:val="3"/>
              </w:numPr>
              <w:ind w:firstLine="480"/>
              <w:rPr>
                <w:rFonts w:hint="eastAsia"/>
                <w:sz w:val="24"/>
                <w:szCs w:val="24"/>
                <w:u w:val="none"/>
                <w:lang w:eastAsia="zh-CN"/>
              </w:rPr>
            </w:pPr>
            <w:r>
              <w:rPr>
                <w:rFonts w:hint="eastAsia"/>
                <w:sz w:val="24"/>
                <w:szCs w:val="24"/>
                <w:u w:val="none"/>
                <w:lang w:eastAsia="zh-CN"/>
              </w:rPr>
              <w:t>负责转送医疗废物的人员在转运医疗废物时，应检查包装物或容器的标识及封口是否符合要求，不得转送没有标识或标识不明的医疗废物。</w:t>
            </w:r>
          </w:p>
          <w:p>
            <w:pPr>
              <w:pStyle w:val="98"/>
              <w:numPr>
                <w:ilvl w:val="0"/>
                <w:numId w:val="3"/>
              </w:numPr>
              <w:ind w:firstLine="480"/>
              <w:rPr>
                <w:rFonts w:hint="eastAsia"/>
                <w:sz w:val="24"/>
                <w:szCs w:val="24"/>
                <w:u w:val="none"/>
                <w:lang w:eastAsia="zh-CN"/>
              </w:rPr>
            </w:pPr>
            <w:r>
              <w:rPr>
                <w:rFonts w:hint="eastAsia"/>
                <w:sz w:val="24"/>
                <w:szCs w:val="24"/>
                <w:u w:val="none"/>
                <w:lang w:eastAsia="zh-CN"/>
              </w:rPr>
              <w:t>运送人员每天从医疗废物产生地收集分类包装的医疗废物，并按规定的路线送至院内指定的暂存间。</w:t>
            </w:r>
          </w:p>
          <w:p>
            <w:pPr>
              <w:pStyle w:val="98"/>
              <w:ind w:firstLine="480"/>
              <w:rPr>
                <w:rFonts w:hint="eastAsia"/>
                <w:sz w:val="24"/>
                <w:szCs w:val="24"/>
                <w:u w:val="none"/>
                <w:lang w:eastAsia="zh-CN"/>
              </w:rPr>
            </w:pPr>
            <w:r>
              <w:rPr>
                <w:rFonts w:hint="eastAsia"/>
                <w:sz w:val="24"/>
                <w:szCs w:val="24"/>
                <w:u w:val="none"/>
                <w:lang w:eastAsia="zh-CN"/>
              </w:rPr>
              <w:t>c、运送人员在运送医疗废物时，应防止造成包装物或容器破损和医疗废物的流失、泄漏和扩散，并防止医疗废物直接接触身体。</w:t>
            </w:r>
          </w:p>
          <w:p>
            <w:pPr>
              <w:pStyle w:val="98"/>
              <w:ind w:firstLine="480"/>
              <w:rPr>
                <w:rFonts w:hint="eastAsia"/>
                <w:sz w:val="24"/>
                <w:szCs w:val="24"/>
                <w:u w:val="none"/>
                <w:lang w:eastAsia="zh-CN"/>
              </w:rPr>
            </w:pPr>
            <w:r>
              <w:rPr>
                <w:rFonts w:hint="eastAsia"/>
                <w:sz w:val="24"/>
                <w:szCs w:val="24"/>
                <w:u w:val="none"/>
                <w:lang w:eastAsia="zh-CN"/>
              </w:rPr>
              <w:t>d、运送医疗废物应当使用防渗漏和遗撒，无锐利边角、易于装卸和清洁的专用运送工具。</w:t>
            </w:r>
          </w:p>
          <w:p>
            <w:pPr>
              <w:pStyle w:val="98"/>
              <w:ind w:firstLine="480"/>
              <w:rPr>
                <w:rFonts w:hint="eastAsia"/>
                <w:sz w:val="24"/>
                <w:szCs w:val="24"/>
                <w:u w:val="none"/>
                <w:lang w:eastAsia="zh-CN"/>
              </w:rPr>
            </w:pPr>
            <w:r>
              <w:rPr>
                <w:rFonts w:hint="eastAsia"/>
                <w:sz w:val="24"/>
                <w:szCs w:val="24"/>
                <w:u w:val="none"/>
                <w:lang w:eastAsia="zh-CN"/>
              </w:rPr>
              <w:t>e、每天转送结束后，应当对转送工具进行清洁和消毒处理后备用。</w:t>
            </w:r>
          </w:p>
          <w:p>
            <w:pPr>
              <w:pStyle w:val="98"/>
              <w:ind w:firstLine="480"/>
              <w:rPr>
                <w:rFonts w:hint="eastAsia"/>
                <w:sz w:val="24"/>
                <w:szCs w:val="24"/>
                <w:u w:val="none"/>
                <w:lang w:eastAsia="zh-CN"/>
              </w:rPr>
            </w:pPr>
            <w:r>
              <w:rPr>
                <w:rFonts w:hint="eastAsia"/>
                <w:sz w:val="24"/>
                <w:szCs w:val="24"/>
                <w:u w:val="none"/>
                <w:lang w:eastAsia="zh-CN"/>
              </w:rPr>
              <w:t>④交接管理</w:t>
            </w:r>
          </w:p>
          <w:p>
            <w:pPr>
              <w:pStyle w:val="98"/>
              <w:ind w:firstLine="480"/>
              <w:rPr>
                <w:rFonts w:hint="eastAsia"/>
                <w:sz w:val="24"/>
                <w:szCs w:val="24"/>
                <w:u w:val="none"/>
                <w:lang w:eastAsia="zh-CN"/>
              </w:rPr>
            </w:pPr>
            <w:r>
              <w:rPr>
                <w:rFonts w:hint="eastAsia"/>
                <w:sz w:val="24"/>
                <w:szCs w:val="24"/>
                <w:u w:val="none"/>
                <w:lang w:eastAsia="zh-CN"/>
              </w:rPr>
              <w:t>医疗废物交接后应对危废间及时进行清洁和消毒处理。交予处置的医疗废物采用危险废物转移联单管理。危险废物转移联单（医疗废物专用）一式二份，每月一张，由处置单位医疗废物运行人员和医院医疗废物管理人员交接时填写，医院和处置单位分别保存，保存时间为5年。每车每次运送的医疗废物采用《医疗废物运送登记卡》管理，一车一卡，由医疗卫生机构医疗废物管理人员交接时填写并签字。当医疗废物运至处置单位时，处置单位接受人员确认该登记卡上填写的医疗废物数量真实、准确后签收。</w:t>
            </w:r>
          </w:p>
          <w:p>
            <w:pPr>
              <w:pStyle w:val="98"/>
              <w:ind w:firstLine="480"/>
              <w:rPr>
                <w:rFonts w:hint="eastAsia"/>
                <w:sz w:val="24"/>
                <w:szCs w:val="24"/>
                <w:u w:val="none"/>
                <w:lang w:eastAsia="zh-CN"/>
              </w:rPr>
            </w:pPr>
            <w:r>
              <w:rPr>
                <w:rFonts w:hint="eastAsia"/>
                <w:sz w:val="24"/>
                <w:szCs w:val="24"/>
                <w:u w:val="none"/>
                <w:lang w:eastAsia="zh-CN"/>
              </w:rPr>
              <w:t>综上，项目营运期只要做好医疗废物的分类收集、管理及处置工作，并加强对资质单位的有效监督，产生的医疗废物不会对周边环境产生污染。</w:t>
            </w:r>
          </w:p>
          <w:p>
            <w:pPr>
              <w:pStyle w:val="161"/>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5、地下水、土壤环境影响分析</w:t>
            </w:r>
          </w:p>
          <w:p>
            <w:pPr>
              <w:pStyle w:val="98"/>
              <w:ind w:firstLine="480"/>
              <w:rPr>
                <w:sz w:val="24"/>
                <w:szCs w:val="24"/>
              </w:rPr>
            </w:pPr>
            <w:r>
              <w:rPr>
                <w:rFonts w:hint="eastAsia"/>
                <w:sz w:val="24"/>
                <w:szCs w:val="24"/>
              </w:rPr>
              <w:t>（1）评价等级</w:t>
            </w:r>
          </w:p>
          <w:p>
            <w:pPr>
              <w:pStyle w:val="98"/>
              <w:ind w:firstLine="480"/>
              <w:rPr>
                <w:rFonts w:ascii="宋体" w:hAnsi="宋体" w:cs="宋体"/>
                <w:sz w:val="24"/>
                <w:szCs w:val="24"/>
                <w:u w:val="none"/>
              </w:rPr>
            </w:pPr>
            <w:r>
              <w:rPr>
                <w:rFonts w:hint="eastAsia" w:ascii="宋体" w:hAnsi="宋体" w:cs="宋体"/>
                <w:sz w:val="24"/>
                <w:szCs w:val="24"/>
                <w:u w:val="none"/>
              </w:rPr>
              <w:t>①地下水</w:t>
            </w:r>
          </w:p>
          <w:p>
            <w:pPr>
              <w:pStyle w:val="98"/>
              <w:ind w:firstLine="480"/>
              <w:rPr>
                <w:rFonts w:ascii="宋体" w:hAnsi="宋体" w:cs="宋体"/>
                <w:sz w:val="24"/>
                <w:szCs w:val="24"/>
                <w:u w:val="none"/>
              </w:rPr>
            </w:pPr>
            <w:r>
              <w:rPr>
                <w:rFonts w:hint="default" w:ascii="Times New Roman" w:hAnsi="Times New Roman" w:cs="Times New Roman"/>
                <w:sz w:val="24"/>
                <w:szCs w:val="24"/>
                <w:u w:val="none"/>
              </w:rPr>
              <w:t>根据《环境影响评价技术导则 地下水环境》（HJ610-2016）中附录A，本项目所属行业属于IV类</w:t>
            </w:r>
            <w:r>
              <w:rPr>
                <w:rFonts w:hint="eastAsia" w:ascii="宋体" w:hAnsi="宋体" w:cs="宋体"/>
                <w:sz w:val="24"/>
                <w:szCs w:val="24"/>
                <w:u w:val="none"/>
              </w:rPr>
              <w:t>。</w:t>
            </w:r>
          </w:p>
          <w:p>
            <w:pPr>
              <w:pStyle w:val="8"/>
              <w:keepNext/>
              <w:keepLines w:val="0"/>
              <w:pageBreakBefore w:val="0"/>
              <w:widowControl/>
              <w:kinsoku/>
              <w:wordWrap/>
              <w:overflowPunct/>
              <w:topLinePunct w:val="0"/>
              <w:autoSpaceDE/>
              <w:autoSpaceDN/>
              <w:bidi w:val="0"/>
              <w:adjustRightInd/>
              <w:snapToGrid/>
              <w:spacing w:line="240" w:lineRule="auto"/>
              <w:textAlignment w:val="auto"/>
              <w:rPr>
                <w:u w:val="none"/>
              </w:rPr>
            </w:pPr>
            <w:r>
              <w:rPr>
                <w:rFonts w:hint="eastAsia"/>
                <w:u w:val="none"/>
              </w:rPr>
              <w:t>表4-</w:t>
            </w:r>
            <w:r>
              <w:rPr>
                <w:rFonts w:hint="eastAsia"/>
                <w:u w:val="none"/>
                <w:lang w:val="en-US" w:eastAsia="zh-CN"/>
              </w:rPr>
              <w:t xml:space="preserve">17  </w:t>
            </w:r>
            <w:r>
              <w:rPr>
                <w:rFonts w:hint="eastAsia"/>
                <w:u w:val="none"/>
              </w:rPr>
              <w:t>地下水环境影响评价行业分类表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005"/>
              <w:gridCol w:w="1773"/>
              <w:gridCol w:w="1600"/>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pct"/>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sz w:val="21"/>
                      <w:szCs w:val="21"/>
                      <w:u w:val="none"/>
                      <w:lang w:val="en-US" w:eastAsia="zh-CN"/>
                    </w:rPr>
                  </w:pPr>
                  <w:r>
                    <w:rPr>
                      <w:rFonts w:cs="宋体"/>
                      <w:b/>
                      <w:sz w:val="21"/>
                      <w:szCs w:val="21"/>
                      <w:u w:val="none"/>
                      <w:lang w:val="en-US" w:eastAsia="zh-CN"/>
                    </w:rPr>
                    <w:t>环评类别</w:t>
                  </w:r>
                </w:p>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sz w:val="21"/>
                      <w:szCs w:val="21"/>
                      <w:u w:val="none"/>
                      <w:lang w:val="en-US" w:eastAsia="zh-CN"/>
                    </w:rPr>
                  </w:pPr>
                  <w:r>
                    <w:rPr>
                      <w:rFonts w:hint="eastAsia" w:cs="宋体"/>
                      <w:b/>
                      <w:sz w:val="21"/>
                      <w:szCs w:val="21"/>
                      <w:u w:val="none"/>
                      <w:lang w:val="en-US" w:eastAsia="zh-CN"/>
                    </w:rPr>
                    <w:t>行业类别</w:t>
                  </w:r>
                </w:p>
              </w:tc>
              <w:tc>
                <w:tcPr>
                  <w:tcW w:w="627" w:type="pct"/>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sz w:val="21"/>
                      <w:szCs w:val="21"/>
                      <w:u w:val="none"/>
                      <w:lang w:val="en-US" w:eastAsia="zh-CN"/>
                    </w:rPr>
                  </w:pPr>
                  <w:r>
                    <w:rPr>
                      <w:rFonts w:cs="宋体"/>
                      <w:b/>
                      <w:sz w:val="21"/>
                      <w:szCs w:val="21"/>
                      <w:u w:val="none"/>
                      <w:lang w:val="en-US" w:eastAsia="zh-CN"/>
                    </w:rPr>
                    <w:t>报告书</w:t>
                  </w:r>
                </w:p>
              </w:tc>
              <w:tc>
                <w:tcPr>
                  <w:tcW w:w="1107" w:type="pct"/>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sz w:val="21"/>
                      <w:szCs w:val="21"/>
                      <w:u w:val="none"/>
                      <w:lang w:val="en-US" w:eastAsia="zh-CN"/>
                    </w:rPr>
                  </w:pPr>
                  <w:r>
                    <w:rPr>
                      <w:rFonts w:cs="宋体"/>
                      <w:b/>
                      <w:sz w:val="21"/>
                      <w:szCs w:val="21"/>
                      <w:u w:val="none"/>
                      <w:lang w:val="en-US" w:eastAsia="zh-CN"/>
                    </w:rPr>
                    <w:t>报告表</w:t>
                  </w:r>
                </w:p>
              </w:tc>
              <w:tc>
                <w:tcPr>
                  <w:tcW w:w="1998" w:type="pct"/>
                  <w:gridSpan w:val="2"/>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sz w:val="21"/>
                      <w:szCs w:val="21"/>
                      <w:u w:val="none"/>
                      <w:lang w:val="en-US" w:eastAsia="zh-CN"/>
                    </w:rPr>
                  </w:pPr>
                  <w:r>
                    <w:rPr>
                      <w:rFonts w:cs="宋体"/>
                      <w:b/>
                      <w:sz w:val="21"/>
                      <w:szCs w:val="21"/>
                      <w:u w:val="none"/>
                      <w:lang w:val="en-US" w:eastAsia="zh-CN"/>
                    </w:rPr>
                    <w:t>地下水环境</w:t>
                  </w:r>
                  <w:r>
                    <w:rPr>
                      <w:rFonts w:hint="eastAsia" w:cs="宋体"/>
                      <w:b/>
                      <w:sz w:val="21"/>
                      <w:szCs w:val="21"/>
                      <w:u w:val="none"/>
                      <w:lang w:val="en-US" w:eastAsia="zh-CN"/>
                    </w:rPr>
                    <w:t>影响评价类别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u w:val="none"/>
                      <w:lang w:val="en-US" w:eastAsia="zh-CN"/>
                    </w:rPr>
                  </w:pPr>
                </w:p>
              </w:tc>
              <w:tc>
                <w:tcPr>
                  <w:tcW w:w="62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u w:val="none"/>
                      <w:lang w:val="en-US" w:eastAsia="zh-CN"/>
                    </w:rPr>
                  </w:pPr>
                </w:p>
              </w:tc>
              <w:tc>
                <w:tcPr>
                  <w:tcW w:w="1107" w:type="pct"/>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u w:val="none"/>
                      <w:lang w:val="en-US" w:eastAsia="zh-CN"/>
                    </w:rPr>
                  </w:pPr>
                </w:p>
              </w:tc>
              <w:tc>
                <w:tcPr>
                  <w:tcW w:w="999"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u w:val="none"/>
                      <w:lang w:val="en-US" w:eastAsia="zh-CN"/>
                    </w:rPr>
                  </w:pPr>
                  <w:r>
                    <w:rPr>
                      <w:rFonts w:cs="宋体"/>
                      <w:sz w:val="21"/>
                      <w:szCs w:val="21"/>
                      <w:u w:val="none"/>
                      <w:lang w:val="en-US" w:eastAsia="zh-CN"/>
                    </w:rPr>
                    <w:t>报告书</w:t>
                  </w:r>
                </w:p>
              </w:tc>
              <w:tc>
                <w:tcPr>
                  <w:tcW w:w="999"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u w:val="none"/>
                      <w:lang w:val="en-US" w:eastAsia="zh-CN"/>
                    </w:rPr>
                  </w:pPr>
                  <w:r>
                    <w:rPr>
                      <w:rFonts w:cs="宋体"/>
                      <w:sz w:val="21"/>
                      <w:szCs w:val="21"/>
                      <w:u w:val="none"/>
                      <w:lang w:val="en-US" w:eastAsia="zh-CN"/>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65"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u w:val="none"/>
                      <w:lang w:val="en-US" w:eastAsia="zh-CN"/>
                    </w:rPr>
                  </w:pPr>
                  <w:r>
                    <w:rPr>
                      <w:rFonts w:hint="eastAsia" w:cs="宋体"/>
                      <w:sz w:val="21"/>
                      <w:szCs w:val="21"/>
                      <w:u w:val="none"/>
                      <w:lang w:val="en-US" w:eastAsia="zh-CN"/>
                    </w:rPr>
                    <w:t>V社会事业与服务业 158、医院</w:t>
                  </w:r>
                </w:p>
              </w:tc>
              <w:tc>
                <w:tcPr>
                  <w:tcW w:w="627"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eastAsia" w:cs="宋体"/>
                      <w:sz w:val="21"/>
                      <w:szCs w:val="21"/>
                      <w:u w:val="none"/>
                      <w:lang w:val="en-US" w:eastAsia="zh-CN"/>
                    </w:rPr>
                  </w:pPr>
                  <w:r>
                    <w:rPr>
                      <w:rFonts w:hint="eastAsia" w:cs="宋体"/>
                      <w:sz w:val="21"/>
                      <w:szCs w:val="21"/>
                      <w:u w:val="none"/>
                      <w:lang w:val="en-US" w:eastAsia="zh-CN"/>
                    </w:rPr>
                    <w:t>新建、</w:t>
                  </w:r>
                </w:p>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cs="宋体"/>
                      <w:sz w:val="21"/>
                      <w:szCs w:val="21"/>
                      <w:u w:val="none"/>
                      <w:lang w:val="en-US" w:eastAsia="zh-CN"/>
                    </w:rPr>
                  </w:pPr>
                  <w:r>
                    <w:rPr>
                      <w:rFonts w:hint="eastAsia" w:cs="宋体"/>
                      <w:sz w:val="21"/>
                      <w:szCs w:val="21"/>
                      <w:u w:val="none"/>
                      <w:lang w:val="en-US" w:eastAsia="zh-CN"/>
                    </w:rPr>
                    <w:t>扩建</w:t>
                  </w:r>
                </w:p>
              </w:tc>
              <w:tc>
                <w:tcPr>
                  <w:tcW w:w="1107"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cs="宋体"/>
                      <w:sz w:val="21"/>
                      <w:szCs w:val="21"/>
                      <w:u w:val="none"/>
                      <w:lang w:val="en-US" w:eastAsia="zh-CN"/>
                    </w:rPr>
                  </w:pPr>
                  <w:r>
                    <w:rPr>
                      <w:rFonts w:hint="eastAsia" w:cs="宋体"/>
                      <w:sz w:val="21"/>
                      <w:szCs w:val="21"/>
                      <w:u w:val="none"/>
                      <w:lang w:val="en-US" w:eastAsia="zh-CN"/>
                    </w:rPr>
                    <w:t>其他</w:t>
                  </w:r>
                </w:p>
              </w:tc>
              <w:tc>
                <w:tcPr>
                  <w:tcW w:w="999"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u w:val="none"/>
                      <w:lang w:val="en-US" w:eastAsia="zh-CN"/>
                    </w:rPr>
                  </w:pPr>
                  <w:r>
                    <w:rPr>
                      <w:rFonts w:cs="宋体"/>
                      <w:sz w:val="21"/>
                      <w:szCs w:val="21"/>
                      <w:u w:val="none"/>
                      <w:lang w:val="en-US" w:eastAsia="zh-CN"/>
                    </w:rPr>
                    <w:t>三甲为Ⅲ类，其余Ⅳ类</w:t>
                  </w:r>
                </w:p>
              </w:tc>
              <w:tc>
                <w:tcPr>
                  <w:tcW w:w="999"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u w:val="none"/>
                      <w:lang w:val="en-US" w:eastAsia="zh-CN"/>
                    </w:rPr>
                  </w:pPr>
                  <w:r>
                    <w:rPr>
                      <w:rFonts w:cs="宋体"/>
                      <w:sz w:val="21"/>
                      <w:szCs w:val="21"/>
                      <w:u w:val="none"/>
                      <w:lang w:val="en-US" w:eastAsia="zh-CN"/>
                    </w:rPr>
                    <w:t>IV类</w:t>
                  </w:r>
                </w:p>
              </w:tc>
            </w:tr>
          </w:tbl>
          <w:p>
            <w:pPr>
              <w:pStyle w:val="98"/>
              <w:ind w:firstLine="480"/>
              <w:rPr>
                <w:rFonts w:hint="default" w:ascii="Times New Roman" w:hAnsi="Times New Roman" w:cs="Times New Roman"/>
                <w:sz w:val="24"/>
                <w:szCs w:val="24"/>
                <w:u w:val="none"/>
              </w:rPr>
            </w:pPr>
            <w:r>
              <w:rPr>
                <w:rFonts w:hint="default" w:ascii="Times New Roman" w:hAnsi="Times New Roman" w:cs="Times New Roman"/>
                <w:sz w:val="24"/>
                <w:szCs w:val="24"/>
                <w:u w:val="none"/>
              </w:rPr>
              <w:t>根据《环境影响评价技术导则 地下水环境》（HJ610-2016）中关于地下水环境影响评价工作等级划分的基本原则，IV类项目不开展地下水环境影响评价。</w:t>
            </w:r>
          </w:p>
          <w:p>
            <w:pPr>
              <w:pStyle w:val="98"/>
              <w:ind w:firstLine="480"/>
              <w:rPr>
                <w:rFonts w:ascii="宋体" w:hAnsi="宋体" w:cs="宋体"/>
                <w:sz w:val="24"/>
                <w:szCs w:val="24"/>
                <w:u w:val="none"/>
              </w:rPr>
            </w:pPr>
            <w:r>
              <w:rPr>
                <w:rFonts w:hint="eastAsia" w:ascii="宋体" w:hAnsi="宋体" w:cs="宋体"/>
                <w:sz w:val="24"/>
                <w:szCs w:val="24"/>
                <w:u w:val="none"/>
              </w:rPr>
              <w:t>②土壤</w:t>
            </w:r>
          </w:p>
          <w:p>
            <w:pPr>
              <w:pStyle w:val="98"/>
              <w:ind w:firstLine="480"/>
              <w:rPr>
                <w:rFonts w:hint="default" w:ascii="Times New Roman" w:hAnsi="Times New Roman" w:cs="Times New Roman"/>
                <w:sz w:val="24"/>
                <w:szCs w:val="24"/>
                <w:u w:val="none"/>
              </w:rPr>
            </w:pPr>
            <w:r>
              <w:rPr>
                <w:rFonts w:hint="default" w:ascii="Times New Roman" w:hAnsi="Times New Roman" w:cs="Times New Roman"/>
                <w:sz w:val="24"/>
                <w:szCs w:val="24"/>
                <w:u w:val="none"/>
              </w:rPr>
              <w:t>根据《环境影响评价技术导则 土壤环境（试行）》（HJ964</w:t>
            </w:r>
            <w:r>
              <w:rPr>
                <w:rFonts w:hint="eastAsia" w:cs="Times New Roman"/>
                <w:sz w:val="24"/>
                <w:szCs w:val="24"/>
                <w:u w:val="none"/>
                <w:lang w:val="en-US" w:eastAsia="zh-CN"/>
              </w:rPr>
              <w:t>-</w:t>
            </w:r>
            <w:r>
              <w:rPr>
                <w:rFonts w:hint="default" w:ascii="Times New Roman" w:hAnsi="Times New Roman" w:cs="Times New Roman"/>
                <w:sz w:val="24"/>
                <w:szCs w:val="24"/>
                <w:u w:val="none"/>
              </w:rPr>
              <w:t>2018）中附录A，本项目属于IV类项目。</w:t>
            </w:r>
          </w:p>
          <w:p>
            <w:pPr>
              <w:pStyle w:val="8"/>
              <w:keepNext/>
              <w:keepLines w:val="0"/>
              <w:pageBreakBefore w:val="0"/>
              <w:widowControl/>
              <w:kinsoku/>
              <w:wordWrap/>
              <w:overflowPunct/>
              <w:topLinePunct w:val="0"/>
              <w:autoSpaceDE/>
              <w:autoSpaceDN/>
              <w:bidi w:val="0"/>
              <w:adjustRightInd/>
              <w:snapToGrid/>
              <w:spacing w:line="240" w:lineRule="auto"/>
              <w:textAlignment w:val="auto"/>
              <w:rPr>
                <w:u w:val="none"/>
              </w:rPr>
            </w:pPr>
            <w:r>
              <w:rPr>
                <w:rFonts w:hint="eastAsia"/>
                <w:u w:val="none"/>
              </w:rPr>
              <w:t>表4-</w:t>
            </w:r>
            <w:r>
              <w:rPr>
                <w:rFonts w:hint="eastAsia"/>
                <w:u w:val="none"/>
                <w:lang w:val="en-US" w:eastAsia="zh-CN"/>
              </w:rPr>
              <w:t xml:space="preserve">18  </w:t>
            </w:r>
            <w:r>
              <w:rPr>
                <w:rFonts w:hint="eastAsia"/>
                <w:u w:val="none"/>
              </w:rPr>
              <w:t>土壤评价工作等级分级表</w:t>
            </w:r>
          </w:p>
          <w:tbl>
            <w:tblPr>
              <w:tblStyle w:val="34"/>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84"/>
              <w:gridCol w:w="1971"/>
              <w:gridCol w:w="1331"/>
              <w:gridCol w:w="1331"/>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008" w:type="dxa"/>
                  <w:gridSpan w:val="2"/>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b/>
                      <w:sz w:val="21"/>
                      <w:szCs w:val="21"/>
                      <w:u w:val="none"/>
                      <w:lang w:val="en-US" w:eastAsia="zh-CN"/>
                    </w:rPr>
                  </w:pPr>
                  <w:r>
                    <w:rPr>
                      <w:rFonts w:hint="eastAsia" w:cs="宋体"/>
                      <w:b/>
                      <w:sz w:val="21"/>
                      <w:szCs w:val="21"/>
                      <w:u w:val="none"/>
                      <w:lang w:val="en-US" w:eastAsia="zh-CN"/>
                    </w:rPr>
                    <w:t>行业类别</w:t>
                  </w:r>
                </w:p>
              </w:tc>
              <w:tc>
                <w:tcPr>
                  <w:tcW w:w="5923" w:type="dxa"/>
                  <w:gridSpan w:val="4"/>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b/>
                      <w:sz w:val="21"/>
                      <w:szCs w:val="21"/>
                      <w:u w:val="none"/>
                      <w:lang w:val="en-US" w:eastAsia="zh-CN"/>
                    </w:rPr>
                  </w:pPr>
                  <w:r>
                    <w:rPr>
                      <w:rFonts w:hint="eastAsia" w:cs="宋体"/>
                      <w:b/>
                      <w:sz w:val="21"/>
                      <w:szCs w:val="21"/>
                      <w:u w:val="none"/>
                      <w:lang w:val="en-US" w:eastAsia="zh-CN"/>
                    </w:rPr>
                    <w:t>行业类别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8" w:type="dxa"/>
                  <w:gridSpan w:val="2"/>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u w:val="none"/>
                      <w:lang w:val="en-US" w:eastAsia="zh-CN"/>
                    </w:rPr>
                  </w:pPr>
                </w:p>
              </w:tc>
              <w:tc>
                <w:tcPr>
                  <w:tcW w:w="1957"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u w:val="none"/>
                      <w:lang w:val="en-US" w:eastAsia="zh-CN"/>
                    </w:rPr>
                  </w:pPr>
                  <w:r>
                    <w:rPr>
                      <w:rFonts w:hint="eastAsia" w:cs="宋体"/>
                      <w:sz w:val="21"/>
                      <w:szCs w:val="21"/>
                      <w:u w:val="none"/>
                      <w:lang w:val="en-US" w:eastAsia="zh-CN"/>
                    </w:rPr>
                    <w:t>I类</w:t>
                  </w:r>
                </w:p>
              </w:tc>
              <w:tc>
                <w:tcPr>
                  <w:tcW w:w="1322"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u w:val="none"/>
                      <w:lang w:val="en-US" w:eastAsia="zh-CN"/>
                    </w:rPr>
                  </w:pPr>
                  <w:r>
                    <w:rPr>
                      <w:rFonts w:hint="eastAsia" w:cs="宋体"/>
                      <w:sz w:val="21"/>
                      <w:szCs w:val="21"/>
                      <w:u w:val="none"/>
                      <w:lang w:val="en-US" w:eastAsia="zh-CN"/>
                    </w:rPr>
                    <w:t>II类</w:t>
                  </w:r>
                </w:p>
              </w:tc>
              <w:tc>
                <w:tcPr>
                  <w:tcW w:w="1322"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u w:val="none"/>
                      <w:lang w:val="en-US" w:eastAsia="zh-CN"/>
                    </w:rPr>
                  </w:pPr>
                  <w:r>
                    <w:rPr>
                      <w:rFonts w:hint="eastAsia" w:cs="宋体"/>
                      <w:sz w:val="21"/>
                      <w:szCs w:val="21"/>
                      <w:u w:val="none"/>
                      <w:lang w:val="en-US" w:eastAsia="zh-CN"/>
                    </w:rPr>
                    <w:t>III类</w:t>
                  </w:r>
                </w:p>
              </w:tc>
              <w:tc>
                <w:tcPr>
                  <w:tcW w:w="1322"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u w:val="none"/>
                      <w:lang w:val="en-US" w:eastAsia="zh-CN"/>
                    </w:rPr>
                  </w:pPr>
                  <w:r>
                    <w:rPr>
                      <w:rFonts w:hint="eastAsia" w:cs="宋体"/>
                      <w:sz w:val="21"/>
                      <w:szCs w:val="21"/>
                      <w:u w:val="none"/>
                      <w:lang w:val="en-US" w:eastAsia="zh-CN"/>
                    </w:rPr>
                    <w:t>IV类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hint="default" w:cs="宋体"/>
                      <w:sz w:val="21"/>
                      <w:szCs w:val="21"/>
                      <w:u w:val="none"/>
                      <w:lang w:val="en-US" w:eastAsia="zh-CN"/>
                    </w:rPr>
                  </w:pPr>
                  <w:r>
                    <w:rPr>
                      <w:rFonts w:hint="eastAsia" w:cs="宋体"/>
                      <w:sz w:val="21"/>
                      <w:szCs w:val="21"/>
                      <w:u w:val="none"/>
                      <w:lang w:val="en-US" w:eastAsia="zh-CN"/>
                    </w:rPr>
                    <w:t>社会事业与服务业</w:t>
                  </w:r>
                </w:p>
              </w:tc>
              <w:tc>
                <w:tcPr>
                  <w:tcW w:w="1275"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u w:val="none"/>
                      <w:lang w:val="en-US" w:eastAsia="zh-CN"/>
                    </w:rPr>
                  </w:pPr>
                  <w:r>
                    <w:rPr>
                      <w:rFonts w:hint="eastAsia" w:cs="宋体"/>
                      <w:sz w:val="21"/>
                      <w:szCs w:val="21"/>
                      <w:u w:val="none"/>
                      <w:lang w:val="en-US" w:eastAsia="zh-CN"/>
                    </w:rPr>
                    <w:t>/</w:t>
                  </w:r>
                </w:p>
              </w:tc>
              <w:tc>
                <w:tcPr>
                  <w:tcW w:w="1957"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u w:val="none"/>
                      <w:lang w:val="en-US" w:eastAsia="zh-CN"/>
                    </w:rPr>
                  </w:pPr>
                  <w:r>
                    <w:rPr>
                      <w:rFonts w:hint="eastAsia" w:cs="宋体"/>
                      <w:sz w:val="21"/>
                      <w:szCs w:val="21"/>
                      <w:u w:val="none"/>
                      <w:lang w:val="en-US" w:eastAsia="zh-CN"/>
                    </w:rPr>
                    <w:t>/</w:t>
                  </w:r>
                </w:p>
              </w:tc>
              <w:tc>
                <w:tcPr>
                  <w:tcW w:w="1322"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u w:val="none"/>
                      <w:lang w:val="en-US" w:eastAsia="zh-CN"/>
                    </w:rPr>
                  </w:pPr>
                  <w:r>
                    <w:rPr>
                      <w:rFonts w:hint="eastAsia" w:cs="宋体"/>
                      <w:sz w:val="21"/>
                      <w:szCs w:val="21"/>
                      <w:u w:val="none"/>
                      <w:lang w:val="en-US" w:eastAsia="zh-CN"/>
                    </w:rPr>
                    <w:t>/</w:t>
                  </w:r>
                </w:p>
              </w:tc>
              <w:tc>
                <w:tcPr>
                  <w:tcW w:w="1322"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hint="default" w:cs="宋体"/>
                      <w:sz w:val="21"/>
                      <w:szCs w:val="21"/>
                      <w:u w:val="none"/>
                      <w:lang w:val="en-US" w:eastAsia="zh-CN"/>
                    </w:rPr>
                  </w:pPr>
                  <w:r>
                    <w:rPr>
                      <w:rFonts w:hint="eastAsia" w:cs="宋体"/>
                      <w:sz w:val="21"/>
                      <w:szCs w:val="21"/>
                      <w:u w:val="none"/>
                      <w:lang w:val="en-US" w:eastAsia="zh-CN"/>
                    </w:rPr>
                    <w:t>高尔夫球场；加油站；赛车场</w:t>
                  </w:r>
                </w:p>
              </w:tc>
              <w:tc>
                <w:tcPr>
                  <w:tcW w:w="1322"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u w:val="none"/>
                      <w:lang w:val="en-US" w:eastAsia="zh-CN"/>
                    </w:rPr>
                  </w:pPr>
                  <w:r>
                    <w:rPr>
                      <w:rFonts w:hint="eastAsia" w:cs="宋体"/>
                      <w:sz w:val="21"/>
                      <w:szCs w:val="21"/>
                      <w:u w:val="none"/>
                      <w:lang w:val="en-US" w:eastAsia="zh-CN"/>
                    </w:rPr>
                    <w:t>其他</w:t>
                  </w:r>
                </w:p>
              </w:tc>
            </w:tr>
          </w:tbl>
          <w:p>
            <w:pPr>
              <w:pStyle w:val="98"/>
              <w:ind w:firstLine="480"/>
              <w:rPr>
                <w:rFonts w:hint="default" w:ascii="Times New Roman" w:hAnsi="Times New Roman" w:cs="Times New Roman"/>
                <w:sz w:val="24"/>
                <w:szCs w:val="24"/>
                <w:u w:val="none"/>
              </w:rPr>
            </w:pPr>
            <w:r>
              <w:rPr>
                <w:rFonts w:hint="default" w:ascii="Times New Roman" w:hAnsi="Times New Roman" w:cs="Times New Roman"/>
                <w:sz w:val="24"/>
                <w:szCs w:val="24"/>
                <w:u w:val="none"/>
              </w:rPr>
              <w:t>根据《环境影响评价技术导则 土壤环境（试行）》（HJ9642018）中关于土壤环境影响评价工作等级划分的基本原则，IV类项目不开展土壤环境影响评价。</w:t>
            </w:r>
          </w:p>
          <w:p>
            <w:pPr>
              <w:pStyle w:val="98"/>
              <w:ind w:firstLine="480"/>
              <w:rPr>
                <w:sz w:val="24"/>
                <w:szCs w:val="24"/>
              </w:rPr>
            </w:pPr>
            <w:r>
              <w:rPr>
                <w:sz w:val="24"/>
                <w:szCs w:val="24"/>
              </w:rPr>
              <w:t>（</w:t>
            </w:r>
            <w:r>
              <w:rPr>
                <w:rFonts w:hint="eastAsia"/>
                <w:sz w:val="24"/>
                <w:szCs w:val="24"/>
              </w:rPr>
              <w:t>2</w:t>
            </w:r>
            <w:r>
              <w:rPr>
                <w:sz w:val="24"/>
                <w:szCs w:val="24"/>
              </w:rPr>
              <w:t>）污染源及途径</w:t>
            </w:r>
          </w:p>
          <w:p>
            <w:pPr>
              <w:pStyle w:val="98"/>
              <w:ind w:firstLine="480"/>
              <w:rPr>
                <w:sz w:val="24"/>
                <w:szCs w:val="24"/>
              </w:rPr>
            </w:pPr>
            <w:r>
              <w:rPr>
                <w:sz w:val="24"/>
                <w:szCs w:val="24"/>
              </w:rPr>
              <w:t>根据工程分析和项目特点，本项目涉及的污染源分析见下表：</w:t>
            </w:r>
          </w:p>
          <w:p>
            <w:pPr>
              <w:pStyle w:val="8"/>
              <w:keepNext/>
            </w:pPr>
            <w:r>
              <w:rPr>
                <w:rFonts w:hint="eastAsia"/>
              </w:rPr>
              <w:t>表4-</w:t>
            </w:r>
            <w:r>
              <w:rPr>
                <w:rFonts w:hint="eastAsia"/>
                <w:lang w:val="en-US" w:eastAsia="zh-CN"/>
              </w:rPr>
              <w:t xml:space="preserve">19  </w:t>
            </w:r>
            <w:r>
              <w:rPr>
                <w:rFonts w:hint="eastAsia"/>
              </w:rPr>
              <w:t>项目地下水污染源和污染途经分析情况表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2862"/>
              <w:gridCol w:w="1381"/>
              <w:gridCol w:w="2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ascii="Times New Roman" w:hAnsi="Times New Roman" w:cs="Times New Roman"/>
                      <w:b/>
                      <w:sz w:val="21"/>
                      <w:szCs w:val="21"/>
                      <w:lang w:val="en-US" w:eastAsia="zh-CN"/>
                    </w:rPr>
                  </w:pPr>
                  <w:r>
                    <w:rPr>
                      <w:rFonts w:hint="default" w:ascii="Times New Roman" w:hAnsi="Times New Roman" w:cs="Times New Roman"/>
                      <w:b/>
                      <w:sz w:val="21"/>
                      <w:szCs w:val="21"/>
                      <w:lang w:val="en-US" w:eastAsia="zh-CN"/>
                    </w:rPr>
                    <w:t>污染源</w:t>
                  </w:r>
                </w:p>
              </w:tc>
              <w:tc>
                <w:tcPr>
                  <w:tcW w:w="1788"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ascii="Times New Roman" w:hAnsi="Times New Roman" w:cs="Times New Roman"/>
                      <w:b/>
                      <w:sz w:val="21"/>
                      <w:szCs w:val="21"/>
                      <w:lang w:val="en-US" w:eastAsia="zh-CN"/>
                    </w:rPr>
                  </w:pPr>
                  <w:r>
                    <w:rPr>
                      <w:rFonts w:hint="default" w:ascii="Times New Roman" w:hAnsi="Times New Roman" w:cs="Times New Roman"/>
                      <w:b/>
                      <w:sz w:val="21"/>
                      <w:szCs w:val="21"/>
                      <w:lang w:val="en-US" w:eastAsia="zh-CN"/>
                    </w:rPr>
                    <w:t>主要污染物</w:t>
                  </w:r>
                </w:p>
              </w:tc>
              <w:tc>
                <w:tcPr>
                  <w:tcW w:w="86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ascii="Times New Roman" w:hAnsi="Times New Roman" w:cs="Times New Roman"/>
                      <w:b/>
                      <w:sz w:val="21"/>
                      <w:szCs w:val="21"/>
                      <w:lang w:val="en-US" w:eastAsia="zh-CN"/>
                    </w:rPr>
                  </w:pPr>
                  <w:r>
                    <w:rPr>
                      <w:rFonts w:hint="default" w:ascii="Times New Roman" w:hAnsi="Times New Roman" w:cs="Times New Roman"/>
                      <w:b/>
                      <w:sz w:val="21"/>
                      <w:szCs w:val="21"/>
                      <w:lang w:val="en-US" w:eastAsia="zh-CN"/>
                    </w:rPr>
                    <w:t>污染物类型</w:t>
                  </w:r>
                </w:p>
              </w:tc>
              <w:tc>
                <w:tcPr>
                  <w:tcW w:w="152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ascii="Times New Roman" w:hAnsi="Times New Roman" w:cs="Times New Roman"/>
                      <w:b/>
                      <w:sz w:val="21"/>
                      <w:szCs w:val="21"/>
                      <w:lang w:val="en-US" w:eastAsia="zh-CN"/>
                    </w:rPr>
                  </w:pPr>
                  <w:r>
                    <w:rPr>
                      <w:rFonts w:hint="default" w:ascii="Times New Roman" w:hAnsi="Times New Roman" w:cs="Times New Roman"/>
                      <w:b/>
                      <w:sz w:val="21"/>
                      <w:szCs w:val="21"/>
                      <w:lang w:val="en-US" w:eastAsia="zh-CN"/>
                    </w:rPr>
                    <w:t>可能污染途经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一体化污水处理站</w:t>
                  </w:r>
                </w:p>
              </w:tc>
              <w:tc>
                <w:tcPr>
                  <w:tcW w:w="1788"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COD、BOD</w:t>
                  </w:r>
                  <w:r>
                    <w:rPr>
                      <w:rFonts w:hint="default" w:ascii="Times New Roman" w:hAnsi="Times New Roman" w:cs="Times New Roman"/>
                      <w:sz w:val="21"/>
                      <w:szCs w:val="21"/>
                      <w:vertAlign w:val="subscript"/>
                      <w:lang w:val="en-US" w:eastAsia="zh-CN"/>
                    </w:rPr>
                    <w:t>5</w:t>
                  </w:r>
                  <w:r>
                    <w:rPr>
                      <w:rFonts w:hint="default" w:ascii="Times New Roman" w:hAnsi="Times New Roman" w:cs="Times New Roman"/>
                      <w:sz w:val="21"/>
                      <w:szCs w:val="21"/>
                      <w:lang w:val="en-US" w:eastAsia="zh-CN"/>
                    </w:rPr>
                    <w:t>、</w:t>
                  </w:r>
                  <w:r>
                    <w:rPr>
                      <w:rFonts w:hint="eastAsia" w:cs="Times New Roman"/>
                      <w:sz w:val="21"/>
                      <w:szCs w:val="21"/>
                      <w:lang w:val="en-US" w:eastAsia="zh-CN"/>
                    </w:rPr>
                    <w:t>氨氮、</w:t>
                  </w:r>
                  <w:r>
                    <w:rPr>
                      <w:rFonts w:hint="default" w:ascii="Times New Roman" w:hAnsi="Times New Roman" w:cs="Times New Roman"/>
                      <w:sz w:val="21"/>
                      <w:szCs w:val="21"/>
                      <w:lang w:val="en-US" w:eastAsia="zh-CN"/>
                    </w:rPr>
                    <w:t>SS</w:t>
                  </w:r>
                  <w:r>
                    <w:rPr>
                      <w:rFonts w:hint="eastAsia" w:cs="Times New Roman"/>
                      <w:sz w:val="21"/>
                      <w:szCs w:val="21"/>
                      <w:lang w:val="en-US" w:eastAsia="zh-CN"/>
                    </w:rPr>
                    <w:t>、粪大肠菌群</w:t>
                  </w:r>
                  <w:r>
                    <w:rPr>
                      <w:rFonts w:hint="default" w:ascii="Times New Roman" w:hAnsi="Times New Roman" w:cs="Times New Roman"/>
                      <w:sz w:val="21"/>
                      <w:szCs w:val="21"/>
                      <w:lang w:val="en-US" w:eastAsia="zh-CN"/>
                    </w:rPr>
                    <w:t>等</w:t>
                  </w:r>
                </w:p>
              </w:tc>
              <w:tc>
                <w:tcPr>
                  <w:tcW w:w="863"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有机污染物</w:t>
                  </w:r>
                </w:p>
              </w:tc>
              <w:tc>
                <w:tcPr>
                  <w:tcW w:w="1520"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事故泄漏对地下水和土壤影响</w:t>
                  </w:r>
                </w:p>
              </w:tc>
            </w:tr>
          </w:tbl>
          <w:p>
            <w:pPr>
              <w:pStyle w:val="98"/>
              <w:ind w:firstLine="480"/>
              <w:rPr>
                <w:sz w:val="24"/>
                <w:szCs w:val="24"/>
              </w:rPr>
            </w:pPr>
            <w:r>
              <w:rPr>
                <w:sz w:val="24"/>
                <w:szCs w:val="24"/>
              </w:rPr>
              <w:t>（</w:t>
            </w:r>
            <w:r>
              <w:rPr>
                <w:rFonts w:hint="eastAsia"/>
                <w:sz w:val="24"/>
                <w:szCs w:val="24"/>
                <w:lang w:val="en-US" w:eastAsia="zh-CN"/>
              </w:rPr>
              <w:t>3</w:t>
            </w:r>
            <w:r>
              <w:rPr>
                <w:sz w:val="24"/>
                <w:szCs w:val="24"/>
              </w:rPr>
              <w:t>）分区防控防渗措施</w:t>
            </w:r>
          </w:p>
          <w:p>
            <w:pPr>
              <w:pStyle w:val="98"/>
              <w:ind w:firstLine="480"/>
              <w:rPr>
                <w:sz w:val="24"/>
              </w:rPr>
            </w:pPr>
            <w:r>
              <w:rPr>
                <w:sz w:val="24"/>
              </w:rPr>
              <w:t>按照污染物可能对地下水和土壤造成的影响，将厂区划分重点防渗区、一般防渗区和简单防渗区，根据本项目建设内容，具体防渗划分情况见下表：</w:t>
            </w:r>
          </w:p>
          <w:p>
            <w:pPr>
              <w:pStyle w:val="8"/>
              <w:keepNext/>
              <w:keepLines w:val="0"/>
              <w:pageBreakBefore w:val="0"/>
              <w:widowControl/>
              <w:kinsoku/>
              <w:wordWrap/>
              <w:overflowPunct/>
              <w:topLinePunct w:val="0"/>
              <w:autoSpaceDE/>
              <w:autoSpaceDN/>
              <w:bidi w:val="0"/>
              <w:adjustRightInd/>
              <w:snapToGrid/>
              <w:spacing w:line="240" w:lineRule="auto"/>
              <w:textAlignment w:val="auto"/>
            </w:pPr>
            <w:r>
              <w:rPr>
                <w:rFonts w:hint="eastAsia"/>
              </w:rPr>
              <w:t>表4-</w:t>
            </w:r>
            <w:r>
              <w:rPr>
                <w:rFonts w:hint="eastAsia"/>
                <w:lang w:val="en-US" w:eastAsia="zh-CN"/>
              </w:rPr>
              <w:t xml:space="preserve">20  </w:t>
            </w:r>
            <w:r>
              <w:rPr>
                <w:rFonts w:hint="eastAsia"/>
              </w:rPr>
              <w:t>项目厂区划分及防渗等级一览表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910"/>
              <w:gridCol w:w="4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sz w:val="21"/>
                      <w:szCs w:val="21"/>
                      <w:lang w:val="en-US" w:eastAsia="zh-CN"/>
                    </w:rPr>
                  </w:pPr>
                  <w:r>
                    <w:rPr>
                      <w:rFonts w:cs="宋体"/>
                      <w:b/>
                      <w:sz w:val="21"/>
                      <w:szCs w:val="21"/>
                      <w:lang w:val="en-US" w:eastAsia="zh-CN"/>
                    </w:rPr>
                    <w:t>防治分区</w:t>
                  </w:r>
                </w:p>
              </w:tc>
              <w:tc>
                <w:tcPr>
                  <w:tcW w:w="1818"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sz w:val="21"/>
                      <w:szCs w:val="21"/>
                      <w:lang w:val="en-US" w:eastAsia="zh-CN"/>
                    </w:rPr>
                  </w:pPr>
                  <w:r>
                    <w:rPr>
                      <w:rFonts w:cs="宋体"/>
                      <w:b/>
                      <w:sz w:val="21"/>
                      <w:szCs w:val="21"/>
                      <w:lang w:val="en-US" w:eastAsia="zh-CN"/>
                    </w:rPr>
                    <w:t>工作区</w:t>
                  </w:r>
                </w:p>
              </w:tc>
              <w:tc>
                <w:tcPr>
                  <w:tcW w:w="2514"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b/>
                      <w:sz w:val="21"/>
                      <w:szCs w:val="21"/>
                      <w:lang w:val="en-US" w:eastAsia="zh-CN"/>
                    </w:rPr>
                  </w:pPr>
                  <w:r>
                    <w:rPr>
                      <w:rFonts w:cs="宋体"/>
                      <w:b/>
                      <w:sz w:val="21"/>
                      <w:szCs w:val="21"/>
                      <w:lang w:val="en-US"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cs="宋体"/>
                      <w:sz w:val="21"/>
                      <w:szCs w:val="21"/>
                      <w:lang w:val="en-US" w:eastAsia="zh-CN"/>
                    </w:rPr>
                  </w:pPr>
                  <w:r>
                    <w:rPr>
                      <w:rFonts w:hint="eastAsia" w:cs="宋体"/>
                      <w:sz w:val="21"/>
                      <w:szCs w:val="21"/>
                      <w:lang w:val="en-US" w:eastAsia="zh-CN"/>
                    </w:rPr>
                    <w:t>重点防渗区</w:t>
                  </w:r>
                </w:p>
              </w:tc>
              <w:tc>
                <w:tcPr>
                  <w:tcW w:w="1818"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cs="宋体"/>
                      <w:sz w:val="21"/>
                      <w:szCs w:val="21"/>
                      <w:lang w:val="en-US" w:eastAsia="zh-CN"/>
                    </w:rPr>
                  </w:pPr>
                  <w:r>
                    <w:rPr>
                      <w:rFonts w:hint="eastAsia" w:cs="宋体"/>
                      <w:sz w:val="21"/>
                      <w:szCs w:val="21"/>
                      <w:lang w:val="en-US" w:eastAsia="zh-CN"/>
                    </w:rPr>
                    <w:t>医废暂存间（依托花垣县疾控中心）</w:t>
                  </w:r>
                </w:p>
              </w:tc>
              <w:tc>
                <w:tcPr>
                  <w:tcW w:w="2514"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lang w:val="en-US" w:eastAsia="zh-CN"/>
                    </w:rPr>
                  </w:pPr>
                  <w:r>
                    <w:rPr>
                      <w:rFonts w:hint="eastAsia" w:ascii="Times New Roman" w:hAnsi="Times New Roman" w:cs="Times New Roman"/>
                      <w:sz w:val="21"/>
                      <w:u w:val="none" w:color="auto"/>
                      <w:lang w:val="en-US" w:eastAsia="zh-CN"/>
                    </w:rPr>
                    <w:t>防渗要求：</w:t>
                  </w:r>
                  <w:r>
                    <w:rPr>
                      <w:rFonts w:hint="default" w:ascii="Times New Roman" w:hAnsi="Times New Roman" w:cs="Times New Roman"/>
                      <w:sz w:val="21"/>
                      <w:u w:val="none" w:color="auto"/>
                    </w:rPr>
                    <w:t>确保等效黏土防渗层</w:t>
                  </w:r>
                  <w:r>
                    <w:rPr>
                      <w:rFonts w:ascii="Times New Roman" w:hAnsi="Times New Roman" w:cs="Times New Roman"/>
                      <w:sz w:val="21"/>
                      <w:u w:val="none" w:color="auto"/>
                    </w:rPr>
                    <w:t xml:space="preserve"> Mb≥6.0m</w:t>
                  </w:r>
                  <w:r>
                    <w:rPr>
                      <w:rFonts w:hint="default" w:ascii="Times New Roman" w:hAnsi="Times New Roman" w:cs="Times New Roman"/>
                      <w:sz w:val="21"/>
                      <w:u w:val="none" w:color="auto"/>
                    </w:rPr>
                    <w:t>，</w:t>
                  </w:r>
                  <w:r>
                    <w:rPr>
                      <w:rFonts w:ascii="Times New Roman" w:hAnsi="Times New Roman" w:cs="Times New Roman"/>
                      <w:sz w:val="21"/>
                      <w:u w:val="none" w:color="auto"/>
                    </w:rPr>
                    <w:t>K≤1×10</w:t>
                  </w:r>
                  <w:r>
                    <w:rPr>
                      <w:rFonts w:ascii="Times New Roman" w:hAnsi="Times New Roman" w:cs="Times New Roman"/>
                      <w:sz w:val="21"/>
                      <w:u w:val="none" w:color="auto"/>
                      <w:vertAlign w:val="superscript"/>
                    </w:rPr>
                    <w:t>-7</w:t>
                  </w:r>
                  <w:r>
                    <w:rPr>
                      <w:rFonts w:ascii="Times New Roman" w:hAnsi="Times New Roman" w:cs="Times New Roman"/>
                      <w:sz w:val="21"/>
                      <w:u w:val="none" w:color="auto"/>
                    </w:rPr>
                    <w:t>cm/s</w:t>
                  </w:r>
                  <w:r>
                    <w:rPr>
                      <w:rFonts w:hint="default" w:ascii="Times New Roman" w:hAnsi="Times New Roman" w:cs="Times New Roman"/>
                      <w:sz w:val="21"/>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666"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lang w:val="en-US" w:eastAsia="zh-CN"/>
                    </w:rPr>
                  </w:pPr>
                  <w:r>
                    <w:rPr>
                      <w:rFonts w:cs="宋体"/>
                      <w:sz w:val="21"/>
                      <w:szCs w:val="21"/>
                      <w:lang w:val="en-US" w:eastAsia="zh-CN"/>
                    </w:rPr>
                    <w:t>一般</w:t>
                  </w:r>
                </w:p>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lang w:val="en-US" w:eastAsia="zh-CN"/>
                    </w:rPr>
                  </w:pPr>
                  <w:r>
                    <w:rPr>
                      <w:rFonts w:cs="宋体"/>
                      <w:sz w:val="21"/>
                      <w:szCs w:val="21"/>
                      <w:lang w:val="en-US" w:eastAsia="zh-CN"/>
                    </w:rPr>
                    <w:t>防渗区</w:t>
                  </w:r>
                </w:p>
              </w:tc>
              <w:tc>
                <w:tcPr>
                  <w:tcW w:w="1818"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cs="宋体"/>
                      <w:sz w:val="21"/>
                      <w:szCs w:val="21"/>
                      <w:lang w:val="en-US" w:eastAsia="zh-CN"/>
                    </w:rPr>
                  </w:pPr>
                  <w:r>
                    <w:rPr>
                      <w:rFonts w:hint="eastAsia" w:cs="宋体"/>
                      <w:sz w:val="21"/>
                      <w:szCs w:val="21"/>
                      <w:lang w:val="en-US" w:eastAsia="zh-CN"/>
                    </w:rPr>
                    <w:t>一体化污水处理站（依托花垣县疾控中心）</w:t>
                  </w:r>
                </w:p>
              </w:tc>
              <w:tc>
                <w:tcPr>
                  <w:tcW w:w="2514"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lang w:val="en-US" w:eastAsia="zh-CN"/>
                    </w:rPr>
                  </w:pPr>
                  <w:r>
                    <w:rPr>
                      <w:rFonts w:cs="宋体"/>
                      <w:sz w:val="21"/>
                      <w:szCs w:val="21"/>
                      <w:lang w:val="en-US" w:eastAsia="zh-CN"/>
                    </w:rPr>
                    <w:t>防渗要求：等效黏土防渗层Mb≥1.5m，渗透系数K≤1.0×10</w:t>
                  </w:r>
                  <w:r>
                    <w:rPr>
                      <w:rFonts w:cs="宋体"/>
                      <w:sz w:val="21"/>
                      <w:szCs w:val="21"/>
                      <w:vertAlign w:val="superscript"/>
                      <w:lang w:val="en-US" w:eastAsia="zh-CN"/>
                    </w:rPr>
                    <w:t>-7</w:t>
                  </w:r>
                  <w:r>
                    <w:rPr>
                      <w:rFonts w:cs="宋体"/>
                      <w:sz w:val="21"/>
                      <w:szCs w:val="21"/>
                      <w:lang w:val="en-US" w:eastAsia="zh-CN"/>
                    </w:rPr>
                    <w:t>cm/s；或者参考GB16889执行；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lang w:val="en-US" w:eastAsia="zh-CN"/>
                    </w:rPr>
                  </w:pPr>
                  <w:r>
                    <w:rPr>
                      <w:rFonts w:cs="宋体"/>
                      <w:sz w:val="21"/>
                      <w:szCs w:val="21"/>
                      <w:lang w:val="en-US" w:eastAsia="zh-CN"/>
                    </w:rPr>
                    <w:t>简单</w:t>
                  </w:r>
                </w:p>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lang w:val="en-US" w:eastAsia="zh-CN"/>
                    </w:rPr>
                  </w:pPr>
                  <w:r>
                    <w:rPr>
                      <w:rFonts w:cs="宋体"/>
                      <w:sz w:val="21"/>
                      <w:szCs w:val="21"/>
                      <w:lang w:val="en-US" w:eastAsia="zh-CN"/>
                    </w:rPr>
                    <w:t>防渗区</w:t>
                  </w:r>
                </w:p>
              </w:tc>
              <w:tc>
                <w:tcPr>
                  <w:tcW w:w="1818"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hint="default" w:cs="宋体"/>
                      <w:sz w:val="21"/>
                      <w:szCs w:val="21"/>
                      <w:lang w:val="en-US" w:eastAsia="zh-CN"/>
                    </w:rPr>
                  </w:pPr>
                  <w:r>
                    <w:rPr>
                      <w:rFonts w:hint="eastAsia" w:cs="宋体"/>
                      <w:sz w:val="21"/>
                      <w:szCs w:val="21"/>
                      <w:lang w:val="en-US" w:eastAsia="zh-CN"/>
                    </w:rPr>
                    <w:t>精神卫生楼及室外活动场</w:t>
                  </w:r>
                </w:p>
              </w:tc>
              <w:tc>
                <w:tcPr>
                  <w:tcW w:w="2514" w:type="pc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textAlignment w:val="center"/>
                    <w:rPr>
                      <w:rFonts w:cs="宋体"/>
                      <w:sz w:val="21"/>
                      <w:szCs w:val="21"/>
                      <w:lang w:val="en-US" w:eastAsia="zh-CN"/>
                    </w:rPr>
                  </w:pPr>
                  <w:r>
                    <w:rPr>
                      <w:rFonts w:cs="宋体"/>
                      <w:sz w:val="21"/>
                      <w:szCs w:val="21"/>
                      <w:lang w:val="en-US" w:eastAsia="zh-CN"/>
                    </w:rPr>
                    <w:t>一般地面硬化</w:t>
                  </w:r>
                </w:p>
              </w:tc>
            </w:tr>
          </w:tbl>
          <w:p>
            <w:pPr>
              <w:pStyle w:val="98"/>
              <w:ind w:firstLine="480"/>
              <w:rPr>
                <w:sz w:val="24"/>
                <w:szCs w:val="24"/>
              </w:rPr>
            </w:pPr>
            <w:r>
              <w:rPr>
                <w:sz w:val="24"/>
                <w:szCs w:val="24"/>
              </w:rPr>
              <w:t>其他防控要求：</w:t>
            </w:r>
          </w:p>
          <w:p>
            <w:pPr>
              <w:pStyle w:val="98"/>
              <w:ind w:firstLine="480"/>
              <w:rPr>
                <w:sz w:val="24"/>
                <w:szCs w:val="24"/>
              </w:rPr>
            </w:pPr>
            <w:r>
              <w:rPr>
                <w:sz w:val="24"/>
                <w:szCs w:val="24"/>
              </w:rPr>
              <w:fldChar w:fldCharType="begin"/>
            </w:r>
            <w:r>
              <w:rPr>
                <w:sz w:val="24"/>
                <w:szCs w:val="24"/>
              </w:rPr>
              <w:instrText xml:space="preserve"> = 1 \* alphabetic </w:instrText>
            </w:r>
            <w:r>
              <w:rPr>
                <w:sz w:val="24"/>
                <w:szCs w:val="24"/>
              </w:rPr>
              <w:fldChar w:fldCharType="separate"/>
            </w:r>
            <w:r>
              <w:rPr>
                <w:sz w:val="24"/>
                <w:szCs w:val="24"/>
              </w:rPr>
              <w:t>a</w:t>
            </w:r>
            <w:r>
              <w:rPr>
                <w:sz w:val="24"/>
                <w:szCs w:val="24"/>
              </w:rPr>
              <w:fldChar w:fldCharType="end"/>
            </w:r>
            <w:r>
              <w:rPr>
                <w:sz w:val="24"/>
                <w:szCs w:val="24"/>
              </w:rPr>
              <w:t>、选用优质设备和管件，并加强日常管理和维修维护工作，防止和减少跑、冒、滴、漏现象的发生。</w:t>
            </w:r>
          </w:p>
          <w:p>
            <w:pPr>
              <w:pStyle w:val="98"/>
              <w:ind w:firstLine="480"/>
              <w:rPr>
                <w:sz w:val="24"/>
                <w:szCs w:val="24"/>
              </w:rPr>
            </w:pPr>
            <w:r>
              <w:rPr>
                <w:sz w:val="24"/>
                <w:szCs w:val="24"/>
              </w:rPr>
              <w:t>b、对废水收集处理系统的收集池等构筑物采取防腐、防渗措施，防止渗水污染地下水。</w:t>
            </w:r>
          </w:p>
          <w:p>
            <w:pPr>
              <w:pStyle w:val="98"/>
              <w:ind w:firstLine="480"/>
              <w:rPr>
                <w:sz w:val="24"/>
                <w:szCs w:val="24"/>
              </w:rPr>
            </w:pPr>
            <w:r>
              <w:rPr>
                <w:sz w:val="24"/>
                <w:szCs w:val="24"/>
              </w:rPr>
              <w:t>c、在厂区内设置雨水、排水系统并做好相应的防渗措施。同时在厂区内严格管理，禁止进行分散的地面漫流冲洗。</w:t>
            </w:r>
          </w:p>
          <w:p>
            <w:pPr>
              <w:pStyle w:val="98"/>
              <w:ind w:firstLine="480"/>
              <w:rPr>
                <w:sz w:val="24"/>
                <w:szCs w:val="24"/>
              </w:rPr>
            </w:pPr>
            <w:r>
              <w:rPr>
                <w:sz w:val="24"/>
                <w:szCs w:val="24"/>
              </w:rPr>
              <w:t>（</w:t>
            </w:r>
            <w:r>
              <w:rPr>
                <w:rFonts w:hint="eastAsia"/>
                <w:sz w:val="24"/>
                <w:szCs w:val="24"/>
                <w:lang w:val="en-US" w:eastAsia="zh-CN"/>
              </w:rPr>
              <w:t>4</w:t>
            </w:r>
            <w:r>
              <w:rPr>
                <w:sz w:val="24"/>
                <w:szCs w:val="24"/>
              </w:rPr>
              <w:t>）跟踪监测要求</w:t>
            </w:r>
          </w:p>
          <w:p>
            <w:pPr>
              <w:pStyle w:val="98"/>
              <w:ind w:firstLine="480"/>
              <w:rPr>
                <w:sz w:val="24"/>
                <w:szCs w:val="24"/>
              </w:rPr>
            </w:pPr>
            <w:r>
              <w:rPr>
                <w:sz w:val="24"/>
                <w:szCs w:val="24"/>
              </w:rPr>
              <w:t>本项目对可能产生地下水和土壤影响的各项途径均进行有效预防，在确保各项防渗措施得以落实，并加强维护和厂区环境管理的前提下，可有效控制项目产生的污染物下渗现象，避免污染地下水和土壤。根据HJ610-2016和HJ964-2018，本项目可不设置地下水和土壤跟踪监控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hAnsi="Times New Roman" w:eastAsia="宋体" w:cs="Times New Roman"/>
                <w:b/>
                <w:bCs/>
                <w:color w:val="000000"/>
                <w:kern w:val="0"/>
                <w:sz w:val="24"/>
                <w:u w:val="none" w:color="auto"/>
              </w:rPr>
            </w:pPr>
            <w:r>
              <w:rPr>
                <w:rFonts w:hint="eastAsia" w:ascii="Times New Roman" w:hAnsi="Times New Roman" w:eastAsia="宋体" w:cs="Times New Roman"/>
                <w:b/>
                <w:bCs/>
                <w:color w:val="000000"/>
                <w:kern w:val="0"/>
                <w:sz w:val="24"/>
                <w:u w:val="none" w:color="auto"/>
                <w:lang w:val="en-US" w:eastAsia="zh-CN"/>
              </w:rPr>
              <w:t>6</w:t>
            </w:r>
            <w:r>
              <w:rPr>
                <w:rFonts w:hint="eastAsia" w:ascii="Times New Roman" w:hAnsi="Times New Roman" w:eastAsia="宋体" w:cs="Times New Roman"/>
                <w:b/>
                <w:bCs/>
                <w:color w:val="000000"/>
                <w:kern w:val="0"/>
                <w:sz w:val="24"/>
                <w:u w:val="none" w:color="auto"/>
              </w:rPr>
              <w:t>、生态环境影响</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000000"/>
                <w:kern w:val="0"/>
                <w:sz w:val="24"/>
                <w:szCs w:val="24"/>
                <w:u w:val="none" w:color="auto"/>
                <w:lang w:val="en-US" w:eastAsia="zh-CN" w:bidi="ar-SA"/>
              </w:rPr>
            </w:pPr>
            <w:r>
              <w:rPr>
                <w:rFonts w:hint="eastAsia" w:ascii="Times New Roman" w:hAnsi="Times New Roman" w:eastAsia="宋体" w:cs="Times New Roman"/>
                <w:color w:val="000000"/>
                <w:kern w:val="0"/>
                <w:sz w:val="24"/>
                <w:szCs w:val="24"/>
                <w:u w:val="none" w:color="auto"/>
                <w:lang w:val="en-US" w:eastAsia="zh-CN" w:bidi="ar-SA"/>
              </w:rPr>
              <w:t>根据生态环境部办公厅2020年12月24日印发的《</w:t>
            </w:r>
            <w:r>
              <w:rPr>
                <w:rFonts w:hint="eastAsia" w:ascii="Times New Roman" w:hAnsi="Times New Roman" w:eastAsia="宋体" w:cs="Times New Roman"/>
                <w:color w:val="000000"/>
                <w:kern w:val="0"/>
                <w:sz w:val="24"/>
                <w:szCs w:val="24"/>
                <w:u w:val="none" w:color="auto"/>
                <w:lang w:val="en-US" w:eastAsia="zh-CN" w:bidi="ar-SA"/>
              </w:rPr>
              <w:fldChar w:fldCharType="begin"/>
            </w:r>
            <w:r>
              <w:rPr>
                <w:rFonts w:hint="eastAsia" w:ascii="Times New Roman" w:hAnsi="Times New Roman" w:eastAsia="宋体" w:cs="Times New Roman"/>
                <w:color w:val="000000"/>
                <w:kern w:val="0"/>
                <w:sz w:val="24"/>
                <w:szCs w:val="24"/>
                <w:u w:val="none" w:color="auto"/>
                <w:lang w:val="en-US" w:eastAsia="zh-CN" w:bidi="ar-SA"/>
              </w:rPr>
              <w:instrText xml:space="preserve"> HYPERLINK "http://www.gepresearch.com/uploads/soft/210104/1_1746581341.pdf" \t "http://www.gepresearch.com/76/_blank" </w:instrText>
            </w:r>
            <w:r>
              <w:rPr>
                <w:rFonts w:hint="eastAsia" w:ascii="Times New Roman" w:hAnsi="Times New Roman" w:eastAsia="宋体" w:cs="Times New Roman"/>
                <w:color w:val="000000"/>
                <w:kern w:val="0"/>
                <w:sz w:val="24"/>
                <w:szCs w:val="24"/>
                <w:u w:val="none" w:color="auto"/>
                <w:lang w:val="en-US" w:eastAsia="zh-CN" w:bidi="ar-SA"/>
              </w:rPr>
              <w:fldChar w:fldCharType="separate"/>
            </w:r>
            <w:r>
              <w:rPr>
                <w:rFonts w:hint="eastAsia" w:ascii="Times New Roman" w:hAnsi="Times New Roman" w:eastAsia="宋体" w:cs="Times New Roman"/>
                <w:color w:val="000000"/>
                <w:kern w:val="0"/>
                <w:sz w:val="24"/>
                <w:szCs w:val="24"/>
                <w:u w:val="none" w:color="auto"/>
                <w:lang w:val="en-US" w:eastAsia="zh-CN" w:bidi="ar-SA"/>
              </w:rPr>
              <w:t>建设项目环境影响报告表编制技术指南（污染影响类）（试行）</w:t>
            </w:r>
            <w:r>
              <w:rPr>
                <w:rFonts w:hint="eastAsia" w:ascii="Times New Roman" w:hAnsi="Times New Roman" w:eastAsia="宋体" w:cs="Times New Roman"/>
                <w:color w:val="000000"/>
                <w:kern w:val="0"/>
                <w:sz w:val="24"/>
                <w:szCs w:val="24"/>
                <w:u w:val="none" w:color="auto"/>
                <w:lang w:val="en-US" w:eastAsia="zh-CN" w:bidi="ar-SA"/>
              </w:rPr>
              <w:fldChar w:fldCharType="end"/>
            </w:r>
            <w:r>
              <w:rPr>
                <w:rFonts w:hint="eastAsia" w:ascii="Times New Roman" w:hAnsi="Times New Roman" w:eastAsia="宋体" w:cs="Times New Roman"/>
                <w:color w:val="000000"/>
                <w:kern w:val="0"/>
                <w:sz w:val="24"/>
                <w:szCs w:val="24"/>
                <w:u w:val="none" w:color="auto"/>
                <w:lang w:val="en-US" w:eastAsia="zh-CN" w:bidi="ar-SA"/>
              </w:rPr>
              <w:t>》中具体编制要求“产业园区外建设项目新增用地且用地范围内有生态环境敏感的，应明确环保措施”。</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000000"/>
                <w:kern w:val="0"/>
                <w:sz w:val="24"/>
                <w:szCs w:val="24"/>
                <w:u w:val="none" w:color="auto"/>
                <w:lang w:val="en-US" w:eastAsia="zh-CN" w:bidi="ar-SA"/>
              </w:rPr>
            </w:pPr>
            <w:r>
              <w:rPr>
                <w:rFonts w:hint="eastAsia" w:ascii="Times New Roman" w:hAnsi="Times New Roman" w:eastAsia="宋体" w:cs="Times New Roman"/>
                <w:color w:val="000000"/>
                <w:kern w:val="0"/>
                <w:sz w:val="24"/>
                <w:szCs w:val="24"/>
                <w:u w:val="none" w:color="auto"/>
                <w:lang w:val="en-US" w:eastAsia="zh-CN" w:bidi="ar-SA"/>
              </w:rPr>
              <w:t>本项目位于</w:t>
            </w:r>
            <w:r>
              <w:rPr>
                <w:rFonts w:hint="eastAsia"/>
                <w:color w:val="auto"/>
                <w:sz w:val="24"/>
                <w:szCs w:val="22"/>
                <w:lang w:val="en-US" w:eastAsia="zh-CN"/>
              </w:rPr>
              <w:t>湘西自治州</w:t>
            </w:r>
            <w:r>
              <w:rPr>
                <w:rFonts w:hint="eastAsia"/>
                <w:color w:val="auto"/>
                <w:sz w:val="24"/>
                <w:szCs w:val="22"/>
                <w:lang w:eastAsia="zh-CN"/>
              </w:rPr>
              <w:t>花垣县花垣镇城北政务中心北侧旁</w:t>
            </w:r>
            <w:r>
              <w:rPr>
                <w:rFonts w:hint="eastAsia" w:ascii="Times New Roman" w:hAnsi="Times New Roman" w:eastAsia="宋体" w:cs="Times New Roman"/>
                <w:color w:val="000000"/>
                <w:kern w:val="0"/>
                <w:sz w:val="24"/>
                <w:szCs w:val="24"/>
                <w:u w:val="none" w:color="auto"/>
                <w:lang w:val="en-US" w:eastAsia="zh-CN" w:bidi="ar-SA"/>
              </w:rPr>
              <w:t>，利用位于湘西自治州花垣县花垣镇城北政务中心北侧旁的原花垣县妇幼保健计划生育服务中心综合楼（已搬迁，综合楼现处于闲置状态）进行装饰装修，不新增用地，用地范围内无生态环境敏感，因此不需生态环境保护措施。</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color w:val="000000"/>
                <w:kern w:val="0"/>
                <w:sz w:val="24"/>
                <w:u w:val="none" w:color="auto"/>
                <w:lang w:val="en-US" w:eastAsia="zh-CN"/>
              </w:rPr>
            </w:pPr>
            <w:r>
              <w:rPr>
                <w:rFonts w:hint="eastAsia" w:ascii="Times New Roman" w:hAnsi="Times New Roman" w:eastAsia="宋体" w:cs="Times New Roman"/>
                <w:b/>
                <w:bCs/>
                <w:color w:val="000000"/>
                <w:kern w:val="0"/>
                <w:sz w:val="24"/>
                <w:u w:val="none" w:color="auto"/>
                <w:lang w:val="en-US" w:eastAsia="zh-CN"/>
              </w:rPr>
              <w:t>7</w:t>
            </w:r>
            <w:r>
              <w:rPr>
                <w:rFonts w:hint="eastAsia" w:ascii="Times New Roman" w:hAnsi="Times New Roman" w:eastAsia="宋体" w:cs="Times New Roman"/>
                <w:b/>
                <w:bCs/>
                <w:color w:val="000000"/>
                <w:kern w:val="0"/>
                <w:sz w:val="24"/>
                <w:u w:val="none" w:color="auto"/>
              </w:rPr>
              <w:t>、</w:t>
            </w:r>
            <w:r>
              <w:rPr>
                <w:rFonts w:hint="eastAsia" w:ascii="Times New Roman" w:hAnsi="Times New Roman" w:eastAsia="宋体" w:cs="Times New Roman"/>
                <w:b/>
                <w:bCs/>
                <w:color w:val="000000"/>
                <w:kern w:val="0"/>
                <w:sz w:val="24"/>
                <w:u w:val="none" w:color="auto"/>
                <w:lang w:val="en-US" w:eastAsia="zh-CN"/>
              </w:rPr>
              <w:t>电磁辐射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kern w:val="2"/>
                <w:sz w:val="21"/>
                <w:u w:val="none" w:color="auto"/>
                <w:lang w:val="en-US" w:eastAsia="zh-CN"/>
              </w:rPr>
            </w:pPr>
            <w:r>
              <w:rPr>
                <w:rFonts w:hint="eastAsia" w:ascii="Times New Roman" w:hAnsi="Times New Roman" w:eastAsia="宋体" w:cs="Times New Roman"/>
                <w:color w:val="000000"/>
                <w:kern w:val="0"/>
                <w:sz w:val="24"/>
                <w:u w:val="none" w:color="auto"/>
                <w:lang w:val="en-US" w:eastAsia="zh-CN"/>
              </w:rPr>
              <w:t>本项目不涉及电磁辐射。</w:t>
            </w:r>
          </w:p>
          <w:p>
            <w:pPr>
              <w:pStyle w:val="161"/>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8</w:t>
            </w:r>
            <w:r>
              <w:rPr>
                <w:rFonts w:hint="default" w:ascii="Times New Roman" w:hAnsi="Times New Roman" w:cs="Times New Roman"/>
                <w:lang w:val="en-US" w:eastAsia="zh-CN"/>
              </w:rPr>
              <w:t>、环境风险影响分析</w:t>
            </w:r>
          </w:p>
          <w:p>
            <w:pPr>
              <w:pStyle w:val="161"/>
              <w:rPr>
                <w:rFonts w:cs="宋体"/>
                <w:lang w:val="en-US" w:eastAsia="zh-CN"/>
              </w:rPr>
            </w:pPr>
            <w:r>
              <w:rPr>
                <w:rFonts w:ascii="Times New Roman" w:hAnsi="Times New Roman" w:cs="Times New Roman"/>
                <w:b w:val="0"/>
                <w:bCs/>
                <w:color w:val="auto"/>
                <w:u w:val="none" w:color="auto"/>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pPr>
              <w:widowControl w:val="0"/>
              <w:spacing w:line="360" w:lineRule="auto"/>
              <w:jc w:val="both"/>
              <w:rPr>
                <w:rFonts w:ascii="Times New Roman" w:hAnsi="Times New Roman" w:eastAsia="宋体" w:cs="Times New Roman"/>
                <w:b/>
                <w:bCs/>
                <w:color w:val="000000"/>
                <w:kern w:val="2"/>
                <w:sz w:val="24"/>
                <w:szCs w:val="24"/>
                <w:u w:val="none" w:color="auto"/>
              </w:rPr>
            </w:pPr>
            <w:r>
              <w:rPr>
                <w:rFonts w:hint="eastAsia" w:ascii="Times New Roman" w:hAnsi="Times New Roman" w:eastAsia="宋体" w:cs="Times New Roman"/>
                <w:b/>
                <w:bCs/>
                <w:color w:val="000000"/>
                <w:kern w:val="2"/>
                <w:sz w:val="24"/>
                <w:szCs w:val="24"/>
                <w:u w:val="none" w:color="auto"/>
                <w:lang w:val="en-US" w:eastAsia="zh-CN"/>
              </w:rPr>
              <w:t>8.1</w:t>
            </w:r>
            <w:r>
              <w:rPr>
                <w:rFonts w:ascii="Times New Roman" w:hAnsi="Times New Roman" w:eastAsia="宋体" w:cs="Times New Roman"/>
                <w:b/>
                <w:bCs/>
                <w:color w:val="000000"/>
                <w:kern w:val="2"/>
                <w:sz w:val="24"/>
                <w:szCs w:val="24"/>
                <w:u w:val="none" w:color="auto"/>
              </w:rPr>
              <w:t>风险</w:t>
            </w:r>
            <w:r>
              <w:rPr>
                <w:rFonts w:hint="eastAsia" w:ascii="Times New Roman" w:hAnsi="Times New Roman" w:eastAsia="宋体" w:cs="Times New Roman"/>
                <w:b/>
                <w:bCs/>
                <w:color w:val="000000"/>
                <w:kern w:val="2"/>
                <w:sz w:val="24"/>
                <w:szCs w:val="24"/>
                <w:u w:val="none" w:color="auto"/>
                <w:lang w:val="en-US" w:eastAsia="zh-CN"/>
              </w:rPr>
              <w:t>物质</w:t>
            </w:r>
            <w:r>
              <w:rPr>
                <w:rFonts w:ascii="Times New Roman" w:hAnsi="Times New Roman" w:eastAsia="宋体" w:cs="Times New Roman"/>
                <w:b/>
                <w:bCs/>
                <w:color w:val="000000"/>
                <w:kern w:val="2"/>
                <w:sz w:val="24"/>
                <w:szCs w:val="24"/>
                <w:u w:val="none" w:color="auto"/>
              </w:rPr>
              <w:t>识别</w:t>
            </w:r>
          </w:p>
          <w:p>
            <w:pPr>
              <w:widowControl/>
              <w:adjustRightInd w:val="0"/>
              <w:snapToGrid w:val="0"/>
              <w:spacing w:before="0" w:after="0" w:line="360" w:lineRule="auto"/>
              <w:ind w:right="0" w:firstLine="480" w:firstLineChars="200"/>
              <w:jc w:val="both"/>
              <w:rPr>
                <w:rFonts w:hint="eastAsia" w:ascii="Times New Roman" w:hAnsi="宋体" w:eastAsia="宋体" w:cs="Times New Roman"/>
                <w:color w:val="000000"/>
                <w:kern w:val="0"/>
                <w:sz w:val="21"/>
                <w:szCs w:val="21"/>
                <w:u w:val="none" w:color="auto"/>
                <w:lang w:val="en-US" w:eastAsia="zh-CN" w:bidi="ar-SA"/>
              </w:rPr>
            </w:pPr>
            <w:r>
              <w:rPr>
                <w:rFonts w:ascii="Times New Roman" w:hAnsi="宋体" w:eastAsia="宋体" w:cs="Times New Roman"/>
                <w:color w:val="000000"/>
                <w:kern w:val="0"/>
                <w:sz w:val="24"/>
                <w:szCs w:val="24"/>
                <w:u w:val="none" w:color="auto"/>
                <w:lang w:val="en-US" w:eastAsia="zh-CN" w:bidi="ar-SA"/>
              </w:rPr>
              <w:t>项目在营运过程中，由于自然或人为因素出现的造成突发性和非突发性事故。风险分析及评价的目的就是分析潜在事故发生的诱发因素，通过控制这些事故因素出现的条件，将综合风险降到尽可能低的水平，并有针对性地提出相应的事故应急措施，从而尽可能地减少事故造成的损失。</w:t>
            </w:r>
          </w:p>
          <w:p>
            <w:pPr>
              <w:widowControl/>
              <w:adjustRightInd w:val="0"/>
              <w:snapToGrid w:val="0"/>
              <w:spacing w:before="0" w:after="0" w:line="360" w:lineRule="auto"/>
              <w:ind w:right="0" w:firstLine="480" w:firstLineChars="200"/>
              <w:jc w:val="both"/>
              <w:rPr>
                <w:rFonts w:ascii="Times New Roman" w:hAnsi="Times New Roman" w:eastAsia="宋体" w:cs="Times New Roman"/>
                <w:color w:val="000000"/>
                <w:kern w:val="0"/>
                <w:sz w:val="24"/>
                <w:szCs w:val="24"/>
                <w:u w:val="none" w:color="auto"/>
                <w:lang w:val="en-US" w:eastAsia="zh-CN" w:bidi="ar-SA"/>
              </w:rPr>
            </w:pPr>
            <w:r>
              <w:rPr>
                <w:rFonts w:ascii="Times New Roman" w:hAnsi="Times New Roman" w:eastAsia="宋体" w:cs="Times New Roman"/>
                <w:bCs/>
                <w:color w:val="000000"/>
                <w:kern w:val="0"/>
                <w:sz w:val="24"/>
                <w:szCs w:val="24"/>
                <w:u w:val="none" w:color="auto"/>
                <w:lang w:val="en-US" w:eastAsia="zh-CN" w:bidi="ar-SA"/>
              </w:rPr>
              <w:t>1）</w:t>
            </w:r>
            <w:r>
              <w:rPr>
                <w:rFonts w:ascii="Times New Roman" w:hAnsi="Times New Roman" w:eastAsia="宋体" w:cs="Times New Roman"/>
                <w:color w:val="000000"/>
                <w:kern w:val="0"/>
                <w:sz w:val="24"/>
                <w:szCs w:val="24"/>
                <w:u w:val="none" w:color="auto"/>
                <w:lang w:val="en-US" w:eastAsia="zh-CN" w:bidi="ar-SA"/>
              </w:rPr>
              <w:t>评价依据</w:t>
            </w:r>
          </w:p>
          <w:p>
            <w:pPr>
              <w:widowControl w:val="0"/>
              <w:adjustRightInd w:val="0"/>
              <w:spacing w:line="360" w:lineRule="auto"/>
              <w:ind w:firstLine="480" w:firstLineChars="200"/>
              <w:jc w:val="both"/>
              <w:rPr>
                <w:rFonts w:hint="eastAsia" w:ascii="Times New Roman" w:hAnsi="Times New Roman" w:eastAsia="宋体" w:cs="Times New Roman"/>
                <w:color w:val="000000"/>
                <w:kern w:val="2"/>
                <w:sz w:val="24"/>
                <w:szCs w:val="24"/>
                <w:u w:val="none" w:color="auto"/>
              </w:rPr>
            </w:pPr>
            <w:r>
              <w:rPr>
                <w:rFonts w:ascii="Times New Roman" w:hAnsi="Times New Roman" w:eastAsia="宋体" w:cs="Times New Roman"/>
                <w:color w:val="000000"/>
                <w:kern w:val="2"/>
                <w:sz w:val="24"/>
                <w:szCs w:val="24"/>
                <w:u w:val="none" w:color="auto"/>
              </w:rPr>
              <w:t>根据《建设项目环境风险评价技术导则》</w:t>
            </w:r>
            <w:r>
              <w:rPr>
                <w:rFonts w:ascii="Times New Roman" w:hAnsi="Times New Roman" w:eastAsia="宋体" w:cs="Times New Roman"/>
                <w:bCs/>
                <w:color w:val="000000"/>
                <w:kern w:val="2"/>
                <w:sz w:val="24"/>
                <w:szCs w:val="24"/>
                <w:u w:val="none" w:color="auto"/>
              </w:rPr>
              <w:t>(HJ/T169-2018)</w:t>
            </w:r>
            <w:r>
              <w:rPr>
                <w:rFonts w:ascii="Times New Roman" w:hAnsi="Times New Roman" w:eastAsia="宋体" w:cs="Times New Roman"/>
                <w:color w:val="000000"/>
                <w:kern w:val="2"/>
                <w:sz w:val="24"/>
                <w:szCs w:val="24"/>
                <w:u w:val="none" w:color="auto"/>
              </w:rPr>
              <w:t>中相关规定，风险调查主要包括危险物质数量和分布情况、生产工艺特点，收集危险物质安全技术说明书</w:t>
            </w:r>
            <w:r>
              <w:rPr>
                <w:rFonts w:ascii="Times New Roman" w:hAnsi="Times New Roman" w:eastAsia="宋体" w:cs="Times New Roman"/>
                <w:bCs/>
                <w:color w:val="000000"/>
                <w:kern w:val="2"/>
                <w:sz w:val="24"/>
                <w:szCs w:val="24"/>
                <w:u w:val="none" w:color="auto"/>
              </w:rPr>
              <w:t>（MSDS）</w:t>
            </w:r>
            <w:r>
              <w:rPr>
                <w:rFonts w:ascii="Times New Roman" w:hAnsi="Times New Roman" w:eastAsia="宋体" w:cs="Times New Roman"/>
                <w:color w:val="000000"/>
                <w:kern w:val="2"/>
                <w:sz w:val="24"/>
                <w:szCs w:val="24"/>
                <w:u w:val="none" w:color="auto"/>
              </w:rPr>
              <w:t>等基础资料。</w:t>
            </w:r>
          </w:p>
          <w:p>
            <w:pPr>
              <w:widowControl/>
              <w:adjustRightInd w:val="0"/>
              <w:snapToGrid w:val="0"/>
              <w:spacing w:before="0" w:after="0" w:line="360" w:lineRule="auto"/>
              <w:ind w:right="0" w:firstLine="480" w:firstLineChars="200"/>
              <w:jc w:val="both"/>
              <w:rPr>
                <w:rFonts w:ascii="Times New Roman" w:hAnsi="Times New Roman" w:eastAsia="宋体" w:cs="Times New Roman"/>
                <w:color w:val="000000"/>
                <w:kern w:val="0"/>
                <w:sz w:val="24"/>
                <w:szCs w:val="24"/>
                <w:u w:val="none" w:color="auto"/>
                <w:lang w:val="en-US" w:eastAsia="zh-CN" w:bidi="ar-SA"/>
              </w:rPr>
            </w:pPr>
            <w:r>
              <w:rPr>
                <w:rFonts w:ascii="Times New Roman" w:hAnsi="Times New Roman" w:eastAsia="宋体" w:cs="Times New Roman"/>
                <w:bCs/>
                <w:color w:val="000000"/>
                <w:kern w:val="0"/>
                <w:sz w:val="24"/>
                <w:szCs w:val="24"/>
                <w:u w:val="none" w:color="auto"/>
                <w:lang w:val="en-US" w:eastAsia="zh-CN" w:bidi="ar-SA"/>
              </w:rPr>
              <w:t>2）</w:t>
            </w:r>
            <w:r>
              <w:rPr>
                <w:rFonts w:ascii="Times New Roman" w:hAnsi="Times New Roman" w:eastAsia="宋体" w:cs="Times New Roman"/>
                <w:color w:val="000000"/>
                <w:kern w:val="0"/>
                <w:sz w:val="24"/>
                <w:szCs w:val="24"/>
                <w:u w:val="none" w:color="auto"/>
                <w:lang w:val="en-US" w:eastAsia="zh-CN" w:bidi="ar-SA"/>
              </w:rPr>
              <w:t>风险潜势初判</w:t>
            </w:r>
          </w:p>
          <w:p>
            <w:pPr>
              <w:widowControl/>
              <w:adjustRightInd w:val="0"/>
              <w:snapToGrid w:val="0"/>
              <w:spacing w:before="0" w:after="0" w:line="360" w:lineRule="auto"/>
              <w:ind w:right="0" w:firstLine="480" w:firstLineChars="200"/>
              <w:jc w:val="both"/>
              <w:rPr>
                <w:rFonts w:ascii="Times New Roman" w:hAnsi="Times New Roman" w:eastAsia="宋体" w:cs="Times New Roman"/>
                <w:color w:val="000000"/>
                <w:kern w:val="0"/>
                <w:sz w:val="24"/>
                <w:szCs w:val="24"/>
                <w:u w:val="none" w:color="auto"/>
                <w:lang w:val="en-US" w:eastAsia="zh-CN" w:bidi="ar-SA"/>
              </w:rPr>
            </w:pPr>
            <w:r>
              <w:rPr>
                <w:rFonts w:hint="eastAsia" w:ascii="Times New Roman" w:hAnsi="Times New Roman" w:eastAsia="宋体" w:cs="Times New Roman"/>
                <w:color w:val="000000"/>
                <w:kern w:val="0"/>
                <w:sz w:val="24"/>
                <w:szCs w:val="24"/>
                <w:u w:val="none" w:color="auto"/>
                <w:lang w:val="en-US" w:eastAsia="zh-CN" w:bidi="ar-SA"/>
              </w:rPr>
              <w:t>根据《建设项目环境风险评价技术导则》(HT/J169-2018)附录 B 突发环境事件风险物质及临界量表进行辨识，其危险类别、储存量、储存临界量见下表。</w:t>
            </w:r>
          </w:p>
          <w:p>
            <w:pPr>
              <w:widowControl w:val="0"/>
              <w:adjustRightInd w:val="0"/>
              <w:snapToGrid w:val="0"/>
              <w:jc w:val="center"/>
              <w:rPr>
                <w:rFonts w:ascii="Times New Roman" w:hAnsi="Times New Roman" w:eastAsia="宋体" w:cs="Times New Roman"/>
                <w:b/>
                <w:color w:val="000000"/>
                <w:kern w:val="0"/>
                <w:sz w:val="21"/>
                <w:szCs w:val="21"/>
                <w:u w:val="none" w:color="auto"/>
                <w:lang w:val="en-US" w:eastAsia="zh-CN" w:bidi="ar-SA"/>
              </w:rPr>
            </w:pPr>
            <w:r>
              <w:rPr>
                <w:rFonts w:hint="eastAsia" w:ascii="Times New Roman" w:hAnsi="Times New Roman" w:eastAsia="宋体" w:cs="Times New Roman"/>
                <w:b/>
                <w:color w:val="000000"/>
                <w:kern w:val="0"/>
                <w:sz w:val="21"/>
                <w:szCs w:val="21"/>
                <w:u w:val="none" w:color="auto"/>
                <w:lang w:val="en-US" w:eastAsia="zh-CN" w:bidi="ar-SA"/>
              </w:rPr>
              <w:t>表4-</w:t>
            </w:r>
            <w:r>
              <w:rPr>
                <w:rFonts w:hint="eastAsia" w:cs="Times New Roman"/>
                <w:b/>
                <w:color w:val="000000"/>
                <w:kern w:val="0"/>
                <w:sz w:val="21"/>
                <w:szCs w:val="21"/>
                <w:u w:val="none" w:color="auto"/>
                <w:lang w:val="en-US" w:eastAsia="zh-CN" w:bidi="ar-SA"/>
              </w:rPr>
              <w:t>21</w:t>
            </w:r>
            <w:r>
              <w:rPr>
                <w:rFonts w:ascii="Times New Roman" w:hAnsi="Times New Roman" w:eastAsia="宋体" w:cs="Times New Roman"/>
                <w:b/>
                <w:color w:val="000000"/>
                <w:kern w:val="0"/>
                <w:sz w:val="21"/>
                <w:szCs w:val="21"/>
                <w:u w:val="none" w:color="auto"/>
                <w:lang w:val="en-US" w:eastAsia="zh-CN" w:bidi="ar-SA"/>
              </w:rPr>
              <w:t xml:space="preserve">  </w:t>
            </w:r>
            <w:r>
              <w:rPr>
                <w:rFonts w:hint="eastAsia" w:ascii="Times New Roman" w:hAnsi="Times New Roman" w:eastAsia="宋体" w:cs="Times New Roman"/>
                <w:b/>
                <w:color w:val="000000"/>
                <w:kern w:val="0"/>
                <w:sz w:val="21"/>
                <w:szCs w:val="21"/>
                <w:u w:val="none" w:color="auto"/>
                <w:lang w:val="en-US" w:eastAsia="zh-CN" w:bidi="ar-SA"/>
              </w:rPr>
              <w:t>本项目危险物质</w:t>
            </w:r>
            <w:r>
              <w:rPr>
                <w:rFonts w:ascii="Times New Roman" w:hAnsi="Times New Roman" w:eastAsia="宋体" w:cs="Times New Roman"/>
                <w:b/>
                <w:color w:val="000000"/>
                <w:kern w:val="0"/>
                <w:sz w:val="21"/>
                <w:szCs w:val="21"/>
                <w:u w:val="none" w:color="auto"/>
                <w:lang w:val="en-US" w:eastAsia="zh-CN" w:bidi="ar-SA"/>
              </w:rPr>
              <w:t>Q</w:t>
            </w:r>
            <w:r>
              <w:rPr>
                <w:rFonts w:hint="eastAsia" w:ascii="Times New Roman" w:hAnsi="Times New Roman" w:eastAsia="宋体" w:cs="Times New Roman"/>
                <w:b/>
                <w:color w:val="000000"/>
                <w:kern w:val="0"/>
                <w:sz w:val="21"/>
                <w:szCs w:val="21"/>
                <w:u w:val="none" w:color="auto"/>
                <w:lang w:val="en-US" w:eastAsia="zh-CN" w:bidi="ar-SA"/>
              </w:rPr>
              <w:t>值确定表</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48"/>
              <w:gridCol w:w="1323"/>
              <w:gridCol w:w="1234"/>
              <w:gridCol w:w="1366"/>
              <w:gridCol w:w="1790"/>
              <w:gridCol w:w="17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342" w:type="pct"/>
                  <w:tcBorders>
                    <w:bottom w:val="single" w:color="auto" w:sz="6" w:space="0"/>
                    <w:right w:val="single" w:color="auto" w:sz="6" w:space="0"/>
                  </w:tcBorders>
                  <w:noWrap w:val="0"/>
                  <w:vAlign w:val="center"/>
                </w:tcPr>
                <w:p>
                  <w:pPr>
                    <w:keepNext w:val="0"/>
                    <w:keepLines w:val="0"/>
                    <w:pageBreakBefore w:val="0"/>
                    <w:widowControl w:val="0"/>
                    <w:kinsoku/>
                    <w:wordWrap/>
                    <w:topLinePunct w:val="0"/>
                    <w:autoSpaceDE w:val="0"/>
                    <w:autoSpaceDN w:val="0"/>
                    <w:bidi w:val="0"/>
                    <w:spacing w:line="240" w:lineRule="auto"/>
                    <w:ind w:firstLine="0"/>
                    <w:jc w:val="center"/>
                    <w:rPr>
                      <w:rFonts w:ascii="Times New Roman" w:hAnsi="Times New Roman" w:eastAsia="宋体" w:cs="宋体"/>
                      <w:color w:val="auto"/>
                      <w:kern w:val="2"/>
                      <w:sz w:val="21"/>
                      <w:szCs w:val="21"/>
                      <w:u w:val="none" w:color="auto"/>
                      <w:lang w:val="zh-CN" w:eastAsia="zh-CN" w:bidi="ar-SA"/>
                    </w:rPr>
                  </w:pPr>
                  <w:r>
                    <w:rPr>
                      <w:rFonts w:hint="eastAsia" w:ascii="Times New Roman" w:hAnsi="Times New Roman" w:eastAsia="宋体" w:cs="宋体"/>
                      <w:color w:val="auto"/>
                      <w:kern w:val="2"/>
                      <w:sz w:val="21"/>
                      <w:szCs w:val="21"/>
                      <w:u w:val="none" w:color="auto"/>
                      <w:lang w:val="zh-CN" w:eastAsia="zh-CN" w:bidi="ar-SA"/>
                    </w:rPr>
                    <w:t>项目</w:t>
                  </w:r>
                </w:p>
              </w:tc>
              <w:tc>
                <w:tcPr>
                  <w:tcW w:w="827" w:type="pct"/>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topLinePunct w:val="0"/>
                    <w:autoSpaceDE w:val="0"/>
                    <w:autoSpaceDN w:val="0"/>
                    <w:bidi w:val="0"/>
                    <w:spacing w:line="240" w:lineRule="auto"/>
                    <w:ind w:firstLine="0"/>
                    <w:jc w:val="center"/>
                    <w:rPr>
                      <w:rFonts w:hint="eastAsia" w:ascii="Times New Roman" w:hAnsi="Times New Roman" w:eastAsia="宋体" w:cs="宋体"/>
                      <w:color w:val="auto"/>
                      <w:kern w:val="2"/>
                      <w:sz w:val="21"/>
                      <w:szCs w:val="21"/>
                      <w:u w:val="none" w:color="auto"/>
                      <w:lang w:val="zh-CN" w:eastAsia="zh-CN" w:bidi="ar-SA"/>
                    </w:rPr>
                  </w:pPr>
                  <w:r>
                    <w:rPr>
                      <w:rFonts w:hint="eastAsia" w:ascii="Times New Roman" w:hAnsi="Times New Roman" w:eastAsia="宋体" w:cs="宋体"/>
                      <w:color w:val="auto"/>
                      <w:kern w:val="2"/>
                      <w:sz w:val="21"/>
                      <w:szCs w:val="21"/>
                      <w:u w:val="none" w:color="auto"/>
                      <w:lang w:val="zh-CN" w:eastAsia="zh-CN" w:bidi="ar-SA"/>
                    </w:rPr>
                    <w:t>危险物质</w:t>
                  </w:r>
                </w:p>
                <w:p>
                  <w:pPr>
                    <w:keepNext w:val="0"/>
                    <w:keepLines w:val="0"/>
                    <w:pageBreakBefore w:val="0"/>
                    <w:widowControl w:val="0"/>
                    <w:kinsoku/>
                    <w:wordWrap/>
                    <w:topLinePunct w:val="0"/>
                    <w:autoSpaceDE w:val="0"/>
                    <w:autoSpaceDN w:val="0"/>
                    <w:bidi w:val="0"/>
                    <w:spacing w:line="240" w:lineRule="auto"/>
                    <w:ind w:firstLine="0"/>
                    <w:jc w:val="center"/>
                    <w:rPr>
                      <w:rFonts w:ascii="Times New Roman" w:hAnsi="Times New Roman" w:eastAsia="宋体" w:cs="宋体"/>
                      <w:color w:val="auto"/>
                      <w:kern w:val="2"/>
                      <w:sz w:val="21"/>
                      <w:szCs w:val="21"/>
                      <w:u w:val="none" w:color="auto"/>
                      <w:lang w:val="zh-CN" w:eastAsia="zh-CN" w:bidi="ar-SA"/>
                    </w:rPr>
                  </w:pPr>
                  <w:r>
                    <w:rPr>
                      <w:rFonts w:hint="eastAsia" w:ascii="Times New Roman" w:hAnsi="Times New Roman" w:eastAsia="宋体" w:cs="宋体"/>
                      <w:color w:val="auto"/>
                      <w:kern w:val="2"/>
                      <w:sz w:val="21"/>
                      <w:szCs w:val="21"/>
                      <w:u w:val="none" w:color="auto"/>
                      <w:lang w:val="zh-CN" w:eastAsia="zh-CN" w:bidi="ar-SA"/>
                    </w:rPr>
                    <w:t>名称</w:t>
                  </w:r>
                </w:p>
              </w:tc>
              <w:tc>
                <w:tcPr>
                  <w:tcW w:w="771" w:type="pct"/>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topLinePunct w:val="0"/>
                    <w:autoSpaceDE w:val="0"/>
                    <w:autoSpaceDN w:val="0"/>
                    <w:bidi w:val="0"/>
                    <w:spacing w:line="240" w:lineRule="auto"/>
                    <w:ind w:firstLine="0"/>
                    <w:jc w:val="center"/>
                    <w:rPr>
                      <w:rFonts w:ascii="Times New Roman" w:hAnsi="Times New Roman" w:eastAsia="宋体" w:cs="宋体"/>
                      <w:color w:val="auto"/>
                      <w:kern w:val="2"/>
                      <w:sz w:val="21"/>
                      <w:szCs w:val="21"/>
                      <w:u w:val="none" w:color="auto"/>
                      <w:lang w:val="zh-CN" w:eastAsia="zh-CN" w:bidi="ar-SA"/>
                    </w:rPr>
                  </w:pPr>
                  <w:r>
                    <w:rPr>
                      <w:rFonts w:ascii="Times New Roman" w:hAnsi="Times New Roman" w:eastAsia="宋体" w:cs="宋体"/>
                      <w:color w:val="auto"/>
                      <w:kern w:val="2"/>
                      <w:sz w:val="21"/>
                      <w:szCs w:val="21"/>
                      <w:u w:val="none" w:color="auto"/>
                      <w:lang w:val="zh-CN" w:eastAsia="zh-CN" w:bidi="ar-SA"/>
                    </w:rPr>
                    <w:t>CAS</w:t>
                  </w:r>
                  <w:r>
                    <w:rPr>
                      <w:rFonts w:hint="eastAsia" w:ascii="Times New Roman" w:hAnsi="Times New Roman" w:eastAsia="宋体" w:cs="宋体"/>
                      <w:color w:val="auto"/>
                      <w:kern w:val="2"/>
                      <w:sz w:val="21"/>
                      <w:szCs w:val="21"/>
                      <w:u w:val="none" w:color="auto"/>
                      <w:lang w:val="zh-CN" w:eastAsia="zh-CN" w:bidi="ar-SA"/>
                    </w:rPr>
                    <w:t>号</w:t>
                  </w:r>
                </w:p>
              </w:tc>
              <w:tc>
                <w:tcPr>
                  <w:tcW w:w="854" w:type="pct"/>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firstLine="0"/>
                    <w:jc w:val="center"/>
                    <w:textAlignment w:val="baseline"/>
                    <w:rPr>
                      <w:rFonts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最大存在总量</w:t>
                  </w:r>
                  <w:r>
                    <w:rPr>
                      <w:rFonts w:ascii="Times New Roman" w:hAnsi="Times New Roman" w:eastAsia="宋体" w:cs="Times New Roman"/>
                      <w:color w:val="auto"/>
                      <w:kern w:val="2"/>
                      <w:sz w:val="21"/>
                      <w:szCs w:val="21"/>
                      <w:u w:val="none" w:color="auto"/>
                      <w:lang w:val="en-US" w:eastAsia="zh-CN" w:bidi="ar-SA"/>
                    </w:rPr>
                    <w:t>q</w:t>
                  </w:r>
                  <w:r>
                    <w:rPr>
                      <w:rFonts w:ascii="Times New Roman" w:hAnsi="Times New Roman" w:eastAsia="宋体" w:cs="Times New Roman"/>
                      <w:color w:val="auto"/>
                      <w:kern w:val="2"/>
                      <w:sz w:val="21"/>
                      <w:szCs w:val="21"/>
                      <w:u w:val="none" w:color="auto"/>
                      <w:vertAlign w:val="subscript"/>
                      <w:lang w:val="en-US" w:eastAsia="zh-CN" w:bidi="ar-SA"/>
                    </w:rPr>
                    <w:t>n</w:t>
                  </w:r>
                  <w:r>
                    <w:rPr>
                      <w:rFonts w:ascii="Times New Roman" w:hAnsi="Times New Roman" w:eastAsia="宋体" w:cs="Times New Roman"/>
                      <w:color w:val="auto"/>
                      <w:kern w:val="2"/>
                      <w:sz w:val="21"/>
                      <w:szCs w:val="21"/>
                      <w:u w:val="none" w:color="auto"/>
                      <w:lang w:val="en-US" w:eastAsia="zh-CN" w:bidi="ar-SA"/>
                    </w:rPr>
                    <w:t>/t</w:t>
                  </w:r>
                </w:p>
              </w:tc>
              <w:tc>
                <w:tcPr>
                  <w:tcW w:w="1119" w:type="pct"/>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firstLine="0"/>
                    <w:jc w:val="center"/>
                    <w:textAlignment w:val="baseline"/>
                    <w:rPr>
                      <w:rFonts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临界量</w:t>
                  </w:r>
                  <w:r>
                    <w:rPr>
                      <w:rFonts w:ascii="Times New Roman" w:hAnsi="Times New Roman" w:eastAsia="宋体" w:cs="Times New Roman"/>
                      <w:color w:val="auto"/>
                      <w:kern w:val="2"/>
                      <w:sz w:val="21"/>
                      <w:szCs w:val="21"/>
                      <w:u w:val="none" w:color="auto"/>
                      <w:lang w:val="en-US" w:eastAsia="zh-CN" w:bidi="ar-SA"/>
                    </w:rPr>
                    <w:t>Q</w:t>
                  </w:r>
                  <w:r>
                    <w:rPr>
                      <w:rFonts w:ascii="Times New Roman" w:hAnsi="Times New Roman" w:eastAsia="宋体" w:cs="Times New Roman"/>
                      <w:color w:val="auto"/>
                      <w:kern w:val="2"/>
                      <w:sz w:val="21"/>
                      <w:szCs w:val="21"/>
                      <w:u w:val="none" w:color="auto"/>
                      <w:vertAlign w:val="subscript"/>
                      <w:lang w:val="en-US" w:eastAsia="zh-CN" w:bidi="ar-SA"/>
                    </w:rPr>
                    <w:t>n</w:t>
                  </w:r>
                  <w:r>
                    <w:rPr>
                      <w:rFonts w:ascii="Times New Roman" w:hAnsi="Times New Roman" w:eastAsia="宋体" w:cs="Times New Roman"/>
                      <w:color w:val="auto"/>
                      <w:kern w:val="2"/>
                      <w:sz w:val="21"/>
                      <w:szCs w:val="21"/>
                      <w:u w:val="none" w:color="auto"/>
                      <w:lang w:val="en-US" w:eastAsia="zh-CN" w:bidi="ar-SA"/>
                    </w:rPr>
                    <w:t>/t</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firstLine="0"/>
                    <w:jc w:val="center"/>
                    <w:textAlignment w:val="baseline"/>
                    <w:rPr>
                      <w:rFonts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r>
                    <w:rPr>
                      <w:rFonts w:ascii="Times New Roman" w:hAnsi="Times New Roman" w:eastAsia="宋体" w:cs="Times New Roman"/>
                      <w:color w:val="auto"/>
                      <w:kern w:val="2"/>
                      <w:sz w:val="21"/>
                      <w:szCs w:val="21"/>
                      <w:u w:val="none" w:color="auto"/>
                      <w:lang w:val="en-US" w:eastAsia="zh-CN" w:bidi="ar-SA"/>
                    </w:rPr>
                    <w:t>HJ/T169-2018</w:t>
                  </w:r>
                  <w:r>
                    <w:rPr>
                      <w:rFonts w:hint="eastAsia" w:ascii="Times New Roman" w:hAnsi="Times New Roman" w:eastAsia="宋体" w:cs="Times New Roman"/>
                      <w:color w:val="auto"/>
                      <w:kern w:val="2"/>
                      <w:sz w:val="21"/>
                      <w:szCs w:val="21"/>
                      <w:u w:val="none" w:color="auto"/>
                      <w:lang w:val="en-US" w:eastAsia="zh-CN" w:bidi="ar-SA"/>
                    </w:rPr>
                    <w:t>）</w:t>
                  </w:r>
                </w:p>
              </w:tc>
              <w:tc>
                <w:tcPr>
                  <w:tcW w:w="1085" w:type="pct"/>
                  <w:tcBorders>
                    <w:left w:val="single" w:color="auto" w:sz="6" w:space="0"/>
                    <w:bottom w:val="single" w:color="auto" w:sz="6"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firstLine="0"/>
                    <w:jc w:val="center"/>
                    <w:textAlignment w:val="baseline"/>
                    <w:rPr>
                      <w:rFonts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该种危险物质</w:t>
                  </w:r>
                  <w:r>
                    <w:rPr>
                      <w:rFonts w:ascii="Times New Roman" w:hAnsi="Times New Roman" w:eastAsia="宋体" w:cs="Times New Roman"/>
                      <w:color w:val="auto"/>
                      <w:kern w:val="2"/>
                      <w:sz w:val="21"/>
                      <w:szCs w:val="21"/>
                      <w:u w:val="none" w:color="auto"/>
                      <w:lang w:val="en-US" w:eastAsia="zh-CN" w:bidi="ar-SA"/>
                    </w:rPr>
                    <w:t>Q</w:t>
                  </w:r>
                  <w:r>
                    <w:rPr>
                      <w:rFonts w:hint="eastAsia" w:ascii="Times New Roman" w:hAnsi="Times New Roman" w:eastAsia="宋体" w:cs="Times New Roman"/>
                      <w:color w:val="auto"/>
                      <w:kern w:val="2"/>
                      <w:sz w:val="21"/>
                      <w:szCs w:val="21"/>
                      <w:u w:val="none" w:color="auto"/>
                      <w:lang w:val="en-US" w:eastAsia="zh-CN" w:bidi="ar-SA"/>
                    </w:rPr>
                    <w:t>值</w:t>
                  </w:r>
                  <w:r>
                    <w:rPr>
                      <w:rFonts w:ascii="Times New Roman" w:hAnsi="Times New Roman" w:eastAsia="宋体" w:cs="Times New Roman"/>
                      <w:color w:val="auto"/>
                      <w:kern w:val="2"/>
                      <w:sz w:val="21"/>
                      <w:szCs w:val="21"/>
                      <w:u w:val="none" w:color="auto"/>
                      <w:lang w:val="en-US" w:eastAsia="zh-CN" w:bidi="ar-SA"/>
                    </w:rPr>
                    <w:t>q</w:t>
                  </w:r>
                  <w:r>
                    <w:rPr>
                      <w:rFonts w:ascii="Times New Roman" w:hAnsi="Times New Roman" w:eastAsia="宋体" w:cs="Times New Roman"/>
                      <w:color w:val="auto"/>
                      <w:kern w:val="2"/>
                      <w:sz w:val="21"/>
                      <w:szCs w:val="21"/>
                      <w:u w:val="none" w:color="auto"/>
                      <w:vertAlign w:val="subscript"/>
                      <w:lang w:val="en-US" w:eastAsia="zh-CN" w:bidi="ar-SA"/>
                    </w:rPr>
                    <w:t>n</w:t>
                  </w:r>
                  <w:r>
                    <w:rPr>
                      <w:rFonts w:ascii="Times New Roman" w:hAnsi="Times New Roman" w:eastAsia="宋体" w:cs="Times New Roman"/>
                      <w:color w:val="auto"/>
                      <w:kern w:val="2"/>
                      <w:sz w:val="21"/>
                      <w:szCs w:val="21"/>
                      <w:u w:val="none" w:color="auto"/>
                      <w:lang w:val="en-US" w:eastAsia="zh-CN" w:bidi="ar-SA"/>
                    </w:rPr>
                    <w:t>/Q</w:t>
                  </w:r>
                  <w:r>
                    <w:rPr>
                      <w:rFonts w:ascii="Times New Roman" w:hAnsi="Times New Roman" w:eastAsia="宋体" w:cs="Times New Roman"/>
                      <w:color w:val="auto"/>
                      <w:kern w:val="2"/>
                      <w:sz w:val="21"/>
                      <w:szCs w:val="21"/>
                      <w:u w:val="none" w:color="auto"/>
                      <w:vertAlign w:val="subscript"/>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1" w:hRule="exact"/>
              </w:trPr>
              <w:tc>
                <w:tcPr>
                  <w:tcW w:w="342" w:type="pct"/>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topLinePunct w:val="0"/>
                    <w:bidi w:val="0"/>
                    <w:spacing w:line="240" w:lineRule="auto"/>
                    <w:ind w:firstLine="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1</w:t>
                  </w:r>
                </w:p>
              </w:tc>
              <w:tc>
                <w:tcPr>
                  <w:tcW w:w="82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topLinePunct w:val="0"/>
                    <w:bidi w:val="0"/>
                    <w:spacing w:line="240" w:lineRule="auto"/>
                    <w:ind w:firstLine="0"/>
                    <w:jc w:val="center"/>
                    <w:rPr>
                      <w:rFonts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rPr>
                    <w:t>乙醇</w:t>
                  </w:r>
                </w:p>
              </w:tc>
              <w:tc>
                <w:tcPr>
                  <w:tcW w:w="77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topLinePunct w:val="0"/>
                    <w:bidi w:val="0"/>
                    <w:spacing w:line="240" w:lineRule="auto"/>
                    <w:ind w:firstLine="0"/>
                    <w:jc w:val="center"/>
                    <w:rPr>
                      <w:rFonts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rPr>
                    <w:t>64-17-5</w:t>
                  </w:r>
                </w:p>
              </w:tc>
              <w:tc>
                <w:tcPr>
                  <w:tcW w:w="85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topLinePunct w:val="0"/>
                    <w:bidi w:val="0"/>
                    <w:spacing w:line="240" w:lineRule="auto"/>
                    <w:ind w:firstLine="0"/>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rPr>
                    <w:t>0.0</w:t>
                  </w:r>
                  <w:r>
                    <w:rPr>
                      <w:rFonts w:hint="eastAsia" w:ascii="Times New Roman" w:hAnsi="Times New Roman" w:eastAsia="宋体" w:cs="Times New Roman"/>
                      <w:color w:val="auto"/>
                      <w:kern w:val="2"/>
                      <w:sz w:val="21"/>
                      <w:szCs w:val="21"/>
                      <w:u w:val="none" w:color="auto"/>
                      <w:lang w:val="en-US" w:eastAsia="zh-CN"/>
                    </w:rPr>
                    <w:t>06</w:t>
                  </w:r>
                </w:p>
              </w:tc>
              <w:tc>
                <w:tcPr>
                  <w:tcW w:w="111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topLinePunct w:val="0"/>
                    <w:bidi w:val="0"/>
                    <w:spacing w:line="240" w:lineRule="auto"/>
                    <w:ind w:firstLine="0"/>
                    <w:jc w:val="center"/>
                    <w:rPr>
                      <w:rFonts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rPr>
                    <w:t>500</w:t>
                  </w:r>
                </w:p>
              </w:tc>
              <w:tc>
                <w:tcPr>
                  <w:tcW w:w="1085"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topLinePunct w:val="0"/>
                    <w:bidi w:val="0"/>
                    <w:spacing w:line="240" w:lineRule="auto"/>
                    <w:ind w:firstLine="0"/>
                    <w:jc w:val="center"/>
                    <w:rPr>
                      <w:rFonts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lang w:val="en-US" w:eastAsia="zh-CN"/>
                    </w:rPr>
                    <w:t>1.2</w:t>
                  </w:r>
                  <w:r>
                    <w:rPr>
                      <w:rFonts w:hint="eastAsia" w:ascii="Times New Roman" w:hAnsi="Times New Roman" w:eastAsia="宋体" w:cs="Times New Roman"/>
                      <w:color w:val="auto"/>
                      <w:kern w:val="2"/>
                      <w:sz w:val="21"/>
                      <w:szCs w:val="21"/>
                      <w:u w:val="none" w:color="auto"/>
                    </w:rPr>
                    <w:t>×10</w:t>
                  </w:r>
                  <w:r>
                    <w:rPr>
                      <w:rFonts w:hint="eastAsia" w:ascii="Times New Roman" w:hAnsi="Times New Roman" w:eastAsia="宋体" w:cs="Times New Roman"/>
                      <w:color w:val="auto"/>
                      <w:kern w:val="2"/>
                      <w:sz w:val="21"/>
                      <w:szCs w:val="21"/>
                      <w:u w:val="none" w:color="auto"/>
                      <w:vertAlign w:val="superscript"/>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1" w:hRule="exact"/>
              </w:trPr>
              <w:tc>
                <w:tcPr>
                  <w:tcW w:w="342" w:type="pct"/>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topLinePunct w:val="0"/>
                    <w:bidi w:val="0"/>
                    <w:spacing w:line="240" w:lineRule="auto"/>
                    <w:ind w:firstLine="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2</w:t>
                  </w:r>
                </w:p>
              </w:tc>
              <w:tc>
                <w:tcPr>
                  <w:tcW w:w="82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topLinePunct w:val="0"/>
                    <w:bidi w:val="0"/>
                    <w:spacing w:line="240" w:lineRule="auto"/>
                    <w:ind w:firstLine="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次氯酸钠</w:t>
                  </w:r>
                </w:p>
              </w:tc>
              <w:tc>
                <w:tcPr>
                  <w:tcW w:w="77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topLinePunct w:val="0"/>
                    <w:bidi w:val="0"/>
                    <w:spacing w:line="240" w:lineRule="auto"/>
                    <w:ind w:firstLine="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7681-52-9</w:t>
                  </w:r>
                </w:p>
              </w:tc>
              <w:tc>
                <w:tcPr>
                  <w:tcW w:w="85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topLinePunct w:val="0"/>
                    <w:bidi w:val="0"/>
                    <w:spacing w:line="240" w:lineRule="auto"/>
                    <w:ind w:firstLine="0"/>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0.025</w:t>
                  </w:r>
                </w:p>
              </w:tc>
              <w:tc>
                <w:tcPr>
                  <w:tcW w:w="111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topLinePunct w:val="0"/>
                    <w:bidi w:val="0"/>
                    <w:spacing w:line="240" w:lineRule="auto"/>
                    <w:ind w:firstLine="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5</w:t>
                  </w:r>
                </w:p>
              </w:tc>
              <w:tc>
                <w:tcPr>
                  <w:tcW w:w="1085"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topLinePunct w:val="0"/>
                    <w:bidi w:val="0"/>
                    <w:spacing w:line="240" w:lineRule="auto"/>
                    <w:ind w:firstLine="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1" w:hRule="exact"/>
              </w:trPr>
              <w:tc>
                <w:tcPr>
                  <w:tcW w:w="3914" w:type="pct"/>
                  <w:gridSpan w:val="5"/>
                  <w:tcBorders>
                    <w:top w:val="single" w:color="auto" w:sz="6" w:space="0"/>
                    <w:right w:val="single" w:color="auto" w:sz="6" w:space="0"/>
                  </w:tcBorders>
                  <w:noWrap w:val="0"/>
                  <w:vAlign w:val="center"/>
                </w:tcPr>
                <w:p>
                  <w:pPr>
                    <w:keepNext w:val="0"/>
                    <w:keepLines w:val="0"/>
                    <w:pageBreakBefore w:val="0"/>
                    <w:widowControl w:val="0"/>
                    <w:kinsoku/>
                    <w:wordWrap/>
                    <w:topLinePunct w:val="0"/>
                    <w:autoSpaceDE w:val="0"/>
                    <w:autoSpaceDN w:val="0"/>
                    <w:bidi w:val="0"/>
                    <w:spacing w:line="240" w:lineRule="auto"/>
                    <w:ind w:firstLine="0"/>
                    <w:jc w:val="center"/>
                    <w:rPr>
                      <w:rFonts w:ascii="Times New Roman" w:hAnsi="Times New Roman" w:eastAsia="宋体" w:cs="宋体"/>
                      <w:color w:val="auto"/>
                      <w:kern w:val="2"/>
                      <w:sz w:val="21"/>
                      <w:szCs w:val="21"/>
                      <w:u w:val="none" w:color="auto"/>
                      <w:lang w:val="zh-CN" w:eastAsia="zh-CN" w:bidi="ar-SA"/>
                    </w:rPr>
                  </w:pPr>
                  <w:r>
                    <w:rPr>
                      <w:rFonts w:hint="eastAsia" w:ascii="Times New Roman" w:hAnsi="Times New Roman" w:eastAsia="宋体" w:cs="宋体"/>
                      <w:color w:val="auto"/>
                      <w:kern w:val="2"/>
                      <w:sz w:val="21"/>
                      <w:szCs w:val="21"/>
                      <w:u w:val="none" w:color="auto"/>
                      <w:lang w:val="zh-CN" w:eastAsia="zh-CN" w:bidi="ar-SA"/>
                    </w:rPr>
                    <w:t>项目</w:t>
                  </w:r>
                  <w:r>
                    <w:rPr>
                      <w:rFonts w:ascii="Times New Roman" w:hAnsi="Times New Roman" w:eastAsia="宋体" w:cs="宋体"/>
                      <w:color w:val="auto"/>
                      <w:kern w:val="2"/>
                      <w:sz w:val="21"/>
                      <w:szCs w:val="21"/>
                      <w:u w:val="none" w:color="auto"/>
                      <w:lang w:val="zh-CN" w:eastAsia="zh-CN" w:bidi="ar-SA"/>
                    </w:rPr>
                    <w:t>Q</w:t>
                  </w:r>
                  <w:r>
                    <w:rPr>
                      <w:rFonts w:hint="eastAsia" w:ascii="Times New Roman" w:hAnsi="Times New Roman" w:eastAsia="宋体" w:cs="宋体"/>
                      <w:color w:val="auto"/>
                      <w:kern w:val="2"/>
                      <w:sz w:val="21"/>
                      <w:szCs w:val="21"/>
                      <w:u w:val="none" w:color="auto"/>
                      <w:lang w:val="zh-CN" w:eastAsia="zh-CN" w:bidi="ar-SA"/>
                    </w:rPr>
                    <w:t>值∑</w:t>
                  </w:r>
                </w:p>
              </w:tc>
              <w:tc>
                <w:tcPr>
                  <w:tcW w:w="1085" w:type="pct"/>
                  <w:tcBorders>
                    <w:top w:val="single" w:color="auto" w:sz="6" w:space="0"/>
                    <w:left w:val="single" w:color="auto" w:sz="6" w:space="0"/>
                  </w:tcBorders>
                  <w:noWrap w:val="0"/>
                  <w:vAlign w:val="center"/>
                </w:tcPr>
                <w:p>
                  <w:pPr>
                    <w:keepNext w:val="0"/>
                    <w:keepLines w:val="0"/>
                    <w:pageBreakBefore w:val="0"/>
                    <w:widowControl/>
                    <w:kinsoku/>
                    <w:wordWrap/>
                    <w:topLinePunct w:val="0"/>
                    <w:bidi w:val="0"/>
                    <w:spacing w:line="240" w:lineRule="auto"/>
                    <w:ind w:firstLine="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0.005012</w:t>
                  </w:r>
                </w:p>
              </w:tc>
            </w:tr>
          </w:tbl>
          <w:p>
            <w:pPr>
              <w:widowControl w:val="0"/>
              <w:adjustRightInd w:val="0"/>
              <w:spacing w:line="360" w:lineRule="auto"/>
              <w:ind w:firstLine="480" w:firstLineChars="200"/>
              <w:jc w:val="both"/>
              <w:rPr>
                <w:rFonts w:hint="eastAsia" w:ascii="Times New Roman" w:hAnsi="Times New Roman" w:eastAsia="宋体" w:cs="Times New Roman"/>
                <w:color w:val="000000"/>
                <w:kern w:val="2"/>
                <w:sz w:val="24"/>
                <w:szCs w:val="24"/>
                <w:u w:val="none" w:color="auto"/>
              </w:rPr>
            </w:pPr>
            <w:r>
              <w:rPr>
                <w:rFonts w:ascii="Times New Roman" w:hAnsi="Times New Roman" w:eastAsia="宋体" w:cs="Times New Roman"/>
                <w:color w:val="000000"/>
                <w:kern w:val="2"/>
                <w:sz w:val="24"/>
                <w:szCs w:val="24"/>
                <w:u w:val="none" w:color="auto"/>
              </w:rPr>
              <w:t>根据《建设项目环境风险评价技术导则》(HJ/T169－20</w:t>
            </w:r>
            <w:r>
              <w:rPr>
                <w:rFonts w:hint="eastAsia" w:ascii="Times New Roman" w:hAnsi="Times New Roman" w:eastAsia="宋体" w:cs="Times New Roman"/>
                <w:color w:val="000000"/>
                <w:kern w:val="2"/>
                <w:sz w:val="24"/>
                <w:szCs w:val="24"/>
                <w:u w:val="none" w:color="auto"/>
              </w:rPr>
              <w:t>18</w:t>
            </w:r>
            <w:r>
              <w:rPr>
                <w:rFonts w:ascii="Times New Roman" w:hAnsi="Times New Roman" w:eastAsia="宋体" w:cs="Times New Roman"/>
                <w:color w:val="000000"/>
                <w:kern w:val="2"/>
                <w:sz w:val="24"/>
                <w:szCs w:val="24"/>
                <w:u w:val="none" w:color="auto"/>
              </w:rPr>
              <w:t>)附录</w:t>
            </w:r>
            <w:r>
              <w:rPr>
                <w:rFonts w:hint="eastAsia" w:ascii="Times New Roman" w:hAnsi="Times New Roman" w:eastAsia="宋体" w:cs="Times New Roman"/>
                <w:color w:val="000000"/>
                <w:kern w:val="2"/>
                <w:sz w:val="24"/>
                <w:szCs w:val="24"/>
                <w:u w:val="none" w:color="auto"/>
              </w:rPr>
              <w:t>B</w:t>
            </w:r>
            <w:r>
              <w:rPr>
                <w:rFonts w:ascii="Times New Roman" w:hAnsi="Times New Roman" w:eastAsia="宋体" w:cs="Times New Roman"/>
                <w:color w:val="000000"/>
                <w:kern w:val="2"/>
                <w:sz w:val="24"/>
                <w:szCs w:val="24"/>
                <w:u w:val="none" w:color="auto"/>
              </w:rPr>
              <w:t>表中</w:t>
            </w:r>
            <w:r>
              <w:rPr>
                <w:rFonts w:hint="eastAsia" w:ascii="Times New Roman" w:hAnsi="Times New Roman" w:eastAsia="宋体" w:cs="Times New Roman"/>
                <w:color w:val="000000"/>
                <w:kern w:val="2"/>
                <w:sz w:val="24"/>
                <w:szCs w:val="24"/>
                <w:u w:val="none" w:color="auto"/>
              </w:rPr>
              <w:t>危险物质</w:t>
            </w:r>
            <w:r>
              <w:rPr>
                <w:rFonts w:hint="eastAsia" w:ascii="Times New Roman" w:hAnsi="Times New Roman" w:eastAsia="宋体" w:cs="Times New Roman"/>
                <w:color w:val="000000"/>
                <w:kern w:val="2"/>
                <w:sz w:val="24"/>
                <w:szCs w:val="24"/>
                <w:u w:val="none" w:color="auto"/>
                <w:lang w:eastAsia="zh-CN"/>
              </w:rPr>
              <w:t>名称</w:t>
            </w:r>
            <w:r>
              <w:rPr>
                <w:rFonts w:ascii="Times New Roman" w:hAnsi="Times New Roman" w:eastAsia="宋体" w:cs="Times New Roman"/>
                <w:color w:val="000000"/>
                <w:kern w:val="2"/>
                <w:sz w:val="24"/>
                <w:szCs w:val="24"/>
                <w:u w:val="none" w:color="auto"/>
              </w:rPr>
              <w:t>及临界量识别，</w:t>
            </w:r>
            <w:r>
              <w:rPr>
                <w:rFonts w:ascii="Times New Roman" w:hAnsi="Times New Roman" w:eastAsia="宋体" w:cs="Times New Roman"/>
                <w:bCs/>
                <w:color w:val="000000"/>
                <w:kern w:val="2"/>
                <w:sz w:val="24"/>
                <w:szCs w:val="24"/>
                <w:u w:val="none" w:color="auto"/>
              </w:rPr>
              <w:t>本建设项目涉及风险物质Q＜1，项目环境风险潜势为</w:t>
            </w:r>
            <w:r>
              <w:rPr>
                <w:rFonts w:hint="default" w:ascii="Times New Roman" w:hAnsi="Times New Roman" w:eastAsia="宋体" w:cs="Times New Roman"/>
                <w:bCs/>
                <w:color w:val="000000"/>
                <w:kern w:val="2"/>
                <w:sz w:val="24"/>
                <w:szCs w:val="24"/>
                <w:u w:val="none" w:color="auto"/>
              </w:rPr>
              <w:t>Ⅰ</w:t>
            </w:r>
            <w:r>
              <w:rPr>
                <w:rFonts w:hint="eastAsia" w:ascii="Times New Roman" w:hAnsi="Times New Roman" w:eastAsia="宋体" w:cs="Times New Roman"/>
                <w:bCs/>
                <w:color w:val="000000"/>
                <w:kern w:val="2"/>
                <w:sz w:val="24"/>
                <w:szCs w:val="24"/>
                <w:u w:val="none" w:color="auto"/>
              </w:rPr>
              <w:t>，</w:t>
            </w:r>
            <w:r>
              <w:rPr>
                <w:rFonts w:ascii="Times New Roman" w:hAnsi="Times New Roman" w:eastAsia="宋体" w:cs="Times New Roman"/>
                <w:color w:val="000000"/>
                <w:kern w:val="2"/>
                <w:sz w:val="24"/>
                <w:szCs w:val="24"/>
                <w:u w:val="none" w:color="auto"/>
              </w:rPr>
              <w:t>本项目不存在重大危险源。</w:t>
            </w:r>
          </w:p>
          <w:p>
            <w:pPr>
              <w:widowControl/>
              <w:adjustRightInd w:val="0"/>
              <w:snapToGrid w:val="0"/>
              <w:spacing w:before="0" w:after="0" w:line="360" w:lineRule="auto"/>
              <w:ind w:right="0" w:firstLine="480" w:firstLineChars="200"/>
              <w:jc w:val="both"/>
              <w:rPr>
                <w:rFonts w:ascii="Times New Roman" w:hAnsi="Times New Roman" w:eastAsia="宋体" w:cs="Times New Roman"/>
                <w:bCs/>
                <w:color w:val="000000"/>
                <w:kern w:val="0"/>
                <w:sz w:val="24"/>
                <w:szCs w:val="24"/>
                <w:u w:val="none" w:color="auto"/>
                <w:lang w:val="en-US" w:eastAsia="zh-CN" w:bidi="ar-SA"/>
              </w:rPr>
            </w:pPr>
            <w:r>
              <w:rPr>
                <w:rFonts w:ascii="Times New Roman" w:hAnsi="Times New Roman" w:eastAsia="宋体" w:cs="Times New Roman"/>
                <w:bCs/>
                <w:color w:val="000000"/>
                <w:kern w:val="0"/>
                <w:sz w:val="24"/>
                <w:szCs w:val="24"/>
                <w:u w:val="none" w:color="auto"/>
                <w:lang w:val="en-US" w:eastAsia="zh-CN" w:bidi="ar-SA"/>
              </w:rPr>
              <w:t>3）评价等级</w:t>
            </w:r>
          </w:p>
          <w:p>
            <w:pPr>
              <w:widowControl/>
              <w:adjustRightInd w:val="0"/>
              <w:snapToGrid w:val="0"/>
              <w:spacing w:before="0" w:after="0" w:line="360" w:lineRule="auto"/>
              <w:ind w:right="0" w:firstLine="480" w:firstLineChars="200"/>
              <w:jc w:val="both"/>
              <w:rPr>
                <w:rFonts w:ascii="Times New Roman" w:hAnsi="Times New Roman" w:eastAsia="宋体" w:cs="Times New Roman"/>
                <w:bCs/>
                <w:color w:val="000000"/>
                <w:kern w:val="0"/>
                <w:sz w:val="24"/>
                <w:szCs w:val="24"/>
                <w:u w:val="none" w:color="auto"/>
                <w:lang w:val="en-US" w:eastAsia="zh-CN" w:bidi="ar-SA"/>
              </w:rPr>
            </w:pPr>
            <w:r>
              <w:rPr>
                <w:rFonts w:ascii="Times New Roman" w:hAnsi="Times New Roman" w:eastAsia="宋体" w:cs="Times New Roman"/>
                <w:bCs/>
                <w:color w:val="000000"/>
                <w:kern w:val="0"/>
                <w:sz w:val="24"/>
                <w:szCs w:val="24"/>
                <w:u w:val="none" w:color="auto"/>
                <w:lang w:val="en-US" w:eastAsia="zh-CN" w:bidi="ar-SA"/>
              </w:rPr>
              <w:t>根据项目风险潜势初判，项目环境风险潜势为</w:t>
            </w:r>
            <w:r>
              <w:rPr>
                <w:rFonts w:hint="default" w:ascii="Times New Roman" w:hAnsi="Times New Roman" w:eastAsia="宋体" w:cs="Times New Roman"/>
                <w:bCs/>
                <w:color w:val="000000"/>
                <w:kern w:val="0"/>
                <w:sz w:val="24"/>
                <w:szCs w:val="24"/>
                <w:u w:val="none" w:color="auto"/>
                <w:lang w:val="en-US" w:eastAsia="zh-CN" w:bidi="ar-SA"/>
              </w:rPr>
              <w:t>Ⅰ</w:t>
            </w:r>
            <w:r>
              <w:rPr>
                <w:rFonts w:ascii="Times New Roman" w:hAnsi="Times New Roman" w:eastAsia="宋体" w:cs="Times New Roman"/>
                <w:bCs/>
                <w:color w:val="000000"/>
                <w:kern w:val="0"/>
                <w:sz w:val="24"/>
                <w:szCs w:val="24"/>
                <w:u w:val="none" w:color="auto"/>
                <w:lang w:val="en-US" w:eastAsia="zh-CN" w:bidi="ar-SA"/>
              </w:rPr>
              <w:t>。根据《建设项目环境风险评价技术导则》（HJ/T169-2018）项目环境风险潜势为</w:t>
            </w:r>
            <w:r>
              <w:rPr>
                <w:rFonts w:hint="default" w:ascii="Times New Roman" w:hAnsi="Times New Roman" w:eastAsia="宋体" w:cs="Times New Roman"/>
                <w:bCs/>
                <w:color w:val="000000"/>
                <w:kern w:val="0"/>
                <w:sz w:val="24"/>
                <w:szCs w:val="24"/>
                <w:u w:val="none" w:color="auto"/>
                <w:lang w:val="en-US" w:eastAsia="zh-CN" w:bidi="ar-SA"/>
              </w:rPr>
              <w:t>Ⅰ</w:t>
            </w:r>
            <w:r>
              <w:rPr>
                <w:rFonts w:ascii="Times New Roman" w:hAnsi="Times New Roman" w:eastAsia="宋体" w:cs="Times New Roman"/>
                <w:bCs/>
                <w:color w:val="000000"/>
                <w:kern w:val="0"/>
                <w:sz w:val="24"/>
                <w:szCs w:val="24"/>
                <w:u w:val="none" w:color="auto"/>
                <w:lang w:val="en-US" w:eastAsia="zh-CN" w:bidi="ar-SA"/>
              </w:rPr>
              <w:t>，评价工作等级划分</w:t>
            </w:r>
            <w:r>
              <w:rPr>
                <w:rFonts w:hint="eastAsia" w:ascii="Times New Roman" w:hAnsi="Times New Roman" w:eastAsia="宋体" w:cs="Times New Roman"/>
                <w:bCs/>
                <w:color w:val="000000"/>
                <w:kern w:val="0"/>
                <w:sz w:val="24"/>
                <w:szCs w:val="24"/>
                <w:u w:val="none" w:color="auto"/>
                <w:lang w:val="en-US" w:eastAsia="zh-CN" w:bidi="ar-SA"/>
              </w:rPr>
              <w:t>见表4-13，</w:t>
            </w:r>
            <w:r>
              <w:rPr>
                <w:rFonts w:ascii="Times New Roman" w:hAnsi="Times New Roman" w:eastAsia="宋体" w:cs="Times New Roman"/>
                <w:bCs/>
                <w:color w:val="000000"/>
                <w:kern w:val="0"/>
                <w:sz w:val="24"/>
                <w:szCs w:val="24"/>
                <w:u w:val="none" w:color="auto"/>
                <w:lang w:val="en-US" w:eastAsia="zh-CN" w:bidi="ar-SA"/>
              </w:rPr>
              <w:t>环境风险按评价等级仅需简单分析。</w:t>
            </w:r>
          </w:p>
          <w:p>
            <w:pPr>
              <w:widowControl w:val="0"/>
              <w:ind w:firstLine="422"/>
              <w:jc w:val="center"/>
              <w:rPr>
                <w:rFonts w:ascii="Times New Roman" w:hAnsi="Times New Roman" w:eastAsia="宋体" w:cs="Times New Roman"/>
                <w:b/>
                <w:color w:val="000000"/>
                <w:kern w:val="2"/>
                <w:sz w:val="21"/>
                <w:u w:val="none" w:color="auto"/>
              </w:rPr>
            </w:pPr>
            <w:r>
              <w:rPr>
                <w:rFonts w:ascii="Times New Roman" w:hAnsi="Times New Roman" w:eastAsia="宋体" w:cs="Times New Roman"/>
                <w:b/>
                <w:color w:val="000000"/>
                <w:kern w:val="2"/>
                <w:sz w:val="21"/>
                <w:u w:val="none" w:color="auto"/>
              </w:rPr>
              <w:t>表</w:t>
            </w:r>
            <w:r>
              <w:rPr>
                <w:rFonts w:hint="eastAsia" w:ascii="Times New Roman" w:hAnsi="Times New Roman" w:eastAsia="宋体" w:cs="Times New Roman"/>
                <w:b/>
                <w:color w:val="000000"/>
                <w:kern w:val="2"/>
                <w:sz w:val="21"/>
                <w:u w:val="none" w:color="auto"/>
              </w:rPr>
              <w:t>4-</w:t>
            </w:r>
            <w:r>
              <w:rPr>
                <w:rFonts w:hint="eastAsia" w:cs="Times New Roman"/>
                <w:b/>
                <w:color w:val="000000"/>
                <w:kern w:val="2"/>
                <w:sz w:val="21"/>
                <w:u w:val="none" w:color="auto"/>
                <w:lang w:val="en-US" w:eastAsia="zh-CN"/>
              </w:rPr>
              <w:t>22</w:t>
            </w:r>
            <w:r>
              <w:rPr>
                <w:rFonts w:hint="eastAsia" w:ascii="Times New Roman" w:hAnsi="Times New Roman" w:eastAsia="宋体" w:cs="Times New Roman"/>
                <w:b/>
                <w:color w:val="000000"/>
                <w:kern w:val="2"/>
                <w:sz w:val="21"/>
                <w:u w:val="none" w:color="auto"/>
              </w:rPr>
              <w:t xml:space="preserve"> </w:t>
            </w:r>
            <w:r>
              <w:rPr>
                <w:rFonts w:ascii="Times New Roman" w:hAnsi="Times New Roman" w:eastAsia="宋体" w:cs="Times New Roman"/>
                <w:b/>
                <w:color w:val="000000"/>
                <w:kern w:val="2"/>
                <w:sz w:val="21"/>
                <w:u w:val="none" w:color="auto"/>
              </w:rPr>
              <w:t xml:space="preserve"> </w:t>
            </w:r>
            <w:r>
              <w:rPr>
                <w:rFonts w:hint="eastAsia" w:ascii="Times New Roman" w:hAnsi="Times New Roman" w:eastAsia="宋体" w:cs="Times New Roman"/>
                <w:b/>
                <w:color w:val="000000"/>
                <w:kern w:val="2"/>
                <w:sz w:val="21"/>
                <w:u w:val="none" w:color="auto"/>
              </w:rPr>
              <w:t xml:space="preserve"> </w:t>
            </w:r>
            <w:r>
              <w:rPr>
                <w:rFonts w:ascii="Times New Roman" w:hAnsi="Times New Roman" w:eastAsia="宋体" w:cs="Times New Roman"/>
                <w:b/>
                <w:color w:val="000000"/>
                <w:kern w:val="2"/>
                <w:sz w:val="21"/>
                <w:u w:val="none" w:color="auto"/>
              </w:rPr>
              <w:t>评价工作等级划分</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721"/>
              <w:gridCol w:w="1603"/>
              <w:gridCol w:w="734"/>
              <w:gridCol w:w="734"/>
              <w:gridCol w:w="22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701" w:type="pct"/>
                  <w:noWrap w:val="0"/>
                  <w:vAlign w:val="center"/>
                </w:tcPr>
                <w:p>
                  <w:pPr>
                    <w:widowControl w:val="0"/>
                    <w:ind w:left="-120" w:leftChars="-50"/>
                    <w:jc w:val="center"/>
                    <w:rPr>
                      <w:rFonts w:hint="default" w:ascii="Times New Roman" w:hAnsi="Times New Roman" w:eastAsia="宋体" w:cs="Times New Roman"/>
                      <w:color w:val="000000"/>
                      <w:kern w:val="2"/>
                      <w:sz w:val="21"/>
                      <w:szCs w:val="21"/>
                      <w:u w:val="none" w:color="auto"/>
                    </w:rPr>
                  </w:pPr>
                  <w:r>
                    <w:rPr>
                      <w:rFonts w:hint="default" w:ascii="Times New Roman" w:hAnsi="Times New Roman" w:eastAsia="宋体" w:cs="Times New Roman"/>
                      <w:color w:val="000000"/>
                      <w:kern w:val="2"/>
                      <w:sz w:val="21"/>
                      <w:szCs w:val="21"/>
                      <w:u w:val="none" w:color="auto"/>
                    </w:rPr>
                    <w:t>环境风险潜势</w:t>
                  </w:r>
                </w:p>
              </w:tc>
              <w:tc>
                <w:tcPr>
                  <w:tcW w:w="1002" w:type="pct"/>
                  <w:noWrap w:val="0"/>
                  <w:vAlign w:val="center"/>
                </w:tcPr>
                <w:p>
                  <w:pPr>
                    <w:widowControl w:val="0"/>
                    <w:ind w:left="-120" w:leftChars="-50"/>
                    <w:jc w:val="center"/>
                    <w:rPr>
                      <w:rFonts w:hint="default" w:ascii="Times New Roman" w:hAnsi="Times New Roman" w:eastAsia="宋体" w:cs="Times New Roman"/>
                      <w:color w:val="000000"/>
                      <w:kern w:val="2"/>
                      <w:sz w:val="21"/>
                      <w:szCs w:val="21"/>
                      <w:u w:val="none" w:color="auto"/>
                    </w:rPr>
                  </w:pPr>
                  <w:r>
                    <w:rPr>
                      <w:rFonts w:hint="default" w:ascii="Times New Roman" w:hAnsi="Times New Roman" w:eastAsia="宋体" w:cs="Times New Roman"/>
                      <w:color w:val="000000"/>
                      <w:kern w:val="2"/>
                      <w:sz w:val="21"/>
                      <w:szCs w:val="21"/>
                      <w:u w:val="none" w:color="auto"/>
                    </w:rPr>
                    <w:t>Ⅳ</w:t>
                  </w:r>
                  <w:r>
                    <w:rPr>
                      <w:rFonts w:hint="eastAsia" w:ascii="Times New Roman" w:hAnsi="Times New Roman" w:eastAsia="宋体" w:cs="Times New Roman"/>
                      <w:color w:val="000000"/>
                      <w:kern w:val="2"/>
                      <w:sz w:val="21"/>
                      <w:szCs w:val="21"/>
                      <w:u w:val="none" w:color="auto"/>
                      <w:lang w:eastAsia="zh-CN"/>
                    </w:rPr>
                    <w:t>、</w:t>
                  </w:r>
                  <w:r>
                    <w:rPr>
                      <w:rFonts w:hint="default" w:ascii="Times New Roman" w:hAnsi="Times New Roman" w:eastAsia="宋体" w:cs="Times New Roman"/>
                      <w:color w:val="000000"/>
                      <w:kern w:val="2"/>
                      <w:sz w:val="21"/>
                      <w:szCs w:val="21"/>
                      <w:u w:val="none" w:color="auto"/>
                    </w:rPr>
                    <w:t>Ⅳ+</w:t>
                  </w:r>
                </w:p>
              </w:tc>
              <w:tc>
                <w:tcPr>
                  <w:tcW w:w="459" w:type="pct"/>
                  <w:noWrap w:val="0"/>
                  <w:vAlign w:val="center"/>
                </w:tcPr>
                <w:p>
                  <w:pPr>
                    <w:widowControl w:val="0"/>
                    <w:ind w:left="-120" w:leftChars="-50"/>
                    <w:jc w:val="center"/>
                    <w:rPr>
                      <w:rFonts w:hint="default" w:ascii="Times New Roman" w:hAnsi="Times New Roman" w:eastAsia="宋体" w:cs="Times New Roman"/>
                      <w:color w:val="000000"/>
                      <w:kern w:val="2"/>
                      <w:sz w:val="21"/>
                      <w:szCs w:val="21"/>
                      <w:u w:val="none" w:color="auto"/>
                    </w:rPr>
                  </w:pPr>
                  <w:r>
                    <w:rPr>
                      <w:rFonts w:hint="default" w:ascii="Times New Roman" w:hAnsi="Times New Roman" w:eastAsia="宋体" w:cs="Times New Roman"/>
                      <w:color w:val="000000"/>
                      <w:kern w:val="2"/>
                      <w:sz w:val="21"/>
                      <w:szCs w:val="21"/>
                      <w:u w:val="none" w:color="auto"/>
                    </w:rPr>
                    <w:t>Ⅲ</w:t>
                  </w:r>
                </w:p>
              </w:tc>
              <w:tc>
                <w:tcPr>
                  <w:tcW w:w="459" w:type="pct"/>
                  <w:noWrap w:val="0"/>
                  <w:vAlign w:val="center"/>
                </w:tcPr>
                <w:p>
                  <w:pPr>
                    <w:widowControl w:val="0"/>
                    <w:ind w:left="-120" w:leftChars="-50"/>
                    <w:jc w:val="center"/>
                    <w:rPr>
                      <w:rFonts w:hint="default" w:ascii="Times New Roman" w:hAnsi="Times New Roman" w:eastAsia="宋体" w:cs="Times New Roman"/>
                      <w:color w:val="000000"/>
                      <w:kern w:val="2"/>
                      <w:sz w:val="21"/>
                      <w:szCs w:val="21"/>
                      <w:u w:val="none" w:color="auto"/>
                    </w:rPr>
                  </w:pPr>
                  <w:r>
                    <w:rPr>
                      <w:rFonts w:hint="default" w:ascii="Times New Roman" w:hAnsi="Times New Roman" w:eastAsia="宋体" w:cs="Times New Roman"/>
                      <w:color w:val="000000"/>
                      <w:kern w:val="2"/>
                      <w:sz w:val="21"/>
                      <w:szCs w:val="21"/>
                      <w:u w:val="none" w:color="auto"/>
                    </w:rPr>
                    <w:t>Ⅱ</w:t>
                  </w:r>
                </w:p>
              </w:tc>
              <w:tc>
                <w:tcPr>
                  <w:tcW w:w="1377" w:type="pct"/>
                  <w:noWrap w:val="0"/>
                  <w:vAlign w:val="center"/>
                </w:tcPr>
                <w:p>
                  <w:pPr>
                    <w:widowControl w:val="0"/>
                    <w:ind w:left="-120" w:leftChars="-50"/>
                    <w:jc w:val="center"/>
                    <w:rPr>
                      <w:rFonts w:hint="default" w:ascii="Times New Roman" w:hAnsi="Times New Roman" w:eastAsia="宋体" w:cs="Times New Roman"/>
                      <w:color w:val="000000"/>
                      <w:kern w:val="2"/>
                      <w:sz w:val="21"/>
                      <w:szCs w:val="21"/>
                      <w:u w:val="none" w:color="auto"/>
                    </w:rPr>
                  </w:pPr>
                  <w:r>
                    <w:rPr>
                      <w:rFonts w:hint="default" w:ascii="Times New Roman" w:hAnsi="Times New Roman" w:eastAsia="宋体" w:cs="Times New Roman"/>
                      <w:color w:val="000000"/>
                      <w:kern w:val="2"/>
                      <w:sz w:val="21"/>
                      <w:szCs w:val="21"/>
                      <w:u w:val="none" w:color="auto"/>
                    </w:rPr>
                    <w:t>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701" w:type="pct"/>
                  <w:noWrap w:val="0"/>
                  <w:vAlign w:val="center"/>
                </w:tcPr>
                <w:p>
                  <w:pPr>
                    <w:widowControl w:val="0"/>
                    <w:ind w:left="-120" w:leftChars="-50"/>
                    <w:jc w:val="center"/>
                    <w:rPr>
                      <w:rFonts w:hint="default" w:ascii="Times New Roman" w:hAnsi="Times New Roman" w:eastAsia="宋体" w:cs="Times New Roman"/>
                      <w:color w:val="000000"/>
                      <w:kern w:val="2"/>
                      <w:sz w:val="21"/>
                      <w:szCs w:val="21"/>
                      <w:u w:val="none" w:color="auto"/>
                    </w:rPr>
                  </w:pPr>
                  <w:r>
                    <w:rPr>
                      <w:rFonts w:hint="default" w:ascii="Times New Roman" w:hAnsi="Times New Roman" w:eastAsia="宋体" w:cs="Times New Roman"/>
                      <w:color w:val="000000"/>
                      <w:kern w:val="2"/>
                      <w:sz w:val="21"/>
                      <w:szCs w:val="21"/>
                      <w:u w:val="none" w:color="auto"/>
                    </w:rPr>
                    <w:t>评价工作等级</w:t>
                  </w:r>
                </w:p>
              </w:tc>
              <w:tc>
                <w:tcPr>
                  <w:tcW w:w="1002" w:type="pct"/>
                  <w:noWrap w:val="0"/>
                  <w:vAlign w:val="center"/>
                </w:tcPr>
                <w:p>
                  <w:pPr>
                    <w:widowControl w:val="0"/>
                    <w:ind w:left="-120" w:leftChars="-50"/>
                    <w:jc w:val="center"/>
                    <w:rPr>
                      <w:rFonts w:hint="default" w:ascii="Times New Roman" w:hAnsi="Times New Roman" w:eastAsia="宋体" w:cs="Times New Roman"/>
                      <w:color w:val="000000"/>
                      <w:kern w:val="2"/>
                      <w:sz w:val="21"/>
                      <w:szCs w:val="21"/>
                      <w:u w:val="none" w:color="auto"/>
                    </w:rPr>
                  </w:pPr>
                  <w:r>
                    <w:rPr>
                      <w:rFonts w:hint="default" w:ascii="Times New Roman" w:hAnsi="Times New Roman" w:eastAsia="宋体" w:cs="Times New Roman"/>
                      <w:color w:val="000000"/>
                      <w:kern w:val="2"/>
                      <w:sz w:val="21"/>
                      <w:szCs w:val="21"/>
                      <w:u w:val="none" w:color="auto"/>
                    </w:rPr>
                    <w:t>一</w:t>
                  </w:r>
                </w:p>
              </w:tc>
              <w:tc>
                <w:tcPr>
                  <w:tcW w:w="459" w:type="pct"/>
                  <w:noWrap w:val="0"/>
                  <w:vAlign w:val="center"/>
                </w:tcPr>
                <w:p>
                  <w:pPr>
                    <w:widowControl w:val="0"/>
                    <w:ind w:left="-120" w:leftChars="-50"/>
                    <w:jc w:val="center"/>
                    <w:rPr>
                      <w:rFonts w:hint="default" w:ascii="Times New Roman" w:hAnsi="Times New Roman" w:eastAsia="宋体" w:cs="Times New Roman"/>
                      <w:color w:val="000000"/>
                      <w:kern w:val="2"/>
                      <w:sz w:val="21"/>
                      <w:szCs w:val="21"/>
                      <w:u w:val="none" w:color="auto"/>
                    </w:rPr>
                  </w:pPr>
                  <w:r>
                    <w:rPr>
                      <w:rFonts w:hint="default" w:ascii="Times New Roman" w:hAnsi="Times New Roman" w:eastAsia="宋体" w:cs="Times New Roman"/>
                      <w:color w:val="000000"/>
                      <w:kern w:val="2"/>
                      <w:sz w:val="21"/>
                      <w:szCs w:val="21"/>
                      <w:u w:val="none" w:color="auto"/>
                    </w:rPr>
                    <w:t>二</w:t>
                  </w:r>
                </w:p>
              </w:tc>
              <w:tc>
                <w:tcPr>
                  <w:tcW w:w="459" w:type="pct"/>
                  <w:noWrap w:val="0"/>
                  <w:vAlign w:val="center"/>
                </w:tcPr>
                <w:p>
                  <w:pPr>
                    <w:widowControl w:val="0"/>
                    <w:ind w:left="-120" w:leftChars="-50"/>
                    <w:jc w:val="center"/>
                    <w:rPr>
                      <w:rFonts w:hint="default" w:ascii="Times New Roman" w:hAnsi="Times New Roman" w:eastAsia="宋体" w:cs="Times New Roman"/>
                      <w:color w:val="000000"/>
                      <w:kern w:val="2"/>
                      <w:sz w:val="21"/>
                      <w:szCs w:val="21"/>
                      <w:u w:val="none" w:color="auto"/>
                    </w:rPr>
                  </w:pPr>
                  <w:r>
                    <w:rPr>
                      <w:rFonts w:hint="default" w:ascii="Times New Roman" w:hAnsi="Times New Roman" w:eastAsia="宋体" w:cs="Times New Roman"/>
                      <w:color w:val="000000"/>
                      <w:kern w:val="2"/>
                      <w:sz w:val="21"/>
                      <w:szCs w:val="21"/>
                      <w:u w:val="none" w:color="auto"/>
                    </w:rPr>
                    <w:t>三</w:t>
                  </w:r>
                </w:p>
              </w:tc>
              <w:tc>
                <w:tcPr>
                  <w:tcW w:w="1377" w:type="pct"/>
                  <w:noWrap w:val="0"/>
                  <w:vAlign w:val="center"/>
                </w:tcPr>
                <w:p>
                  <w:pPr>
                    <w:widowControl w:val="0"/>
                    <w:ind w:left="-120" w:leftChars="-50"/>
                    <w:jc w:val="center"/>
                    <w:rPr>
                      <w:rFonts w:hint="default" w:ascii="Times New Roman" w:hAnsi="Times New Roman" w:eastAsia="宋体" w:cs="Times New Roman"/>
                      <w:color w:val="000000"/>
                      <w:kern w:val="2"/>
                      <w:sz w:val="21"/>
                      <w:szCs w:val="21"/>
                      <w:u w:val="none" w:color="auto"/>
                    </w:rPr>
                  </w:pPr>
                  <w:r>
                    <w:rPr>
                      <w:rFonts w:hint="default" w:ascii="Times New Roman" w:hAnsi="Times New Roman" w:eastAsia="宋体" w:cs="Times New Roman"/>
                      <w:color w:val="000000"/>
                      <w:kern w:val="2"/>
                      <w:sz w:val="21"/>
                      <w:szCs w:val="21"/>
                      <w:u w:val="none" w:color="auto"/>
                    </w:rPr>
                    <w:t>简单分析a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5"/>
                  <w:noWrap w:val="0"/>
                  <w:vAlign w:val="center"/>
                </w:tcPr>
                <w:p>
                  <w:pPr>
                    <w:widowControl/>
                    <w:snapToGrid w:val="0"/>
                    <w:spacing w:before="60" w:after="160" w:line="240" w:lineRule="auto"/>
                    <w:ind w:right="113" w:firstLine="420" w:firstLineChars="200"/>
                    <w:jc w:val="both"/>
                    <w:rPr>
                      <w:rFonts w:hint="default" w:ascii="Times New Roman" w:hAnsi="Times New Roman" w:eastAsia="宋体" w:cs="Times New Roman"/>
                      <w:color w:val="000000"/>
                      <w:kern w:val="0"/>
                      <w:sz w:val="21"/>
                      <w:szCs w:val="21"/>
                      <w:u w:val="none" w:color="auto"/>
                      <w:lang w:val="en-US" w:eastAsia="zh-CN" w:bidi="ar-SA"/>
                    </w:rPr>
                  </w:pPr>
                  <w:r>
                    <w:rPr>
                      <w:rFonts w:hint="default" w:ascii="Times New Roman" w:hAnsi="Times New Roman" w:eastAsia="宋体" w:cs="Times New Roman"/>
                      <w:bCs/>
                      <w:color w:val="000000"/>
                      <w:kern w:val="0"/>
                      <w:sz w:val="21"/>
                      <w:szCs w:val="21"/>
                      <w:u w:val="none" w:color="auto"/>
                      <w:lang w:val="en-US" w:eastAsia="zh-CN" w:bidi="ar-SA"/>
                    </w:rPr>
                    <w:t>a是相对于详细评价工作内容而言，在描述危险物质、环境影响途径、环境危害后果、风险防范措施等方面给出定性的说明。见附录A。</w:t>
                  </w:r>
                </w:p>
              </w:tc>
            </w:tr>
          </w:tbl>
          <w:p>
            <w:pPr>
              <w:widowControl w:val="0"/>
              <w:spacing w:line="360" w:lineRule="auto"/>
              <w:jc w:val="both"/>
              <w:rPr>
                <w:rFonts w:hint="default" w:ascii="Times New Roman" w:hAnsi="Times New Roman" w:eastAsia="宋体" w:cs="Times New Roman"/>
                <w:b/>
                <w:bCs/>
                <w:color w:val="000000"/>
                <w:kern w:val="2"/>
                <w:sz w:val="24"/>
                <w:szCs w:val="24"/>
                <w:u w:val="none" w:color="auto"/>
                <w:lang w:val="en-US" w:eastAsia="zh-CN"/>
              </w:rPr>
            </w:pPr>
            <w:r>
              <w:rPr>
                <w:rFonts w:hint="eastAsia" w:ascii="Times New Roman" w:hAnsi="Times New Roman" w:eastAsia="宋体" w:cs="Times New Roman"/>
                <w:b/>
                <w:bCs/>
                <w:color w:val="000000"/>
                <w:kern w:val="2"/>
                <w:sz w:val="24"/>
                <w:szCs w:val="24"/>
                <w:u w:val="none" w:color="auto"/>
                <w:lang w:val="en-US" w:eastAsia="zh-CN"/>
              </w:rPr>
              <w:t>8.2</w:t>
            </w:r>
            <w:r>
              <w:rPr>
                <w:rFonts w:ascii="Times New Roman" w:hAnsi="Times New Roman" w:eastAsia="宋体" w:cs="Times New Roman"/>
                <w:b/>
                <w:bCs/>
                <w:color w:val="000000"/>
                <w:kern w:val="2"/>
                <w:sz w:val="24"/>
                <w:szCs w:val="24"/>
                <w:u w:val="none" w:color="auto"/>
              </w:rPr>
              <w:t>风险</w:t>
            </w:r>
            <w:r>
              <w:rPr>
                <w:rFonts w:hint="eastAsia" w:ascii="Times New Roman" w:hAnsi="Times New Roman" w:eastAsia="宋体" w:cs="Times New Roman"/>
                <w:b/>
                <w:bCs/>
                <w:color w:val="000000"/>
                <w:kern w:val="2"/>
                <w:sz w:val="24"/>
                <w:szCs w:val="24"/>
                <w:u w:val="none" w:color="auto"/>
                <w:lang w:val="en-US" w:eastAsia="zh-CN"/>
              </w:rPr>
              <w:t>情形分析</w:t>
            </w:r>
          </w:p>
          <w:p>
            <w:pPr>
              <w:pStyle w:val="161"/>
              <w:rPr>
                <w:rFonts w:hint="eastAsia" w:ascii="Times New Roman" w:hAnsi="Times New Roman" w:cs="Times New Roman"/>
                <w:b w:val="0"/>
                <w:bCs/>
                <w:lang w:val="en-US" w:eastAsia="zh-CN"/>
              </w:rPr>
            </w:pPr>
            <w:r>
              <w:rPr>
                <w:rFonts w:hint="default" w:ascii="Times New Roman" w:hAnsi="Times New Roman" w:cs="Times New Roman"/>
                <w:b w:val="0"/>
                <w:bCs/>
                <w:lang w:val="en-US" w:eastAsia="zh-CN"/>
              </w:rPr>
              <w:t>项目运营期的环境风险主要为</w:t>
            </w:r>
            <w:r>
              <w:rPr>
                <w:rFonts w:hint="eastAsia" w:ascii="Times New Roman" w:hAnsi="Times New Roman" w:cs="Times New Roman"/>
                <w:b w:val="0"/>
                <w:bCs/>
                <w:lang w:val="en-US" w:eastAsia="zh-CN"/>
              </w:rPr>
              <w:t>医废</w:t>
            </w:r>
            <w:r>
              <w:rPr>
                <w:rFonts w:hint="default" w:ascii="Times New Roman" w:hAnsi="Times New Roman" w:cs="Times New Roman"/>
                <w:b w:val="0"/>
                <w:bCs/>
                <w:lang w:val="en-US" w:eastAsia="zh-CN"/>
              </w:rPr>
              <w:t>间、化学品储存间、过期药品风险以及污水事故排放存在的风险，识别如下表所示</w:t>
            </w:r>
            <w:r>
              <w:rPr>
                <w:rFonts w:hint="eastAsia" w:ascii="Times New Roman" w:hAnsi="Times New Roman" w:cs="Times New Roman"/>
                <w:b w:val="0"/>
                <w:bCs/>
                <w:lang w:val="en-US" w:eastAsia="zh-CN"/>
              </w:rPr>
              <w:t>。</w:t>
            </w:r>
          </w:p>
          <w:p>
            <w:pPr>
              <w:widowControl w:val="0"/>
              <w:ind w:firstLine="422"/>
              <w:jc w:val="center"/>
              <w:rPr>
                <w:rFonts w:hint="default" w:ascii="Times New Roman" w:hAnsi="Times New Roman" w:eastAsia="宋体" w:cs="Times New Roman"/>
                <w:b/>
                <w:color w:val="000000"/>
                <w:kern w:val="2"/>
                <w:sz w:val="21"/>
                <w:u w:val="none" w:color="auto"/>
                <w:lang w:val="en-US" w:eastAsia="zh-CN"/>
              </w:rPr>
            </w:pPr>
            <w:r>
              <w:rPr>
                <w:rFonts w:ascii="Times New Roman" w:hAnsi="Times New Roman" w:eastAsia="宋体" w:cs="Times New Roman"/>
                <w:b/>
                <w:color w:val="000000"/>
                <w:kern w:val="2"/>
                <w:sz w:val="21"/>
                <w:u w:val="none" w:color="auto"/>
              </w:rPr>
              <w:t>表</w:t>
            </w:r>
            <w:r>
              <w:rPr>
                <w:rFonts w:hint="eastAsia" w:ascii="Times New Roman" w:hAnsi="Times New Roman" w:eastAsia="宋体" w:cs="Times New Roman"/>
                <w:b/>
                <w:color w:val="000000"/>
                <w:kern w:val="2"/>
                <w:sz w:val="21"/>
                <w:u w:val="none" w:color="auto"/>
              </w:rPr>
              <w:t>4-</w:t>
            </w:r>
            <w:r>
              <w:rPr>
                <w:rFonts w:hint="eastAsia" w:cs="Times New Roman"/>
                <w:b/>
                <w:color w:val="000000"/>
                <w:kern w:val="2"/>
                <w:sz w:val="21"/>
                <w:u w:val="none" w:color="auto"/>
                <w:lang w:val="en-US" w:eastAsia="zh-CN"/>
              </w:rPr>
              <w:t>23</w:t>
            </w:r>
            <w:r>
              <w:rPr>
                <w:rFonts w:hint="eastAsia" w:ascii="Times New Roman" w:hAnsi="Times New Roman" w:eastAsia="宋体" w:cs="Times New Roman"/>
                <w:b/>
                <w:color w:val="000000"/>
                <w:kern w:val="2"/>
                <w:sz w:val="21"/>
                <w:u w:val="none" w:color="auto"/>
              </w:rPr>
              <w:t xml:space="preserve"> </w:t>
            </w:r>
            <w:r>
              <w:rPr>
                <w:rFonts w:ascii="Times New Roman" w:hAnsi="Times New Roman" w:eastAsia="宋体" w:cs="Times New Roman"/>
                <w:b/>
                <w:color w:val="000000"/>
                <w:kern w:val="2"/>
                <w:sz w:val="21"/>
                <w:u w:val="none" w:color="auto"/>
              </w:rPr>
              <w:t xml:space="preserve"> </w:t>
            </w:r>
            <w:r>
              <w:rPr>
                <w:rFonts w:hint="eastAsia" w:ascii="Times New Roman" w:hAnsi="Times New Roman" w:eastAsia="宋体" w:cs="Times New Roman"/>
                <w:b/>
                <w:color w:val="000000"/>
                <w:kern w:val="2"/>
                <w:sz w:val="21"/>
                <w:u w:val="none" w:color="auto"/>
              </w:rPr>
              <w:t xml:space="preserve"> </w:t>
            </w:r>
            <w:r>
              <w:rPr>
                <w:rFonts w:hint="eastAsia" w:ascii="Times New Roman" w:hAnsi="Times New Roman" w:eastAsia="宋体" w:cs="Times New Roman"/>
                <w:b/>
                <w:color w:val="000000"/>
                <w:kern w:val="2"/>
                <w:sz w:val="21"/>
                <w:u w:val="none" w:color="auto"/>
                <w:lang w:val="en-US" w:eastAsia="zh-CN"/>
              </w:rPr>
              <w:t>事故风险情形分析一览表</w:t>
            </w:r>
          </w:p>
          <w:tbl>
            <w:tblPr>
              <w:tblStyle w:val="149"/>
              <w:tblW w:w="498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8"/>
              <w:gridCol w:w="1075"/>
              <w:gridCol w:w="2905"/>
              <w:gridCol w:w="27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1248"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6"/>
                      <w:sz w:val="21"/>
                      <w:szCs w:val="21"/>
                    </w:rPr>
                    <w:t>危险目标</w:t>
                  </w:r>
                </w:p>
              </w:tc>
              <w:tc>
                <w:tcPr>
                  <w:tcW w:w="1075"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7"/>
                      <w:sz w:val="21"/>
                      <w:szCs w:val="21"/>
                    </w:rPr>
                    <w:t>事故类型</w:t>
                  </w:r>
                </w:p>
              </w:tc>
              <w:tc>
                <w:tcPr>
                  <w:tcW w:w="2906"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9"/>
                      <w:sz w:val="21"/>
                      <w:szCs w:val="21"/>
                    </w:rPr>
                    <w:t>事故引发可能原因及后果</w:t>
                  </w:r>
                </w:p>
              </w:tc>
              <w:tc>
                <w:tcPr>
                  <w:tcW w:w="2760"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6"/>
                      <w:sz w:val="21"/>
                      <w:szCs w:val="21"/>
                    </w:rPr>
                    <w:t>预防措施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jc w:val="center"/>
              </w:trPr>
              <w:tc>
                <w:tcPr>
                  <w:tcW w:w="1248"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spacing w:val="6"/>
                      <w:sz w:val="21"/>
                      <w:szCs w:val="21"/>
                      <w:lang w:val="en-US" w:eastAsia="zh-CN"/>
                    </w:rPr>
                  </w:pPr>
                  <w:r>
                    <w:rPr>
                      <w:rFonts w:hint="eastAsia"/>
                      <w:spacing w:val="6"/>
                      <w:sz w:val="21"/>
                      <w:szCs w:val="21"/>
                      <w:lang w:val="en-US" w:eastAsia="zh-CN"/>
                    </w:rPr>
                    <w:t>医疗废物</w:t>
                  </w:r>
                </w:p>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rFonts w:hint="eastAsia"/>
                      <w:spacing w:val="6"/>
                      <w:sz w:val="21"/>
                      <w:szCs w:val="21"/>
                      <w:lang w:val="en-US" w:eastAsia="zh-CN"/>
                    </w:rPr>
                    <w:t>暂存</w:t>
                  </w:r>
                  <w:r>
                    <w:rPr>
                      <w:spacing w:val="6"/>
                      <w:sz w:val="21"/>
                      <w:szCs w:val="21"/>
                    </w:rPr>
                    <w:t>间</w:t>
                  </w:r>
                </w:p>
              </w:tc>
              <w:tc>
                <w:tcPr>
                  <w:tcW w:w="1075"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3"/>
                      <w:sz w:val="21"/>
                      <w:szCs w:val="21"/>
                    </w:rPr>
                    <w:t>泄漏</w:t>
                  </w:r>
                </w:p>
              </w:tc>
              <w:tc>
                <w:tcPr>
                  <w:tcW w:w="2906"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9"/>
                      <w:sz w:val="21"/>
                      <w:szCs w:val="21"/>
                    </w:rPr>
                    <w:t>装卸或存储过程中某些危险废物可能会发生泄漏可能污染地下水，或可能由于恶劣天气影响，导致雨水渗入等</w:t>
                  </w:r>
                </w:p>
              </w:tc>
              <w:tc>
                <w:tcPr>
                  <w:tcW w:w="2760"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9"/>
                      <w:sz w:val="21"/>
                      <w:szCs w:val="21"/>
                    </w:rPr>
                    <w:t>储存液体危险废物必须严实包装，储存场地硬底化，设置漫坡围堰，储存场地选择室内或</w:t>
                  </w:r>
                  <w:r>
                    <w:rPr>
                      <w:spacing w:val="7"/>
                      <w:sz w:val="21"/>
                      <w:szCs w:val="21"/>
                    </w:rPr>
                    <w:t>设置遮雨措施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1248"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7"/>
                      <w:sz w:val="21"/>
                      <w:szCs w:val="21"/>
                    </w:rPr>
                    <w:t>化学品储</w:t>
                  </w:r>
                  <w:r>
                    <w:rPr>
                      <w:spacing w:val="5"/>
                      <w:sz w:val="21"/>
                      <w:szCs w:val="21"/>
                    </w:rPr>
                    <w:t>存</w:t>
                  </w:r>
                </w:p>
              </w:tc>
              <w:tc>
                <w:tcPr>
                  <w:tcW w:w="1075"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3"/>
                      <w:sz w:val="21"/>
                      <w:szCs w:val="21"/>
                    </w:rPr>
                    <w:t>泄漏</w:t>
                  </w:r>
                </w:p>
              </w:tc>
              <w:tc>
                <w:tcPr>
                  <w:tcW w:w="2906"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9"/>
                      <w:sz w:val="21"/>
                      <w:szCs w:val="21"/>
                    </w:rPr>
                    <w:t>运输、装卸或存储过程中某</w:t>
                  </w:r>
                  <w:r>
                    <w:rPr>
                      <w:spacing w:val="8"/>
                      <w:sz w:val="21"/>
                      <w:szCs w:val="21"/>
                    </w:rPr>
                    <w:t>些化学品可能会发生泄漏可能污染地下水，或可能由于恶劣天气影响，导致雨水渗入等</w:t>
                  </w:r>
                </w:p>
              </w:tc>
              <w:tc>
                <w:tcPr>
                  <w:tcW w:w="2760"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9"/>
                      <w:sz w:val="21"/>
                      <w:szCs w:val="21"/>
                    </w:rPr>
                    <w:t>储存液体化学品必须严实包装，储存场地硬底化，设置漫坡围堰，储存场地选择室内或设置遮雨措施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1248"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eastAsia="宋体"/>
                      <w:spacing w:val="7"/>
                      <w:sz w:val="21"/>
                      <w:szCs w:val="21"/>
                      <w:lang w:val="en-US" w:eastAsia="zh-CN"/>
                    </w:rPr>
                  </w:pPr>
                  <w:r>
                    <w:rPr>
                      <w:rFonts w:hint="eastAsia"/>
                      <w:spacing w:val="7"/>
                      <w:sz w:val="21"/>
                      <w:szCs w:val="21"/>
                      <w:lang w:val="en-US" w:eastAsia="zh-CN"/>
                    </w:rPr>
                    <w:t>过期药品</w:t>
                  </w:r>
                </w:p>
              </w:tc>
              <w:tc>
                <w:tcPr>
                  <w:tcW w:w="1075"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eastAsia="宋体"/>
                      <w:spacing w:val="3"/>
                      <w:sz w:val="21"/>
                      <w:szCs w:val="21"/>
                      <w:lang w:val="en-US" w:eastAsia="zh-CN"/>
                    </w:rPr>
                  </w:pPr>
                  <w:r>
                    <w:rPr>
                      <w:rFonts w:hint="eastAsia"/>
                      <w:spacing w:val="3"/>
                      <w:sz w:val="21"/>
                      <w:szCs w:val="21"/>
                      <w:lang w:val="en-US" w:eastAsia="zh-CN"/>
                    </w:rPr>
                    <w:t>随意乱扔</w:t>
                  </w:r>
                </w:p>
              </w:tc>
              <w:tc>
                <w:tcPr>
                  <w:tcW w:w="2906"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pacing w:val="9"/>
                      <w:sz w:val="21"/>
                      <w:szCs w:val="21"/>
                    </w:rPr>
                  </w:pPr>
                  <w:r>
                    <w:rPr>
                      <w:spacing w:val="9"/>
                      <w:sz w:val="21"/>
                      <w:szCs w:val="21"/>
                    </w:rPr>
                    <w:t>对土壤、水源质量乃至人体健康构威胁</w:t>
                  </w:r>
                </w:p>
              </w:tc>
              <w:tc>
                <w:tcPr>
                  <w:tcW w:w="2760"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pacing w:val="9"/>
                      <w:sz w:val="21"/>
                      <w:szCs w:val="21"/>
                    </w:rPr>
                  </w:pPr>
                  <w:r>
                    <w:rPr>
                      <w:spacing w:val="9"/>
                      <w:sz w:val="21"/>
                      <w:szCs w:val="21"/>
                    </w:rPr>
                    <w:t>有效期药品的贮存，应有明显标记《有效药品一览表》，效期不满三个月的药品应及时与临床科医生联系使用或医药公司更换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1248"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spacing w:val="7"/>
                      <w:sz w:val="21"/>
                      <w:szCs w:val="21"/>
                      <w:lang w:val="en-US" w:eastAsia="zh-CN"/>
                    </w:rPr>
                  </w:pPr>
                  <w:r>
                    <w:rPr>
                      <w:rFonts w:hint="eastAsia"/>
                      <w:spacing w:val="7"/>
                      <w:sz w:val="21"/>
                      <w:szCs w:val="21"/>
                      <w:lang w:val="en-US" w:eastAsia="zh-CN"/>
                    </w:rPr>
                    <w:t>一体化污水处理设施</w:t>
                  </w:r>
                </w:p>
              </w:tc>
              <w:tc>
                <w:tcPr>
                  <w:tcW w:w="1075"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spacing w:val="3"/>
                      <w:sz w:val="21"/>
                      <w:szCs w:val="21"/>
                      <w:lang w:val="en-US" w:eastAsia="zh-CN"/>
                    </w:rPr>
                  </w:pPr>
                  <w:r>
                    <w:rPr>
                      <w:rFonts w:hint="eastAsia"/>
                      <w:spacing w:val="3"/>
                      <w:sz w:val="21"/>
                      <w:szCs w:val="21"/>
                      <w:lang w:val="en-US" w:eastAsia="zh-CN"/>
                    </w:rPr>
                    <w:t>泄露</w:t>
                  </w:r>
                </w:p>
              </w:tc>
              <w:tc>
                <w:tcPr>
                  <w:tcW w:w="2906"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pacing w:val="9"/>
                      <w:sz w:val="21"/>
                      <w:szCs w:val="21"/>
                    </w:rPr>
                  </w:pPr>
                  <w:r>
                    <w:rPr>
                      <w:spacing w:val="9"/>
                      <w:sz w:val="21"/>
                      <w:szCs w:val="21"/>
                    </w:rPr>
                    <w:t>污水处理过程中设备的处理失效或泄漏，导致污水直接排入纳入水体造成污染</w:t>
                  </w:r>
                </w:p>
              </w:tc>
              <w:tc>
                <w:tcPr>
                  <w:tcW w:w="2760" w:type="dxa"/>
                  <w:vAlign w:val="center"/>
                </w:tcPr>
                <w:p>
                  <w:pPr>
                    <w:pStyle w:val="164"/>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spacing w:val="9"/>
                      <w:sz w:val="21"/>
                      <w:szCs w:val="21"/>
                    </w:rPr>
                  </w:pPr>
                  <w:r>
                    <w:rPr>
                      <w:spacing w:val="9"/>
                      <w:sz w:val="21"/>
                      <w:szCs w:val="21"/>
                    </w:rPr>
                    <w:t>确保污水处理设施的埋放位置做好硬底化处理</w:t>
                  </w:r>
                </w:p>
              </w:tc>
            </w:tr>
          </w:tbl>
          <w:p>
            <w:pPr>
              <w:widowControl w:val="0"/>
              <w:spacing w:line="360" w:lineRule="auto"/>
              <w:jc w:val="both"/>
              <w:rPr>
                <w:rFonts w:hint="default" w:ascii="Times New Roman" w:hAnsi="Times New Roman" w:cs="Times New Roman"/>
                <w:lang w:val="en-US" w:eastAsia="zh-CN"/>
              </w:rPr>
            </w:pPr>
            <w:r>
              <w:rPr>
                <w:rFonts w:hint="eastAsia" w:ascii="Times New Roman" w:hAnsi="Times New Roman" w:eastAsia="宋体" w:cs="Times New Roman"/>
                <w:b/>
                <w:bCs/>
                <w:color w:val="000000"/>
                <w:kern w:val="2"/>
                <w:sz w:val="24"/>
                <w:szCs w:val="24"/>
                <w:u w:val="none" w:color="auto"/>
                <w:lang w:val="en-US" w:eastAsia="zh-CN"/>
              </w:rPr>
              <w:t>8.3</w:t>
            </w:r>
            <w:r>
              <w:rPr>
                <w:rFonts w:hint="default" w:ascii="Times New Roman" w:hAnsi="Times New Roman" w:cs="Times New Roman"/>
                <w:b/>
                <w:bCs/>
                <w:lang w:val="en-US" w:eastAsia="zh-CN"/>
              </w:rPr>
              <w:t>环境风险防范措施</w:t>
            </w:r>
            <w:r>
              <w:rPr>
                <w:rFonts w:hint="eastAsia" w:cs="Times New Roman"/>
                <w:b/>
                <w:bCs/>
                <w:lang w:val="en-US" w:eastAsia="zh-CN"/>
              </w:rPr>
              <w:t>及应急预案</w:t>
            </w:r>
          </w:p>
          <w:p>
            <w:pPr>
              <w:pStyle w:val="16"/>
              <w:keepNext w:val="0"/>
              <w:keepLines w:val="0"/>
              <w:pageBreakBefore w:val="0"/>
              <w:widowControl/>
              <w:kinsoku/>
              <w:wordWrap/>
              <w:overflowPunct/>
              <w:topLinePunct/>
              <w:autoSpaceDE/>
              <w:autoSpaceDN/>
              <w:bidi w:val="0"/>
              <w:adjustRightInd/>
              <w:snapToGrid/>
              <w:spacing w:after="0" w:line="360" w:lineRule="auto"/>
              <w:ind w:left="0" w:leftChars="0" w:firstLine="480" w:firstLineChars="200"/>
              <w:jc w:val="both"/>
              <w:textAlignment w:val="auto"/>
              <w:rPr>
                <w:b w:val="0"/>
                <w:bCs/>
                <w:sz w:val="24"/>
              </w:rPr>
            </w:pPr>
            <w:r>
              <w:rPr>
                <w:b w:val="0"/>
                <w:bCs/>
                <w:sz w:val="24"/>
              </w:rPr>
              <w:t>（1）</w:t>
            </w:r>
            <w:r>
              <w:rPr>
                <w:rFonts w:hint="eastAsia"/>
                <w:b w:val="0"/>
                <w:bCs/>
                <w:sz w:val="24"/>
                <w:lang w:val="en-US" w:eastAsia="zh-CN"/>
              </w:rPr>
              <w:t>一体化污水处理设施</w:t>
            </w:r>
            <w:r>
              <w:rPr>
                <w:b w:val="0"/>
                <w:bCs/>
                <w:sz w:val="24"/>
              </w:rPr>
              <w:t>事故排放风险防范措施</w:t>
            </w:r>
          </w:p>
          <w:p>
            <w:pPr>
              <w:pStyle w:val="16"/>
              <w:keepNext w:val="0"/>
              <w:keepLines w:val="0"/>
              <w:pageBreakBefore w:val="0"/>
              <w:widowControl/>
              <w:kinsoku/>
              <w:wordWrap/>
              <w:overflowPunct/>
              <w:topLinePunct/>
              <w:autoSpaceDE/>
              <w:autoSpaceDN/>
              <w:bidi w:val="0"/>
              <w:adjustRightInd/>
              <w:snapToGrid/>
              <w:spacing w:after="0" w:line="360" w:lineRule="auto"/>
              <w:ind w:left="0" w:leftChars="0" w:firstLine="480" w:firstLineChars="200"/>
              <w:jc w:val="both"/>
              <w:textAlignment w:val="auto"/>
              <w:rPr>
                <w:rFonts w:hint="default" w:eastAsia="宋体"/>
                <w:bCs/>
                <w:sz w:val="24"/>
                <w:lang w:val="en-US" w:eastAsia="zh-CN"/>
              </w:rPr>
            </w:pPr>
            <w:r>
              <w:rPr>
                <w:bCs/>
                <w:sz w:val="24"/>
              </w:rPr>
              <w:t>项目因污染物防治设施非正常使用，如管道破裂、泵设备损坏或失效、人为操作失误等导致废水污染物未经处理直接排放至城市污水管网而引起的污染风险事故。该项目废水污染物成分特殊，其影响程度要远大于达标排放。</w:t>
            </w:r>
          </w:p>
          <w:p>
            <w:pPr>
              <w:pStyle w:val="16"/>
              <w:keepNext w:val="0"/>
              <w:keepLines w:val="0"/>
              <w:pageBreakBefore w:val="0"/>
              <w:widowControl/>
              <w:kinsoku/>
              <w:wordWrap/>
              <w:overflowPunct/>
              <w:topLinePunct/>
              <w:autoSpaceDE/>
              <w:autoSpaceDN/>
              <w:bidi w:val="0"/>
              <w:adjustRightInd/>
              <w:snapToGrid/>
              <w:spacing w:after="0" w:line="360" w:lineRule="auto"/>
              <w:ind w:left="0" w:leftChars="0" w:firstLine="480" w:firstLineChars="200"/>
              <w:jc w:val="both"/>
              <w:textAlignment w:val="auto"/>
              <w:rPr>
                <w:b w:val="0"/>
                <w:bCs/>
                <w:color w:val="auto"/>
                <w:sz w:val="24"/>
                <w:u w:val="none"/>
              </w:rPr>
            </w:pPr>
            <w:r>
              <w:rPr>
                <w:rFonts w:hint="eastAsia"/>
                <w:b w:val="0"/>
                <w:bCs/>
                <w:color w:val="auto"/>
                <w:sz w:val="24"/>
                <w:u w:val="none"/>
                <w:lang w:val="en-US" w:eastAsia="zh-CN"/>
              </w:rPr>
              <w:t>针对医疗废水事故排放所产生的风险，根据《医院污水处理工程技术规范》（HJ2029-2013），“医院污水处理工程应设应急事故池，以贮存处理系统事故或其它突发事件时医院污水。“传染病医院污水处理工程应急事故池容积不小于日排放量的100%，非传染病医院污水处理工程应急事故池容积不小于日排放量的30%”。项目不设置传染病房，废水日排放量为10.76t/d，则污水站配套应建设1座容积为3.5m</w:t>
            </w:r>
            <w:r>
              <w:rPr>
                <w:rFonts w:hint="eastAsia"/>
                <w:b w:val="0"/>
                <w:bCs/>
                <w:color w:val="auto"/>
                <w:sz w:val="24"/>
                <w:u w:val="none"/>
                <w:vertAlign w:val="superscript"/>
                <w:lang w:val="en-US" w:eastAsia="zh-CN"/>
              </w:rPr>
              <w:t>3</w:t>
            </w:r>
            <w:r>
              <w:rPr>
                <w:rFonts w:hint="eastAsia"/>
                <w:b w:val="0"/>
                <w:bCs/>
                <w:color w:val="auto"/>
                <w:sz w:val="24"/>
                <w:u w:val="none"/>
                <w:lang w:val="en-US" w:eastAsia="zh-CN"/>
              </w:rPr>
              <w:t>的应急事故罐，确保污水站事故状态下所有的废水都导入事故罐内，未经处理达标不得外排。</w:t>
            </w:r>
          </w:p>
          <w:p>
            <w:pPr>
              <w:pStyle w:val="16"/>
              <w:keepNext w:val="0"/>
              <w:keepLines w:val="0"/>
              <w:pageBreakBefore w:val="0"/>
              <w:widowControl/>
              <w:kinsoku/>
              <w:wordWrap/>
              <w:overflowPunct/>
              <w:topLinePunct/>
              <w:autoSpaceDE/>
              <w:autoSpaceDN/>
              <w:bidi w:val="0"/>
              <w:adjustRightInd/>
              <w:snapToGrid/>
              <w:spacing w:after="0" w:line="360" w:lineRule="auto"/>
              <w:ind w:left="0" w:leftChars="0" w:firstLine="480" w:firstLineChars="200"/>
              <w:jc w:val="both"/>
              <w:textAlignment w:val="auto"/>
              <w:rPr>
                <w:rFonts w:hint="default" w:eastAsia="宋体"/>
                <w:b w:val="0"/>
                <w:bCs/>
                <w:sz w:val="24"/>
                <w:lang w:val="en-US" w:eastAsia="zh-CN"/>
              </w:rPr>
            </w:pPr>
            <w:r>
              <w:rPr>
                <w:b w:val="0"/>
                <w:bCs/>
                <w:sz w:val="24"/>
              </w:rPr>
              <w:t>（2）医疗废物</w:t>
            </w:r>
            <w:r>
              <w:rPr>
                <w:rFonts w:hint="eastAsia"/>
                <w:b w:val="0"/>
                <w:bCs/>
                <w:sz w:val="24"/>
                <w:lang w:val="en-US" w:eastAsia="zh-CN"/>
              </w:rPr>
              <w:t>暂存、转运泄露风险防范措施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在医疗废物的收集、储存、运输、处理处置过程中，若管理不严或处置不当，极易成为传播病菌的源头，造成病毒感染。为解决医疗废物对环境的污染，建设单位应按《危险废物贮存污染控制标准》（GB18597-2023）设置医疗废物暂存间，并严格按照《医疗废物管理条例》及《（2013年环保部第36号文）要求规范操作和管理，医疗危险废物经分类收集暂存后交由资质单位统一收运、处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lang w:eastAsia="zh-CN"/>
              </w:rPr>
            </w:pPr>
            <w:r>
              <w:rPr>
                <w:rFonts w:hint="default" w:ascii="Times New Roman" w:hAnsi="Times New Roman" w:cs="Times New Roman"/>
              </w:rPr>
              <w:t>发生医疗废物流失、泄漏、扩散和意外事故时，应当按照以下要求及时采取紧急处理措施：1）确定流失、泄漏、扩散的医疗废物的类别、数量、发生时间、影响范围及严重程度；2）组织有关人员尽快按照应急方案，对发生医疗废物泄漏、扩散的现场进行处理；3）对被医疗废物污染的区域进行处理时，应当尽可能减少对病人、医务人员、其它现场人员及环境的影响；4）采取适当的安全处置措施，对泄漏物及受污染的区域、物品进行消毒或者其他无害化处置，必要时封锁污染区域，以防扩大污染；5）对感染性废物污染区域进行消毒时，消毒工作从污染最轻区域向污染最严重区域进行，对可能被污染的所有使用过的工具也应当进行消毒；工作人员应当做好卫生安全防护后进行工作。6）处理工作结束后，应当对事件的起因进行调查，并采取有效的防范措施预防类似事件的发生</w:t>
            </w:r>
            <w:r>
              <w:rPr>
                <w:rFonts w:hint="default" w:ascii="Times New Roman" w:hAnsi="Times New Roman" w:cs="Times New Roman"/>
                <w:lang w:eastAsia="zh-CN"/>
              </w:rPr>
              <w:t>。</w:t>
            </w:r>
          </w:p>
          <w:p>
            <w:pPr>
              <w:pStyle w:val="16"/>
              <w:keepNext w:val="0"/>
              <w:keepLines w:val="0"/>
              <w:pageBreakBefore w:val="0"/>
              <w:widowControl/>
              <w:kinsoku/>
              <w:wordWrap/>
              <w:overflowPunct/>
              <w:topLinePunct/>
              <w:autoSpaceDE/>
              <w:autoSpaceDN/>
              <w:bidi w:val="0"/>
              <w:adjustRightInd/>
              <w:snapToGrid/>
              <w:spacing w:after="0" w:afterLines="0" w:line="360" w:lineRule="auto"/>
              <w:ind w:left="0" w:leftChars="0" w:firstLine="480" w:firstLineChars="200"/>
              <w:jc w:val="both"/>
              <w:textAlignment w:val="auto"/>
              <w:rPr>
                <w:b w:val="0"/>
                <w:bCs/>
                <w:sz w:val="24"/>
              </w:rPr>
            </w:pPr>
            <w:r>
              <w:rPr>
                <w:b w:val="0"/>
                <w:bCs/>
                <w:sz w:val="24"/>
              </w:rPr>
              <w:t>（3）化学</w:t>
            </w:r>
            <w:r>
              <w:rPr>
                <w:rFonts w:hint="eastAsia"/>
                <w:b w:val="0"/>
                <w:bCs/>
                <w:sz w:val="24"/>
                <w:lang w:val="en-US" w:eastAsia="zh-CN"/>
              </w:rPr>
              <w:t>品泄露</w:t>
            </w:r>
            <w:r>
              <w:rPr>
                <w:b w:val="0"/>
                <w:bCs/>
                <w:sz w:val="24"/>
              </w:rPr>
              <w:t>风险防范措施</w:t>
            </w:r>
          </w:p>
          <w:p>
            <w:pPr>
              <w:pStyle w:val="16"/>
              <w:keepNext w:val="0"/>
              <w:keepLines w:val="0"/>
              <w:pageBreakBefore w:val="0"/>
              <w:widowControl/>
              <w:kinsoku/>
              <w:wordWrap/>
              <w:overflowPunct/>
              <w:topLinePunct/>
              <w:autoSpaceDE/>
              <w:autoSpaceDN/>
              <w:bidi w:val="0"/>
              <w:adjustRightInd/>
              <w:snapToGrid/>
              <w:spacing w:after="0" w:afterLines="0" w:line="360" w:lineRule="auto"/>
              <w:ind w:left="0" w:leftChars="0" w:firstLine="480" w:firstLineChars="200"/>
              <w:jc w:val="both"/>
              <w:textAlignment w:val="auto"/>
              <w:rPr>
                <w:bCs/>
                <w:sz w:val="24"/>
              </w:rPr>
            </w:pPr>
            <w:r>
              <w:rPr>
                <w:bCs/>
                <w:sz w:val="24"/>
              </w:rPr>
              <w:t>化学品（医用酒精、</w:t>
            </w:r>
            <w:r>
              <w:rPr>
                <w:rFonts w:hint="eastAsia"/>
                <w:bCs/>
                <w:sz w:val="24"/>
                <w:lang w:val="en-US" w:eastAsia="zh-CN"/>
              </w:rPr>
              <w:t>次氯酸钠</w:t>
            </w:r>
            <w:r>
              <w:rPr>
                <w:bCs/>
                <w:sz w:val="24"/>
              </w:rPr>
              <w:t>等）在运输、装卸、储存以及使用过程，若操作不规范，有可能引发泄漏、火灾、爆炸，从而对周围环境产生一定的风险。本项目化学品运输须委托资质单位进行运输，对储存和运输各环节事故率的比较表明，装卸活动是防止事故的关键环节。本项目使用的化学品形态主要为液体，均采用密封包装，装卸过程没有进行拆封，主要环境风险事故为装卸时操作不当引起跌落破裂，导致液态化学品泄漏，可能污染水体及挥发污染大气环境，但一般情况下此类物质采用特制容器密闭包装，包装破损的可能性较小，同时由于工作人员操作失误，引起危险品库等存储的原辅材料发生泄漏、火灾等事故。为避免风险事故，尤其是避免风险事故发生后对环境造成严重的污染，建设单位应树立并强化环境风险意识，强化环境风险防范措施，并使这些措施在实际工作中得到落实。为进一步减少事故的发生，减缓该项目运营过程中对环境的潜在威胁，建设单位应采取综合防范措施，并从技术、工艺、管理等方面对以下几方面予以重视：1）树立环境风险意识</w:t>
            </w:r>
            <w:r>
              <w:rPr>
                <w:rFonts w:hint="eastAsia"/>
                <w:bCs/>
                <w:sz w:val="24"/>
                <w:lang w:eastAsia="zh-CN"/>
              </w:rPr>
              <w:t>；2）实行全面环境风险管理制度，规范并强化在运输、储存、处理过程中的环境风险预防措施，必要的化学品储存设置事故的监测报警系统；3）加强化学品的日常记录与管理；4）对相关人员进行事故应急救援培训，提高事故发生后的应急处理能力</w:t>
            </w:r>
            <w:r>
              <w:rPr>
                <w:bCs/>
                <w:sz w:val="24"/>
              </w:rPr>
              <w:t>。</w:t>
            </w:r>
          </w:p>
          <w:p>
            <w:pPr>
              <w:pStyle w:val="16"/>
              <w:keepNext w:val="0"/>
              <w:keepLines w:val="0"/>
              <w:pageBreakBefore w:val="0"/>
              <w:widowControl/>
              <w:kinsoku/>
              <w:wordWrap/>
              <w:overflowPunct/>
              <w:topLinePunct/>
              <w:autoSpaceDE/>
              <w:autoSpaceDN/>
              <w:bidi w:val="0"/>
              <w:adjustRightInd/>
              <w:snapToGrid/>
              <w:spacing w:after="0" w:afterLines="0" w:line="360" w:lineRule="auto"/>
              <w:ind w:left="0" w:leftChars="0" w:firstLine="480" w:firstLineChars="200"/>
              <w:jc w:val="both"/>
              <w:textAlignment w:val="auto"/>
              <w:rPr>
                <w:rFonts w:hint="default" w:eastAsia="宋体"/>
                <w:b w:val="0"/>
                <w:bCs/>
                <w:sz w:val="24"/>
                <w:lang w:val="en-US" w:eastAsia="zh-CN"/>
              </w:rPr>
            </w:pPr>
            <w:r>
              <w:rPr>
                <w:b w:val="0"/>
                <w:bCs/>
                <w:sz w:val="24"/>
              </w:rPr>
              <w:t>（4）</w:t>
            </w:r>
            <w:r>
              <w:rPr>
                <w:rFonts w:hint="eastAsia"/>
                <w:b w:val="0"/>
                <w:bCs/>
                <w:sz w:val="24"/>
                <w:lang w:val="en-US" w:eastAsia="zh-CN"/>
              </w:rPr>
              <w:t>过期药品风险</w:t>
            </w:r>
          </w:p>
          <w:p>
            <w:pPr>
              <w:pStyle w:val="16"/>
              <w:keepNext w:val="0"/>
              <w:keepLines w:val="0"/>
              <w:pageBreakBefore w:val="0"/>
              <w:widowControl/>
              <w:kinsoku/>
              <w:wordWrap/>
              <w:overflowPunct/>
              <w:topLinePunct/>
              <w:autoSpaceDE/>
              <w:autoSpaceDN/>
              <w:bidi w:val="0"/>
              <w:adjustRightInd/>
              <w:snapToGrid/>
              <w:spacing w:after="0" w:afterLines="0" w:line="360" w:lineRule="auto"/>
              <w:ind w:left="0" w:leftChars="0" w:firstLine="480" w:firstLineChars="200"/>
              <w:jc w:val="both"/>
              <w:textAlignment w:val="auto"/>
              <w:rPr>
                <w:bCs/>
                <w:sz w:val="24"/>
              </w:rPr>
            </w:pPr>
            <w:r>
              <w:rPr>
                <w:bCs/>
                <w:sz w:val="24"/>
              </w:rPr>
              <w:t>本项目产生的废弃药品主要为过期、霉烂、变质药品，2008年国家就把过期药品定性为重要环境污染源，随意乱扔过期药品，对土壤、水源质量乃至人体健康构成相当大的威胁。为此，建设单位应建立严格的废弃药品管理制度，为保障用药安全，避免废弃药品对项目所在地外环境造成影响，针对药品管理，本评价提出如下建议。</w:t>
            </w:r>
          </w:p>
          <w:p>
            <w:pPr>
              <w:pStyle w:val="16"/>
              <w:keepNext w:val="0"/>
              <w:keepLines w:val="0"/>
              <w:pageBreakBefore w:val="0"/>
              <w:widowControl/>
              <w:kinsoku/>
              <w:wordWrap/>
              <w:overflowPunct/>
              <w:topLinePunct/>
              <w:autoSpaceDE/>
              <w:autoSpaceDN/>
              <w:bidi w:val="0"/>
              <w:adjustRightInd/>
              <w:snapToGrid/>
              <w:spacing w:after="0" w:afterLines="0" w:line="360" w:lineRule="auto"/>
              <w:ind w:left="0" w:leftChars="0" w:firstLine="480" w:firstLineChars="200"/>
              <w:jc w:val="both"/>
              <w:textAlignment w:val="auto"/>
              <w:rPr>
                <w:bCs/>
                <w:sz w:val="24"/>
              </w:rPr>
            </w:pPr>
            <w:r>
              <w:rPr>
                <w:bCs/>
                <w:sz w:val="24"/>
              </w:rPr>
              <w:t>1）凡接近或超过“有效期”的药品不得验收入库；2）有效期药品的贮存，应有明显标记《有效药品一览表》，</w:t>
            </w:r>
            <w:r>
              <w:rPr>
                <w:rFonts w:hint="eastAsia"/>
                <w:bCs/>
                <w:sz w:val="24"/>
                <w:lang w:val="en-US" w:eastAsia="zh-CN"/>
              </w:rPr>
              <w:t>效期不满三个月的药品应及时与临床科医生联系使用或医药公司更换</w:t>
            </w:r>
            <w:r>
              <w:rPr>
                <w:bCs/>
                <w:sz w:val="24"/>
              </w:rPr>
              <w:t>。3）发药使用效期药品，要坚持近期先出的原则。超过效期的药品应及时报损处理。4）若因玩忽职守，造成药品过期、霉烂、变质，追究保管员责任。凡药品失效、霉变、昆虫咬。除及时向领导汇报外，应查明原因，再填写报损单。一旦出现过期药品，可与厂家（供货单位）取得联系，退回至供货商，再由供货单位退回生产厂家，最终由生产厂家集中销毁；同时过期药品也可上缴至药监部门集中处理；对于那些不能退回厂家的、普通的、且没有化学危害（或化学危害微弱）的药品，药店可以根据不同药品的性质自行销毁。例如：药片，应从包装瓶或铝箔板中取出，利用适当的容器，加水溶解；口服液开启后将药液倒在容器中，再将口服液瓶剥去标签，丢入垃圾箱内；冲剂或胶囊可以先将其剪碎后，再溶解等。</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b w:val="0"/>
                <w:bCs w:val="0"/>
                <w:sz w:val="24"/>
                <w:szCs w:val="32"/>
                <w:lang w:val="zh-CN"/>
              </w:rPr>
            </w:pPr>
            <w:r>
              <w:rPr>
                <w:rFonts w:hint="eastAsia"/>
                <w:b w:val="0"/>
                <w:bCs w:val="0"/>
                <w:sz w:val="24"/>
                <w:szCs w:val="32"/>
                <w:lang w:val="zh-CN"/>
              </w:rPr>
              <w:t>（</w:t>
            </w:r>
            <w:r>
              <w:rPr>
                <w:rFonts w:hint="eastAsia"/>
                <w:b w:val="0"/>
                <w:bCs w:val="0"/>
                <w:sz w:val="24"/>
                <w:szCs w:val="32"/>
              </w:rPr>
              <w:t>5</w:t>
            </w:r>
            <w:r>
              <w:rPr>
                <w:rFonts w:hint="eastAsia"/>
                <w:b w:val="0"/>
                <w:bCs w:val="0"/>
                <w:sz w:val="24"/>
                <w:szCs w:val="32"/>
                <w:lang w:val="zh-CN"/>
              </w:rPr>
              <w:t>）火灾事故</w:t>
            </w:r>
            <w:r>
              <w:rPr>
                <w:b w:val="0"/>
                <w:bCs w:val="0"/>
                <w:sz w:val="24"/>
              </w:rPr>
              <w:t>风险防范措施</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hint="eastAsia"/>
                <w:sz w:val="24"/>
                <w:szCs w:val="32"/>
                <w:lang w:val="zh-CN"/>
              </w:rPr>
            </w:pPr>
            <w:r>
              <w:rPr>
                <w:sz w:val="24"/>
                <w:szCs w:val="32"/>
                <w:lang w:val="zh-CN"/>
              </w:rPr>
              <w:t>发现火灾人员应立即向部门和医院领导报告：报告时讲明火灾地点、着火物品、火势大小及周围的情况，值班人员使用灭火器、消火栓等消防设施进行灭火；切断气源，尽量将周围易燃易爆物品转移或隔离；根据火势大小、严重程度等，决定是否疏散现场人员到安全区；相关部门和医院领导接到报告后，立即向医院应急指挥中心报告并拨打“119”电话报警</w:t>
            </w:r>
            <w:r>
              <w:rPr>
                <w:rFonts w:hint="eastAsia"/>
                <w:sz w:val="24"/>
                <w:szCs w:val="32"/>
                <w:lang w:val="zh-CN"/>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hint="default" w:eastAsia="宋体"/>
                <w:b w:val="0"/>
                <w:bCs w:val="0"/>
                <w:sz w:val="24"/>
                <w:szCs w:val="32"/>
                <w:lang w:val="en-US" w:eastAsia="zh-CN"/>
              </w:rPr>
            </w:pPr>
            <w:r>
              <w:rPr>
                <w:rFonts w:hint="eastAsia"/>
                <w:b w:val="0"/>
                <w:bCs w:val="0"/>
                <w:sz w:val="24"/>
                <w:szCs w:val="32"/>
                <w:lang w:val="zh-CN"/>
              </w:rPr>
              <w:t>（</w:t>
            </w:r>
            <w:r>
              <w:rPr>
                <w:rFonts w:hint="eastAsia"/>
                <w:b w:val="0"/>
                <w:bCs w:val="0"/>
                <w:sz w:val="24"/>
                <w:szCs w:val="32"/>
                <w:lang w:val="en-US" w:eastAsia="zh-CN"/>
              </w:rPr>
              <w:t>6</w:t>
            </w:r>
            <w:r>
              <w:rPr>
                <w:rFonts w:hint="eastAsia"/>
                <w:b w:val="0"/>
                <w:bCs w:val="0"/>
                <w:sz w:val="24"/>
                <w:szCs w:val="32"/>
                <w:lang w:val="zh-CN"/>
              </w:rPr>
              <w:t>）</w:t>
            </w:r>
            <w:r>
              <w:rPr>
                <w:rFonts w:hint="eastAsia"/>
                <w:b w:val="0"/>
                <w:bCs w:val="0"/>
                <w:sz w:val="24"/>
                <w:szCs w:val="32"/>
                <w:lang w:val="en-US" w:eastAsia="zh-CN"/>
              </w:rPr>
              <w:t>事故应急预案</w:t>
            </w:r>
          </w:p>
          <w:p>
            <w:pPr>
              <w:pStyle w:val="16"/>
              <w:keepNext w:val="0"/>
              <w:keepLines w:val="0"/>
              <w:pageBreakBefore w:val="0"/>
              <w:widowControl/>
              <w:kinsoku/>
              <w:wordWrap/>
              <w:overflowPunct/>
              <w:topLinePunct/>
              <w:autoSpaceDE/>
              <w:autoSpaceDN/>
              <w:bidi w:val="0"/>
              <w:adjustRightInd/>
              <w:snapToGrid/>
              <w:spacing w:after="0" w:afterLines="0" w:line="360" w:lineRule="auto"/>
              <w:ind w:left="0" w:leftChars="0" w:firstLine="480" w:firstLineChars="200"/>
              <w:jc w:val="both"/>
              <w:textAlignment w:val="auto"/>
              <w:rPr>
                <w:bCs/>
                <w:sz w:val="24"/>
              </w:rPr>
            </w:pPr>
            <w:r>
              <w:rPr>
                <w:bCs/>
                <w:sz w:val="24"/>
              </w:rPr>
              <w:t>建设项目在医院内部设置运营期事故应急小组，负责事故发生后的指挥和应急处理。为了减轻事故危害性、按照报警系统以及应急方案的各种情况把应急对策书面化，并且周期性地进行模拟演习。事故应急小组下设有救援组、紧急措施组、消防救灾队，并在事故发生后立即在事发地点附近设置现场指挥部。</w:t>
            </w:r>
          </w:p>
          <w:p>
            <w:pPr>
              <w:keepNext w:val="0"/>
              <w:keepLines w:val="0"/>
              <w:pageBreakBefore w:val="0"/>
              <w:widowControl/>
              <w:kinsoku/>
              <w:wordWrap/>
              <w:overflowPunct/>
              <w:autoSpaceDE/>
              <w:autoSpaceDN/>
              <w:bidi w:val="0"/>
              <w:adjustRightInd/>
              <w:snapToGrid/>
              <w:jc w:val="center"/>
              <w:textAlignment w:val="auto"/>
              <w:rPr>
                <w:b/>
                <w:spacing w:val="4"/>
                <w:sz w:val="21"/>
                <w:szCs w:val="21"/>
              </w:rPr>
            </w:pPr>
            <w:r>
              <w:rPr>
                <w:b/>
                <w:spacing w:val="4"/>
                <w:sz w:val="21"/>
                <w:szCs w:val="21"/>
              </w:rPr>
              <w:t>表4-</w:t>
            </w:r>
            <w:r>
              <w:rPr>
                <w:rFonts w:hint="eastAsia"/>
                <w:b/>
                <w:spacing w:val="4"/>
                <w:sz w:val="21"/>
                <w:szCs w:val="21"/>
                <w:lang w:val="en-US" w:eastAsia="zh-CN"/>
              </w:rPr>
              <w:t>24</w:t>
            </w:r>
            <w:r>
              <w:rPr>
                <w:b/>
                <w:spacing w:val="4"/>
                <w:sz w:val="21"/>
                <w:szCs w:val="21"/>
              </w:rPr>
              <w:t xml:space="preserve">  应急预案主要内容汇总表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526"/>
              <w:gridCol w:w="2313"/>
              <w:gridCol w:w="5160"/>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96" w:hRule="atLeast"/>
              </w:trPr>
              <w:tc>
                <w:tcPr>
                  <w:tcW w:w="329" w:type="pct"/>
                  <w:tcBorders>
                    <w:bottom w:val="single" w:color="000000" w:sz="6" w:space="0"/>
                    <w:right w:val="single" w:color="000000" w:sz="6" w:space="0"/>
                    <w:tl2br w:val="single" w:color="000000" w:sz="6" w:space="0"/>
                  </w:tcBorders>
                  <w:noWrap w:val="0"/>
                  <w:vAlign w:val="center"/>
                </w:tcPr>
                <w:p>
                  <w:pPr>
                    <w:topLinePunct/>
                    <w:spacing w:line="240" w:lineRule="auto"/>
                    <w:jc w:val="center"/>
                    <w:rPr>
                      <w:sz w:val="21"/>
                      <w:szCs w:val="21"/>
                    </w:rPr>
                  </w:pPr>
                  <w:r>
                    <w:rPr>
                      <w:sz w:val="21"/>
                      <w:szCs w:val="21"/>
                    </w:rPr>
                    <w:t>序号</w:t>
                  </w:r>
                </w:p>
              </w:tc>
              <w:tc>
                <w:tcPr>
                  <w:tcW w:w="1445" w:type="pct"/>
                  <w:tcBorders>
                    <w:left w:val="nil"/>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项目</w:t>
                  </w:r>
                </w:p>
              </w:tc>
              <w:tc>
                <w:tcPr>
                  <w:tcW w:w="3224" w:type="pct"/>
                  <w:tcBorders>
                    <w:left w:val="nil"/>
                    <w:bottom w:val="single" w:color="000000" w:sz="6" w:space="0"/>
                  </w:tcBorders>
                  <w:noWrap w:val="0"/>
                  <w:vAlign w:val="center"/>
                </w:tcPr>
                <w:p>
                  <w:pPr>
                    <w:topLinePunct/>
                    <w:spacing w:line="240" w:lineRule="auto"/>
                    <w:jc w:val="center"/>
                    <w:rPr>
                      <w:sz w:val="21"/>
                      <w:szCs w:val="21"/>
                    </w:rPr>
                  </w:pPr>
                  <w:r>
                    <w:rPr>
                      <w:sz w:val="21"/>
                      <w:szCs w:val="21"/>
                    </w:rPr>
                    <w:t>内容及要求</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tcBorders>
                    <w:top w:val="single" w:color="000000" w:sz="6" w:space="0"/>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1</w:t>
                  </w:r>
                </w:p>
              </w:tc>
              <w:tc>
                <w:tcPr>
                  <w:tcW w:w="1445" w:type="pct"/>
                  <w:tcBorders>
                    <w:top w:val="single" w:color="000000" w:sz="6" w:space="0"/>
                    <w:left w:val="nil"/>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应急计划区</w:t>
                  </w:r>
                </w:p>
              </w:tc>
              <w:tc>
                <w:tcPr>
                  <w:tcW w:w="3224" w:type="pct"/>
                  <w:tcBorders>
                    <w:top w:val="single" w:color="000000" w:sz="6" w:space="0"/>
                    <w:left w:val="nil"/>
                    <w:bottom w:val="single" w:color="000000" w:sz="6" w:space="0"/>
                  </w:tcBorders>
                  <w:noWrap w:val="0"/>
                  <w:vAlign w:val="center"/>
                </w:tcPr>
                <w:p>
                  <w:pPr>
                    <w:topLinePunct/>
                    <w:spacing w:line="240" w:lineRule="auto"/>
                    <w:jc w:val="center"/>
                    <w:rPr>
                      <w:rFonts w:hint="eastAsia" w:eastAsia="宋体"/>
                      <w:sz w:val="21"/>
                      <w:szCs w:val="21"/>
                      <w:lang w:eastAsia="zh-CN"/>
                    </w:rPr>
                  </w:pPr>
                  <w:r>
                    <w:rPr>
                      <w:sz w:val="21"/>
                      <w:szCs w:val="21"/>
                    </w:rPr>
                    <w:t>危险目标：医疗废物暂存间、</w:t>
                  </w:r>
                  <w:r>
                    <w:rPr>
                      <w:rFonts w:hint="eastAsia"/>
                      <w:sz w:val="21"/>
                      <w:szCs w:val="21"/>
                      <w:lang w:eastAsia="zh-CN"/>
                    </w:rPr>
                    <w:t>一体化</w:t>
                  </w:r>
                  <w:r>
                    <w:rPr>
                      <w:rFonts w:hint="eastAsia"/>
                      <w:sz w:val="21"/>
                      <w:szCs w:val="21"/>
                      <w:lang w:val="en-US" w:eastAsia="zh-CN"/>
                    </w:rPr>
                    <w:t>污水</w:t>
                  </w:r>
                  <w:r>
                    <w:rPr>
                      <w:rFonts w:hint="eastAsia"/>
                      <w:sz w:val="21"/>
                      <w:szCs w:val="21"/>
                      <w:lang w:eastAsia="zh-CN"/>
                    </w:rPr>
                    <w:t>处理设备</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tcBorders>
                    <w:top w:val="single" w:color="000000" w:sz="6" w:space="0"/>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2</w:t>
                  </w:r>
                </w:p>
              </w:tc>
              <w:tc>
                <w:tcPr>
                  <w:tcW w:w="1445" w:type="pct"/>
                  <w:tcBorders>
                    <w:top w:val="single" w:color="000000" w:sz="6" w:space="0"/>
                    <w:left w:val="nil"/>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应急组织机构、人员</w:t>
                  </w:r>
                </w:p>
              </w:tc>
              <w:tc>
                <w:tcPr>
                  <w:tcW w:w="3224" w:type="pct"/>
                  <w:tcBorders>
                    <w:top w:val="single" w:color="000000" w:sz="6" w:space="0"/>
                    <w:left w:val="nil"/>
                    <w:bottom w:val="single" w:color="000000" w:sz="6" w:space="0"/>
                  </w:tcBorders>
                  <w:noWrap w:val="0"/>
                  <w:vAlign w:val="center"/>
                </w:tcPr>
                <w:p>
                  <w:pPr>
                    <w:topLinePunct/>
                    <w:spacing w:line="240" w:lineRule="auto"/>
                    <w:jc w:val="center"/>
                    <w:rPr>
                      <w:sz w:val="21"/>
                      <w:szCs w:val="21"/>
                    </w:rPr>
                  </w:pPr>
                  <w:r>
                    <w:rPr>
                      <w:sz w:val="21"/>
                      <w:szCs w:val="21"/>
                    </w:rPr>
                    <w:t>医院应急组织机构、人员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tcBorders>
                    <w:top w:val="single" w:color="000000" w:sz="6" w:space="0"/>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3</w:t>
                  </w:r>
                </w:p>
              </w:tc>
              <w:tc>
                <w:tcPr>
                  <w:tcW w:w="1445" w:type="pct"/>
                  <w:tcBorders>
                    <w:top w:val="single" w:color="000000" w:sz="6" w:space="0"/>
                    <w:left w:val="nil"/>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预案分级响应条件</w:t>
                  </w:r>
                </w:p>
              </w:tc>
              <w:tc>
                <w:tcPr>
                  <w:tcW w:w="3224" w:type="pct"/>
                  <w:tcBorders>
                    <w:top w:val="single" w:color="000000" w:sz="6" w:space="0"/>
                    <w:left w:val="nil"/>
                    <w:bottom w:val="single" w:color="000000" w:sz="6" w:space="0"/>
                  </w:tcBorders>
                  <w:noWrap w:val="0"/>
                  <w:vAlign w:val="center"/>
                </w:tcPr>
                <w:p>
                  <w:pPr>
                    <w:topLinePunct/>
                    <w:spacing w:line="240" w:lineRule="auto"/>
                    <w:jc w:val="center"/>
                    <w:rPr>
                      <w:sz w:val="21"/>
                      <w:szCs w:val="21"/>
                    </w:rPr>
                  </w:pPr>
                  <w:r>
                    <w:rPr>
                      <w:sz w:val="21"/>
                      <w:szCs w:val="21"/>
                    </w:rPr>
                    <w:t>规定预案级别分级响应程序</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tcBorders>
                    <w:top w:val="single" w:color="000000" w:sz="6" w:space="0"/>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4</w:t>
                  </w:r>
                </w:p>
              </w:tc>
              <w:tc>
                <w:tcPr>
                  <w:tcW w:w="1445" w:type="pct"/>
                  <w:tcBorders>
                    <w:top w:val="single" w:color="000000" w:sz="6" w:space="0"/>
                    <w:left w:val="nil"/>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应急救援保障</w:t>
                  </w:r>
                </w:p>
              </w:tc>
              <w:tc>
                <w:tcPr>
                  <w:tcW w:w="3224" w:type="pct"/>
                  <w:tcBorders>
                    <w:top w:val="single" w:color="000000" w:sz="6" w:space="0"/>
                    <w:left w:val="nil"/>
                    <w:bottom w:val="single" w:color="000000" w:sz="6" w:space="0"/>
                  </w:tcBorders>
                  <w:noWrap w:val="0"/>
                  <w:vAlign w:val="center"/>
                </w:tcPr>
                <w:p>
                  <w:pPr>
                    <w:topLinePunct/>
                    <w:spacing w:line="240" w:lineRule="auto"/>
                    <w:jc w:val="center"/>
                    <w:rPr>
                      <w:sz w:val="21"/>
                      <w:szCs w:val="21"/>
                    </w:rPr>
                  </w:pPr>
                  <w:r>
                    <w:rPr>
                      <w:sz w:val="21"/>
                      <w:szCs w:val="21"/>
                    </w:rPr>
                    <w:t>应急设施、设备与器材</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67" w:hRule="atLeast"/>
              </w:trPr>
              <w:tc>
                <w:tcPr>
                  <w:tcW w:w="329" w:type="pct"/>
                  <w:tcBorders>
                    <w:top w:val="single" w:color="000000" w:sz="6" w:space="0"/>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5</w:t>
                  </w:r>
                </w:p>
              </w:tc>
              <w:tc>
                <w:tcPr>
                  <w:tcW w:w="1445" w:type="pct"/>
                  <w:tcBorders>
                    <w:top w:val="single" w:color="000000" w:sz="6" w:space="0"/>
                    <w:left w:val="nil"/>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报警、通讯联络方式</w:t>
                  </w:r>
                </w:p>
              </w:tc>
              <w:tc>
                <w:tcPr>
                  <w:tcW w:w="3224" w:type="pct"/>
                  <w:tcBorders>
                    <w:top w:val="single" w:color="000000" w:sz="6" w:space="0"/>
                    <w:left w:val="nil"/>
                    <w:bottom w:val="single" w:color="000000" w:sz="6" w:space="0"/>
                  </w:tcBorders>
                  <w:noWrap w:val="0"/>
                  <w:vAlign w:val="center"/>
                </w:tcPr>
                <w:p>
                  <w:pPr>
                    <w:topLinePunct/>
                    <w:spacing w:line="240" w:lineRule="auto"/>
                    <w:jc w:val="center"/>
                    <w:rPr>
                      <w:sz w:val="21"/>
                      <w:szCs w:val="21"/>
                    </w:rPr>
                  </w:pPr>
                  <w:r>
                    <w:rPr>
                      <w:sz w:val="21"/>
                      <w:szCs w:val="21"/>
                    </w:rPr>
                    <w:t>规定应急状态下的报警方式、通知方式和交通保障、管制等相关内容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67" w:hRule="atLeast"/>
              </w:trPr>
              <w:tc>
                <w:tcPr>
                  <w:tcW w:w="329" w:type="pct"/>
                  <w:tcBorders>
                    <w:top w:val="single" w:color="000000" w:sz="6" w:space="0"/>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6</w:t>
                  </w:r>
                </w:p>
              </w:tc>
              <w:tc>
                <w:tcPr>
                  <w:tcW w:w="1445" w:type="pct"/>
                  <w:tcBorders>
                    <w:top w:val="single" w:color="000000" w:sz="6" w:space="0"/>
                    <w:left w:val="nil"/>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应急环境监测、抢险、救援及控制措施</w:t>
                  </w:r>
                </w:p>
              </w:tc>
              <w:tc>
                <w:tcPr>
                  <w:tcW w:w="3224" w:type="pct"/>
                  <w:tcBorders>
                    <w:top w:val="single" w:color="000000" w:sz="6" w:space="0"/>
                    <w:left w:val="nil"/>
                    <w:bottom w:val="single" w:color="000000" w:sz="6" w:space="0"/>
                  </w:tcBorders>
                  <w:noWrap w:val="0"/>
                  <w:vAlign w:val="center"/>
                </w:tcPr>
                <w:p>
                  <w:pPr>
                    <w:topLinePunct/>
                    <w:spacing w:line="240" w:lineRule="auto"/>
                    <w:jc w:val="center"/>
                    <w:rPr>
                      <w:sz w:val="21"/>
                      <w:szCs w:val="21"/>
                    </w:rPr>
                  </w:pPr>
                  <w:r>
                    <w:rPr>
                      <w:sz w:val="21"/>
                      <w:szCs w:val="21"/>
                    </w:rPr>
                    <w:t>由专业队伍负责对事故现场进行监测，对事故性质、参数与后果进行评估，为指挥部门提供决策依据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13" w:hRule="atLeast"/>
              </w:trPr>
              <w:tc>
                <w:tcPr>
                  <w:tcW w:w="329" w:type="pct"/>
                  <w:tcBorders>
                    <w:top w:val="single" w:color="000000" w:sz="6" w:space="0"/>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7</w:t>
                  </w:r>
                </w:p>
              </w:tc>
              <w:tc>
                <w:tcPr>
                  <w:tcW w:w="1445" w:type="pct"/>
                  <w:tcBorders>
                    <w:top w:val="single" w:color="000000" w:sz="6" w:space="0"/>
                    <w:left w:val="nil"/>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应急检测、防护措施、清除泄漏措施和器材</w:t>
                  </w:r>
                </w:p>
              </w:tc>
              <w:tc>
                <w:tcPr>
                  <w:tcW w:w="3224" w:type="pct"/>
                  <w:tcBorders>
                    <w:top w:val="single" w:color="000000" w:sz="6" w:space="0"/>
                    <w:left w:val="nil"/>
                    <w:bottom w:val="single" w:color="000000" w:sz="6" w:space="0"/>
                  </w:tcBorders>
                  <w:noWrap w:val="0"/>
                  <w:vAlign w:val="center"/>
                </w:tcPr>
                <w:p>
                  <w:pPr>
                    <w:topLinePunct/>
                    <w:spacing w:line="240" w:lineRule="auto"/>
                    <w:jc w:val="center"/>
                    <w:rPr>
                      <w:sz w:val="21"/>
                      <w:szCs w:val="21"/>
                    </w:rPr>
                  </w:pPr>
                  <w:r>
                    <w:rPr>
                      <w:sz w:val="21"/>
                      <w:szCs w:val="21"/>
                    </w:rPr>
                    <w:t>防火区域控制：事故现场邻近区域</w:t>
                  </w:r>
                </w:p>
                <w:p>
                  <w:pPr>
                    <w:topLinePunct/>
                    <w:spacing w:line="240" w:lineRule="auto"/>
                    <w:jc w:val="center"/>
                    <w:rPr>
                      <w:sz w:val="21"/>
                      <w:szCs w:val="21"/>
                    </w:rPr>
                  </w:pPr>
                  <w:r>
                    <w:rPr>
                      <w:sz w:val="21"/>
                      <w:szCs w:val="21"/>
                    </w:rPr>
                    <w:t>清除污染措施：事故现场邻近区域</w:t>
                  </w:r>
                </w:p>
                <w:p>
                  <w:pPr>
                    <w:topLinePunct/>
                    <w:spacing w:line="240" w:lineRule="auto"/>
                    <w:jc w:val="center"/>
                    <w:rPr>
                      <w:sz w:val="21"/>
                      <w:szCs w:val="21"/>
                    </w:rPr>
                  </w:pPr>
                  <w:r>
                    <w:rPr>
                      <w:sz w:val="21"/>
                      <w:szCs w:val="21"/>
                    </w:rPr>
                    <w:t>清除污染设备及配置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13" w:hRule="atLeast"/>
              </w:trPr>
              <w:tc>
                <w:tcPr>
                  <w:tcW w:w="329" w:type="pct"/>
                  <w:tcBorders>
                    <w:top w:val="single" w:color="000000" w:sz="6" w:space="0"/>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8</w:t>
                  </w:r>
                </w:p>
              </w:tc>
              <w:tc>
                <w:tcPr>
                  <w:tcW w:w="1445" w:type="pct"/>
                  <w:tcBorders>
                    <w:top w:val="single" w:color="000000" w:sz="6" w:space="0"/>
                    <w:left w:val="nil"/>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人员紧急撤离、疏散、应急剂量控制、撤离组织计划</w:t>
                  </w:r>
                </w:p>
              </w:tc>
              <w:tc>
                <w:tcPr>
                  <w:tcW w:w="3224" w:type="pct"/>
                  <w:tcBorders>
                    <w:top w:val="single" w:color="000000" w:sz="6" w:space="0"/>
                    <w:left w:val="nil"/>
                    <w:bottom w:val="single" w:color="000000" w:sz="6" w:space="0"/>
                  </w:tcBorders>
                  <w:noWrap w:val="0"/>
                  <w:vAlign w:val="center"/>
                </w:tcPr>
                <w:p>
                  <w:pPr>
                    <w:topLinePunct/>
                    <w:spacing w:line="240" w:lineRule="auto"/>
                    <w:jc w:val="center"/>
                    <w:rPr>
                      <w:sz w:val="21"/>
                      <w:szCs w:val="21"/>
                    </w:rPr>
                  </w:pPr>
                  <w:r>
                    <w:rPr>
                      <w:sz w:val="21"/>
                      <w:szCs w:val="21"/>
                    </w:rPr>
                    <w:t>毒物应急剂量控制规定：事故现场、医院、邻近区</w:t>
                  </w:r>
                </w:p>
                <w:p>
                  <w:pPr>
                    <w:topLinePunct/>
                    <w:spacing w:line="240" w:lineRule="auto"/>
                    <w:jc w:val="center"/>
                    <w:rPr>
                      <w:sz w:val="21"/>
                      <w:szCs w:val="21"/>
                    </w:rPr>
                  </w:pPr>
                  <w:r>
                    <w:rPr>
                      <w:sz w:val="21"/>
                      <w:szCs w:val="21"/>
                    </w:rPr>
                    <w:t>撤离组织计划医疗救护公众健康</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67" w:hRule="atLeast"/>
              </w:trPr>
              <w:tc>
                <w:tcPr>
                  <w:tcW w:w="329" w:type="pct"/>
                  <w:tcBorders>
                    <w:top w:val="single" w:color="000000" w:sz="6" w:space="0"/>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9</w:t>
                  </w:r>
                </w:p>
              </w:tc>
              <w:tc>
                <w:tcPr>
                  <w:tcW w:w="1445" w:type="pct"/>
                  <w:tcBorders>
                    <w:top w:val="single" w:color="000000" w:sz="6" w:space="0"/>
                    <w:left w:val="nil"/>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事故应急救援关闭程序</w:t>
                  </w:r>
                </w:p>
              </w:tc>
              <w:tc>
                <w:tcPr>
                  <w:tcW w:w="3224" w:type="pct"/>
                  <w:tcBorders>
                    <w:top w:val="single" w:color="000000" w:sz="6" w:space="0"/>
                    <w:left w:val="nil"/>
                    <w:bottom w:val="single" w:color="000000" w:sz="6" w:space="0"/>
                  </w:tcBorders>
                  <w:noWrap w:val="0"/>
                  <w:vAlign w:val="center"/>
                </w:tcPr>
                <w:p>
                  <w:pPr>
                    <w:topLinePunct/>
                    <w:spacing w:line="240" w:lineRule="auto"/>
                    <w:jc w:val="center"/>
                    <w:rPr>
                      <w:sz w:val="21"/>
                      <w:szCs w:val="21"/>
                    </w:rPr>
                  </w:pPr>
                  <w:r>
                    <w:rPr>
                      <w:sz w:val="21"/>
                      <w:szCs w:val="21"/>
                    </w:rPr>
                    <w:t>规定应急状态终止程序事故现场善后处理，恢复措施</w:t>
                  </w:r>
                </w:p>
                <w:p>
                  <w:pPr>
                    <w:topLinePunct/>
                    <w:spacing w:line="240" w:lineRule="auto"/>
                    <w:jc w:val="center"/>
                    <w:rPr>
                      <w:sz w:val="21"/>
                      <w:szCs w:val="21"/>
                    </w:rPr>
                  </w:pPr>
                  <w:r>
                    <w:rPr>
                      <w:sz w:val="21"/>
                      <w:szCs w:val="21"/>
                    </w:rPr>
                    <w:t>基地、邻近区域解除事故警戒及善后恢复措施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tcBorders>
                    <w:top w:val="single" w:color="000000" w:sz="6" w:space="0"/>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10</w:t>
                  </w:r>
                </w:p>
              </w:tc>
              <w:tc>
                <w:tcPr>
                  <w:tcW w:w="1445" w:type="pct"/>
                  <w:tcBorders>
                    <w:top w:val="single" w:color="000000" w:sz="6" w:space="0"/>
                    <w:left w:val="nil"/>
                    <w:bottom w:val="single" w:color="000000" w:sz="6" w:space="0"/>
                    <w:right w:val="single" w:color="000000" w:sz="6" w:space="0"/>
                  </w:tcBorders>
                  <w:noWrap w:val="0"/>
                  <w:vAlign w:val="center"/>
                </w:tcPr>
                <w:p>
                  <w:pPr>
                    <w:topLinePunct/>
                    <w:spacing w:line="240" w:lineRule="auto"/>
                    <w:jc w:val="center"/>
                    <w:rPr>
                      <w:sz w:val="21"/>
                      <w:szCs w:val="21"/>
                    </w:rPr>
                  </w:pPr>
                  <w:r>
                    <w:rPr>
                      <w:sz w:val="21"/>
                      <w:szCs w:val="21"/>
                    </w:rPr>
                    <w:t>应急培训计划</w:t>
                  </w:r>
                </w:p>
              </w:tc>
              <w:tc>
                <w:tcPr>
                  <w:tcW w:w="3224" w:type="pct"/>
                  <w:tcBorders>
                    <w:top w:val="single" w:color="000000" w:sz="6" w:space="0"/>
                    <w:left w:val="nil"/>
                    <w:bottom w:val="single" w:color="000000" w:sz="6" w:space="0"/>
                  </w:tcBorders>
                  <w:noWrap w:val="0"/>
                  <w:vAlign w:val="center"/>
                </w:tcPr>
                <w:p>
                  <w:pPr>
                    <w:topLinePunct/>
                    <w:spacing w:line="240" w:lineRule="auto"/>
                    <w:jc w:val="center"/>
                    <w:rPr>
                      <w:sz w:val="21"/>
                      <w:szCs w:val="21"/>
                    </w:rPr>
                  </w:pPr>
                  <w:r>
                    <w:rPr>
                      <w:sz w:val="21"/>
                      <w:szCs w:val="21"/>
                    </w:rPr>
                    <w:t>人员培训应急预案演练</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329" w:type="pct"/>
                  <w:tcBorders>
                    <w:top w:val="single" w:color="000000" w:sz="6" w:space="0"/>
                    <w:right w:val="single" w:color="000000" w:sz="6" w:space="0"/>
                  </w:tcBorders>
                  <w:noWrap w:val="0"/>
                  <w:vAlign w:val="center"/>
                </w:tcPr>
                <w:p>
                  <w:pPr>
                    <w:topLinePunct/>
                    <w:spacing w:line="240" w:lineRule="auto"/>
                    <w:jc w:val="center"/>
                    <w:rPr>
                      <w:sz w:val="21"/>
                      <w:szCs w:val="21"/>
                    </w:rPr>
                  </w:pPr>
                  <w:r>
                    <w:rPr>
                      <w:sz w:val="21"/>
                      <w:szCs w:val="21"/>
                    </w:rPr>
                    <w:t>11</w:t>
                  </w:r>
                </w:p>
              </w:tc>
              <w:tc>
                <w:tcPr>
                  <w:tcW w:w="1445" w:type="pct"/>
                  <w:tcBorders>
                    <w:top w:val="single" w:color="000000" w:sz="6" w:space="0"/>
                    <w:left w:val="nil"/>
                    <w:right w:val="single" w:color="000000" w:sz="6" w:space="0"/>
                  </w:tcBorders>
                  <w:noWrap w:val="0"/>
                  <w:vAlign w:val="center"/>
                </w:tcPr>
                <w:p>
                  <w:pPr>
                    <w:topLinePunct/>
                    <w:spacing w:line="240" w:lineRule="auto"/>
                    <w:jc w:val="center"/>
                    <w:rPr>
                      <w:sz w:val="21"/>
                      <w:szCs w:val="21"/>
                    </w:rPr>
                  </w:pPr>
                  <w:r>
                    <w:rPr>
                      <w:sz w:val="21"/>
                      <w:szCs w:val="21"/>
                    </w:rPr>
                    <w:t>公众教育和信息</w:t>
                  </w:r>
                </w:p>
              </w:tc>
              <w:tc>
                <w:tcPr>
                  <w:tcW w:w="3224" w:type="pct"/>
                  <w:tcBorders>
                    <w:top w:val="single" w:color="000000" w:sz="6" w:space="0"/>
                    <w:left w:val="nil"/>
                  </w:tcBorders>
                  <w:noWrap w:val="0"/>
                  <w:vAlign w:val="center"/>
                </w:tcPr>
                <w:p>
                  <w:pPr>
                    <w:topLinePunct/>
                    <w:spacing w:line="240" w:lineRule="auto"/>
                    <w:jc w:val="center"/>
                    <w:rPr>
                      <w:sz w:val="21"/>
                      <w:szCs w:val="21"/>
                    </w:rPr>
                  </w:pPr>
                  <w:r>
                    <w:rPr>
                      <w:sz w:val="21"/>
                      <w:szCs w:val="21"/>
                    </w:rPr>
                    <w:t>和公众教育及发布</w:t>
                  </w:r>
                </w:p>
              </w:tc>
            </w:tr>
          </w:tbl>
          <w:p>
            <w:pPr>
              <w:pStyle w:val="161"/>
              <w:ind w:left="0" w:leftChars="0" w:firstLine="0" w:firstLineChars="0"/>
              <w:rPr>
                <w:rFonts w:hint="default" w:ascii="Times New Roman" w:hAnsi="Times New Roman" w:cs="Times New Roman"/>
                <w:lang w:val="en-US" w:eastAsia="zh-CN"/>
              </w:rPr>
            </w:pPr>
            <w:r>
              <w:rPr>
                <w:rFonts w:hint="eastAsia" w:ascii="Times New Roman" w:hAnsi="Times New Roman" w:eastAsia="宋体" w:cs="Times New Roman"/>
                <w:b/>
                <w:bCs/>
                <w:color w:val="000000"/>
                <w:kern w:val="2"/>
                <w:sz w:val="24"/>
                <w:szCs w:val="24"/>
                <w:u w:val="none" w:color="auto"/>
                <w:lang w:val="en-US" w:eastAsia="zh-CN"/>
              </w:rPr>
              <w:t>8.3</w:t>
            </w:r>
            <w:r>
              <w:rPr>
                <w:rFonts w:hint="default" w:ascii="Times New Roman" w:hAnsi="Times New Roman" w:cs="Times New Roman"/>
                <w:b/>
                <w:bCs/>
                <w:lang w:val="en-US" w:eastAsia="zh-CN"/>
              </w:rPr>
              <w:t>环境风险</w:t>
            </w:r>
            <w:r>
              <w:rPr>
                <w:rFonts w:hint="eastAsia" w:ascii="Times New Roman" w:hAnsi="Times New Roman" w:cs="Times New Roman"/>
                <w:b/>
                <w:bCs/>
                <w:lang w:val="en-US" w:eastAsia="zh-CN"/>
              </w:rPr>
              <w:t>评价结论</w:t>
            </w:r>
          </w:p>
          <w:p>
            <w:pPr>
              <w:pStyle w:val="98"/>
              <w:ind w:firstLine="480"/>
              <w:rPr>
                <w:sz w:val="24"/>
                <w:szCs w:val="24"/>
              </w:rPr>
            </w:pPr>
            <w:r>
              <w:rPr>
                <w:sz w:val="24"/>
                <w:szCs w:val="24"/>
              </w:rPr>
              <w:t>在严格落实环评报告表中的风险防范措施，杜绝事故发生的前提下，该项目的环境风险处于可接受水平，制定的风险管理措施和应急预案有效可靠，从环境风险角度分析该项目建设可行。</w:t>
            </w:r>
          </w:p>
          <w:p>
            <w:pPr>
              <w:pStyle w:val="8"/>
              <w:keepNext/>
              <w:keepLines w:val="0"/>
              <w:pageBreakBefore w:val="0"/>
              <w:widowControl/>
              <w:kinsoku/>
              <w:wordWrap/>
              <w:overflowPunct/>
              <w:topLinePunct w:val="0"/>
              <w:autoSpaceDE/>
              <w:autoSpaceDN/>
              <w:bidi w:val="0"/>
              <w:adjustRightInd/>
              <w:snapToGrid/>
              <w:spacing w:line="240" w:lineRule="auto"/>
              <w:textAlignment w:val="auto"/>
            </w:pPr>
            <w:r>
              <w:rPr>
                <w:rFonts w:hint="eastAsia"/>
              </w:rPr>
              <w:t>表4-</w:t>
            </w:r>
            <w:r>
              <w:rPr>
                <w:rFonts w:hint="eastAsia"/>
                <w:lang w:val="en-US" w:eastAsia="zh-CN"/>
              </w:rPr>
              <w:t xml:space="preserve">25  </w:t>
            </w:r>
            <w:r>
              <w:rPr>
                <w:rFonts w:hint="eastAsia"/>
              </w:rPr>
              <w:t>建设项目环境风险简单分析内容表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5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9"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b/>
                      <w:bCs/>
                      <w:sz w:val="21"/>
                      <w:szCs w:val="21"/>
                      <w:lang w:val="en-US" w:eastAsia="zh-CN"/>
                    </w:rPr>
                  </w:pPr>
                  <w:r>
                    <w:rPr>
                      <w:rFonts w:cs="宋体"/>
                      <w:b/>
                      <w:bCs/>
                      <w:sz w:val="21"/>
                      <w:szCs w:val="21"/>
                      <w:lang w:val="en-US" w:eastAsia="zh-CN"/>
                    </w:rPr>
                    <w:t>建设项目名称</w:t>
                  </w:r>
                </w:p>
              </w:tc>
              <w:tc>
                <w:tcPr>
                  <w:tcW w:w="59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lang w:val="en-US" w:eastAsia="zh-CN"/>
                    </w:rPr>
                  </w:pPr>
                  <w:r>
                    <w:rPr>
                      <w:rFonts w:hint="eastAsia" w:cs="宋体"/>
                      <w:sz w:val="21"/>
                      <w:szCs w:val="21"/>
                      <w:lang w:val="en-US" w:eastAsia="zh-CN"/>
                    </w:rPr>
                    <w:t>花垣县人民医院精神科项目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9"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b/>
                      <w:bCs/>
                      <w:sz w:val="21"/>
                      <w:szCs w:val="21"/>
                      <w:lang w:val="en-US" w:eastAsia="zh-CN"/>
                    </w:rPr>
                  </w:pPr>
                  <w:r>
                    <w:rPr>
                      <w:rFonts w:cs="宋体"/>
                      <w:b/>
                      <w:bCs/>
                      <w:sz w:val="21"/>
                      <w:szCs w:val="21"/>
                      <w:lang w:val="en-US" w:eastAsia="zh-CN"/>
                    </w:rPr>
                    <w:t>建设地点</w:t>
                  </w:r>
                </w:p>
              </w:tc>
              <w:tc>
                <w:tcPr>
                  <w:tcW w:w="59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hint="default" w:cs="宋体"/>
                      <w:sz w:val="21"/>
                      <w:szCs w:val="21"/>
                      <w:lang w:val="en-US" w:eastAsia="zh-CN"/>
                    </w:rPr>
                  </w:pPr>
                  <w:r>
                    <w:rPr>
                      <w:rFonts w:hint="default" w:cs="宋体"/>
                      <w:sz w:val="21"/>
                      <w:szCs w:val="21"/>
                      <w:lang w:val="en-US" w:eastAsia="zh-CN"/>
                    </w:rPr>
                    <w:t>湘西自治州花垣县花垣镇城北政务中心北侧旁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9"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b/>
                      <w:bCs/>
                      <w:sz w:val="21"/>
                      <w:szCs w:val="21"/>
                      <w:lang w:val="en-US" w:eastAsia="zh-CN"/>
                    </w:rPr>
                  </w:pPr>
                  <w:r>
                    <w:rPr>
                      <w:rFonts w:cs="宋体"/>
                      <w:b/>
                      <w:bCs/>
                      <w:sz w:val="21"/>
                      <w:szCs w:val="21"/>
                      <w:lang w:val="en-US" w:eastAsia="zh-CN"/>
                    </w:rPr>
                    <w:t>地理坐标</w:t>
                  </w:r>
                </w:p>
              </w:tc>
              <w:tc>
                <w:tcPr>
                  <w:tcW w:w="59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lang w:val="en-US" w:eastAsia="zh-CN"/>
                    </w:rPr>
                  </w:pPr>
                  <w:r>
                    <w:rPr>
                      <w:rFonts w:hint="eastAsia" w:cs="宋体"/>
                      <w:sz w:val="21"/>
                      <w:szCs w:val="21"/>
                      <w:lang w:val="en-US" w:eastAsia="zh-CN"/>
                    </w:rPr>
                    <w:t>（东经109度27分38.921秒，北纬28度35分19.643秒）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9"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b/>
                      <w:bCs/>
                      <w:sz w:val="21"/>
                      <w:szCs w:val="21"/>
                      <w:lang w:val="en-US" w:eastAsia="zh-CN"/>
                    </w:rPr>
                  </w:pPr>
                  <w:r>
                    <w:rPr>
                      <w:rFonts w:cs="宋体"/>
                      <w:b/>
                      <w:bCs/>
                      <w:sz w:val="21"/>
                      <w:szCs w:val="21"/>
                      <w:lang w:val="en-US" w:eastAsia="zh-CN"/>
                    </w:rPr>
                    <w:t>主要危险物质及分布</w:t>
                  </w:r>
                </w:p>
              </w:tc>
              <w:tc>
                <w:tcPr>
                  <w:tcW w:w="59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sz w:val="21"/>
                      <w:szCs w:val="21"/>
                      <w:lang w:val="en-US" w:eastAsia="zh-CN"/>
                    </w:rPr>
                  </w:pPr>
                  <w:r>
                    <w:rPr>
                      <w:rFonts w:hint="eastAsia" w:cs="宋体"/>
                      <w:sz w:val="21"/>
                      <w:szCs w:val="21"/>
                      <w:lang w:val="en-US" w:eastAsia="zh-CN"/>
                    </w:rPr>
                    <w:t>一体化污水处理设施（依托）、乙醇（药房）、医废暂存间（依托）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2079"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b/>
                      <w:bCs/>
                      <w:sz w:val="21"/>
                      <w:szCs w:val="21"/>
                      <w:lang w:val="en-US" w:eastAsia="zh-CN"/>
                    </w:rPr>
                  </w:pPr>
                  <w:r>
                    <w:rPr>
                      <w:rFonts w:cs="宋体"/>
                      <w:b/>
                      <w:bCs/>
                      <w:sz w:val="21"/>
                      <w:szCs w:val="21"/>
                      <w:lang w:val="en-US" w:eastAsia="zh-CN"/>
                    </w:rPr>
                    <w:t>环境影响途径及危害后果（大气、地表水、地下水等）</w:t>
                  </w:r>
                </w:p>
              </w:tc>
              <w:tc>
                <w:tcPr>
                  <w:tcW w:w="59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center"/>
                    <w:rPr>
                      <w:rFonts w:hint="eastAsia" w:cs="宋体"/>
                      <w:sz w:val="21"/>
                      <w:szCs w:val="21"/>
                      <w:lang w:val="en-US" w:eastAsia="zh-CN"/>
                    </w:rPr>
                  </w:pPr>
                  <w:r>
                    <w:rPr>
                      <w:rFonts w:hint="eastAsia" w:cs="宋体"/>
                      <w:sz w:val="21"/>
                      <w:szCs w:val="21"/>
                      <w:lang w:val="en-US" w:eastAsia="zh-CN"/>
                    </w:rPr>
                    <w:t>①在医疗废物的收集、储存、运输、处理处置过程中，若管理不严或处置不当，造成泄露极易造成土壤污染和地表水环境污染；</w:t>
                  </w:r>
                </w:p>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center"/>
                    <w:rPr>
                      <w:rFonts w:hint="eastAsia" w:cs="宋体"/>
                      <w:sz w:val="21"/>
                      <w:szCs w:val="21"/>
                      <w:lang w:val="en-US" w:eastAsia="zh-CN"/>
                    </w:rPr>
                  </w:pPr>
                  <w:r>
                    <w:rPr>
                      <w:rFonts w:hint="eastAsia" w:cs="宋体"/>
                      <w:sz w:val="21"/>
                      <w:szCs w:val="21"/>
                      <w:lang w:val="en-US" w:eastAsia="zh-CN"/>
                    </w:rPr>
                    <w:t>②当一体化污水处理设施出现故障事故情况下时，尾水将直接进入市政污水管网，对花垣县污水处理厂可能会造成冲击，对受纳水体花垣河水质造成影响。</w:t>
                  </w:r>
                </w:p>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center"/>
                    <w:rPr>
                      <w:rFonts w:hint="eastAsia" w:cs="宋体"/>
                      <w:sz w:val="21"/>
                      <w:szCs w:val="21"/>
                      <w:lang w:val="en-US" w:eastAsia="zh-CN"/>
                    </w:rPr>
                  </w:pPr>
                  <w:r>
                    <w:rPr>
                      <w:rFonts w:hint="eastAsia" w:cs="宋体"/>
                      <w:sz w:val="21"/>
                      <w:szCs w:val="21"/>
                      <w:lang w:val="en-US" w:eastAsia="zh-CN"/>
                    </w:rPr>
                    <w:t>③运输、装卸或存储过程中某些化学品可能会发生泄漏可能污染地下水，或可能由于恶劣天气影响，导致雨水渗入，以及挥发气体进入空气造成环境污染。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9"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b/>
                      <w:bCs/>
                      <w:sz w:val="21"/>
                      <w:szCs w:val="21"/>
                      <w:lang w:val="en-US" w:eastAsia="zh-CN"/>
                    </w:rPr>
                  </w:pPr>
                  <w:r>
                    <w:rPr>
                      <w:rFonts w:cs="宋体"/>
                      <w:b/>
                      <w:bCs/>
                      <w:sz w:val="21"/>
                      <w:szCs w:val="21"/>
                      <w:lang w:val="en-US" w:eastAsia="zh-CN"/>
                    </w:rPr>
                    <w:t>风险防范措施要求</w:t>
                  </w:r>
                </w:p>
              </w:tc>
              <w:tc>
                <w:tcPr>
                  <w:tcW w:w="59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center"/>
                    <w:rPr>
                      <w:rFonts w:hint="eastAsia" w:cs="宋体"/>
                      <w:sz w:val="21"/>
                      <w:szCs w:val="21"/>
                      <w:lang w:val="en-US" w:eastAsia="zh-CN"/>
                    </w:rPr>
                  </w:pPr>
                  <w:r>
                    <w:rPr>
                      <w:rFonts w:hint="eastAsia" w:cs="宋体"/>
                      <w:sz w:val="21"/>
                      <w:szCs w:val="21"/>
                      <w:lang w:val="en-US" w:eastAsia="zh-CN"/>
                    </w:rPr>
                    <w:t>①存放液体原料的仓库应以混凝土硬化地面作为基础，并做好防渗措施；</w:t>
                  </w:r>
                </w:p>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center"/>
                    <w:rPr>
                      <w:rFonts w:hint="eastAsia" w:cs="宋体"/>
                      <w:sz w:val="21"/>
                      <w:szCs w:val="21"/>
                      <w:lang w:val="en-US" w:eastAsia="zh-CN"/>
                    </w:rPr>
                  </w:pPr>
                  <w:r>
                    <w:rPr>
                      <w:rFonts w:hint="eastAsia" w:cs="宋体"/>
                      <w:sz w:val="21"/>
                      <w:szCs w:val="21"/>
                      <w:lang w:val="en-US" w:eastAsia="zh-CN"/>
                    </w:rPr>
                    <w:t>②安排专人定期对原料进行排查。</w:t>
                  </w:r>
                </w:p>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center"/>
                    <w:rPr>
                      <w:rFonts w:hint="eastAsia" w:cs="宋体"/>
                      <w:sz w:val="21"/>
                      <w:szCs w:val="21"/>
                      <w:lang w:val="en-US" w:eastAsia="zh-CN"/>
                    </w:rPr>
                  </w:pPr>
                  <w:r>
                    <w:rPr>
                      <w:rFonts w:hint="eastAsia" w:cs="宋体"/>
                      <w:sz w:val="21"/>
                      <w:szCs w:val="21"/>
                      <w:lang w:val="en-US" w:eastAsia="zh-CN"/>
                    </w:rPr>
                    <w:t>③加强员工的岗前培训，强化安全意识，指定操作规程。</w:t>
                  </w:r>
                </w:p>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center"/>
                    <w:rPr>
                      <w:rFonts w:hint="eastAsia" w:cs="宋体"/>
                      <w:sz w:val="21"/>
                      <w:szCs w:val="21"/>
                      <w:lang w:val="en-US" w:eastAsia="zh-CN"/>
                    </w:rPr>
                  </w:pPr>
                  <w:r>
                    <w:rPr>
                      <w:rFonts w:hint="eastAsia" w:cs="宋体"/>
                      <w:sz w:val="21"/>
                      <w:szCs w:val="21"/>
                      <w:lang w:val="en-US" w:eastAsia="zh-CN"/>
                    </w:rPr>
                    <w:t>④加强对一体化污水处理设施的检修维护；按要求设置应急事故池。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9"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center"/>
                    <w:rPr>
                      <w:rFonts w:cs="宋体"/>
                      <w:b/>
                      <w:bCs/>
                      <w:sz w:val="21"/>
                      <w:szCs w:val="21"/>
                      <w:lang w:val="en-US" w:eastAsia="zh-CN"/>
                    </w:rPr>
                  </w:pPr>
                  <w:r>
                    <w:rPr>
                      <w:rFonts w:cs="宋体"/>
                      <w:b/>
                      <w:bCs/>
                      <w:sz w:val="21"/>
                      <w:szCs w:val="21"/>
                      <w:lang w:val="en-US" w:eastAsia="zh-CN"/>
                    </w:rPr>
                    <w:t>填表说明（列出项目相关信息及评价说明）：</w:t>
                  </w:r>
                </w:p>
              </w:tc>
              <w:tc>
                <w:tcPr>
                  <w:tcW w:w="59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both"/>
                    <w:rPr>
                      <w:rFonts w:cs="宋体"/>
                      <w:sz w:val="21"/>
                      <w:szCs w:val="21"/>
                      <w:lang w:val="en-US" w:eastAsia="zh-CN"/>
                    </w:rPr>
                  </w:pPr>
                  <w:r>
                    <w:rPr>
                      <w:rFonts w:cs="宋体"/>
                      <w:sz w:val="21"/>
                      <w:szCs w:val="21"/>
                      <w:lang w:val="en-US" w:eastAsia="zh-CN"/>
                    </w:rPr>
                    <w:t>填表说明（列出项目相关信息及评价说明）：</w:t>
                  </w:r>
                </w:p>
                <w:p>
                  <w:pPr>
                    <w:pStyle w:val="159"/>
                    <w:keepNext w:val="0"/>
                    <w:keepLines w:val="0"/>
                    <w:pageBreakBefore w:val="0"/>
                    <w:widowControl/>
                    <w:kinsoku/>
                    <w:wordWrap/>
                    <w:overflowPunct/>
                    <w:topLinePunct w:val="0"/>
                    <w:autoSpaceDE/>
                    <w:autoSpaceDN/>
                    <w:bidi w:val="0"/>
                    <w:adjustRightInd/>
                    <w:snapToGrid w:val="0"/>
                    <w:spacing w:before="0" w:after="0" w:line="240" w:lineRule="auto"/>
                    <w:ind w:right="0"/>
                    <w:jc w:val="both"/>
                    <w:rPr>
                      <w:rFonts w:cs="宋体"/>
                      <w:sz w:val="21"/>
                      <w:szCs w:val="21"/>
                      <w:lang w:val="en-US" w:eastAsia="zh-CN"/>
                    </w:rPr>
                  </w:pPr>
                  <w:r>
                    <w:rPr>
                      <w:rFonts w:cs="宋体"/>
                      <w:sz w:val="21"/>
                      <w:szCs w:val="21"/>
                      <w:lang w:val="en-US" w:eastAsia="zh-CN"/>
                    </w:rPr>
                    <w:t>项目建成后主要为医疗卫生服务，根据《建设项目环境风险评价技术导则》（HJ169-2018），项目环境风险潜势为Ⅰ</w:t>
                  </w:r>
                  <w:r>
                    <w:rPr>
                      <w:rFonts w:hint="eastAsia" w:cs="宋体"/>
                      <w:sz w:val="21"/>
                      <w:szCs w:val="21"/>
                      <w:lang w:val="en-US" w:eastAsia="zh-CN"/>
                    </w:rPr>
                    <w:t>，</w:t>
                  </w:r>
                  <w:r>
                    <w:rPr>
                      <w:rFonts w:cs="宋体"/>
                      <w:sz w:val="21"/>
                      <w:szCs w:val="21"/>
                      <w:lang w:val="en-US" w:eastAsia="zh-CN"/>
                    </w:rPr>
                    <w:t>本次环境风险评价等级确定为简单分析。本项目事故风险水平较低，再进一步采取安全防范措施和事故应急预案后，基本上满足国家有关环境保护和安全法规、标准的要求，项目对场外环境的风险可控。</w:t>
                  </w:r>
                </w:p>
              </w:tc>
            </w:tr>
          </w:tbl>
          <w:p>
            <w:pPr>
              <w:pStyle w:val="161"/>
              <w:rPr>
                <w:rFonts w:hint="default" w:ascii="Times New Roman" w:hAnsi="Times New Roman" w:cs="Times New Roman"/>
                <w:lang w:val="en-US" w:eastAsia="zh-CN"/>
              </w:rPr>
            </w:pPr>
            <w:r>
              <w:rPr>
                <w:rFonts w:hint="eastAsia" w:ascii="Times New Roman" w:hAnsi="Times New Roman" w:cs="Times New Roman"/>
                <w:lang w:val="en-US" w:eastAsia="zh-CN"/>
              </w:rPr>
              <w:t>9</w:t>
            </w:r>
            <w:r>
              <w:rPr>
                <w:rFonts w:hint="default" w:ascii="Times New Roman" w:hAnsi="Times New Roman" w:cs="Times New Roman"/>
                <w:lang w:val="en-US" w:eastAsia="zh-CN"/>
              </w:rPr>
              <w:t>、</w:t>
            </w:r>
            <w:r>
              <w:rPr>
                <w:rFonts w:hint="eastAsia" w:ascii="Times New Roman" w:hAnsi="Times New Roman" w:cs="Times New Roman"/>
                <w:lang w:val="en-US" w:eastAsia="zh-CN"/>
              </w:rPr>
              <w:t>外环境对本项目的影响分析</w:t>
            </w:r>
          </w:p>
          <w:p>
            <w:pPr>
              <w:pStyle w:val="98"/>
              <w:ind w:firstLine="480"/>
              <w:rPr>
                <w:rFonts w:hint="eastAsia"/>
                <w:b w:val="0"/>
                <w:bCs w:val="0"/>
                <w:sz w:val="24"/>
                <w:szCs w:val="24"/>
                <w:lang w:val="zh-CN"/>
              </w:rPr>
            </w:pPr>
            <w:r>
              <w:rPr>
                <w:rFonts w:hint="eastAsia"/>
                <w:b w:val="0"/>
                <w:bCs w:val="0"/>
                <w:sz w:val="24"/>
                <w:szCs w:val="24"/>
                <w:lang w:val="zh-CN"/>
              </w:rPr>
              <w:t>项目位于</w:t>
            </w:r>
            <w:r>
              <w:rPr>
                <w:rFonts w:hint="eastAsia"/>
                <w:b w:val="0"/>
                <w:bCs w:val="0"/>
                <w:sz w:val="24"/>
                <w:szCs w:val="24"/>
                <w:lang w:eastAsia="zh-CN"/>
              </w:rPr>
              <w:t>花垣县花垣镇城北政务大厅北侧，南侧为花垣县政务大厅，</w:t>
            </w:r>
            <w:r>
              <w:rPr>
                <w:rFonts w:hint="eastAsia"/>
                <w:b w:val="0"/>
                <w:bCs w:val="0"/>
                <w:sz w:val="24"/>
                <w:szCs w:val="24"/>
                <w:lang w:val="en-US" w:eastAsia="zh-CN"/>
              </w:rPr>
              <w:t>东</w:t>
            </w:r>
            <w:r>
              <w:rPr>
                <w:rFonts w:hint="eastAsia"/>
                <w:b w:val="0"/>
                <w:bCs w:val="0"/>
                <w:sz w:val="24"/>
                <w:szCs w:val="24"/>
                <w:lang w:eastAsia="zh-CN"/>
              </w:rPr>
              <w:t>侧为花垣县</w:t>
            </w:r>
            <w:r>
              <w:rPr>
                <w:rFonts w:hint="eastAsia"/>
                <w:b w:val="0"/>
                <w:bCs w:val="0"/>
                <w:sz w:val="24"/>
                <w:szCs w:val="24"/>
                <w:lang w:val="en-US" w:eastAsia="zh-CN"/>
              </w:rPr>
              <w:t>疾控中心</w:t>
            </w:r>
            <w:r>
              <w:rPr>
                <w:rFonts w:hint="eastAsia"/>
                <w:b w:val="0"/>
                <w:bCs w:val="0"/>
                <w:sz w:val="24"/>
                <w:szCs w:val="24"/>
                <w:lang w:eastAsia="zh-CN"/>
              </w:rPr>
              <w:t>，北侧为山体，</w:t>
            </w:r>
            <w:r>
              <w:rPr>
                <w:rFonts w:hint="eastAsia"/>
                <w:b w:val="0"/>
                <w:bCs w:val="0"/>
                <w:sz w:val="24"/>
                <w:szCs w:val="24"/>
                <w:lang w:val="en-US" w:eastAsia="zh-CN"/>
              </w:rPr>
              <w:t>西侧</w:t>
            </w:r>
            <w:r>
              <w:rPr>
                <w:rFonts w:hint="eastAsia"/>
                <w:b w:val="0"/>
                <w:bCs w:val="0"/>
                <w:sz w:val="24"/>
                <w:szCs w:val="24"/>
                <w:lang w:eastAsia="zh-CN"/>
              </w:rPr>
              <w:t>为</w:t>
            </w:r>
            <w:r>
              <w:rPr>
                <w:rFonts w:hint="eastAsia"/>
                <w:b w:val="0"/>
                <w:bCs w:val="0"/>
                <w:sz w:val="24"/>
                <w:szCs w:val="24"/>
                <w:lang w:val="en-US" w:eastAsia="zh-CN"/>
              </w:rPr>
              <w:t>花垣县国家税务局</w:t>
            </w:r>
            <w:r>
              <w:rPr>
                <w:rFonts w:hint="eastAsia"/>
                <w:b w:val="0"/>
                <w:bCs w:val="0"/>
                <w:sz w:val="24"/>
                <w:szCs w:val="24"/>
                <w:lang w:eastAsia="zh-CN"/>
              </w:rPr>
              <w:t>；</w:t>
            </w:r>
            <w:r>
              <w:rPr>
                <w:rFonts w:hint="eastAsia"/>
                <w:b w:val="0"/>
                <w:bCs w:val="0"/>
                <w:sz w:val="24"/>
                <w:szCs w:val="24"/>
                <w:lang w:val="zh-CN"/>
              </w:rPr>
              <w:t>项目</w:t>
            </w:r>
            <w:r>
              <w:rPr>
                <w:rFonts w:hint="eastAsia"/>
                <w:b w:val="0"/>
                <w:bCs w:val="0"/>
                <w:sz w:val="24"/>
                <w:szCs w:val="24"/>
                <w:lang w:eastAsia="zh-CN"/>
              </w:rPr>
              <w:t>西侧</w:t>
            </w:r>
            <w:r>
              <w:rPr>
                <w:rFonts w:hint="eastAsia"/>
                <w:b w:val="0"/>
                <w:bCs w:val="0"/>
                <w:sz w:val="24"/>
                <w:szCs w:val="24"/>
                <w:lang w:val="zh-CN"/>
              </w:rPr>
              <w:t>临近道路，地理位置优越，交通便利。该地块构造稳定，无影响地质的大断裂和不良地质现象和无需保护的文物等敏感点，符合工程建设需要。</w:t>
            </w:r>
          </w:p>
          <w:p>
            <w:pPr>
              <w:pStyle w:val="98"/>
              <w:ind w:firstLine="480"/>
              <w:rPr>
                <w:rFonts w:hint="eastAsia"/>
                <w:b w:val="0"/>
                <w:bCs w:val="0"/>
                <w:sz w:val="24"/>
                <w:szCs w:val="24"/>
                <w:lang w:val="zh-CN"/>
              </w:rPr>
            </w:pPr>
            <w:r>
              <w:rPr>
                <w:rFonts w:hint="eastAsia"/>
                <w:b w:val="0"/>
                <w:bCs w:val="0"/>
                <w:sz w:val="24"/>
                <w:szCs w:val="24"/>
                <w:lang w:val="zh-CN"/>
              </w:rPr>
              <w:t>根据环境影响预测分析可知，只要落实好环评提出的各项污染防治措施，项目产生的废气、废水、噪声、固体废物均能做到达标排放，项目运营对周围环境及敏感点不会产生明显不利影响。且周边以居民住宅为主，不处于周边企业环境防护距离包络范围内，周围工业企业对项目污染小。</w:t>
            </w:r>
          </w:p>
          <w:p>
            <w:pPr>
              <w:pStyle w:val="98"/>
              <w:ind w:firstLine="480"/>
              <w:rPr>
                <w:rFonts w:hint="eastAsia"/>
                <w:b/>
                <w:bCs/>
                <w:sz w:val="24"/>
                <w:szCs w:val="24"/>
              </w:rPr>
            </w:pPr>
            <w:r>
              <w:rPr>
                <w:rFonts w:hint="eastAsia"/>
                <w:b w:val="0"/>
                <w:bCs w:val="0"/>
                <w:sz w:val="24"/>
                <w:szCs w:val="24"/>
                <w:lang w:val="zh-CN"/>
              </w:rPr>
              <w:t>根据环境质量现状调查可知：项目区域内环境空气、水环境、声环境、土壤环境等均能达到相应功能区划标准，环境质量好。项目占地不涉及基本农田，不涉及生态公益林。不在花垣县生态红线内，本项目用地范围内未发现国家保护珍稀动植物，不在自然保护区、饮用水源保护区，湿地公园、森林公园、地质公园、文物保护区内。建设项目与周边外环境相容，不会对周围敏感点及环境造成明显不利影响，从环境可行性角度分析选址合理</w:t>
            </w:r>
            <w:r>
              <w:rPr>
                <w:rFonts w:hint="eastAsia"/>
                <w:b w:val="0"/>
                <w:bCs w:val="0"/>
                <w:sz w:val="24"/>
                <w:szCs w:val="24"/>
              </w:rPr>
              <w:t>。</w:t>
            </w:r>
          </w:p>
          <w:p>
            <w:pPr>
              <w:pStyle w:val="98"/>
              <w:ind w:firstLine="480"/>
              <w:rPr>
                <w:rFonts w:hint="default" w:eastAsia="宋体"/>
                <w:b/>
                <w:bCs/>
                <w:sz w:val="24"/>
                <w:szCs w:val="24"/>
                <w:lang w:val="en-US" w:eastAsia="zh-CN"/>
              </w:rPr>
            </w:pPr>
            <w:r>
              <w:rPr>
                <w:rFonts w:hint="eastAsia"/>
                <w:b/>
                <w:bCs/>
                <w:sz w:val="24"/>
                <w:szCs w:val="24"/>
                <w:lang w:val="en-US" w:eastAsia="zh-CN"/>
              </w:rPr>
              <w:t>10</w:t>
            </w:r>
            <w:r>
              <w:rPr>
                <w:rFonts w:hint="eastAsia"/>
                <w:b/>
                <w:bCs/>
                <w:sz w:val="24"/>
                <w:szCs w:val="24"/>
              </w:rPr>
              <w:t>、</w:t>
            </w:r>
            <w:r>
              <w:rPr>
                <w:b/>
                <w:bCs/>
                <w:sz w:val="24"/>
                <w:szCs w:val="24"/>
              </w:rPr>
              <w:t>环保投资估算</w:t>
            </w:r>
          </w:p>
          <w:p>
            <w:pPr>
              <w:pStyle w:val="98"/>
              <w:ind w:firstLine="480"/>
              <w:rPr>
                <w:sz w:val="24"/>
                <w:szCs w:val="24"/>
                <w:u w:val="none"/>
              </w:rPr>
            </w:pPr>
            <w:r>
              <w:rPr>
                <w:sz w:val="24"/>
                <w:szCs w:val="24"/>
                <w:u w:val="none"/>
              </w:rPr>
              <w:t>本项目环保投资见下表。</w:t>
            </w:r>
          </w:p>
          <w:p>
            <w:pPr>
              <w:pStyle w:val="8"/>
              <w:keepNext/>
              <w:keepLines w:val="0"/>
              <w:pageBreakBefore w:val="0"/>
              <w:widowControl/>
              <w:kinsoku/>
              <w:wordWrap/>
              <w:overflowPunct/>
              <w:topLinePunct w:val="0"/>
              <w:autoSpaceDE/>
              <w:autoSpaceDN/>
              <w:bidi w:val="0"/>
              <w:adjustRightInd/>
              <w:snapToGrid/>
              <w:spacing w:line="240" w:lineRule="auto"/>
              <w:textAlignment w:val="auto"/>
              <w:rPr>
                <w:u w:val="none"/>
              </w:rPr>
            </w:pPr>
            <w:r>
              <w:rPr>
                <w:rFonts w:hint="eastAsia"/>
                <w:u w:val="none"/>
              </w:rPr>
              <w:t>表4-</w:t>
            </w:r>
            <w:r>
              <w:rPr>
                <w:rFonts w:hint="eastAsia"/>
                <w:u w:val="none"/>
                <w:lang w:val="en-US" w:eastAsia="zh-CN"/>
              </w:rPr>
              <w:t xml:space="preserve">26  </w:t>
            </w:r>
            <w:r>
              <w:rPr>
                <w:rFonts w:hint="eastAsia"/>
                <w:u w:val="none"/>
              </w:rPr>
              <w:t>项目环保投资估算一览表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610"/>
              <w:gridCol w:w="1311"/>
              <w:gridCol w:w="2690"/>
              <w:gridCol w:w="2205"/>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456" w:hRule="atLeast"/>
                <w:jc w:val="center"/>
              </w:trPr>
              <w:tc>
                <w:tcPr>
                  <w:tcW w:w="381" w:type="pct"/>
                  <w:noWrap w:val="0"/>
                  <w:vAlign w:val="center"/>
                </w:tcPr>
                <w:p>
                  <w:pPr>
                    <w:spacing w:line="240" w:lineRule="auto"/>
                    <w:jc w:val="center"/>
                    <w:rPr>
                      <w:bCs/>
                      <w:color w:val="auto"/>
                      <w:sz w:val="21"/>
                      <w:szCs w:val="21"/>
                    </w:rPr>
                  </w:pPr>
                  <w:r>
                    <w:rPr>
                      <w:bCs/>
                      <w:color w:val="auto"/>
                      <w:sz w:val="21"/>
                      <w:szCs w:val="21"/>
                    </w:rPr>
                    <w:t>序号</w:t>
                  </w:r>
                </w:p>
              </w:tc>
              <w:tc>
                <w:tcPr>
                  <w:tcW w:w="819" w:type="pct"/>
                  <w:noWrap w:val="0"/>
                  <w:vAlign w:val="center"/>
                </w:tcPr>
                <w:p>
                  <w:pPr>
                    <w:spacing w:line="240" w:lineRule="auto"/>
                    <w:jc w:val="center"/>
                    <w:rPr>
                      <w:bCs/>
                      <w:color w:val="auto"/>
                      <w:sz w:val="21"/>
                      <w:szCs w:val="21"/>
                    </w:rPr>
                  </w:pPr>
                  <w:r>
                    <w:rPr>
                      <w:bCs/>
                      <w:color w:val="auto"/>
                      <w:sz w:val="21"/>
                      <w:szCs w:val="21"/>
                    </w:rPr>
                    <w:t>治理项目</w:t>
                  </w:r>
                </w:p>
              </w:tc>
              <w:tc>
                <w:tcPr>
                  <w:tcW w:w="1681" w:type="pct"/>
                  <w:noWrap w:val="0"/>
                  <w:vAlign w:val="center"/>
                </w:tcPr>
                <w:p>
                  <w:pPr>
                    <w:spacing w:line="240" w:lineRule="auto"/>
                    <w:jc w:val="center"/>
                    <w:rPr>
                      <w:bCs/>
                      <w:color w:val="auto"/>
                      <w:sz w:val="21"/>
                      <w:szCs w:val="21"/>
                    </w:rPr>
                  </w:pPr>
                  <w:r>
                    <w:rPr>
                      <w:bCs/>
                      <w:color w:val="auto"/>
                      <w:sz w:val="21"/>
                      <w:szCs w:val="21"/>
                    </w:rPr>
                    <w:t>措施内容</w:t>
                  </w:r>
                </w:p>
              </w:tc>
              <w:tc>
                <w:tcPr>
                  <w:tcW w:w="1378" w:type="pct"/>
                  <w:noWrap w:val="0"/>
                  <w:vAlign w:val="center"/>
                </w:tcPr>
                <w:p>
                  <w:pPr>
                    <w:spacing w:line="240" w:lineRule="auto"/>
                    <w:ind w:firstLine="420" w:firstLineChars="200"/>
                    <w:jc w:val="both"/>
                    <w:rPr>
                      <w:bCs/>
                      <w:color w:val="auto"/>
                      <w:sz w:val="21"/>
                      <w:szCs w:val="21"/>
                    </w:rPr>
                  </w:pPr>
                  <w:r>
                    <w:rPr>
                      <w:bCs/>
                      <w:color w:val="auto"/>
                      <w:sz w:val="21"/>
                      <w:szCs w:val="21"/>
                    </w:rPr>
                    <w:t>预期治理效果</w:t>
                  </w:r>
                </w:p>
              </w:tc>
              <w:tc>
                <w:tcPr>
                  <w:tcW w:w="739" w:type="pct"/>
                  <w:noWrap w:val="0"/>
                  <w:vAlign w:val="center"/>
                </w:tcPr>
                <w:p>
                  <w:pPr>
                    <w:spacing w:line="240" w:lineRule="auto"/>
                    <w:jc w:val="center"/>
                    <w:rPr>
                      <w:bCs/>
                      <w:color w:val="auto"/>
                      <w:sz w:val="21"/>
                      <w:szCs w:val="21"/>
                    </w:rPr>
                  </w:pPr>
                  <w:r>
                    <w:rPr>
                      <w:bCs/>
                      <w:color w:val="auto"/>
                      <w:sz w:val="21"/>
                      <w:szCs w:val="21"/>
                    </w:rPr>
                    <w:t>投资估算</w:t>
                  </w:r>
                </w:p>
                <w:p>
                  <w:pPr>
                    <w:spacing w:line="240" w:lineRule="auto"/>
                    <w:jc w:val="center"/>
                    <w:rPr>
                      <w:bCs/>
                      <w:color w:val="auto"/>
                      <w:sz w:val="21"/>
                      <w:szCs w:val="21"/>
                    </w:rPr>
                  </w:pPr>
                  <w:r>
                    <w:rPr>
                      <w:bCs/>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447" w:hRule="atLeast"/>
                <w:jc w:val="center"/>
              </w:trPr>
              <w:tc>
                <w:tcPr>
                  <w:tcW w:w="381" w:type="pct"/>
                  <w:vMerge w:val="restart"/>
                  <w:noWrap w:val="0"/>
                  <w:vAlign w:val="center"/>
                </w:tcPr>
                <w:p>
                  <w:pPr>
                    <w:adjustRightInd w:val="0"/>
                    <w:snapToGrid w:val="0"/>
                    <w:spacing w:line="240" w:lineRule="auto"/>
                    <w:jc w:val="center"/>
                    <w:rPr>
                      <w:bCs/>
                      <w:color w:val="auto"/>
                      <w:sz w:val="21"/>
                      <w:szCs w:val="21"/>
                      <w:u w:val="none"/>
                    </w:rPr>
                  </w:pPr>
                  <w:r>
                    <w:rPr>
                      <w:bCs/>
                      <w:color w:val="auto"/>
                      <w:sz w:val="21"/>
                      <w:szCs w:val="21"/>
                      <w:u w:val="none"/>
                    </w:rPr>
                    <w:t>1</w:t>
                  </w:r>
                </w:p>
              </w:tc>
              <w:tc>
                <w:tcPr>
                  <w:tcW w:w="819" w:type="pct"/>
                  <w:vMerge w:val="restart"/>
                  <w:noWrap w:val="0"/>
                  <w:vAlign w:val="center"/>
                </w:tcPr>
                <w:p>
                  <w:pPr>
                    <w:adjustRightInd w:val="0"/>
                    <w:snapToGrid w:val="0"/>
                    <w:spacing w:line="240" w:lineRule="auto"/>
                    <w:jc w:val="center"/>
                    <w:rPr>
                      <w:bCs/>
                      <w:color w:val="auto"/>
                      <w:sz w:val="21"/>
                      <w:szCs w:val="21"/>
                      <w:u w:val="none"/>
                    </w:rPr>
                  </w:pPr>
                  <w:r>
                    <w:rPr>
                      <w:bCs/>
                      <w:color w:val="auto"/>
                      <w:sz w:val="21"/>
                      <w:szCs w:val="21"/>
                      <w:u w:val="none"/>
                    </w:rPr>
                    <w:t>废气治理</w:t>
                  </w:r>
                </w:p>
              </w:tc>
              <w:tc>
                <w:tcPr>
                  <w:tcW w:w="1681" w:type="pct"/>
                  <w:noWrap w:val="0"/>
                  <w:vAlign w:val="center"/>
                </w:tcPr>
                <w:p>
                  <w:pPr>
                    <w:adjustRightInd w:val="0"/>
                    <w:snapToGrid w:val="0"/>
                    <w:spacing w:line="240" w:lineRule="auto"/>
                    <w:jc w:val="center"/>
                    <w:rPr>
                      <w:rFonts w:hint="default" w:eastAsia="宋体"/>
                      <w:bCs/>
                      <w:color w:val="auto"/>
                      <w:sz w:val="21"/>
                      <w:szCs w:val="21"/>
                      <w:u w:val="none"/>
                      <w:lang w:val="en-US" w:eastAsia="zh-CN"/>
                    </w:rPr>
                  </w:pPr>
                  <w:r>
                    <w:rPr>
                      <w:rFonts w:hint="eastAsia"/>
                      <w:bCs/>
                      <w:color w:val="auto"/>
                      <w:sz w:val="21"/>
                      <w:szCs w:val="21"/>
                      <w:u w:val="none"/>
                      <w:lang w:val="en-US" w:eastAsia="zh-CN"/>
                    </w:rPr>
                    <w:t>/</w:t>
                  </w:r>
                </w:p>
              </w:tc>
              <w:tc>
                <w:tcPr>
                  <w:tcW w:w="1378" w:type="pct"/>
                  <w:vMerge w:val="restart"/>
                  <w:noWrap w:val="0"/>
                  <w:vAlign w:val="center"/>
                </w:tcPr>
                <w:p>
                  <w:pPr>
                    <w:adjustRightInd w:val="0"/>
                    <w:snapToGrid w:val="0"/>
                    <w:spacing w:line="240" w:lineRule="auto"/>
                    <w:jc w:val="center"/>
                    <w:rPr>
                      <w:color w:val="auto"/>
                      <w:sz w:val="21"/>
                      <w:szCs w:val="21"/>
                      <w:u w:val="none"/>
                    </w:rPr>
                  </w:pPr>
                  <w:r>
                    <w:rPr>
                      <w:rFonts w:hint="eastAsia"/>
                      <w:bCs/>
                      <w:color w:val="auto"/>
                      <w:sz w:val="21"/>
                      <w:szCs w:val="21"/>
                      <w:u w:val="none"/>
                      <w:lang w:val="en-US" w:eastAsia="zh-CN"/>
                    </w:rPr>
                    <w:t>/</w:t>
                  </w:r>
                </w:p>
              </w:tc>
              <w:tc>
                <w:tcPr>
                  <w:tcW w:w="739" w:type="pct"/>
                  <w:vMerge w:val="restart"/>
                  <w:noWrap w:val="0"/>
                  <w:vAlign w:val="center"/>
                </w:tcPr>
                <w:p>
                  <w:pPr>
                    <w:adjustRightInd w:val="0"/>
                    <w:snapToGrid w:val="0"/>
                    <w:spacing w:line="240" w:lineRule="auto"/>
                    <w:jc w:val="center"/>
                    <w:rPr>
                      <w:rFonts w:hint="default" w:eastAsia="宋体"/>
                      <w:bCs/>
                      <w:color w:val="auto"/>
                      <w:sz w:val="21"/>
                      <w:szCs w:val="21"/>
                      <w:u w:val="none"/>
                      <w:lang w:val="en-US" w:eastAsia="zh-CN"/>
                    </w:rPr>
                  </w:pPr>
                  <w:r>
                    <w:rPr>
                      <w:rFonts w:hint="eastAsia"/>
                      <w:bCs/>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626" w:hRule="atLeast"/>
                <w:jc w:val="center"/>
              </w:trPr>
              <w:tc>
                <w:tcPr>
                  <w:tcW w:w="381" w:type="pct"/>
                  <w:vMerge w:val="restart"/>
                  <w:noWrap w:val="0"/>
                  <w:vAlign w:val="center"/>
                </w:tcPr>
                <w:p>
                  <w:pPr>
                    <w:adjustRightInd w:val="0"/>
                    <w:snapToGrid w:val="0"/>
                    <w:spacing w:line="240" w:lineRule="auto"/>
                    <w:jc w:val="center"/>
                    <w:rPr>
                      <w:bCs/>
                      <w:color w:val="auto"/>
                      <w:sz w:val="21"/>
                      <w:szCs w:val="21"/>
                    </w:rPr>
                  </w:pPr>
                  <w:r>
                    <w:rPr>
                      <w:bCs/>
                      <w:color w:val="auto"/>
                      <w:sz w:val="21"/>
                      <w:szCs w:val="21"/>
                    </w:rPr>
                    <w:t>2</w:t>
                  </w:r>
                </w:p>
              </w:tc>
              <w:tc>
                <w:tcPr>
                  <w:tcW w:w="819" w:type="pct"/>
                  <w:vMerge w:val="restart"/>
                  <w:noWrap w:val="0"/>
                  <w:vAlign w:val="center"/>
                </w:tcPr>
                <w:p>
                  <w:pPr>
                    <w:adjustRightInd w:val="0"/>
                    <w:snapToGrid w:val="0"/>
                    <w:spacing w:line="240" w:lineRule="auto"/>
                    <w:jc w:val="center"/>
                    <w:rPr>
                      <w:bCs/>
                      <w:color w:val="auto"/>
                      <w:sz w:val="21"/>
                      <w:szCs w:val="21"/>
                    </w:rPr>
                  </w:pPr>
                  <w:r>
                    <w:rPr>
                      <w:bCs/>
                      <w:color w:val="auto"/>
                      <w:sz w:val="21"/>
                      <w:szCs w:val="21"/>
                    </w:rPr>
                    <w:t>废水治理</w:t>
                  </w:r>
                </w:p>
              </w:tc>
              <w:tc>
                <w:tcPr>
                  <w:tcW w:w="1681" w:type="pct"/>
                  <w:noWrap w:val="0"/>
                  <w:vAlign w:val="center"/>
                </w:tcPr>
                <w:p>
                  <w:pPr>
                    <w:adjustRightInd w:val="0"/>
                    <w:snapToGrid w:val="0"/>
                    <w:spacing w:line="240" w:lineRule="auto"/>
                    <w:jc w:val="center"/>
                    <w:rPr>
                      <w:rFonts w:hint="eastAsia" w:eastAsia="宋体"/>
                      <w:color w:val="auto"/>
                      <w:sz w:val="21"/>
                      <w:szCs w:val="21"/>
                      <w:lang w:eastAsia="zh-CN"/>
                    </w:rPr>
                  </w:pPr>
                  <w:r>
                    <w:rPr>
                      <w:color w:val="auto"/>
                      <w:sz w:val="21"/>
                      <w:szCs w:val="21"/>
                    </w:rPr>
                    <w:t>化粪池</w:t>
                  </w:r>
                  <w:r>
                    <w:rPr>
                      <w:rFonts w:hint="eastAsia"/>
                      <w:color w:val="auto"/>
                      <w:sz w:val="21"/>
                      <w:szCs w:val="21"/>
                      <w:lang w:eastAsia="zh-CN"/>
                    </w:rPr>
                    <w:t>（</w:t>
                  </w:r>
                  <w:r>
                    <w:rPr>
                      <w:rFonts w:hint="eastAsia"/>
                      <w:color w:val="auto"/>
                      <w:sz w:val="21"/>
                      <w:szCs w:val="21"/>
                      <w:lang w:val="en-US" w:eastAsia="zh-CN"/>
                    </w:rPr>
                    <w:t>现有</w:t>
                  </w:r>
                  <w:r>
                    <w:rPr>
                      <w:rFonts w:hint="eastAsia"/>
                      <w:color w:val="auto"/>
                      <w:sz w:val="21"/>
                      <w:szCs w:val="21"/>
                      <w:lang w:eastAsia="zh-CN"/>
                    </w:rPr>
                    <w:t>）</w:t>
                  </w:r>
                </w:p>
              </w:tc>
              <w:tc>
                <w:tcPr>
                  <w:tcW w:w="1378" w:type="pct"/>
                  <w:vMerge w:val="restart"/>
                  <w:noWrap w:val="0"/>
                  <w:vAlign w:val="center"/>
                </w:tcPr>
                <w:p>
                  <w:pPr>
                    <w:adjustRightInd w:val="0"/>
                    <w:snapToGrid w:val="0"/>
                    <w:spacing w:line="240" w:lineRule="auto"/>
                    <w:jc w:val="center"/>
                    <w:rPr>
                      <w:bCs/>
                      <w:color w:val="auto"/>
                      <w:kern w:val="2"/>
                      <w:sz w:val="21"/>
                      <w:szCs w:val="21"/>
                      <w:lang w:val="en-US" w:eastAsia="zh-CN" w:bidi="ar-SA"/>
                    </w:rPr>
                  </w:pPr>
                  <w:r>
                    <w:rPr>
                      <w:bCs/>
                      <w:color w:val="auto"/>
                      <w:sz w:val="21"/>
                      <w:szCs w:val="21"/>
                    </w:rPr>
                    <w:t>达标排放</w:t>
                  </w:r>
                </w:p>
              </w:tc>
              <w:tc>
                <w:tcPr>
                  <w:tcW w:w="739" w:type="pct"/>
                  <w:vMerge w:val="restart"/>
                  <w:noWrap w:val="0"/>
                  <w:vAlign w:val="center"/>
                </w:tcPr>
                <w:p>
                  <w:pPr>
                    <w:adjustRightInd w:val="0"/>
                    <w:snapToGrid w:val="0"/>
                    <w:spacing w:line="240" w:lineRule="auto"/>
                    <w:jc w:val="center"/>
                    <w:rPr>
                      <w:rFonts w:hint="default" w:eastAsia="宋体"/>
                      <w:bCs/>
                      <w:color w:val="auto"/>
                      <w:sz w:val="21"/>
                      <w:szCs w:val="21"/>
                      <w:lang w:val="en-US" w:eastAsia="zh-CN"/>
                    </w:rPr>
                  </w:pPr>
                  <w:r>
                    <w:rPr>
                      <w:rFonts w:hint="eastAsia" w:eastAsia="宋体"/>
                      <w:bCs/>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23" w:hRule="atLeast"/>
                <w:jc w:val="center"/>
              </w:trPr>
              <w:tc>
                <w:tcPr>
                  <w:tcW w:w="381" w:type="pct"/>
                  <w:vMerge w:val="continue"/>
                  <w:noWrap w:val="0"/>
                  <w:vAlign w:val="center"/>
                </w:tcPr>
                <w:p>
                  <w:pPr>
                    <w:adjustRightInd w:val="0"/>
                    <w:snapToGrid w:val="0"/>
                    <w:spacing w:line="240" w:lineRule="auto"/>
                    <w:jc w:val="center"/>
                    <w:rPr>
                      <w:bCs/>
                      <w:color w:val="auto"/>
                      <w:sz w:val="21"/>
                      <w:szCs w:val="21"/>
                    </w:rPr>
                  </w:pPr>
                </w:p>
              </w:tc>
              <w:tc>
                <w:tcPr>
                  <w:tcW w:w="819" w:type="pct"/>
                  <w:vMerge w:val="continue"/>
                  <w:noWrap w:val="0"/>
                  <w:vAlign w:val="center"/>
                </w:tcPr>
                <w:p>
                  <w:pPr>
                    <w:adjustRightInd w:val="0"/>
                    <w:snapToGrid w:val="0"/>
                    <w:spacing w:line="240" w:lineRule="auto"/>
                    <w:jc w:val="center"/>
                    <w:rPr>
                      <w:bCs/>
                      <w:color w:val="auto"/>
                      <w:sz w:val="21"/>
                      <w:szCs w:val="21"/>
                    </w:rPr>
                  </w:pPr>
                </w:p>
              </w:tc>
              <w:tc>
                <w:tcPr>
                  <w:tcW w:w="1681" w:type="pct"/>
                  <w:noWrap w:val="0"/>
                  <w:vAlign w:val="center"/>
                </w:tcPr>
                <w:p>
                  <w:pPr>
                    <w:adjustRightInd w:val="0"/>
                    <w:snapToGrid w:val="0"/>
                    <w:spacing w:line="240" w:lineRule="auto"/>
                    <w:jc w:val="center"/>
                    <w:rPr>
                      <w:rFonts w:hint="default" w:eastAsia="宋体"/>
                      <w:color w:val="auto"/>
                      <w:kern w:val="2"/>
                      <w:sz w:val="21"/>
                      <w:szCs w:val="21"/>
                      <w:lang w:val="en-US" w:eastAsia="zh-CN" w:bidi="ar-SA"/>
                    </w:rPr>
                  </w:pPr>
                  <w:r>
                    <w:rPr>
                      <w:rFonts w:hint="eastAsia"/>
                      <w:color w:val="auto"/>
                      <w:sz w:val="21"/>
                      <w:szCs w:val="21"/>
                      <w:lang w:eastAsia="zh-CN"/>
                    </w:rPr>
                    <w:t>一体化</w:t>
                  </w:r>
                  <w:r>
                    <w:rPr>
                      <w:rFonts w:hint="eastAsia"/>
                      <w:color w:val="auto"/>
                      <w:sz w:val="21"/>
                      <w:szCs w:val="21"/>
                      <w:lang w:val="en-US" w:eastAsia="zh-CN"/>
                    </w:rPr>
                    <w:t>污水处理设施</w:t>
                  </w:r>
                  <w:r>
                    <w:rPr>
                      <w:rFonts w:hint="eastAsia"/>
                      <w:bCs/>
                      <w:color w:val="auto"/>
                      <w:sz w:val="21"/>
                      <w:szCs w:val="21"/>
                      <w:lang w:val="en-US" w:eastAsia="zh-CN"/>
                    </w:rPr>
                    <w:t>（依托花垣县疾控中心现有）</w:t>
                  </w:r>
                </w:p>
              </w:tc>
              <w:tc>
                <w:tcPr>
                  <w:tcW w:w="1378" w:type="pct"/>
                  <w:vMerge w:val="continue"/>
                  <w:noWrap w:val="0"/>
                  <w:vAlign w:val="center"/>
                </w:tcPr>
                <w:p>
                  <w:pPr>
                    <w:adjustRightInd w:val="0"/>
                    <w:snapToGrid w:val="0"/>
                    <w:spacing w:line="240" w:lineRule="auto"/>
                    <w:jc w:val="center"/>
                    <w:rPr>
                      <w:bCs/>
                      <w:color w:val="auto"/>
                      <w:kern w:val="2"/>
                      <w:sz w:val="21"/>
                      <w:szCs w:val="21"/>
                      <w:lang w:val="en-US" w:eastAsia="zh-CN" w:bidi="ar-SA"/>
                    </w:rPr>
                  </w:pPr>
                </w:p>
              </w:tc>
              <w:tc>
                <w:tcPr>
                  <w:tcW w:w="739" w:type="pct"/>
                  <w:vMerge w:val="continue"/>
                  <w:noWrap w:val="0"/>
                  <w:vAlign w:val="center"/>
                </w:tcPr>
                <w:p>
                  <w:pPr>
                    <w:adjustRightInd w:val="0"/>
                    <w:snapToGrid w:val="0"/>
                    <w:spacing w:line="240" w:lineRule="auto"/>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456" w:hRule="atLeast"/>
                <w:jc w:val="center"/>
              </w:trPr>
              <w:tc>
                <w:tcPr>
                  <w:tcW w:w="381" w:type="pct"/>
                  <w:vMerge w:val="restart"/>
                  <w:noWrap w:val="0"/>
                  <w:vAlign w:val="center"/>
                </w:tcPr>
                <w:p>
                  <w:pPr>
                    <w:adjustRightInd w:val="0"/>
                    <w:snapToGrid w:val="0"/>
                    <w:spacing w:line="240" w:lineRule="auto"/>
                    <w:jc w:val="center"/>
                    <w:rPr>
                      <w:bCs/>
                      <w:color w:val="auto"/>
                      <w:sz w:val="21"/>
                      <w:szCs w:val="21"/>
                    </w:rPr>
                  </w:pPr>
                  <w:r>
                    <w:rPr>
                      <w:bCs/>
                      <w:color w:val="auto"/>
                      <w:sz w:val="21"/>
                      <w:szCs w:val="21"/>
                    </w:rPr>
                    <w:t>3</w:t>
                  </w:r>
                </w:p>
              </w:tc>
              <w:tc>
                <w:tcPr>
                  <w:tcW w:w="819" w:type="pct"/>
                  <w:vMerge w:val="restart"/>
                  <w:noWrap w:val="0"/>
                  <w:vAlign w:val="center"/>
                </w:tcPr>
                <w:p>
                  <w:pPr>
                    <w:adjustRightInd w:val="0"/>
                    <w:snapToGrid w:val="0"/>
                    <w:spacing w:line="240" w:lineRule="auto"/>
                    <w:jc w:val="center"/>
                    <w:rPr>
                      <w:bCs/>
                      <w:color w:val="auto"/>
                      <w:sz w:val="21"/>
                      <w:szCs w:val="21"/>
                    </w:rPr>
                  </w:pPr>
                  <w:r>
                    <w:rPr>
                      <w:bCs/>
                      <w:color w:val="auto"/>
                      <w:sz w:val="21"/>
                      <w:szCs w:val="21"/>
                    </w:rPr>
                    <w:t>固废治理</w:t>
                  </w:r>
                </w:p>
              </w:tc>
              <w:tc>
                <w:tcPr>
                  <w:tcW w:w="1681" w:type="pct"/>
                  <w:noWrap w:val="0"/>
                  <w:vAlign w:val="center"/>
                </w:tcPr>
                <w:p>
                  <w:pPr>
                    <w:adjustRightInd w:val="0"/>
                    <w:snapToGrid w:val="0"/>
                    <w:spacing w:line="240" w:lineRule="auto"/>
                    <w:jc w:val="center"/>
                    <w:rPr>
                      <w:rFonts w:hint="eastAsia" w:eastAsia="宋体"/>
                      <w:bCs/>
                      <w:color w:val="auto"/>
                      <w:sz w:val="21"/>
                      <w:szCs w:val="21"/>
                      <w:lang w:val="en-US" w:eastAsia="zh-CN"/>
                    </w:rPr>
                  </w:pPr>
                  <w:r>
                    <w:rPr>
                      <w:bCs/>
                      <w:color w:val="auto"/>
                      <w:sz w:val="21"/>
                      <w:szCs w:val="21"/>
                    </w:rPr>
                    <w:t>生活垃圾</w:t>
                  </w:r>
                  <w:r>
                    <w:rPr>
                      <w:rFonts w:hint="eastAsia"/>
                      <w:bCs/>
                      <w:color w:val="auto"/>
                      <w:sz w:val="21"/>
                      <w:szCs w:val="21"/>
                      <w:lang w:val="en-US" w:eastAsia="zh-CN"/>
                    </w:rPr>
                    <w:t>桶</w:t>
                  </w:r>
                </w:p>
              </w:tc>
              <w:tc>
                <w:tcPr>
                  <w:tcW w:w="1378" w:type="pct"/>
                  <w:noWrap w:val="0"/>
                  <w:vAlign w:val="center"/>
                </w:tcPr>
                <w:p>
                  <w:pPr>
                    <w:adjustRightInd w:val="0"/>
                    <w:snapToGrid w:val="0"/>
                    <w:spacing w:line="240" w:lineRule="auto"/>
                    <w:jc w:val="center"/>
                    <w:rPr>
                      <w:color w:val="auto"/>
                      <w:sz w:val="21"/>
                      <w:szCs w:val="21"/>
                    </w:rPr>
                  </w:pPr>
                  <w:r>
                    <w:rPr>
                      <w:color w:val="auto"/>
                      <w:sz w:val="21"/>
                      <w:szCs w:val="21"/>
                    </w:rPr>
                    <w:t>环卫部门</w:t>
                  </w:r>
                  <w:r>
                    <w:rPr>
                      <w:rFonts w:hint="eastAsia"/>
                      <w:color w:val="auto"/>
                      <w:sz w:val="21"/>
                      <w:szCs w:val="21"/>
                      <w:lang w:val="en-US" w:eastAsia="zh-CN"/>
                    </w:rPr>
                    <w:t>统一</w:t>
                  </w:r>
                  <w:r>
                    <w:rPr>
                      <w:color w:val="auto"/>
                      <w:sz w:val="21"/>
                      <w:szCs w:val="21"/>
                    </w:rPr>
                    <w:t>清运，不外排</w:t>
                  </w:r>
                </w:p>
              </w:tc>
              <w:tc>
                <w:tcPr>
                  <w:tcW w:w="739" w:type="pct"/>
                  <w:noWrap w:val="0"/>
                  <w:vAlign w:val="center"/>
                </w:tcPr>
                <w:p>
                  <w:pPr>
                    <w:adjustRightInd w:val="0"/>
                    <w:snapToGrid w:val="0"/>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630" w:hRule="atLeast"/>
                <w:jc w:val="center"/>
              </w:trPr>
              <w:tc>
                <w:tcPr>
                  <w:tcW w:w="381" w:type="pct"/>
                  <w:vMerge w:val="continue"/>
                  <w:noWrap w:val="0"/>
                  <w:vAlign w:val="center"/>
                </w:tcPr>
                <w:p>
                  <w:pPr>
                    <w:adjustRightInd w:val="0"/>
                    <w:snapToGrid w:val="0"/>
                    <w:spacing w:line="240" w:lineRule="auto"/>
                    <w:jc w:val="center"/>
                    <w:rPr>
                      <w:bCs/>
                      <w:color w:val="auto"/>
                      <w:sz w:val="21"/>
                      <w:szCs w:val="21"/>
                    </w:rPr>
                  </w:pPr>
                </w:p>
              </w:tc>
              <w:tc>
                <w:tcPr>
                  <w:tcW w:w="819" w:type="pct"/>
                  <w:vMerge w:val="continue"/>
                  <w:noWrap w:val="0"/>
                  <w:vAlign w:val="center"/>
                </w:tcPr>
                <w:p>
                  <w:pPr>
                    <w:adjustRightInd w:val="0"/>
                    <w:snapToGrid w:val="0"/>
                    <w:spacing w:line="240" w:lineRule="auto"/>
                    <w:jc w:val="center"/>
                    <w:rPr>
                      <w:bCs/>
                      <w:color w:val="auto"/>
                      <w:sz w:val="21"/>
                      <w:szCs w:val="21"/>
                    </w:rPr>
                  </w:pPr>
                </w:p>
              </w:tc>
              <w:tc>
                <w:tcPr>
                  <w:tcW w:w="1681" w:type="pct"/>
                  <w:noWrap w:val="0"/>
                  <w:vAlign w:val="center"/>
                </w:tcPr>
                <w:p>
                  <w:pPr>
                    <w:adjustRightInd w:val="0"/>
                    <w:snapToGrid w:val="0"/>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医疗废物暂存间（依托花垣县疾控中心现有）</w:t>
                  </w:r>
                </w:p>
              </w:tc>
              <w:tc>
                <w:tcPr>
                  <w:tcW w:w="1378" w:type="pct"/>
                  <w:noWrap w:val="0"/>
                  <w:vAlign w:val="center"/>
                </w:tcPr>
                <w:p>
                  <w:pPr>
                    <w:adjustRightInd w:val="0"/>
                    <w:snapToGrid w:val="0"/>
                    <w:spacing w:line="240" w:lineRule="auto"/>
                    <w:jc w:val="center"/>
                    <w:rPr>
                      <w:color w:val="auto"/>
                      <w:sz w:val="21"/>
                      <w:szCs w:val="21"/>
                    </w:rPr>
                  </w:pPr>
                  <w:r>
                    <w:rPr>
                      <w:rFonts w:hint="eastAsia"/>
                      <w:color w:val="auto"/>
                      <w:sz w:val="21"/>
                      <w:szCs w:val="21"/>
                      <w:lang w:val="en-US" w:eastAsia="zh-CN"/>
                    </w:rPr>
                    <w:t>暂存于医废暂存间，定期</w:t>
                  </w:r>
                  <w:r>
                    <w:rPr>
                      <w:color w:val="auto"/>
                      <w:sz w:val="21"/>
                      <w:szCs w:val="21"/>
                    </w:rPr>
                    <w:t>委托有资质单位进行处置</w:t>
                  </w:r>
                </w:p>
              </w:tc>
              <w:tc>
                <w:tcPr>
                  <w:tcW w:w="739" w:type="pct"/>
                  <w:noWrap w:val="0"/>
                  <w:vAlign w:val="center"/>
                </w:tcPr>
                <w:p>
                  <w:pPr>
                    <w:adjustRightInd w:val="0"/>
                    <w:snapToGrid w:val="0"/>
                    <w:spacing w:line="240" w:lineRule="auto"/>
                    <w:jc w:val="center"/>
                    <w:rPr>
                      <w:rFonts w:hint="eastAsia" w:eastAsia="宋体"/>
                      <w:bCs/>
                      <w:color w:val="auto"/>
                      <w:sz w:val="21"/>
                      <w:szCs w:val="21"/>
                      <w:lang w:eastAsia="zh-CN"/>
                    </w:rPr>
                  </w:pPr>
                  <w:r>
                    <w:rPr>
                      <w:rFonts w:hint="eastAsia"/>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630" w:hRule="atLeast"/>
                <w:jc w:val="center"/>
              </w:trPr>
              <w:tc>
                <w:tcPr>
                  <w:tcW w:w="381" w:type="pct"/>
                  <w:noWrap w:val="0"/>
                  <w:vAlign w:val="center"/>
                </w:tcPr>
                <w:p>
                  <w:pPr>
                    <w:adjustRightInd w:val="0"/>
                    <w:snapToGrid w:val="0"/>
                    <w:spacing w:line="240" w:lineRule="auto"/>
                    <w:jc w:val="center"/>
                    <w:rPr>
                      <w:bCs/>
                      <w:color w:val="auto"/>
                      <w:sz w:val="21"/>
                      <w:szCs w:val="21"/>
                    </w:rPr>
                  </w:pPr>
                  <w:r>
                    <w:rPr>
                      <w:bCs/>
                      <w:color w:val="auto"/>
                      <w:sz w:val="21"/>
                      <w:szCs w:val="21"/>
                    </w:rPr>
                    <w:t>4</w:t>
                  </w:r>
                </w:p>
              </w:tc>
              <w:tc>
                <w:tcPr>
                  <w:tcW w:w="819" w:type="pct"/>
                  <w:noWrap w:val="0"/>
                  <w:vAlign w:val="center"/>
                </w:tcPr>
                <w:p>
                  <w:pPr>
                    <w:adjustRightInd w:val="0"/>
                    <w:snapToGrid w:val="0"/>
                    <w:spacing w:line="240" w:lineRule="auto"/>
                    <w:jc w:val="center"/>
                    <w:rPr>
                      <w:bCs/>
                      <w:color w:val="auto"/>
                      <w:sz w:val="21"/>
                      <w:szCs w:val="21"/>
                    </w:rPr>
                  </w:pPr>
                  <w:r>
                    <w:rPr>
                      <w:bCs/>
                      <w:color w:val="auto"/>
                      <w:sz w:val="21"/>
                      <w:szCs w:val="21"/>
                    </w:rPr>
                    <w:t>噪声治理</w:t>
                  </w:r>
                </w:p>
              </w:tc>
              <w:tc>
                <w:tcPr>
                  <w:tcW w:w="1681" w:type="pct"/>
                  <w:noWrap w:val="0"/>
                  <w:vAlign w:val="center"/>
                </w:tcPr>
                <w:p>
                  <w:pPr>
                    <w:adjustRightInd w:val="0"/>
                    <w:snapToGrid w:val="0"/>
                    <w:spacing w:line="240" w:lineRule="auto"/>
                    <w:jc w:val="center"/>
                    <w:rPr>
                      <w:bCs/>
                      <w:color w:val="auto"/>
                      <w:sz w:val="21"/>
                      <w:szCs w:val="21"/>
                    </w:rPr>
                  </w:pPr>
                  <w:r>
                    <w:rPr>
                      <w:rFonts w:hint="eastAsia"/>
                      <w:color w:val="auto"/>
                      <w:spacing w:val="-4"/>
                      <w:sz w:val="21"/>
                      <w:szCs w:val="21"/>
                      <w:lang w:val="en-US" w:eastAsia="zh-CN"/>
                    </w:rPr>
                    <w:t>空调外机、配电设备等隔声</w:t>
                  </w:r>
                  <w:r>
                    <w:rPr>
                      <w:color w:val="auto"/>
                      <w:spacing w:val="-4"/>
                      <w:sz w:val="21"/>
                      <w:szCs w:val="21"/>
                    </w:rPr>
                    <w:t>等措施</w:t>
                  </w:r>
                </w:p>
              </w:tc>
              <w:tc>
                <w:tcPr>
                  <w:tcW w:w="1378" w:type="pct"/>
                  <w:noWrap w:val="0"/>
                  <w:vAlign w:val="center"/>
                </w:tcPr>
                <w:p>
                  <w:pPr>
                    <w:adjustRightInd w:val="0"/>
                    <w:snapToGrid w:val="0"/>
                    <w:spacing w:line="240" w:lineRule="auto"/>
                    <w:jc w:val="center"/>
                    <w:rPr>
                      <w:color w:val="auto"/>
                      <w:sz w:val="21"/>
                      <w:szCs w:val="21"/>
                    </w:rPr>
                  </w:pPr>
                  <w:r>
                    <w:rPr>
                      <w:color w:val="auto"/>
                      <w:sz w:val="21"/>
                      <w:szCs w:val="21"/>
                    </w:rPr>
                    <w:t>厂界噪声达标</w:t>
                  </w:r>
                </w:p>
              </w:tc>
              <w:tc>
                <w:tcPr>
                  <w:tcW w:w="739" w:type="pct"/>
                  <w:noWrap w:val="0"/>
                  <w:vAlign w:val="center"/>
                </w:tcPr>
                <w:p>
                  <w:pPr>
                    <w:adjustRightInd w:val="0"/>
                    <w:snapToGrid w:val="0"/>
                    <w:spacing w:line="240" w:lineRule="auto"/>
                    <w:jc w:val="center"/>
                    <w:rPr>
                      <w:bCs/>
                      <w:color w:val="auto"/>
                      <w:sz w:val="21"/>
                      <w:szCs w:val="21"/>
                    </w:rPr>
                  </w:pPr>
                  <w:r>
                    <w:rPr>
                      <w:rFonts w:hint="eastAsia"/>
                      <w:bCs/>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23" w:hRule="atLeast"/>
                <w:jc w:val="center"/>
              </w:trPr>
              <w:tc>
                <w:tcPr>
                  <w:tcW w:w="381" w:type="pct"/>
                  <w:noWrap w:val="0"/>
                  <w:vAlign w:val="center"/>
                </w:tcPr>
                <w:p>
                  <w:pPr>
                    <w:adjustRightInd w:val="0"/>
                    <w:snapToGrid w:val="0"/>
                    <w:spacing w:line="240" w:lineRule="auto"/>
                    <w:jc w:val="center"/>
                    <w:rPr>
                      <w:bCs/>
                      <w:color w:val="auto"/>
                      <w:sz w:val="21"/>
                      <w:szCs w:val="21"/>
                    </w:rPr>
                  </w:pPr>
                  <w:r>
                    <w:rPr>
                      <w:bCs/>
                      <w:color w:val="auto"/>
                      <w:sz w:val="21"/>
                      <w:szCs w:val="21"/>
                    </w:rPr>
                    <w:t>5</w:t>
                  </w:r>
                </w:p>
              </w:tc>
              <w:tc>
                <w:tcPr>
                  <w:tcW w:w="819" w:type="pct"/>
                  <w:noWrap w:val="0"/>
                  <w:vAlign w:val="center"/>
                </w:tcPr>
                <w:p>
                  <w:pPr>
                    <w:adjustRightInd w:val="0"/>
                    <w:snapToGrid w:val="0"/>
                    <w:spacing w:line="240" w:lineRule="auto"/>
                    <w:jc w:val="center"/>
                    <w:rPr>
                      <w:bCs/>
                      <w:color w:val="auto"/>
                      <w:sz w:val="21"/>
                      <w:szCs w:val="21"/>
                    </w:rPr>
                  </w:pPr>
                  <w:r>
                    <w:rPr>
                      <w:bCs/>
                      <w:color w:val="auto"/>
                      <w:sz w:val="21"/>
                      <w:szCs w:val="21"/>
                    </w:rPr>
                    <w:t>生态保护</w:t>
                  </w:r>
                </w:p>
              </w:tc>
              <w:tc>
                <w:tcPr>
                  <w:tcW w:w="1681" w:type="pct"/>
                  <w:noWrap w:val="0"/>
                  <w:vAlign w:val="center"/>
                </w:tcPr>
                <w:p>
                  <w:pPr>
                    <w:adjustRightInd w:val="0"/>
                    <w:snapToGrid w:val="0"/>
                    <w:spacing w:line="240" w:lineRule="auto"/>
                    <w:jc w:val="center"/>
                    <w:rPr>
                      <w:color w:val="auto"/>
                      <w:spacing w:val="-4"/>
                      <w:sz w:val="21"/>
                      <w:szCs w:val="21"/>
                    </w:rPr>
                  </w:pPr>
                  <w:r>
                    <w:rPr>
                      <w:color w:val="auto"/>
                      <w:spacing w:val="-4"/>
                      <w:sz w:val="21"/>
                      <w:szCs w:val="21"/>
                    </w:rPr>
                    <w:t>加强绿化</w:t>
                  </w:r>
                </w:p>
              </w:tc>
              <w:tc>
                <w:tcPr>
                  <w:tcW w:w="1378" w:type="pct"/>
                  <w:noWrap w:val="0"/>
                  <w:vAlign w:val="center"/>
                </w:tcPr>
                <w:p>
                  <w:pPr>
                    <w:adjustRightInd w:val="0"/>
                    <w:snapToGrid w:val="0"/>
                    <w:spacing w:line="240" w:lineRule="auto"/>
                    <w:jc w:val="center"/>
                    <w:rPr>
                      <w:color w:val="auto"/>
                      <w:sz w:val="21"/>
                      <w:szCs w:val="21"/>
                    </w:rPr>
                  </w:pPr>
                  <w:r>
                    <w:rPr>
                      <w:color w:val="auto"/>
                      <w:sz w:val="21"/>
                      <w:szCs w:val="21"/>
                    </w:rPr>
                    <w:t>/</w:t>
                  </w:r>
                </w:p>
              </w:tc>
              <w:tc>
                <w:tcPr>
                  <w:tcW w:w="739" w:type="pct"/>
                  <w:noWrap w:val="0"/>
                  <w:vAlign w:val="center"/>
                </w:tcPr>
                <w:p>
                  <w:pPr>
                    <w:adjustRightInd w:val="0"/>
                    <w:snapToGrid w:val="0"/>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630" w:hRule="atLeast"/>
                <w:jc w:val="center"/>
              </w:trPr>
              <w:tc>
                <w:tcPr>
                  <w:tcW w:w="381" w:type="pct"/>
                  <w:noWrap w:val="0"/>
                  <w:vAlign w:val="center"/>
                </w:tcPr>
                <w:p>
                  <w:pPr>
                    <w:adjustRightInd w:val="0"/>
                    <w:snapToGrid w:val="0"/>
                    <w:spacing w:line="240" w:lineRule="auto"/>
                    <w:jc w:val="center"/>
                    <w:rPr>
                      <w:bCs/>
                      <w:color w:val="auto"/>
                      <w:sz w:val="21"/>
                      <w:szCs w:val="21"/>
                    </w:rPr>
                  </w:pPr>
                  <w:r>
                    <w:rPr>
                      <w:bCs/>
                      <w:color w:val="auto"/>
                      <w:sz w:val="21"/>
                      <w:szCs w:val="21"/>
                    </w:rPr>
                    <w:t>6</w:t>
                  </w:r>
                </w:p>
              </w:tc>
              <w:tc>
                <w:tcPr>
                  <w:tcW w:w="819" w:type="pct"/>
                  <w:noWrap w:val="0"/>
                  <w:vAlign w:val="center"/>
                </w:tcPr>
                <w:p>
                  <w:pPr>
                    <w:adjustRightInd w:val="0"/>
                    <w:snapToGrid w:val="0"/>
                    <w:spacing w:line="240" w:lineRule="auto"/>
                    <w:jc w:val="center"/>
                    <w:rPr>
                      <w:bCs/>
                      <w:color w:val="auto"/>
                      <w:sz w:val="21"/>
                      <w:szCs w:val="21"/>
                    </w:rPr>
                  </w:pPr>
                  <w:r>
                    <w:rPr>
                      <w:bCs/>
                      <w:color w:val="auto"/>
                      <w:sz w:val="21"/>
                      <w:szCs w:val="21"/>
                    </w:rPr>
                    <w:t>风险防范</w:t>
                  </w:r>
                </w:p>
                <w:p>
                  <w:pPr>
                    <w:adjustRightInd w:val="0"/>
                    <w:snapToGrid w:val="0"/>
                    <w:spacing w:line="240" w:lineRule="auto"/>
                    <w:jc w:val="center"/>
                    <w:rPr>
                      <w:bCs/>
                      <w:color w:val="auto"/>
                      <w:sz w:val="21"/>
                      <w:szCs w:val="21"/>
                    </w:rPr>
                  </w:pPr>
                  <w:r>
                    <w:rPr>
                      <w:bCs/>
                      <w:color w:val="auto"/>
                      <w:sz w:val="21"/>
                      <w:szCs w:val="21"/>
                    </w:rPr>
                    <w:t>措施</w:t>
                  </w:r>
                </w:p>
              </w:tc>
              <w:tc>
                <w:tcPr>
                  <w:tcW w:w="1681" w:type="pct"/>
                  <w:noWrap w:val="0"/>
                  <w:vAlign w:val="center"/>
                </w:tcPr>
                <w:p>
                  <w:pPr>
                    <w:adjustRightInd w:val="0"/>
                    <w:snapToGrid w:val="0"/>
                    <w:spacing w:line="240" w:lineRule="auto"/>
                    <w:jc w:val="center"/>
                    <w:rPr>
                      <w:color w:val="auto"/>
                      <w:spacing w:val="-4"/>
                      <w:sz w:val="21"/>
                      <w:szCs w:val="21"/>
                    </w:rPr>
                  </w:pPr>
                  <w:r>
                    <w:rPr>
                      <w:color w:val="auto"/>
                      <w:sz w:val="21"/>
                      <w:szCs w:val="21"/>
                    </w:rPr>
                    <w:t>事故应急</w:t>
                  </w:r>
                  <w:r>
                    <w:rPr>
                      <w:rFonts w:hint="eastAsia"/>
                      <w:color w:val="auto"/>
                      <w:sz w:val="21"/>
                      <w:szCs w:val="21"/>
                      <w:lang w:val="en-US" w:eastAsia="zh-CN"/>
                    </w:rPr>
                    <w:t>罐</w:t>
                  </w:r>
                  <w:r>
                    <w:rPr>
                      <w:color w:val="auto"/>
                      <w:sz w:val="21"/>
                      <w:szCs w:val="21"/>
                    </w:rPr>
                    <w:t>、灭火器、消防栓等消防器材</w:t>
                  </w:r>
                </w:p>
              </w:tc>
              <w:tc>
                <w:tcPr>
                  <w:tcW w:w="1378" w:type="pct"/>
                  <w:noWrap w:val="0"/>
                  <w:vAlign w:val="center"/>
                </w:tcPr>
                <w:p>
                  <w:pPr>
                    <w:adjustRightInd w:val="0"/>
                    <w:snapToGrid w:val="0"/>
                    <w:spacing w:line="240" w:lineRule="auto"/>
                    <w:jc w:val="center"/>
                    <w:rPr>
                      <w:rFonts w:hint="eastAsia" w:eastAsia="宋体"/>
                      <w:color w:val="auto"/>
                      <w:sz w:val="21"/>
                      <w:szCs w:val="21"/>
                      <w:lang w:val="en-US" w:eastAsia="zh-CN"/>
                    </w:rPr>
                  </w:pPr>
                  <w:r>
                    <w:rPr>
                      <w:rFonts w:hint="eastAsia"/>
                      <w:color w:val="auto"/>
                      <w:sz w:val="21"/>
                      <w:szCs w:val="21"/>
                      <w:lang w:val="en-US" w:eastAsia="zh-CN"/>
                    </w:rPr>
                    <w:t>达到</w:t>
                  </w:r>
                  <w:r>
                    <w:rPr>
                      <w:color w:val="auto"/>
                      <w:sz w:val="21"/>
                      <w:szCs w:val="21"/>
                    </w:rPr>
                    <w:t>风险防范</w:t>
                  </w:r>
                  <w:r>
                    <w:rPr>
                      <w:rFonts w:hint="eastAsia"/>
                      <w:color w:val="auto"/>
                      <w:sz w:val="21"/>
                      <w:szCs w:val="21"/>
                      <w:lang w:val="en-US" w:eastAsia="zh-CN"/>
                    </w:rPr>
                    <w:t>要求</w:t>
                  </w:r>
                </w:p>
              </w:tc>
              <w:tc>
                <w:tcPr>
                  <w:tcW w:w="739" w:type="pct"/>
                  <w:noWrap w:val="0"/>
                  <w:vAlign w:val="center"/>
                </w:tcPr>
                <w:p>
                  <w:pPr>
                    <w:adjustRightInd w:val="0"/>
                    <w:snapToGrid w:val="0"/>
                    <w:spacing w:line="240" w:lineRule="auto"/>
                    <w:jc w:val="center"/>
                    <w:rPr>
                      <w:rFonts w:hint="eastAsia" w:eastAsia="宋体"/>
                      <w:bCs/>
                      <w:color w:val="auto"/>
                      <w:sz w:val="21"/>
                      <w:szCs w:val="21"/>
                      <w:lang w:eastAsia="zh-CN"/>
                    </w:rPr>
                  </w:pPr>
                  <w:r>
                    <w:rPr>
                      <w:rFonts w:hint="eastAsia"/>
                      <w:bCs/>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483" w:hRule="atLeast"/>
                <w:jc w:val="center"/>
              </w:trPr>
              <w:tc>
                <w:tcPr>
                  <w:tcW w:w="1200" w:type="pct"/>
                  <w:gridSpan w:val="2"/>
                  <w:noWrap w:val="0"/>
                  <w:vAlign w:val="center"/>
                </w:tcPr>
                <w:p>
                  <w:pPr>
                    <w:adjustRightInd w:val="0"/>
                    <w:snapToGrid w:val="0"/>
                    <w:spacing w:line="240" w:lineRule="auto"/>
                    <w:jc w:val="center"/>
                    <w:rPr>
                      <w:bCs/>
                      <w:color w:val="auto"/>
                      <w:sz w:val="21"/>
                      <w:szCs w:val="21"/>
                    </w:rPr>
                  </w:pPr>
                  <w:r>
                    <w:rPr>
                      <w:bCs/>
                      <w:color w:val="auto"/>
                      <w:sz w:val="21"/>
                      <w:szCs w:val="21"/>
                    </w:rPr>
                    <w:t>合计</w:t>
                  </w:r>
                </w:p>
              </w:tc>
              <w:tc>
                <w:tcPr>
                  <w:tcW w:w="1681" w:type="pct"/>
                  <w:noWrap w:val="0"/>
                  <w:vAlign w:val="center"/>
                </w:tcPr>
                <w:p>
                  <w:pPr>
                    <w:adjustRightInd w:val="0"/>
                    <w:snapToGrid w:val="0"/>
                    <w:spacing w:line="240" w:lineRule="auto"/>
                    <w:jc w:val="center"/>
                    <w:rPr>
                      <w:bCs/>
                      <w:color w:val="auto"/>
                      <w:sz w:val="21"/>
                      <w:szCs w:val="21"/>
                    </w:rPr>
                  </w:pPr>
                  <w:r>
                    <w:rPr>
                      <w:bCs/>
                      <w:color w:val="auto"/>
                      <w:sz w:val="21"/>
                      <w:szCs w:val="21"/>
                    </w:rPr>
                    <w:t>/</w:t>
                  </w:r>
                </w:p>
              </w:tc>
              <w:tc>
                <w:tcPr>
                  <w:tcW w:w="1378" w:type="pct"/>
                  <w:noWrap w:val="0"/>
                  <w:vAlign w:val="center"/>
                </w:tcPr>
                <w:p>
                  <w:pPr>
                    <w:adjustRightInd w:val="0"/>
                    <w:snapToGrid w:val="0"/>
                    <w:spacing w:line="240" w:lineRule="auto"/>
                    <w:jc w:val="center"/>
                    <w:rPr>
                      <w:bCs/>
                      <w:color w:val="auto"/>
                      <w:sz w:val="21"/>
                      <w:szCs w:val="21"/>
                    </w:rPr>
                  </w:pPr>
                  <w:r>
                    <w:rPr>
                      <w:bCs/>
                      <w:color w:val="auto"/>
                      <w:sz w:val="21"/>
                      <w:szCs w:val="21"/>
                    </w:rPr>
                    <w:t>/</w:t>
                  </w:r>
                </w:p>
              </w:tc>
              <w:tc>
                <w:tcPr>
                  <w:tcW w:w="739" w:type="pct"/>
                  <w:noWrap w:val="0"/>
                  <w:vAlign w:val="center"/>
                </w:tcPr>
                <w:p>
                  <w:pPr>
                    <w:adjustRightInd w:val="0"/>
                    <w:snapToGrid w:val="0"/>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5.5</w:t>
                  </w:r>
                </w:p>
              </w:tc>
            </w:tr>
          </w:tbl>
          <w:p>
            <w:pPr>
              <w:pStyle w:val="8"/>
              <w:keepNext/>
              <w:keepLines w:val="0"/>
              <w:pageBreakBefore w:val="0"/>
              <w:widowControl/>
              <w:kinsoku/>
              <w:wordWrap/>
              <w:overflowPunct/>
              <w:topLinePunct w:val="0"/>
              <w:autoSpaceDE/>
              <w:autoSpaceDN/>
              <w:bidi w:val="0"/>
              <w:adjustRightInd/>
              <w:snapToGrid/>
              <w:spacing w:line="240" w:lineRule="auto"/>
              <w:textAlignment w:val="auto"/>
              <w:rPr>
                <w:u w:val="none"/>
              </w:rPr>
            </w:pPr>
          </w:p>
          <w:p>
            <w:pPr>
              <w:pStyle w:val="161"/>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11</w:t>
            </w:r>
            <w:r>
              <w:rPr>
                <w:rFonts w:hint="default" w:ascii="Times New Roman" w:hAnsi="Times New Roman" w:cs="Times New Roman"/>
                <w:u w:val="none"/>
                <w:lang w:val="en-US" w:eastAsia="zh-CN"/>
              </w:rPr>
              <w:t>、</w:t>
            </w:r>
            <w:r>
              <w:rPr>
                <w:rFonts w:hint="eastAsia" w:ascii="Times New Roman" w:hAnsi="Times New Roman" w:cs="Times New Roman"/>
                <w:u w:val="none"/>
                <w:lang w:val="en-US" w:eastAsia="zh-CN"/>
              </w:rPr>
              <w:t>环保设施“三同时”竣工验收内容</w:t>
            </w:r>
          </w:p>
          <w:p>
            <w:pPr>
              <w:pStyle w:val="161"/>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项目主要环保设施“三同时”竣工验收内容见下表。</w:t>
            </w:r>
          </w:p>
          <w:p>
            <w:pPr>
              <w:pStyle w:val="8"/>
              <w:keepNext/>
              <w:keepLines w:val="0"/>
              <w:pageBreakBefore w:val="0"/>
              <w:widowControl/>
              <w:kinsoku/>
              <w:wordWrap/>
              <w:overflowPunct/>
              <w:topLinePunct w:val="0"/>
              <w:autoSpaceDE/>
              <w:autoSpaceDN/>
              <w:bidi w:val="0"/>
              <w:adjustRightInd/>
              <w:snapToGrid/>
              <w:spacing w:line="240" w:lineRule="auto"/>
              <w:textAlignment w:val="auto"/>
              <w:rPr>
                <w:u w:val="none"/>
              </w:rPr>
            </w:pPr>
            <w:r>
              <w:rPr>
                <w:rFonts w:hint="eastAsia"/>
                <w:u w:val="none"/>
              </w:rPr>
              <w:t>表4-</w:t>
            </w:r>
            <w:r>
              <w:rPr>
                <w:rFonts w:hint="eastAsia"/>
                <w:u w:val="none"/>
                <w:lang w:val="en-US" w:eastAsia="zh-CN"/>
              </w:rPr>
              <w:t xml:space="preserve">27  </w:t>
            </w:r>
            <w:r>
              <w:rPr>
                <w:rFonts w:hint="default" w:ascii="Times New Roman" w:hAnsi="Times New Roman" w:cs="Times New Roman"/>
                <w:b/>
                <w:color w:val="000000"/>
                <w:kern w:val="0"/>
                <w:sz w:val="21"/>
                <w:szCs w:val="22"/>
                <w:u w:val="none" w:color="auto"/>
                <w:lang w:val="zh-CN" w:bidi="zh-CN"/>
              </w:rPr>
              <w:t>建设项目环境保护</w:t>
            </w:r>
            <w:r>
              <w:rPr>
                <w:rFonts w:hint="default" w:ascii="Times New Roman" w:hAnsi="Times New Roman" w:eastAsia="Times New Roman" w:cs="Times New Roman"/>
                <w:b/>
                <w:color w:val="000000"/>
                <w:kern w:val="0"/>
                <w:sz w:val="21"/>
                <w:szCs w:val="22"/>
                <w:u w:val="none" w:color="auto"/>
                <w:lang w:val="zh-CN" w:bidi="zh-CN"/>
              </w:rPr>
              <w:t>“</w:t>
            </w:r>
            <w:r>
              <w:rPr>
                <w:rFonts w:hint="default" w:ascii="Times New Roman" w:hAnsi="Times New Roman" w:cs="Times New Roman"/>
                <w:b/>
                <w:color w:val="000000"/>
                <w:kern w:val="0"/>
                <w:sz w:val="21"/>
                <w:szCs w:val="22"/>
                <w:u w:val="none" w:color="auto"/>
                <w:lang w:val="zh-CN" w:bidi="zh-CN"/>
              </w:rPr>
              <w:t>三同时</w:t>
            </w:r>
            <w:r>
              <w:rPr>
                <w:rFonts w:hint="default" w:ascii="Times New Roman" w:hAnsi="Times New Roman" w:eastAsia="Times New Roman" w:cs="Times New Roman"/>
                <w:b/>
                <w:color w:val="000000"/>
                <w:kern w:val="0"/>
                <w:sz w:val="21"/>
                <w:szCs w:val="22"/>
                <w:u w:val="none" w:color="auto"/>
                <w:lang w:val="zh-CN" w:bidi="zh-CN"/>
              </w:rPr>
              <w:t>”</w:t>
            </w:r>
            <w:r>
              <w:rPr>
                <w:rFonts w:hint="default" w:ascii="Times New Roman" w:hAnsi="Times New Roman" w:cs="Times New Roman"/>
                <w:b/>
                <w:color w:val="000000"/>
                <w:kern w:val="0"/>
                <w:sz w:val="21"/>
                <w:szCs w:val="22"/>
                <w:u w:val="none" w:color="auto"/>
                <w:lang w:val="zh-CN" w:bidi="zh-CN"/>
              </w:rPr>
              <w:t>验收一览表</w:t>
            </w:r>
          </w:p>
          <w:tbl>
            <w:tblPr>
              <w:tblStyle w:val="34"/>
              <w:tblW w:w="80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56"/>
              <w:gridCol w:w="1180"/>
              <w:gridCol w:w="1240"/>
              <w:gridCol w:w="2845"/>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5"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类别</w:t>
                  </w:r>
                </w:p>
              </w:tc>
              <w:tc>
                <w:tcPr>
                  <w:tcW w:w="732"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排放源</w:t>
                  </w:r>
                </w:p>
              </w:tc>
              <w:tc>
                <w:tcPr>
                  <w:tcW w:w="769"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污染物</w:t>
                  </w:r>
                </w:p>
              </w:tc>
              <w:tc>
                <w:tcPr>
                  <w:tcW w:w="1765"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治理措施</w:t>
                  </w:r>
                </w:p>
              </w:tc>
              <w:tc>
                <w:tcPr>
                  <w:tcW w:w="1387"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1" w:hRule="atLeast"/>
              </w:trPr>
              <w:tc>
                <w:tcPr>
                  <w:tcW w:w="345"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废气</w:t>
                  </w:r>
                </w:p>
              </w:tc>
              <w:tc>
                <w:tcPr>
                  <w:tcW w:w="732"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eastAsia="宋体" w:cs="Times New Roman"/>
                      <w:sz w:val="21"/>
                      <w:szCs w:val="21"/>
                      <w:u w:val="single" w:color="auto"/>
                      <w:lang w:val="en-US" w:eastAsia="zh-CN"/>
                    </w:rPr>
                  </w:pPr>
                  <w:r>
                    <w:rPr>
                      <w:rFonts w:hint="eastAsia" w:cs="Times New Roman"/>
                      <w:sz w:val="21"/>
                      <w:szCs w:val="21"/>
                      <w:u w:val="single" w:color="auto"/>
                      <w:lang w:val="en-US" w:eastAsia="zh-CN"/>
                    </w:rPr>
                    <w:t>/</w:t>
                  </w:r>
                </w:p>
              </w:tc>
              <w:tc>
                <w:tcPr>
                  <w:tcW w:w="769"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eastAsia="宋体" w:cs="Times New Roman"/>
                      <w:sz w:val="21"/>
                      <w:szCs w:val="21"/>
                      <w:u w:val="single" w:color="auto"/>
                      <w:lang w:val="en-US" w:eastAsia="zh-CN"/>
                    </w:rPr>
                  </w:pPr>
                  <w:r>
                    <w:rPr>
                      <w:rFonts w:hint="eastAsia" w:cs="Times New Roman"/>
                      <w:sz w:val="21"/>
                      <w:szCs w:val="21"/>
                      <w:u w:val="single" w:color="auto"/>
                      <w:lang w:val="en-US" w:eastAsia="zh-CN"/>
                    </w:rPr>
                    <w:t>/</w:t>
                  </w:r>
                </w:p>
              </w:tc>
              <w:tc>
                <w:tcPr>
                  <w:tcW w:w="1765"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single" w:color="auto"/>
                    </w:rPr>
                  </w:pPr>
                  <w:r>
                    <w:rPr>
                      <w:rFonts w:hint="eastAsia" w:cs="Times New Roman"/>
                      <w:sz w:val="21"/>
                      <w:szCs w:val="21"/>
                      <w:u w:val="single" w:color="auto"/>
                      <w:lang w:val="en-US" w:eastAsia="zh-CN"/>
                    </w:rPr>
                    <w:t>/</w:t>
                  </w:r>
                </w:p>
              </w:tc>
              <w:tc>
                <w:tcPr>
                  <w:tcW w:w="1387"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single" w:color="auto"/>
                    </w:rPr>
                  </w:pPr>
                  <w:r>
                    <w:rPr>
                      <w:rFonts w:hint="eastAsia" w:cs="Times New Roman"/>
                      <w:sz w:val="21"/>
                      <w:szCs w:val="21"/>
                      <w:u w:val="singl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3" w:hRule="atLeast"/>
              </w:trPr>
              <w:tc>
                <w:tcPr>
                  <w:tcW w:w="345"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废水</w:t>
                  </w:r>
                </w:p>
              </w:tc>
              <w:tc>
                <w:tcPr>
                  <w:tcW w:w="732"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eastAsia" w:ascii="Times New Roman" w:hAnsi="Times New Roman" w:eastAsia="宋体" w:cs="Times New Roman"/>
                      <w:sz w:val="21"/>
                      <w:szCs w:val="21"/>
                      <w:u w:val="none" w:color="auto"/>
                      <w:lang w:eastAsia="zh-CN"/>
                    </w:rPr>
                  </w:pPr>
                  <w:r>
                    <w:rPr>
                      <w:rFonts w:hint="eastAsia" w:ascii="Times New Roman" w:hAnsi="Times New Roman" w:cs="Times New Roman"/>
                      <w:sz w:val="21"/>
                      <w:szCs w:val="21"/>
                      <w:u w:val="none" w:color="auto"/>
                      <w:lang w:val="en-US" w:eastAsia="zh-CN"/>
                    </w:rPr>
                    <w:t>医疗</w:t>
                  </w:r>
                  <w:r>
                    <w:rPr>
                      <w:rFonts w:hint="default" w:ascii="Times New Roman" w:hAnsi="Times New Roman" w:cs="Times New Roman"/>
                      <w:sz w:val="21"/>
                      <w:szCs w:val="21"/>
                      <w:u w:val="none" w:color="auto"/>
                    </w:rPr>
                    <w:t>废水</w:t>
                  </w:r>
                  <w:r>
                    <w:rPr>
                      <w:rFonts w:hint="eastAsia" w:ascii="Times New Roman" w:hAnsi="Times New Roman" w:cs="Times New Roman"/>
                      <w:sz w:val="21"/>
                      <w:szCs w:val="21"/>
                      <w:u w:val="none" w:color="auto"/>
                      <w:lang w:eastAsia="zh-CN"/>
                    </w:rPr>
                    <w:t>（</w:t>
                  </w:r>
                  <w:r>
                    <w:rPr>
                      <w:rFonts w:hint="eastAsia" w:ascii="Times New Roman" w:hAnsi="Times New Roman" w:cs="Times New Roman"/>
                      <w:sz w:val="21"/>
                      <w:szCs w:val="21"/>
                      <w:u w:val="none" w:color="auto"/>
                      <w:lang w:val="en-US" w:eastAsia="zh-CN"/>
                    </w:rPr>
                    <w:t>病房废水、生活污水</w:t>
                  </w:r>
                  <w:r>
                    <w:rPr>
                      <w:rFonts w:hint="eastAsia" w:ascii="Times New Roman" w:hAnsi="Times New Roman" w:cs="Times New Roman"/>
                      <w:sz w:val="21"/>
                      <w:szCs w:val="21"/>
                      <w:u w:val="none" w:color="auto"/>
                      <w:lang w:eastAsia="zh-CN"/>
                    </w:rPr>
                    <w:t>）</w:t>
                  </w:r>
                </w:p>
              </w:tc>
              <w:tc>
                <w:tcPr>
                  <w:tcW w:w="769" w:type="pct"/>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CODcr、BOD</w:t>
                  </w:r>
                  <w:r>
                    <w:rPr>
                      <w:rFonts w:hint="default" w:ascii="Times New Roman" w:hAnsi="Times New Roman" w:cs="Times New Roman"/>
                      <w:sz w:val="21"/>
                      <w:szCs w:val="21"/>
                      <w:u w:val="none" w:color="auto"/>
                      <w:vertAlign w:val="subscript"/>
                    </w:rPr>
                    <w:t>5</w:t>
                  </w:r>
                  <w:r>
                    <w:rPr>
                      <w:rFonts w:hint="default" w:ascii="Times New Roman" w:hAnsi="Times New Roman" w:cs="Times New Roman"/>
                      <w:sz w:val="21"/>
                      <w:szCs w:val="21"/>
                      <w:u w:val="none" w:color="auto"/>
                    </w:rPr>
                    <w:t>、NH</w:t>
                  </w:r>
                  <w:r>
                    <w:rPr>
                      <w:rFonts w:hint="default" w:ascii="Times New Roman" w:hAnsi="Times New Roman" w:cs="Times New Roman"/>
                      <w:sz w:val="21"/>
                      <w:szCs w:val="21"/>
                      <w:u w:val="none" w:color="auto"/>
                      <w:vertAlign w:val="subscript"/>
                    </w:rPr>
                    <w:t>3</w:t>
                  </w:r>
                  <w:r>
                    <w:rPr>
                      <w:rFonts w:hint="default" w:ascii="Times New Roman" w:hAnsi="Times New Roman" w:cs="Times New Roman"/>
                      <w:sz w:val="21"/>
                      <w:szCs w:val="21"/>
                      <w:u w:val="none" w:color="auto"/>
                    </w:rPr>
                    <w:t>-N、SS、粪大肠菌群、含病原微生物的废水</w:t>
                  </w:r>
                </w:p>
              </w:tc>
              <w:tc>
                <w:tcPr>
                  <w:tcW w:w="1765" w:type="pct"/>
                  <w:noWrap w:val="0"/>
                  <w:vAlign w:val="center"/>
                </w:tcPr>
                <w:p>
                  <w:pPr>
                    <w:pStyle w:val="180"/>
                    <w:keepNext w:val="0"/>
                    <w:keepLines w:val="0"/>
                    <w:pageBreakBefore w:val="0"/>
                    <w:kinsoku/>
                    <w:wordWrap/>
                    <w:overflowPunct/>
                    <w:topLinePunct w:val="0"/>
                    <w:autoSpaceDE/>
                    <w:autoSpaceDN/>
                    <w:bidi w:val="0"/>
                    <w:snapToGrid w:val="0"/>
                    <w:spacing w:line="240" w:lineRule="auto"/>
                    <w:ind w:right="0"/>
                    <w:jc w:val="center"/>
                    <w:textAlignment w:val="auto"/>
                    <w:rPr>
                      <w:rFonts w:hint="default" w:ascii="Times New Roman" w:hAnsi="Times New Roman" w:eastAsia="宋体" w:cs="Times New Roman"/>
                      <w:sz w:val="21"/>
                      <w:szCs w:val="21"/>
                      <w:u w:val="none" w:color="auto"/>
                      <w:lang w:val="en-US" w:eastAsia="zh-CN" w:bidi="zh-CN"/>
                    </w:rPr>
                  </w:pPr>
                  <w:r>
                    <w:rPr>
                      <w:rFonts w:hint="eastAsia" w:ascii="Times New Roman" w:hAnsi="Times New Roman" w:cs="Times New Roman"/>
                      <w:sz w:val="21"/>
                      <w:szCs w:val="21"/>
                      <w:u w:val="none" w:color="auto"/>
                      <w:lang w:val="en-US" w:eastAsia="zh-CN"/>
                    </w:rPr>
                    <w:t>病房废水、生活污水进</w:t>
                  </w:r>
                  <w:r>
                    <w:rPr>
                      <w:rFonts w:hint="default" w:ascii="Times New Roman" w:hAnsi="Times New Roman" w:cs="Times New Roman"/>
                      <w:sz w:val="21"/>
                      <w:szCs w:val="21"/>
                      <w:u w:val="none" w:color="auto"/>
                    </w:rPr>
                    <w:t>化粪池（</w:t>
                  </w:r>
                  <w:r>
                    <w:rPr>
                      <w:rFonts w:hint="eastAsia" w:ascii="Times New Roman" w:hAnsi="Times New Roman" w:cs="Times New Roman"/>
                      <w:sz w:val="21"/>
                      <w:szCs w:val="21"/>
                      <w:u w:val="none" w:color="auto"/>
                      <w:lang w:val="en-US" w:eastAsia="zh-CN"/>
                    </w:rPr>
                    <w:t>20</w:t>
                  </w:r>
                  <w:r>
                    <w:rPr>
                      <w:rFonts w:hint="default" w:ascii="Times New Roman" w:hAnsi="Times New Roman" w:cs="Times New Roman"/>
                      <w:sz w:val="21"/>
                      <w:szCs w:val="21"/>
                      <w:u w:val="none" w:color="auto"/>
                    </w:rPr>
                    <w:t>m</w:t>
                  </w:r>
                  <w:r>
                    <w:rPr>
                      <w:rFonts w:hint="default" w:ascii="Times New Roman" w:hAnsi="Times New Roman" w:cs="Times New Roman"/>
                      <w:sz w:val="21"/>
                      <w:szCs w:val="21"/>
                      <w:u w:val="none" w:color="auto"/>
                      <w:vertAlign w:val="superscript"/>
                    </w:rPr>
                    <w:t>3</w:t>
                  </w:r>
                  <w:r>
                    <w:rPr>
                      <w:rFonts w:hint="default" w:ascii="Times New Roman" w:hAnsi="Times New Roman" w:cs="Times New Roman"/>
                      <w:sz w:val="21"/>
                      <w:szCs w:val="21"/>
                      <w:u w:val="none" w:color="auto"/>
                    </w:rPr>
                    <w:t>）处理后</w:t>
                  </w:r>
                  <w:r>
                    <w:rPr>
                      <w:rFonts w:hint="eastAsia" w:ascii="Times New Roman" w:hAnsi="Times New Roman" w:cs="Times New Roman"/>
                      <w:sz w:val="21"/>
                      <w:szCs w:val="21"/>
                      <w:u w:val="none" w:color="auto"/>
                      <w:lang w:val="en-US" w:eastAsia="zh-CN"/>
                    </w:rPr>
                    <w:t>泵入一体化</w:t>
                  </w:r>
                  <w:r>
                    <w:rPr>
                      <w:rFonts w:hint="default" w:ascii="Times New Roman" w:hAnsi="Times New Roman" w:cs="Times New Roman"/>
                      <w:sz w:val="21"/>
                      <w:szCs w:val="21"/>
                      <w:u w:val="none" w:color="auto"/>
                    </w:rPr>
                    <w:t>污水处理</w:t>
                  </w:r>
                  <w:r>
                    <w:rPr>
                      <w:rFonts w:hint="eastAsia" w:ascii="Times New Roman" w:hAnsi="Times New Roman" w:cs="Times New Roman"/>
                      <w:sz w:val="21"/>
                      <w:szCs w:val="21"/>
                      <w:u w:val="none" w:color="auto"/>
                      <w:lang w:val="en-US" w:eastAsia="zh-CN"/>
                    </w:rPr>
                    <w:t>设施</w:t>
                  </w:r>
                  <w:r>
                    <w:rPr>
                      <w:rFonts w:hint="default" w:ascii="Times New Roman" w:hAnsi="Times New Roman" w:cs="Times New Roman"/>
                      <w:sz w:val="21"/>
                      <w:szCs w:val="21"/>
                      <w:u w:val="none" w:color="auto"/>
                    </w:rPr>
                    <w:t>（</w:t>
                  </w:r>
                  <w:r>
                    <w:rPr>
                      <w:rFonts w:hint="eastAsia" w:ascii="Times New Roman" w:hAnsi="Times New Roman" w:cs="Times New Roman"/>
                      <w:sz w:val="21"/>
                      <w:szCs w:val="21"/>
                      <w:u w:val="none" w:color="auto"/>
                      <w:lang w:val="en-US" w:eastAsia="zh-CN"/>
                    </w:rPr>
                    <w:t>依托花垣县疾控中心现有，</w:t>
                  </w:r>
                  <w:r>
                    <w:rPr>
                      <w:rFonts w:hint="default" w:ascii="Times New Roman" w:hAnsi="Times New Roman" w:cs="Times New Roman"/>
                      <w:sz w:val="21"/>
                      <w:szCs w:val="21"/>
                      <w:u w:val="none" w:color="auto"/>
                    </w:rPr>
                    <w:t>设计处理能力为</w:t>
                  </w:r>
                  <w:r>
                    <w:rPr>
                      <w:rFonts w:hint="default" w:ascii="Times New Roman" w:hAnsi="Times New Roman" w:cs="Times New Roman"/>
                      <w:sz w:val="21"/>
                      <w:szCs w:val="21"/>
                      <w:u w:val="none" w:color="auto"/>
                      <w:lang w:val="en-US" w:eastAsia="zh-CN"/>
                    </w:rPr>
                    <w:t>15</w:t>
                  </w:r>
                  <w:r>
                    <w:rPr>
                      <w:rFonts w:hint="default" w:ascii="Times New Roman" w:hAnsi="Times New Roman" w:cs="Times New Roman"/>
                      <w:sz w:val="21"/>
                      <w:szCs w:val="21"/>
                      <w:u w:val="none" w:color="auto"/>
                    </w:rPr>
                    <w:t>m</w:t>
                  </w:r>
                  <w:r>
                    <w:rPr>
                      <w:rFonts w:hint="default" w:ascii="Times New Roman" w:hAnsi="Times New Roman" w:cs="Times New Roman"/>
                      <w:sz w:val="21"/>
                      <w:szCs w:val="21"/>
                      <w:u w:val="none" w:color="auto"/>
                      <w:vertAlign w:val="superscript"/>
                    </w:rPr>
                    <w:t>3</w:t>
                  </w:r>
                  <w:r>
                    <w:rPr>
                      <w:rFonts w:hint="default" w:ascii="Times New Roman" w:hAnsi="Times New Roman" w:cs="Times New Roman"/>
                      <w:sz w:val="21"/>
                      <w:szCs w:val="21"/>
                      <w:u w:val="none" w:color="auto"/>
                    </w:rPr>
                    <w:t>/d），一体化污水处理站采用二级处理+消毒工艺，处理后进入</w:t>
                  </w:r>
                  <w:r>
                    <w:rPr>
                      <w:rFonts w:hint="default" w:ascii="Times New Roman" w:hAnsi="Times New Roman" w:cs="Times New Roman"/>
                      <w:sz w:val="21"/>
                      <w:szCs w:val="21"/>
                      <w:u w:val="none" w:color="auto"/>
                      <w:lang w:eastAsia="zh-CN"/>
                    </w:rPr>
                    <w:t>花垣县污水处理厂</w:t>
                  </w:r>
                  <w:r>
                    <w:rPr>
                      <w:rFonts w:hint="default" w:ascii="Times New Roman" w:hAnsi="Times New Roman" w:cs="Times New Roman"/>
                      <w:sz w:val="21"/>
                      <w:szCs w:val="21"/>
                      <w:u w:val="none" w:color="auto"/>
                    </w:rPr>
                    <w:t>，最终排入</w:t>
                  </w:r>
                  <w:r>
                    <w:rPr>
                      <w:rFonts w:hint="default" w:ascii="Times New Roman" w:hAnsi="Times New Roman" w:cs="Times New Roman"/>
                      <w:sz w:val="21"/>
                      <w:szCs w:val="21"/>
                      <w:u w:val="none" w:color="auto"/>
                      <w:lang w:eastAsia="zh-CN"/>
                    </w:rPr>
                    <w:t>花垣河</w:t>
                  </w:r>
                </w:p>
              </w:tc>
              <w:tc>
                <w:tcPr>
                  <w:tcW w:w="1387" w:type="pct"/>
                  <w:noWrap w:val="0"/>
                  <w:vAlign w:val="center"/>
                </w:tcPr>
                <w:p>
                  <w:pPr>
                    <w:pStyle w:val="180"/>
                    <w:keepNext w:val="0"/>
                    <w:keepLines w:val="0"/>
                    <w:pageBreakBefore w:val="0"/>
                    <w:kinsoku/>
                    <w:wordWrap/>
                    <w:overflowPunct/>
                    <w:topLinePunct w:val="0"/>
                    <w:autoSpaceDE/>
                    <w:autoSpaceDN/>
                    <w:bidi w:val="0"/>
                    <w:snapToGrid w:val="0"/>
                    <w:spacing w:line="240" w:lineRule="auto"/>
                    <w:ind w:right="0"/>
                    <w:jc w:val="center"/>
                    <w:textAlignment w:val="auto"/>
                    <w:rPr>
                      <w:rFonts w:hint="default" w:ascii="Times New Roman" w:hAnsi="Times New Roman" w:cs="Times New Roman"/>
                      <w:sz w:val="21"/>
                      <w:szCs w:val="21"/>
                      <w:u w:val="none" w:color="auto"/>
                      <w:lang w:val="zh-CN" w:bidi="zh-CN"/>
                    </w:rPr>
                  </w:pPr>
                  <w:r>
                    <w:rPr>
                      <w:rFonts w:hint="default" w:ascii="Times New Roman" w:hAnsi="Times New Roman" w:cs="Times New Roman"/>
                      <w:sz w:val="21"/>
                      <w:szCs w:val="21"/>
                      <w:u w:val="none" w:color="auto"/>
                      <w:lang w:val="zh-CN" w:bidi="zh-CN"/>
                    </w:rPr>
                    <w:t>《医疗机构水污染物排放标准》（GB18446-2005）中预处理标准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1190" w:hRule="atLeast"/>
              </w:trPr>
              <w:tc>
                <w:tcPr>
                  <w:tcW w:w="345"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噪声</w:t>
                  </w:r>
                </w:p>
              </w:tc>
              <w:tc>
                <w:tcPr>
                  <w:tcW w:w="732" w:type="pct"/>
                  <w:tcBorders>
                    <w:top w:val="single" w:color="auto" w:sz="4" w:space="0"/>
                    <w:left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配电设备</w:t>
                  </w:r>
                  <w:r>
                    <w:rPr>
                      <w:rFonts w:hint="eastAsia" w:ascii="Times New Roman" w:hAnsi="Times New Roman" w:cs="Times New Roman"/>
                      <w:sz w:val="21"/>
                      <w:szCs w:val="21"/>
                      <w:u w:val="none" w:color="auto"/>
                      <w:lang w:eastAsia="zh-CN"/>
                    </w:rPr>
                    <w:t>，</w:t>
                  </w:r>
                  <w:r>
                    <w:rPr>
                      <w:rFonts w:hint="eastAsia" w:ascii="Times New Roman" w:hAnsi="Times New Roman" w:cs="Times New Roman"/>
                      <w:sz w:val="21"/>
                      <w:szCs w:val="21"/>
                      <w:u w:val="none" w:color="auto"/>
                      <w:lang w:val="en-US" w:eastAsia="zh-CN"/>
                    </w:rPr>
                    <w:t>空调</w:t>
                  </w:r>
                  <w:r>
                    <w:rPr>
                      <w:rFonts w:hint="eastAsia" w:cs="Times New Roman"/>
                      <w:sz w:val="21"/>
                      <w:szCs w:val="21"/>
                      <w:u w:val="none" w:color="auto"/>
                      <w:lang w:val="en-US" w:eastAsia="zh-CN"/>
                    </w:rPr>
                    <w:t>外机</w:t>
                  </w:r>
                  <w:r>
                    <w:rPr>
                      <w:rFonts w:hint="eastAsia" w:ascii="Times New Roman" w:hAnsi="Times New Roman" w:cs="Times New Roman"/>
                      <w:sz w:val="21"/>
                      <w:szCs w:val="21"/>
                      <w:u w:val="none" w:color="auto"/>
                      <w:lang w:val="en-US" w:eastAsia="zh-CN"/>
                    </w:rPr>
                    <w:t>等</w:t>
                  </w:r>
                </w:p>
              </w:tc>
              <w:tc>
                <w:tcPr>
                  <w:tcW w:w="769" w:type="pct"/>
                  <w:tcBorders>
                    <w:top w:val="single" w:color="auto" w:sz="4" w:space="0"/>
                    <w:left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机械噪声</w:t>
                  </w:r>
                </w:p>
              </w:tc>
              <w:tc>
                <w:tcPr>
                  <w:tcW w:w="1765"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ascii="Times New Roman" w:hAnsi="Times New Roman" w:eastAsia="宋体" w:cs="Times New Roman"/>
                      <w:kern w:val="2"/>
                      <w:sz w:val="21"/>
                      <w:szCs w:val="21"/>
                      <w:highlight w:val="none"/>
                    </w:rPr>
                    <w:t>选用低噪声设备，合理布局，隔声、距离衰减及设置减振基础等措施</w:t>
                  </w:r>
                </w:p>
              </w:tc>
              <w:tc>
                <w:tcPr>
                  <w:tcW w:w="1387"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《工业企业厂界环境噪声排放标准》（GB12348-2008）2类标准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345" w:type="pct"/>
                  <w:vMerge w:val="restart"/>
                  <w:tcBorders>
                    <w:top w:val="single" w:color="auto" w:sz="4" w:space="0"/>
                    <w:left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固体废物</w:t>
                  </w:r>
                </w:p>
              </w:tc>
              <w:tc>
                <w:tcPr>
                  <w:tcW w:w="732"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医疗废物</w:t>
                  </w:r>
                </w:p>
              </w:tc>
              <w:tc>
                <w:tcPr>
                  <w:tcW w:w="769"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HW01危险废物，一次性医疗器具、感染性血液、废液、废药品等</w:t>
                  </w:r>
                </w:p>
              </w:tc>
              <w:tc>
                <w:tcPr>
                  <w:tcW w:w="1765"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各项医疗废物分类收集，</w:t>
                  </w:r>
                  <w:r>
                    <w:rPr>
                      <w:rFonts w:hint="eastAsia" w:ascii="Times New Roman" w:hAnsi="Times New Roman" w:cs="Times New Roman"/>
                      <w:sz w:val="21"/>
                      <w:szCs w:val="21"/>
                      <w:u w:val="none" w:color="auto"/>
                      <w:lang w:val="en-US" w:eastAsia="zh-CN"/>
                    </w:rPr>
                    <w:t>依托</w:t>
                  </w:r>
                  <w:r>
                    <w:rPr>
                      <w:rFonts w:hint="default" w:ascii="Times New Roman" w:hAnsi="Times New Roman" w:cs="Times New Roman"/>
                      <w:sz w:val="21"/>
                      <w:szCs w:val="21"/>
                      <w:u w:val="none" w:color="auto"/>
                    </w:rPr>
                    <w:t>暂存于</w:t>
                  </w:r>
                  <w:r>
                    <w:rPr>
                      <w:rFonts w:hint="eastAsia" w:ascii="Times New Roman" w:hAnsi="Times New Roman" w:cs="Times New Roman"/>
                      <w:sz w:val="21"/>
                      <w:szCs w:val="21"/>
                      <w:u w:val="none" w:color="auto"/>
                      <w:lang w:val="en-US" w:eastAsia="zh-CN"/>
                    </w:rPr>
                    <w:t>花垣县</w:t>
                  </w:r>
                  <w:r>
                    <w:rPr>
                      <w:rFonts w:hint="default" w:ascii="Times New Roman" w:hAnsi="Times New Roman" w:cs="Times New Roman"/>
                      <w:sz w:val="21"/>
                      <w:szCs w:val="21"/>
                      <w:u w:val="none" w:color="auto"/>
                    </w:rPr>
                    <w:t>疾控中心</w:t>
                  </w:r>
                  <w:r>
                    <w:rPr>
                      <w:rFonts w:hint="eastAsia" w:ascii="Times New Roman" w:hAnsi="Times New Roman" w:cs="Times New Roman"/>
                      <w:sz w:val="21"/>
                      <w:szCs w:val="21"/>
                      <w:u w:val="none" w:color="auto"/>
                      <w:lang w:val="en-US" w:eastAsia="zh-CN"/>
                    </w:rPr>
                    <w:t>的医疗废物</w:t>
                  </w:r>
                  <w:r>
                    <w:rPr>
                      <w:rFonts w:hint="default" w:ascii="Times New Roman" w:hAnsi="Times New Roman" w:cs="Times New Roman"/>
                      <w:sz w:val="21"/>
                      <w:szCs w:val="21"/>
                      <w:u w:val="none" w:color="auto"/>
                    </w:rPr>
                    <w:t>暂存间内，委托有危险废物资质单位处理</w:t>
                  </w:r>
                </w:p>
              </w:tc>
              <w:tc>
                <w:tcPr>
                  <w:tcW w:w="1387"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《危险废物贮存污染控制标准》（GB18597-20</w:t>
                  </w:r>
                  <w:r>
                    <w:rPr>
                      <w:rFonts w:hint="default" w:ascii="Times New Roman" w:hAnsi="Times New Roman" w:cs="Times New Roman"/>
                      <w:sz w:val="21"/>
                      <w:szCs w:val="21"/>
                      <w:u w:val="none" w:color="auto"/>
                      <w:lang w:val="en-US" w:eastAsia="zh-CN"/>
                    </w:rPr>
                    <w:t>23</w:t>
                  </w:r>
                  <w:r>
                    <w:rPr>
                      <w:rFonts w:hint="default" w:ascii="Times New Roman" w:hAnsi="Times New Roman" w:cs="Times New Roman"/>
                      <w:sz w:val="21"/>
                      <w:szCs w:val="21"/>
                      <w:u w:val="none" w:color="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345" w:type="pct"/>
                  <w:vMerge w:val="continue"/>
                  <w:tcBorders>
                    <w:left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p>
              </w:tc>
              <w:tc>
                <w:tcPr>
                  <w:tcW w:w="732"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eastAsia" w:cs="Times New Roman"/>
                      <w:sz w:val="21"/>
                      <w:szCs w:val="21"/>
                      <w:u w:val="none" w:color="auto"/>
                      <w:lang w:val="en-US" w:eastAsia="zh-CN"/>
                    </w:rPr>
                    <w:t>化粪池</w:t>
                  </w:r>
                  <w:r>
                    <w:rPr>
                      <w:rFonts w:hint="default" w:ascii="Times New Roman" w:hAnsi="Times New Roman" w:cs="Times New Roman"/>
                      <w:sz w:val="21"/>
                      <w:szCs w:val="21"/>
                      <w:u w:val="none" w:color="auto"/>
                    </w:rPr>
                    <w:t>污泥</w:t>
                  </w:r>
                </w:p>
              </w:tc>
              <w:tc>
                <w:tcPr>
                  <w:tcW w:w="769"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HW</w:t>
                  </w:r>
                  <w:r>
                    <w:rPr>
                      <w:rFonts w:hint="eastAsia" w:ascii="Times New Roman" w:hAnsi="Times New Roman" w:cs="Times New Roman"/>
                      <w:sz w:val="21"/>
                      <w:szCs w:val="21"/>
                      <w:u w:val="none" w:color="auto"/>
                      <w:lang w:val="en-US" w:eastAsia="zh-CN"/>
                    </w:rPr>
                    <w:t>49</w:t>
                  </w:r>
                  <w:r>
                    <w:rPr>
                      <w:rFonts w:hint="default" w:ascii="Times New Roman" w:hAnsi="Times New Roman" w:cs="Times New Roman"/>
                      <w:sz w:val="21"/>
                      <w:szCs w:val="21"/>
                      <w:u w:val="none" w:color="auto"/>
                    </w:rPr>
                    <w:t>危险废物，有机质、细菌菌体等</w:t>
                  </w:r>
                </w:p>
              </w:tc>
              <w:tc>
                <w:tcPr>
                  <w:tcW w:w="1765"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lang w:val="en-US"/>
                    </w:rPr>
                  </w:pPr>
                  <w:r>
                    <w:rPr>
                      <w:rFonts w:hint="default" w:ascii="Times New Roman" w:hAnsi="Times New Roman" w:cs="Times New Roman"/>
                      <w:sz w:val="21"/>
                      <w:szCs w:val="21"/>
                      <w:u w:val="none" w:color="auto"/>
                    </w:rPr>
                    <w:t>污泥清掏前应进行监测，并进行消毒灭菌处理。</w:t>
                  </w:r>
                  <w:r>
                    <w:rPr>
                      <w:rFonts w:hint="eastAsia" w:ascii="Times New Roman" w:hAnsi="Times New Roman" w:cs="Times New Roman"/>
                      <w:sz w:val="21"/>
                      <w:szCs w:val="21"/>
                      <w:u w:val="none" w:color="auto"/>
                      <w:lang w:val="en-US" w:eastAsia="zh-CN"/>
                    </w:rPr>
                    <w:t>依托</w:t>
                  </w:r>
                  <w:r>
                    <w:rPr>
                      <w:rFonts w:hint="default" w:ascii="Times New Roman" w:hAnsi="Times New Roman" w:cs="Times New Roman"/>
                      <w:sz w:val="21"/>
                      <w:szCs w:val="21"/>
                      <w:u w:val="none" w:color="auto"/>
                    </w:rPr>
                    <w:t>暂存于</w:t>
                  </w:r>
                  <w:r>
                    <w:rPr>
                      <w:rFonts w:hint="eastAsia" w:ascii="Times New Roman" w:hAnsi="Times New Roman" w:cs="Times New Roman"/>
                      <w:sz w:val="21"/>
                      <w:szCs w:val="21"/>
                      <w:u w:val="none" w:color="auto"/>
                      <w:lang w:val="en-US" w:eastAsia="zh-CN"/>
                    </w:rPr>
                    <w:t>花垣县</w:t>
                  </w:r>
                  <w:r>
                    <w:rPr>
                      <w:rFonts w:hint="default" w:ascii="Times New Roman" w:hAnsi="Times New Roman" w:cs="Times New Roman"/>
                      <w:sz w:val="21"/>
                      <w:szCs w:val="21"/>
                      <w:u w:val="none" w:color="auto"/>
                    </w:rPr>
                    <w:t>疾控中心的</w:t>
                  </w:r>
                  <w:r>
                    <w:rPr>
                      <w:rFonts w:hint="eastAsia" w:ascii="Times New Roman" w:hAnsi="Times New Roman" w:cs="Times New Roman"/>
                      <w:sz w:val="21"/>
                      <w:szCs w:val="21"/>
                      <w:u w:val="none" w:color="auto"/>
                      <w:lang w:val="en-US" w:eastAsia="zh-CN"/>
                    </w:rPr>
                    <w:t>医疗废物</w:t>
                  </w:r>
                  <w:r>
                    <w:rPr>
                      <w:rFonts w:hint="default" w:ascii="Times New Roman" w:hAnsi="Times New Roman" w:cs="Times New Roman"/>
                      <w:sz w:val="21"/>
                      <w:szCs w:val="21"/>
                      <w:u w:val="none" w:color="auto"/>
                    </w:rPr>
                    <w:t>暂存间内，委托有资质</w:t>
                  </w:r>
                  <w:r>
                    <w:rPr>
                      <w:rFonts w:hint="eastAsia" w:cs="Times New Roman"/>
                      <w:sz w:val="21"/>
                      <w:szCs w:val="21"/>
                      <w:u w:val="none" w:color="auto"/>
                      <w:lang w:val="en-US" w:eastAsia="zh-CN"/>
                    </w:rPr>
                    <w:t>的</w:t>
                  </w:r>
                  <w:r>
                    <w:rPr>
                      <w:rFonts w:hint="default" w:ascii="Times New Roman" w:hAnsi="Times New Roman" w:cs="Times New Roman"/>
                      <w:sz w:val="21"/>
                      <w:szCs w:val="21"/>
                      <w:u w:val="none" w:color="auto"/>
                    </w:rPr>
                    <w:t>单位</w:t>
                  </w:r>
                  <w:r>
                    <w:rPr>
                      <w:rFonts w:hint="eastAsia" w:cs="Times New Roman"/>
                      <w:sz w:val="21"/>
                      <w:szCs w:val="21"/>
                      <w:u w:val="none" w:color="auto"/>
                      <w:lang w:val="en-US" w:eastAsia="zh-CN"/>
                    </w:rPr>
                    <w:t>进行处置</w:t>
                  </w:r>
                </w:p>
              </w:tc>
              <w:tc>
                <w:tcPr>
                  <w:tcW w:w="1387"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《医疗机构水污染物排放标准》（GB18466-2005）表4医疗机构污泥控制标准要求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345" w:type="pct"/>
                  <w:vMerge w:val="continue"/>
                  <w:tcBorders>
                    <w:left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p>
              </w:tc>
              <w:tc>
                <w:tcPr>
                  <w:tcW w:w="732"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firstLine="0" w:firstLineChars="0"/>
                    <w:jc w:val="center"/>
                    <w:textAlignment w:val="auto"/>
                    <w:rPr>
                      <w:rFonts w:hint="default" w:ascii="Times New Roman" w:hAnsi="Times New Roman" w:cs="Times New Roman"/>
                      <w:color w:val="000000"/>
                      <w:kern w:val="0"/>
                      <w:sz w:val="21"/>
                      <w:szCs w:val="21"/>
                      <w:u w:val="none" w:color="auto"/>
                      <w:lang w:val="en-US" w:eastAsia="zh-CN" w:bidi="ar-SA"/>
                    </w:rPr>
                  </w:pPr>
                  <w:r>
                    <w:rPr>
                      <w:rFonts w:hint="eastAsia" w:ascii="Times New Roman" w:hAnsi="Times New Roman" w:cs="Times New Roman"/>
                      <w:color w:val="000000"/>
                      <w:kern w:val="0"/>
                      <w:sz w:val="21"/>
                      <w:szCs w:val="21"/>
                      <w:u w:val="none" w:color="auto"/>
                      <w:lang w:val="en-US" w:eastAsia="zh-CN" w:bidi="ar-SA"/>
                    </w:rPr>
                    <w:t>废药物、药品</w:t>
                  </w:r>
                </w:p>
              </w:tc>
              <w:tc>
                <w:tcPr>
                  <w:tcW w:w="769"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firstLine="0" w:firstLineChars="0"/>
                    <w:jc w:val="center"/>
                    <w:textAlignment w:val="auto"/>
                    <w:rPr>
                      <w:rFonts w:hint="default" w:ascii="Times New Roman" w:hAnsi="Times New Roman" w:eastAsia="宋体" w:cs="Times New Roman"/>
                      <w:color w:val="000000"/>
                      <w:kern w:val="0"/>
                      <w:sz w:val="21"/>
                      <w:szCs w:val="21"/>
                      <w:u w:val="none" w:color="auto"/>
                      <w:lang w:val="en-US" w:eastAsia="zh-CN" w:bidi="ar-SA"/>
                    </w:rPr>
                  </w:pPr>
                  <w:r>
                    <w:rPr>
                      <w:rFonts w:hint="default" w:ascii="Times New Roman" w:hAnsi="Times New Roman" w:cs="Times New Roman"/>
                      <w:sz w:val="21"/>
                      <w:szCs w:val="21"/>
                      <w:u w:val="none" w:color="auto"/>
                    </w:rPr>
                    <w:t>HW</w:t>
                  </w:r>
                  <w:r>
                    <w:rPr>
                      <w:rFonts w:hint="eastAsia" w:ascii="Times New Roman" w:hAnsi="Times New Roman" w:cs="Times New Roman"/>
                      <w:sz w:val="21"/>
                      <w:szCs w:val="21"/>
                      <w:u w:val="none" w:color="auto"/>
                      <w:lang w:val="en-US" w:eastAsia="zh-CN"/>
                    </w:rPr>
                    <w:t>03</w:t>
                  </w:r>
                  <w:r>
                    <w:rPr>
                      <w:rFonts w:hint="default" w:ascii="Times New Roman" w:hAnsi="Times New Roman" w:cs="Times New Roman"/>
                      <w:sz w:val="21"/>
                      <w:szCs w:val="21"/>
                      <w:u w:val="none" w:color="auto"/>
                    </w:rPr>
                    <w:t>危险废物</w:t>
                  </w:r>
                  <w:r>
                    <w:rPr>
                      <w:rFonts w:hint="eastAsia" w:ascii="Times New Roman" w:hAnsi="Times New Roman" w:cs="Times New Roman"/>
                      <w:sz w:val="21"/>
                      <w:szCs w:val="21"/>
                      <w:u w:val="none" w:color="auto"/>
                      <w:lang w:eastAsia="zh-CN"/>
                    </w:rPr>
                    <w:t>，</w:t>
                  </w:r>
                  <w:r>
                    <w:rPr>
                      <w:rFonts w:hint="eastAsia" w:ascii="Times New Roman" w:hAnsi="Times New Roman" w:cs="Times New Roman"/>
                      <w:sz w:val="21"/>
                      <w:szCs w:val="21"/>
                      <w:u w:val="none" w:color="auto"/>
                      <w:lang w:val="en-US" w:eastAsia="zh-CN"/>
                    </w:rPr>
                    <w:t>废药物药品</w:t>
                  </w:r>
                </w:p>
              </w:tc>
              <w:tc>
                <w:tcPr>
                  <w:tcW w:w="1765" w:type="pct"/>
                  <w:tcBorders>
                    <w:top w:val="single" w:color="auto" w:sz="4" w:space="0"/>
                    <w:left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eastAsia" w:ascii="Times New Roman" w:hAnsi="Times New Roman" w:cs="Times New Roman"/>
                      <w:sz w:val="21"/>
                      <w:szCs w:val="21"/>
                      <w:u w:val="none" w:color="auto"/>
                      <w:lang w:val="en-US" w:eastAsia="zh-CN"/>
                    </w:rPr>
                    <w:t>依托</w:t>
                  </w:r>
                  <w:r>
                    <w:rPr>
                      <w:rFonts w:hint="default" w:ascii="Times New Roman" w:hAnsi="Times New Roman" w:cs="Times New Roman"/>
                      <w:sz w:val="21"/>
                      <w:szCs w:val="21"/>
                      <w:u w:val="none" w:color="auto"/>
                    </w:rPr>
                    <w:t>暂存于</w:t>
                  </w:r>
                  <w:r>
                    <w:rPr>
                      <w:rFonts w:hint="eastAsia" w:ascii="Times New Roman" w:hAnsi="Times New Roman" w:cs="Times New Roman"/>
                      <w:sz w:val="21"/>
                      <w:szCs w:val="21"/>
                      <w:u w:val="none" w:color="auto"/>
                      <w:lang w:val="en-US" w:eastAsia="zh-CN"/>
                    </w:rPr>
                    <w:t>花垣县</w:t>
                  </w:r>
                  <w:r>
                    <w:rPr>
                      <w:rFonts w:hint="default" w:ascii="Times New Roman" w:hAnsi="Times New Roman" w:cs="Times New Roman"/>
                      <w:sz w:val="21"/>
                      <w:szCs w:val="21"/>
                      <w:u w:val="none" w:color="auto"/>
                    </w:rPr>
                    <w:t>疾控中心的</w:t>
                  </w:r>
                  <w:r>
                    <w:rPr>
                      <w:rFonts w:hint="eastAsia" w:cs="Times New Roman"/>
                      <w:sz w:val="21"/>
                      <w:szCs w:val="21"/>
                      <w:u w:val="none" w:color="auto"/>
                      <w:lang w:val="en-US" w:eastAsia="zh-CN"/>
                    </w:rPr>
                    <w:t>医疗废物</w:t>
                  </w:r>
                  <w:r>
                    <w:rPr>
                      <w:rFonts w:hint="default" w:ascii="Times New Roman" w:hAnsi="Times New Roman" w:cs="Times New Roman"/>
                      <w:sz w:val="21"/>
                      <w:szCs w:val="21"/>
                      <w:u w:val="none" w:color="auto"/>
                    </w:rPr>
                    <w:t>暂存间内，委托有危险废物资质单位处理。</w:t>
                  </w:r>
                </w:p>
              </w:tc>
              <w:tc>
                <w:tcPr>
                  <w:tcW w:w="1387" w:type="pct"/>
                  <w:tcBorders>
                    <w:top w:val="single" w:color="auto" w:sz="4" w:space="0"/>
                    <w:left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《危险废物贮存污染控制标准》（GB18597-20</w:t>
                  </w:r>
                  <w:r>
                    <w:rPr>
                      <w:rFonts w:hint="default" w:ascii="Times New Roman" w:hAnsi="Times New Roman" w:cs="Times New Roman"/>
                      <w:sz w:val="21"/>
                      <w:szCs w:val="21"/>
                      <w:u w:val="none" w:color="auto"/>
                      <w:lang w:val="en-US" w:eastAsia="zh-CN"/>
                    </w:rPr>
                    <w:t>23</w:t>
                  </w:r>
                  <w:r>
                    <w:rPr>
                      <w:rFonts w:hint="default" w:ascii="Times New Roman" w:hAnsi="Times New Roman" w:cs="Times New Roman"/>
                      <w:sz w:val="21"/>
                      <w:szCs w:val="21"/>
                      <w:u w:val="none" w:color="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794" w:hRule="atLeast"/>
              </w:trPr>
              <w:tc>
                <w:tcPr>
                  <w:tcW w:w="345" w:type="pct"/>
                  <w:vMerge w:val="continue"/>
                  <w:tcBorders>
                    <w:left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p>
              </w:tc>
              <w:tc>
                <w:tcPr>
                  <w:tcW w:w="732" w:type="pct"/>
                  <w:tcBorders>
                    <w:top w:val="single" w:color="auto" w:sz="4" w:space="0"/>
                    <w:left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生活垃圾</w:t>
                  </w:r>
                </w:p>
              </w:tc>
              <w:tc>
                <w:tcPr>
                  <w:tcW w:w="769" w:type="pct"/>
                  <w:tcBorders>
                    <w:top w:val="single" w:color="auto" w:sz="4" w:space="0"/>
                    <w:left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员工办公生活</w:t>
                  </w:r>
                </w:p>
              </w:tc>
              <w:tc>
                <w:tcPr>
                  <w:tcW w:w="1765" w:type="pct"/>
                  <w:tcBorders>
                    <w:top w:val="single" w:color="auto" w:sz="4" w:space="0"/>
                    <w:left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垃圾桶分类收集后交由环卫部门处理</w:t>
                  </w:r>
                </w:p>
              </w:tc>
              <w:tc>
                <w:tcPr>
                  <w:tcW w:w="1387"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不产生二次污染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345"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排污许可证</w:t>
                  </w:r>
                </w:p>
              </w:tc>
              <w:tc>
                <w:tcPr>
                  <w:tcW w:w="4654" w:type="pct"/>
                  <w:gridSpan w:val="4"/>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pacing w:val="-1"/>
                      <w:sz w:val="21"/>
                      <w:szCs w:val="21"/>
                      <w:u w:val="none" w:color="auto"/>
                      <w:lang w:eastAsia="zh-CN"/>
                    </w:rPr>
                    <w:t>根据《排污许可管理名录》</w:t>
                  </w:r>
                  <w:r>
                    <w:rPr>
                      <w:rFonts w:hint="default" w:ascii="Times New Roman" w:hAnsi="Times New Roman" w:eastAsia="宋体" w:cs="Times New Roman"/>
                      <w:spacing w:val="1"/>
                      <w:sz w:val="21"/>
                      <w:szCs w:val="21"/>
                      <w:u w:val="none" w:color="auto"/>
                      <w:lang w:eastAsia="zh-CN"/>
                    </w:rPr>
                    <w:t>，</w:t>
                  </w:r>
                  <w:r>
                    <w:rPr>
                      <w:rFonts w:hint="eastAsia" w:ascii="Times New Roman" w:hAnsi="Times New Roman" w:eastAsia="宋体" w:cs="Times New Roman"/>
                      <w:spacing w:val="1"/>
                      <w:sz w:val="21"/>
                      <w:szCs w:val="21"/>
                      <w:u w:val="none" w:color="auto"/>
                      <w:lang w:val="en-US" w:eastAsia="zh-CN"/>
                    </w:rPr>
                    <w:t>本项目床位数48张</w:t>
                  </w:r>
                  <w:r>
                    <w:rPr>
                      <w:rFonts w:hint="default" w:ascii="Times New Roman" w:hAnsi="Times New Roman" w:eastAsia="宋体" w:cs="Times New Roman"/>
                      <w:spacing w:val="1"/>
                      <w:sz w:val="21"/>
                      <w:szCs w:val="21"/>
                      <w:u w:val="none" w:color="auto"/>
                      <w:lang w:val="en-US" w:eastAsia="zh-CN"/>
                    </w:rPr>
                    <w:t>&lt;</w:t>
                  </w:r>
                  <w:r>
                    <w:rPr>
                      <w:rFonts w:hint="eastAsia" w:ascii="Times New Roman" w:hAnsi="Times New Roman" w:eastAsia="宋体" w:cs="Times New Roman"/>
                      <w:spacing w:val="1"/>
                      <w:sz w:val="21"/>
                      <w:szCs w:val="21"/>
                      <w:u w:val="none" w:color="auto"/>
                      <w:lang w:val="en-US" w:eastAsia="zh-CN"/>
                    </w:rPr>
                    <w:t>100张及以上，</w:t>
                  </w:r>
                  <w:r>
                    <w:rPr>
                      <w:rFonts w:hint="default" w:ascii="Times New Roman" w:hAnsi="Times New Roman" w:eastAsia="宋体" w:cs="Times New Roman"/>
                      <w:spacing w:val="1"/>
                      <w:sz w:val="21"/>
                      <w:szCs w:val="21"/>
                      <w:u w:val="none" w:color="auto"/>
                      <w:lang w:val="en-US" w:eastAsia="zh-CN"/>
                    </w:rPr>
                    <w:t>属于登记管理。</w:t>
                  </w:r>
                  <w:r>
                    <w:rPr>
                      <w:rFonts w:hint="eastAsia" w:ascii="Times New Roman" w:hAnsi="Times New Roman" w:eastAsia="宋体" w:cs="Times New Roman"/>
                      <w:spacing w:val="1"/>
                      <w:sz w:val="21"/>
                      <w:szCs w:val="21"/>
                      <w:u w:val="none" w:color="auto"/>
                      <w:lang w:val="en-US" w:eastAsia="zh-CN"/>
                    </w:rPr>
                    <w:t>按照《排污单位自行监测技术指南-总则》（HJ819-2017）、</w:t>
                  </w:r>
                  <w:r>
                    <w:rPr>
                      <w:rFonts w:hint="default" w:ascii="Times New Roman" w:hAnsi="Times New Roman" w:eastAsia="宋体" w:cs="Times New Roman"/>
                      <w:spacing w:val="1"/>
                      <w:sz w:val="21"/>
                      <w:szCs w:val="21"/>
                      <w:u w:val="none" w:color="auto"/>
                      <w:lang w:val="en-US" w:eastAsia="zh-CN"/>
                    </w:rPr>
                    <w:t>《排污许可证申请与核发技术规范 医疗机构》（HJ1105-2020）</w:t>
                  </w:r>
                  <w:r>
                    <w:rPr>
                      <w:rFonts w:hint="eastAsia" w:ascii="Times New Roman" w:hAnsi="Times New Roman" w:eastAsia="宋体" w:cs="Times New Roman"/>
                      <w:spacing w:val="1"/>
                      <w:sz w:val="21"/>
                      <w:szCs w:val="21"/>
                      <w:u w:val="none" w:color="auto"/>
                      <w:lang w:val="en-US" w:eastAsia="zh-CN"/>
                    </w:rPr>
                    <w:t>进行自行监测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345"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firstLine="0" w:firstLineChars="0"/>
                    <w:jc w:val="center"/>
                    <w:textAlignment w:val="auto"/>
                    <w:rPr>
                      <w:rFonts w:hint="default" w:ascii="Times New Roman" w:hAnsi="Times New Roman" w:eastAsia="宋体" w:cs="Times New Roman"/>
                      <w:color w:val="000000"/>
                      <w:kern w:val="0"/>
                      <w:sz w:val="21"/>
                      <w:szCs w:val="21"/>
                      <w:u w:val="none" w:color="auto"/>
                      <w:lang w:val="en-US" w:eastAsia="zh-CN" w:bidi="ar-SA"/>
                    </w:rPr>
                  </w:pPr>
                  <w:r>
                    <w:rPr>
                      <w:rFonts w:hint="default" w:ascii="Times New Roman" w:hAnsi="Times New Roman" w:cs="Times New Roman"/>
                      <w:sz w:val="21"/>
                      <w:szCs w:val="21"/>
                      <w:u w:val="none" w:color="auto"/>
                    </w:rPr>
                    <w:t>风险防范</w:t>
                  </w:r>
                </w:p>
              </w:tc>
              <w:tc>
                <w:tcPr>
                  <w:tcW w:w="4654" w:type="pct"/>
                  <w:gridSpan w:val="4"/>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firstLine="0" w:firstLineChars="0"/>
                    <w:jc w:val="center"/>
                    <w:textAlignment w:val="auto"/>
                    <w:rPr>
                      <w:rFonts w:hint="default" w:ascii="Times New Roman" w:hAnsi="Times New Roman" w:eastAsia="宋体" w:cs="Times New Roman"/>
                      <w:color w:val="000000"/>
                      <w:kern w:val="0"/>
                      <w:sz w:val="21"/>
                      <w:szCs w:val="21"/>
                      <w:u w:val="none" w:color="auto"/>
                      <w:lang w:val="en-US" w:eastAsia="zh-CN" w:bidi="ar-SA"/>
                    </w:rPr>
                  </w:pPr>
                  <w:r>
                    <w:rPr>
                      <w:rFonts w:hint="default" w:ascii="Times New Roman" w:hAnsi="Times New Roman" w:eastAsia="宋体" w:cs="Times New Roman"/>
                      <w:color w:val="000000"/>
                      <w:kern w:val="0"/>
                      <w:sz w:val="21"/>
                      <w:szCs w:val="21"/>
                      <w:u w:val="none" w:color="auto"/>
                      <w:lang w:val="en-US" w:eastAsia="zh-CN" w:bidi="ar-SA"/>
                    </w:rPr>
                    <w:t>按分区防渗的要求进行防渗处理，建立有效的风险管理机制</w:t>
                  </w:r>
                  <w:r>
                    <w:rPr>
                      <w:rFonts w:hint="eastAsia" w:ascii="Times New Roman" w:hAnsi="Times New Roman" w:eastAsia="宋体" w:cs="Times New Roman"/>
                      <w:color w:val="000000"/>
                      <w:kern w:val="0"/>
                      <w:sz w:val="21"/>
                      <w:szCs w:val="21"/>
                      <w:u w:val="none" w:color="auto"/>
                      <w:lang w:val="en-US" w:eastAsia="zh-CN" w:bidi="ar-SA"/>
                    </w:rPr>
                    <w:t>，设置</w:t>
                  </w:r>
                  <w:r>
                    <w:rPr>
                      <w:rFonts w:hint="default" w:ascii="Times New Roman" w:hAnsi="Times New Roman" w:eastAsia="宋体" w:cs="Times New Roman"/>
                      <w:color w:val="000000"/>
                      <w:kern w:val="0"/>
                      <w:sz w:val="21"/>
                      <w:szCs w:val="21"/>
                      <w:u w:val="none" w:color="auto"/>
                      <w:lang w:val="en-US" w:eastAsia="zh-CN" w:bidi="ar-SA"/>
                    </w:rPr>
                    <w:t>应急事故</w:t>
                  </w:r>
                  <w:r>
                    <w:rPr>
                      <w:rFonts w:hint="eastAsia" w:ascii="Times New Roman" w:hAnsi="Times New Roman" w:eastAsia="宋体" w:cs="Times New Roman"/>
                      <w:color w:val="000000"/>
                      <w:kern w:val="0"/>
                      <w:sz w:val="21"/>
                      <w:szCs w:val="21"/>
                      <w:u w:val="none" w:color="auto"/>
                      <w:lang w:val="en-US" w:eastAsia="zh-CN" w:bidi="ar-SA"/>
                    </w:rPr>
                    <w:t>罐，保证发生风险事故时，事故废水能得到有效控制，确保项目不对周边地下、土壤水造成污染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345" w:type="pct"/>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环境管理</w:t>
                  </w:r>
                </w:p>
              </w:tc>
              <w:tc>
                <w:tcPr>
                  <w:tcW w:w="4654" w:type="pct"/>
                  <w:gridSpan w:val="4"/>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pageBreakBefore w:val="0"/>
                    <w:kinsoku/>
                    <w:wordWrap/>
                    <w:overflowPunct/>
                    <w:topLinePunct w:val="0"/>
                    <w:autoSpaceDE/>
                    <w:autoSpaceDN/>
                    <w:bidi w:val="0"/>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rPr>
                    <w:t>规范设置医疗废物暂存间、污水总排口等区域的环保标识</w:t>
                  </w:r>
                  <w:r>
                    <w:rPr>
                      <w:rFonts w:hint="eastAsia" w:ascii="Times New Roman" w:hAnsi="Times New Roman" w:cs="Times New Roman"/>
                      <w:sz w:val="21"/>
                      <w:szCs w:val="21"/>
                      <w:u w:val="none" w:color="auto"/>
                      <w:lang w:val="en-US" w:eastAsia="zh-CN"/>
                    </w:rPr>
                    <w:t>标牌，规范医疗废物台账及废水处理台账</w:t>
                  </w:r>
                </w:p>
              </w:tc>
            </w:tr>
          </w:tbl>
          <w:p>
            <w:pPr>
              <w:pStyle w:val="161"/>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12</w:t>
            </w:r>
            <w:r>
              <w:rPr>
                <w:rFonts w:hint="default" w:ascii="Times New Roman" w:hAnsi="Times New Roman" w:cs="Times New Roman"/>
                <w:u w:val="none"/>
                <w:lang w:val="en-US" w:eastAsia="zh-CN"/>
              </w:rPr>
              <w:t>、排污口规范化设置</w:t>
            </w:r>
          </w:p>
          <w:p>
            <w:pPr>
              <w:pStyle w:val="98"/>
              <w:ind w:firstLine="480"/>
              <w:rPr>
                <w:rFonts w:hint="default" w:ascii="Times New Roman" w:hAnsi="Times New Roman" w:cs="Times New Roman"/>
                <w:sz w:val="24"/>
                <w:szCs w:val="24"/>
                <w:u w:val="none"/>
              </w:rPr>
            </w:pPr>
            <w:r>
              <w:rPr>
                <w:rFonts w:hint="default" w:ascii="Times New Roman" w:hAnsi="Times New Roman" w:cs="Times New Roman"/>
                <w:sz w:val="24"/>
                <w:szCs w:val="24"/>
                <w:u w:val="none"/>
              </w:rPr>
              <w:t>根据国家标准《环境保护图形标志—排放口（源）》和原国家环保总局《排污口规范化整治要求》（试行）的技术要求，企业所有排放口（包括水、气、声、渣）必须按照“便于采样、便于计量检测、便于日常现场监督检查”的原则和规范化要求，设置与之相适应的环境保护图形标志牌，绘制企业排污口分布图，排污口的规范化要符合有关环保要求。</w:t>
            </w:r>
          </w:p>
          <w:p>
            <w:pPr>
              <w:pStyle w:val="98"/>
              <w:ind w:firstLine="480"/>
              <w:rPr>
                <w:rFonts w:hint="default" w:ascii="Times New Roman" w:hAnsi="Times New Roman" w:cs="Times New Roman"/>
                <w:sz w:val="24"/>
                <w:szCs w:val="24"/>
                <w:u w:val="none"/>
              </w:rPr>
            </w:pPr>
            <w:r>
              <w:rPr>
                <w:rFonts w:hint="default" w:ascii="Times New Roman" w:hAnsi="Times New Roman" w:cs="Times New Roman"/>
                <w:sz w:val="24"/>
                <w:szCs w:val="24"/>
                <w:u w:val="none"/>
              </w:rPr>
              <w:fldChar w:fldCharType="begin"/>
            </w:r>
            <w:r>
              <w:rPr>
                <w:rFonts w:hint="default" w:ascii="Times New Roman" w:hAnsi="Times New Roman" w:cs="Times New Roman"/>
                <w:sz w:val="24"/>
                <w:szCs w:val="24"/>
                <w:u w:val="none"/>
              </w:rPr>
              <w:instrText xml:space="preserve"> = 1 \* GB3 \* MERGEFORMAT </w:instrText>
            </w:r>
            <w:r>
              <w:rPr>
                <w:rFonts w:hint="default" w:ascii="Times New Roman" w:hAnsi="Times New Roman" w:cs="Times New Roman"/>
                <w:sz w:val="24"/>
                <w:szCs w:val="24"/>
                <w:u w:val="none"/>
              </w:rPr>
              <w:fldChar w:fldCharType="separate"/>
            </w:r>
            <w:r>
              <w:rPr>
                <w:sz w:val="24"/>
                <w:szCs w:val="24"/>
              </w:rPr>
              <w:t>①</w:t>
            </w:r>
            <w:r>
              <w:rPr>
                <w:rFonts w:hint="default" w:ascii="Times New Roman" w:hAnsi="Times New Roman" w:cs="Times New Roman"/>
                <w:sz w:val="24"/>
                <w:szCs w:val="24"/>
                <w:u w:val="none"/>
              </w:rPr>
              <w:fldChar w:fldCharType="end"/>
            </w:r>
            <w:r>
              <w:rPr>
                <w:rFonts w:hint="default" w:ascii="Times New Roman" w:hAnsi="Times New Roman" w:cs="Times New Roman"/>
                <w:sz w:val="24"/>
                <w:szCs w:val="24"/>
                <w:u w:val="none"/>
              </w:rPr>
              <w:t>固定噪声源按规定对固定噪声源进行治理，并在边界噪声敏感点，且对边界影响最大处设置标志牌。</w:t>
            </w:r>
          </w:p>
          <w:p>
            <w:pPr>
              <w:pStyle w:val="98"/>
              <w:ind w:firstLine="480"/>
              <w:rPr>
                <w:rFonts w:hint="default" w:ascii="Times New Roman" w:hAnsi="Times New Roman" w:cs="Times New Roman"/>
                <w:sz w:val="24"/>
                <w:szCs w:val="24"/>
                <w:u w:val="none"/>
              </w:rPr>
            </w:pPr>
            <w:r>
              <w:rPr>
                <w:rFonts w:hint="default" w:ascii="Times New Roman" w:hAnsi="Times New Roman" w:cs="Times New Roman"/>
                <w:sz w:val="24"/>
                <w:szCs w:val="24"/>
                <w:u w:val="none"/>
              </w:rPr>
              <w:fldChar w:fldCharType="begin"/>
            </w:r>
            <w:r>
              <w:rPr>
                <w:rFonts w:hint="default" w:ascii="Times New Roman" w:hAnsi="Times New Roman" w:cs="Times New Roman"/>
                <w:sz w:val="24"/>
                <w:szCs w:val="24"/>
                <w:u w:val="none"/>
              </w:rPr>
              <w:instrText xml:space="preserve"> = 2 \* GB3 \* MERGEFORMAT </w:instrText>
            </w:r>
            <w:r>
              <w:rPr>
                <w:rFonts w:hint="default" w:ascii="Times New Roman" w:hAnsi="Times New Roman" w:cs="Times New Roman"/>
                <w:sz w:val="24"/>
                <w:szCs w:val="24"/>
                <w:u w:val="none"/>
              </w:rPr>
              <w:fldChar w:fldCharType="separate"/>
            </w:r>
            <w:r>
              <w:rPr>
                <w:sz w:val="24"/>
                <w:szCs w:val="24"/>
              </w:rPr>
              <w:t>②</w:t>
            </w:r>
            <w:r>
              <w:rPr>
                <w:rFonts w:hint="default" w:ascii="Times New Roman" w:hAnsi="Times New Roman" w:cs="Times New Roman"/>
                <w:sz w:val="24"/>
                <w:szCs w:val="24"/>
                <w:u w:val="none"/>
              </w:rPr>
              <w:fldChar w:fldCharType="end"/>
            </w:r>
            <w:r>
              <w:rPr>
                <w:rFonts w:hint="default" w:ascii="Times New Roman" w:hAnsi="Times New Roman" w:cs="Times New Roman"/>
                <w:sz w:val="24"/>
                <w:szCs w:val="24"/>
                <w:u w:val="none"/>
              </w:rPr>
              <w:t>固体废物贮存场危废暂存间应按照《危险废物贮存污染控制标准》（GB18597-2023)相关规定做好防渗、防雨、防晒、防流失等措施，并设置明显的环境保护图形标志和警示标志。</w:t>
            </w:r>
          </w:p>
          <w:p>
            <w:pPr>
              <w:pStyle w:val="8"/>
              <w:keepNext/>
              <w:keepLines w:val="0"/>
              <w:pageBreakBefore w:val="0"/>
              <w:widowControl/>
              <w:kinsoku/>
              <w:wordWrap/>
              <w:overflowPunct/>
              <w:topLinePunct w:val="0"/>
              <w:autoSpaceDE/>
              <w:autoSpaceDN/>
              <w:bidi w:val="0"/>
              <w:adjustRightInd/>
              <w:snapToGrid/>
              <w:spacing w:line="240" w:lineRule="auto"/>
              <w:textAlignment w:val="auto"/>
              <w:rPr>
                <w:u w:val="none"/>
              </w:rPr>
            </w:pPr>
            <w:r>
              <w:rPr>
                <w:rFonts w:hint="eastAsia"/>
                <w:u w:val="none"/>
              </w:rPr>
              <w:t>表4-</w:t>
            </w:r>
            <w:r>
              <w:rPr>
                <w:rFonts w:hint="eastAsia"/>
                <w:u w:val="none"/>
                <w:lang w:val="en-US" w:eastAsia="zh-CN"/>
              </w:rPr>
              <w:t xml:space="preserve">28  </w:t>
            </w:r>
            <w:r>
              <w:rPr>
                <w:rFonts w:hint="eastAsia"/>
                <w:u w:val="none"/>
              </w:rPr>
              <w:t>排污口规范化图标</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3331"/>
              <w:gridCol w:w="2874"/>
              <w:gridCol w:w="638"/>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b/>
                      <w:u w:val="none"/>
                      <w:lang w:val="en-US" w:eastAsia="zh-CN"/>
                    </w:rPr>
                  </w:pPr>
                  <w:r>
                    <w:rPr>
                      <w:rFonts w:cs="宋体"/>
                      <w:b/>
                      <w:u w:val="none"/>
                      <w:lang w:val="en-US" w:eastAsia="zh-CN"/>
                    </w:rPr>
                    <w:t>序号</w:t>
                  </w:r>
                </w:p>
              </w:tc>
              <w:tc>
                <w:tcPr>
                  <w:tcW w:w="3331"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b/>
                      <w:u w:val="none"/>
                      <w:lang w:val="en-US" w:eastAsia="zh-CN"/>
                    </w:rPr>
                  </w:pPr>
                  <w:r>
                    <w:rPr>
                      <w:rFonts w:cs="宋体"/>
                      <w:b/>
                      <w:u w:val="none"/>
                      <w:lang w:val="en-US" w:eastAsia="zh-CN"/>
                    </w:rPr>
                    <w:t>提示图形符号</w:t>
                  </w:r>
                </w:p>
              </w:tc>
              <w:tc>
                <w:tcPr>
                  <w:tcW w:w="2874"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b/>
                      <w:u w:val="none"/>
                      <w:lang w:val="en-US" w:eastAsia="zh-CN"/>
                    </w:rPr>
                  </w:pPr>
                  <w:r>
                    <w:rPr>
                      <w:rFonts w:cs="宋体"/>
                      <w:b/>
                      <w:u w:val="none"/>
                      <w:lang w:val="en-US" w:eastAsia="zh-CN"/>
                    </w:rPr>
                    <w:t>警告图形符号</w:t>
                  </w:r>
                </w:p>
              </w:tc>
              <w:tc>
                <w:tcPr>
                  <w:tcW w:w="638"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b/>
                      <w:u w:val="none"/>
                      <w:lang w:val="en-US" w:eastAsia="zh-CN"/>
                    </w:rPr>
                  </w:pPr>
                  <w:r>
                    <w:rPr>
                      <w:rFonts w:cs="宋体"/>
                      <w:b/>
                      <w:u w:val="none"/>
                      <w:lang w:val="en-US" w:eastAsia="zh-CN"/>
                    </w:rPr>
                    <w:t>名称</w:t>
                  </w:r>
                </w:p>
              </w:tc>
              <w:tc>
                <w:tcPr>
                  <w:tcW w:w="7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b/>
                      <w:u w:val="none"/>
                      <w:lang w:val="en-US" w:eastAsia="zh-CN"/>
                    </w:rPr>
                  </w:pPr>
                  <w:r>
                    <w:rPr>
                      <w:rFonts w:cs="宋体"/>
                      <w:b/>
                      <w:u w:val="no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1</w:t>
                  </w:r>
                </w:p>
              </w:tc>
              <w:tc>
                <w:tcPr>
                  <w:tcW w:w="3331"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cs="宋体"/>
                      <w:u w:val="none"/>
                    </w:rPr>
                    <w:drawing>
                      <wp:inline distT="0" distB="0" distL="114300" distR="114300">
                        <wp:extent cx="1655445" cy="1156970"/>
                        <wp:effectExtent l="0" t="0" r="1905" b="5080"/>
                        <wp:docPr id="35"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4"/>
                                <pic:cNvPicPr>
                                  <a:picLocks noChangeAspect="1"/>
                                </pic:cNvPicPr>
                              </pic:nvPicPr>
                              <pic:blipFill>
                                <a:blip r:embed="rId33"/>
                                <a:srcRect b="13866"/>
                                <a:stretch>
                                  <a:fillRect/>
                                </a:stretch>
                              </pic:blipFill>
                              <pic:spPr>
                                <a:xfrm>
                                  <a:off x="0" y="0"/>
                                  <a:ext cx="1655445" cy="1156970"/>
                                </a:xfrm>
                                <a:prstGeom prst="rect">
                                  <a:avLst/>
                                </a:prstGeom>
                                <a:noFill/>
                                <a:ln>
                                  <a:noFill/>
                                </a:ln>
                              </pic:spPr>
                            </pic:pic>
                          </a:graphicData>
                        </a:graphic>
                      </wp:inline>
                    </w:drawing>
                  </w:r>
                </w:p>
              </w:tc>
              <w:tc>
                <w:tcPr>
                  <w:tcW w:w="2874"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w:t>
                  </w:r>
                </w:p>
              </w:tc>
              <w:tc>
                <w:tcPr>
                  <w:tcW w:w="638"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废水排放口</w:t>
                  </w:r>
                </w:p>
              </w:tc>
              <w:tc>
                <w:tcPr>
                  <w:tcW w:w="7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表示废水排放口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2</w:t>
                  </w:r>
                </w:p>
              </w:tc>
              <w:tc>
                <w:tcPr>
                  <w:tcW w:w="3331"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cs="宋体"/>
                      <w:u w:val="none"/>
                    </w:rPr>
                    <w:drawing>
                      <wp:inline distT="0" distB="0" distL="114300" distR="114300">
                        <wp:extent cx="1661795" cy="1151255"/>
                        <wp:effectExtent l="0" t="0" r="14605" b="10795"/>
                        <wp:docPr id="3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6"/>
                                <pic:cNvPicPr>
                                  <a:picLocks noChangeAspect="1"/>
                                </pic:cNvPicPr>
                              </pic:nvPicPr>
                              <pic:blipFill>
                                <a:blip r:embed="rId34"/>
                                <a:srcRect b="14349"/>
                                <a:stretch>
                                  <a:fillRect/>
                                </a:stretch>
                              </pic:blipFill>
                              <pic:spPr>
                                <a:xfrm>
                                  <a:off x="0" y="0"/>
                                  <a:ext cx="1661795" cy="1151255"/>
                                </a:xfrm>
                                <a:prstGeom prst="rect">
                                  <a:avLst/>
                                </a:prstGeom>
                                <a:noFill/>
                                <a:ln>
                                  <a:noFill/>
                                </a:ln>
                              </pic:spPr>
                            </pic:pic>
                          </a:graphicData>
                        </a:graphic>
                      </wp:inline>
                    </w:drawing>
                  </w:r>
                </w:p>
              </w:tc>
              <w:tc>
                <w:tcPr>
                  <w:tcW w:w="2874"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drawing>
                      <wp:inline distT="0" distB="0" distL="114300" distR="114300">
                        <wp:extent cx="1286510" cy="1095375"/>
                        <wp:effectExtent l="0" t="0" r="8890" b="952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35"/>
                                <a:stretch>
                                  <a:fillRect/>
                                </a:stretch>
                              </pic:blipFill>
                              <pic:spPr>
                                <a:xfrm>
                                  <a:off x="0" y="0"/>
                                  <a:ext cx="1286510" cy="1095375"/>
                                </a:xfrm>
                                <a:prstGeom prst="rect">
                                  <a:avLst/>
                                </a:prstGeom>
                                <a:noFill/>
                                <a:ln>
                                  <a:noFill/>
                                </a:ln>
                              </pic:spPr>
                            </pic:pic>
                          </a:graphicData>
                        </a:graphic>
                      </wp:inline>
                    </w:drawing>
                  </w:r>
                </w:p>
              </w:tc>
              <w:tc>
                <w:tcPr>
                  <w:tcW w:w="638"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废气排放口</w:t>
                  </w:r>
                </w:p>
              </w:tc>
              <w:tc>
                <w:tcPr>
                  <w:tcW w:w="7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cs="宋体"/>
                      <w:u w:val="none"/>
                      <w:lang w:val="en-US" w:eastAsia="zh-CN"/>
                    </w:rPr>
                    <w:t>表示废气排放口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3</w:t>
                  </w:r>
                </w:p>
              </w:tc>
              <w:tc>
                <w:tcPr>
                  <w:tcW w:w="3331"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cs="宋体"/>
                      <w:u w:val="none"/>
                    </w:rPr>
                    <w:drawing>
                      <wp:inline distT="0" distB="0" distL="114300" distR="114300">
                        <wp:extent cx="1661160" cy="1252855"/>
                        <wp:effectExtent l="0" t="0" r="15240" b="4445"/>
                        <wp:docPr id="3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8"/>
                                <pic:cNvPicPr>
                                  <a:picLocks noChangeAspect="1"/>
                                </pic:cNvPicPr>
                              </pic:nvPicPr>
                              <pic:blipFill>
                                <a:blip r:embed="rId36"/>
                                <a:srcRect b="22934"/>
                                <a:stretch>
                                  <a:fillRect/>
                                </a:stretch>
                              </pic:blipFill>
                              <pic:spPr>
                                <a:xfrm>
                                  <a:off x="0" y="0"/>
                                  <a:ext cx="1661160" cy="1252855"/>
                                </a:xfrm>
                                <a:prstGeom prst="rect">
                                  <a:avLst/>
                                </a:prstGeom>
                                <a:noFill/>
                                <a:ln>
                                  <a:noFill/>
                                </a:ln>
                              </pic:spPr>
                            </pic:pic>
                          </a:graphicData>
                        </a:graphic>
                      </wp:inline>
                    </w:drawing>
                  </w:r>
                </w:p>
              </w:tc>
              <w:tc>
                <w:tcPr>
                  <w:tcW w:w="2874"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cs="宋体"/>
                      <w:u w:val="none"/>
                    </w:rPr>
                    <w:drawing>
                      <wp:inline distT="0" distB="0" distL="114300" distR="114300">
                        <wp:extent cx="1422400" cy="1214755"/>
                        <wp:effectExtent l="0" t="0" r="6350" b="4445"/>
                        <wp:docPr id="39" name="图片 4" descr="E:\wx\WeChat Files\wxid_ge80lvo0opi722\FileStorage\Temp\1687928833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E:\wx\WeChat Files\wxid_ge80lvo0opi722\FileStorage\Temp\1687928833279.png"/>
                                <pic:cNvPicPr>
                                  <a:picLocks noChangeAspect="1"/>
                                </pic:cNvPicPr>
                              </pic:nvPicPr>
                              <pic:blipFill>
                                <a:blip r:embed="rId37"/>
                                <a:srcRect t="1746"/>
                                <a:stretch>
                                  <a:fillRect/>
                                </a:stretch>
                              </pic:blipFill>
                              <pic:spPr>
                                <a:xfrm>
                                  <a:off x="0" y="0"/>
                                  <a:ext cx="1422400" cy="1214755"/>
                                </a:xfrm>
                                <a:prstGeom prst="rect">
                                  <a:avLst/>
                                </a:prstGeom>
                                <a:noFill/>
                                <a:ln>
                                  <a:noFill/>
                                </a:ln>
                              </pic:spPr>
                            </pic:pic>
                          </a:graphicData>
                        </a:graphic>
                      </wp:inline>
                    </w:drawing>
                  </w:r>
                </w:p>
              </w:tc>
              <w:tc>
                <w:tcPr>
                  <w:tcW w:w="638"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噪声排放源</w:t>
                  </w:r>
                </w:p>
              </w:tc>
              <w:tc>
                <w:tcPr>
                  <w:tcW w:w="7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4</w:t>
                  </w:r>
                </w:p>
              </w:tc>
              <w:tc>
                <w:tcPr>
                  <w:tcW w:w="3331"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cs="宋体"/>
                      <w:u w:val="none"/>
                    </w:rPr>
                    <w:drawing>
                      <wp:inline distT="0" distB="0" distL="114300" distR="114300">
                        <wp:extent cx="1969770" cy="1109980"/>
                        <wp:effectExtent l="0" t="0" r="11430" b="13970"/>
                        <wp:docPr id="4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0"/>
                                <pic:cNvPicPr>
                                  <a:picLocks noChangeAspect="1"/>
                                </pic:cNvPicPr>
                              </pic:nvPicPr>
                              <pic:blipFill>
                                <a:blip r:embed="rId38"/>
                                <a:srcRect l="3822" t="17113" r="4204" b="27785"/>
                                <a:stretch>
                                  <a:fillRect/>
                                </a:stretch>
                              </pic:blipFill>
                              <pic:spPr>
                                <a:xfrm>
                                  <a:off x="0" y="0"/>
                                  <a:ext cx="1969770" cy="1109980"/>
                                </a:xfrm>
                                <a:prstGeom prst="rect">
                                  <a:avLst/>
                                </a:prstGeom>
                                <a:noFill/>
                                <a:ln>
                                  <a:noFill/>
                                </a:ln>
                              </pic:spPr>
                            </pic:pic>
                          </a:graphicData>
                        </a:graphic>
                      </wp:inline>
                    </w:drawing>
                  </w:r>
                </w:p>
              </w:tc>
              <w:tc>
                <w:tcPr>
                  <w:tcW w:w="2874"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cs="宋体"/>
                      <w:u w:val="none"/>
                    </w:rPr>
                    <w:drawing>
                      <wp:inline distT="0" distB="0" distL="114300" distR="114300">
                        <wp:extent cx="1312545" cy="1120140"/>
                        <wp:effectExtent l="0" t="0" r="1905" b="3810"/>
                        <wp:docPr id="41" name="图片 5" descr="E:\wx\WeChat Files\wxid_ge80lvo0opi722\FileStorage\Temp\1687928858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E:\wx\WeChat Files\wxid_ge80lvo0opi722\FileStorage\Temp\1687928858934.png"/>
                                <pic:cNvPicPr>
                                  <a:picLocks noChangeAspect="1"/>
                                </pic:cNvPicPr>
                              </pic:nvPicPr>
                              <pic:blipFill>
                                <a:blip r:embed="rId39"/>
                                <a:stretch>
                                  <a:fillRect/>
                                </a:stretch>
                              </pic:blipFill>
                              <pic:spPr>
                                <a:xfrm>
                                  <a:off x="0" y="0"/>
                                  <a:ext cx="1312545" cy="1120140"/>
                                </a:xfrm>
                                <a:prstGeom prst="rect">
                                  <a:avLst/>
                                </a:prstGeom>
                                <a:noFill/>
                                <a:ln>
                                  <a:noFill/>
                                </a:ln>
                              </pic:spPr>
                            </pic:pic>
                          </a:graphicData>
                        </a:graphic>
                      </wp:inline>
                    </w:drawing>
                  </w:r>
                </w:p>
              </w:tc>
              <w:tc>
                <w:tcPr>
                  <w:tcW w:w="638"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一般固体废物</w:t>
                  </w:r>
                </w:p>
              </w:tc>
              <w:tc>
                <w:tcPr>
                  <w:tcW w:w="723"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5</w:t>
                  </w:r>
                </w:p>
              </w:tc>
              <w:tc>
                <w:tcPr>
                  <w:tcW w:w="3331"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w:t>
                  </w:r>
                </w:p>
              </w:tc>
              <w:tc>
                <w:tcPr>
                  <w:tcW w:w="2874"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cs="宋体"/>
                      <w:u w:val="none"/>
                    </w:rPr>
                    <w:drawing>
                      <wp:inline distT="0" distB="0" distL="114300" distR="114300">
                        <wp:extent cx="1795780" cy="1144270"/>
                        <wp:effectExtent l="0" t="0" r="13970" b="177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0"/>
                                <a:stretch>
                                  <a:fillRect/>
                                </a:stretch>
                              </pic:blipFill>
                              <pic:spPr>
                                <a:xfrm>
                                  <a:off x="0" y="0"/>
                                  <a:ext cx="1795780" cy="1144270"/>
                                </a:xfrm>
                                <a:prstGeom prst="rect">
                                  <a:avLst/>
                                </a:prstGeom>
                                <a:noFill/>
                                <a:ln>
                                  <a:noFill/>
                                </a:ln>
                              </pic:spPr>
                            </pic:pic>
                          </a:graphicData>
                        </a:graphic>
                      </wp:inline>
                    </w:drawing>
                  </w:r>
                </w:p>
              </w:tc>
              <w:tc>
                <w:tcPr>
                  <w:tcW w:w="638"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危险废</w:t>
                  </w:r>
                </w:p>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物贮存</w:t>
                  </w:r>
                </w:p>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设施标</w:t>
                  </w:r>
                </w:p>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志</w:t>
                  </w:r>
                </w:p>
              </w:tc>
              <w:tc>
                <w:tcPr>
                  <w:tcW w:w="723" w:type="dxa"/>
                  <w:vMerge w:val="restart"/>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危险废物暂存间标志、标签、标识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6</w:t>
                  </w:r>
                </w:p>
              </w:tc>
              <w:tc>
                <w:tcPr>
                  <w:tcW w:w="3331"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w:t>
                  </w:r>
                </w:p>
              </w:tc>
              <w:tc>
                <w:tcPr>
                  <w:tcW w:w="2874"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cs="宋体"/>
                      <w:u w:val="none"/>
                    </w:rPr>
                    <w:drawing>
                      <wp:inline distT="0" distB="0" distL="114300" distR="114300">
                        <wp:extent cx="1579880" cy="1151255"/>
                        <wp:effectExtent l="0" t="0" r="1270" b="10795"/>
                        <wp:docPr id="43" name="图片 1" descr="E:\wx\WeChat Files\wxid_ge80lvo0opi722\FileStorage\Temp\1687928593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E:\wx\WeChat Files\wxid_ge80lvo0opi722\FileStorage\Temp\1687928593687.png"/>
                                <pic:cNvPicPr>
                                  <a:picLocks noChangeAspect="1"/>
                                </pic:cNvPicPr>
                              </pic:nvPicPr>
                              <pic:blipFill>
                                <a:blip r:embed="rId41"/>
                                <a:stretch>
                                  <a:fillRect/>
                                </a:stretch>
                              </pic:blipFill>
                              <pic:spPr>
                                <a:xfrm>
                                  <a:off x="0" y="0"/>
                                  <a:ext cx="1579880" cy="1151255"/>
                                </a:xfrm>
                                <a:prstGeom prst="rect">
                                  <a:avLst/>
                                </a:prstGeom>
                                <a:noFill/>
                                <a:ln>
                                  <a:noFill/>
                                </a:ln>
                              </pic:spPr>
                            </pic:pic>
                          </a:graphicData>
                        </a:graphic>
                      </wp:inline>
                    </w:drawing>
                  </w:r>
                </w:p>
              </w:tc>
              <w:tc>
                <w:tcPr>
                  <w:tcW w:w="638"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危险废</w:t>
                  </w:r>
                </w:p>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物警示</w:t>
                  </w:r>
                </w:p>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标志</w:t>
                  </w:r>
                </w:p>
              </w:tc>
              <w:tc>
                <w:tcPr>
                  <w:tcW w:w="723" w:type="dxa"/>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hint="default" w:cs="宋体"/>
                      <w:u w:val="none"/>
                      <w:lang w:val="en-US" w:eastAsia="zh-CN"/>
                    </w:rPr>
                  </w:pPr>
                  <w:r>
                    <w:rPr>
                      <w:rFonts w:hint="eastAsia" w:cs="宋体"/>
                      <w:u w:val="none"/>
                      <w:lang w:val="en-US" w:eastAsia="zh-CN"/>
                    </w:rPr>
                    <w:t>7</w:t>
                  </w:r>
                </w:p>
              </w:tc>
              <w:tc>
                <w:tcPr>
                  <w:tcW w:w="3331"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w:t>
                  </w:r>
                </w:p>
              </w:tc>
              <w:tc>
                <w:tcPr>
                  <w:tcW w:w="2874"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rPr>
                  </w:pPr>
                  <w:r>
                    <w:rPr>
                      <w:rFonts w:cs="宋体"/>
                      <w:u w:val="none"/>
                    </w:rPr>
                    <w:drawing>
                      <wp:inline distT="0" distB="0" distL="114300" distR="114300">
                        <wp:extent cx="1299210" cy="1289685"/>
                        <wp:effectExtent l="0" t="0" r="15240" b="5715"/>
                        <wp:docPr id="44" name="图片 3" descr="E:\wx\WeChat Files\wxid_ge80lvo0opi722\FileStorage\Temp\1687928662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E:\wx\WeChat Files\wxid_ge80lvo0opi722\FileStorage\Temp\1687928662115.png"/>
                                <pic:cNvPicPr>
                                  <a:picLocks noChangeAspect="1"/>
                                </pic:cNvPicPr>
                              </pic:nvPicPr>
                              <pic:blipFill>
                                <a:blip r:embed="rId42"/>
                                <a:stretch>
                                  <a:fillRect/>
                                </a:stretch>
                              </pic:blipFill>
                              <pic:spPr>
                                <a:xfrm>
                                  <a:off x="0" y="0"/>
                                  <a:ext cx="1299210" cy="1289685"/>
                                </a:xfrm>
                                <a:prstGeom prst="rect">
                                  <a:avLst/>
                                </a:prstGeom>
                                <a:noFill/>
                                <a:ln>
                                  <a:noFill/>
                                </a:ln>
                              </pic:spPr>
                            </pic:pic>
                          </a:graphicData>
                        </a:graphic>
                      </wp:inline>
                    </w:drawing>
                  </w:r>
                </w:p>
              </w:tc>
              <w:tc>
                <w:tcPr>
                  <w:tcW w:w="638" w:type="dxa"/>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危险废</w:t>
                  </w:r>
                </w:p>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物标签</w:t>
                  </w:r>
                </w:p>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样式示</w:t>
                  </w:r>
                </w:p>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r>
                    <w:rPr>
                      <w:rFonts w:hint="eastAsia" w:cs="宋体"/>
                      <w:u w:val="none"/>
                      <w:lang w:val="en-US" w:eastAsia="zh-CN"/>
                    </w:rPr>
                    <w:t>意图</w:t>
                  </w:r>
                </w:p>
              </w:tc>
              <w:tc>
                <w:tcPr>
                  <w:tcW w:w="723" w:type="dxa"/>
                  <w:vMerge w:val="continue"/>
                  <w:noWrap w:val="0"/>
                  <w:vAlign w:val="center"/>
                </w:tcPr>
                <w:p>
                  <w:pPr>
                    <w:pStyle w:val="159"/>
                    <w:keepNext w:val="0"/>
                    <w:keepLines w:val="0"/>
                    <w:pageBreakBefore w:val="0"/>
                    <w:widowControl/>
                    <w:kinsoku/>
                    <w:wordWrap/>
                    <w:overflowPunct/>
                    <w:topLinePunct w:val="0"/>
                    <w:autoSpaceDE/>
                    <w:autoSpaceDN/>
                    <w:bidi w:val="0"/>
                    <w:adjustRightInd/>
                    <w:snapToGrid w:val="0"/>
                    <w:spacing w:before="0" w:after="0" w:line="260" w:lineRule="auto"/>
                    <w:ind w:right="0"/>
                    <w:textAlignment w:val="center"/>
                    <w:rPr>
                      <w:rFonts w:cs="宋体"/>
                      <w:u w:val="none"/>
                      <w:lang w:val="en-US" w:eastAsia="zh-CN"/>
                    </w:rPr>
                  </w:pPr>
                </w:p>
              </w:tc>
            </w:tr>
          </w:tbl>
          <w:p>
            <w:pPr>
              <w:pStyle w:val="98"/>
              <w:rPr>
                <w:sz w:val="24"/>
                <w:szCs w:val="24"/>
              </w:rPr>
            </w:pPr>
          </w:p>
        </w:tc>
      </w:tr>
    </w:tbl>
    <w:p>
      <w:pPr>
        <w:pStyle w:val="51"/>
        <w:sectPr>
          <w:pgSz w:w="11907" w:h="16840"/>
          <w:pgMar w:top="1134" w:right="1531" w:bottom="1134" w:left="1531" w:header="851" w:footer="850" w:gutter="0"/>
          <w:cols w:space="720" w:num="1"/>
          <w:docGrid w:linePitch="312" w:charSpace="0"/>
        </w:sectPr>
      </w:pPr>
    </w:p>
    <w:p>
      <w:pPr>
        <w:pStyle w:val="25"/>
        <w:rPr>
          <w:snapToGrid w:val="0"/>
        </w:rPr>
      </w:pPr>
      <w:bookmarkStart w:id="25" w:name="_Toc32235"/>
      <w:bookmarkStart w:id="26" w:name="_Toc142759963"/>
      <w:r>
        <w:rPr>
          <w:snapToGrid w:val="0"/>
        </w:rPr>
        <w:t>五、</w:t>
      </w:r>
      <w:bookmarkStart w:id="27" w:name="_Hlk54167917"/>
      <w:r>
        <w:rPr>
          <w:snapToGrid w:val="0"/>
        </w:rPr>
        <w:t>环境保护措施监督检查清单</w:t>
      </w:r>
      <w:bookmarkEnd w:id="25"/>
      <w:bookmarkEnd w:id="26"/>
      <w:bookmarkEnd w:id="27"/>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130"/>
        <w:gridCol w:w="1369"/>
        <w:gridCol w:w="1340"/>
        <w:gridCol w:w="2318"/>
        <w:gridCol w:w="2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45" w:hRule="atLeast"/>
          <w:jc w:val="center"/>
        </w:trPr>
        <w:tc>
          <w:tcPr>
            <w:tcW w:w="630" w:type="pct"/>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jc w:val="center"/>
              <w:rPr>
                <w:sz w:val="21"/>
                <w:szCs w:val="21"/>
              </w:rPr>
            </w:pPr>
          </w:p>
          <w:p>
            <w:pPr>
              <w:jc w:val="center"/>
              <w:rPr>
                <w:sz w:val="21"/>
                <w:szCs w:val="21"/>
              </w:rPr>
            </w:pPr>
          </w:p>
          <w:p>
            <w:pPr>
              <w:snapToGrid w:val="0"/>
              <w:spacing w:line="240" w:lineRule="auto"/>
              <w:jc w:val="center"/>
              <mc:AlternateContent>
                <mc:Choice Requires="wpsCustomData">
                  <wpsCustomData:diagonalParaType/>
                </mc:Choice>
              </mc:AlternateContent>
              <w:rPr>
                <w:sz w:val="21"/>
                <w:szCs w:val="21"/>
              </w:rPr>
            </w:pPr>
            <w:r>
              <w:rPr>
                <w:sz w:val="21"/>
                <w:szCs w:val="21"/>
              </w:rPr>
              <w:t>要素</w:t>
            </w:r>
          </w:p>
          <w:p>
            <w:pPr>
              <w:jc w:val="center"/>
              <w:rPr>
                <w:sz w:val="21"/>
                <w:szCs w:val="21"/>
              </w:rPr>
            </w:pPr>
            <w:r>
              <w:rPr>
                <w:sz w:val="21"/>
                <w:szCs w:val="21"/>
              </w:rPr>
              <w:t>内容</w:t>
            </w:r>
          </w:p>
        </w:tc>
        <w:tc>
          <w:tcPr>
            <w:tcW w:w="764" w:type="pct"/>
            <w:noWrap w:val="0"/>
            <w:vAlign w:val="center"/>
          </w:tcPr>
          <w:p>
            <w:pPr>
              <w:jc w:val="center"/>
            </w:pPr>
            <w:r>
              <w:t>排放口（编号、名称）/污染源</w:t>
            </w:r>
          </w:p>
        </w:tc>
        <w:tc>
          <w:tcPr>
            <w:tcW w:w="747" w:type="pct"/>
            <w:noWrap w:val="0"/>
            <w:vAlign w:val="center"/>
          </w:tcPr>
          <w:p>
            <w:pPr>
              <w:jc w:val="center"/>
            </w:pPr>
            <w:r>
              <w:t>污染物</w:t>
            </w:r>
          </w:p>
          <w:p>
            <w:pPr>
              <w:jc w:val="center"/>
            </w:pPr>
            <w:r>
              <w:t>项目</w:t>
            </w:r>
          </w:p>
        </w:tc>
        <w:tc>
          <w:tcPr>
            <w:tcW w:w="1293" w:type="pct"/>
            <w:noWrap w:val="0"/>
            <w:vAlign w:val="center"/>
          </w:tcPr>
          <w:p>
            <w:pPr>
              <w:jc w:val="center"/>
            </w:pPr>
            <w:r>
              <w:t>环境保护措施</w:t>
            </w:r>
          </w:p>
        </w:tc>
        <w:tc>
          <w:tcPr>
            <w:tcW w:w="1563" w:type="pct"/>
            <w:noWrap w:val="0"/>
            <w:vAlign w:val="center"/>
          </w:tcPr>
          <w:p>
            <w:pPr>
              <w:jc w:val="center"/>
            </w:pPr>
            <w:r>
              <w:t>执行标准</w:t>
            </w:r>
            <w:r>
              <w:rPr>
                <w:rFonts w:hint="eastAsia"/>
              </w:rPr>
              <w:t>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47" w:hRule="atLeast"/>
          <w:jc w:val="center"/>
        </w:trPr>
        <w:tc>
          <w:tcPr>
            <w:tcW w:w="630" w:type="pct"/>
            <w:noWrap w:val="0"/>
            <w:vAlign w:val="center"/>
          </w:tcPr>
          <w:p>
            <w:pPr>
              <w:jc w:val="center"/>
              <w:rPr>
                <w:u w:val="none"/>
              </w:rPr>
            </w:pPr>
            <w:r>
              <w:rPr>
                <w:u w:val="none"/>
              </w:rPr>
              <w:t>大气环境</w:t>
            </w:r>
          </w:p>
        </w:tc>
        <w:tc>
          <w:tcPr>
            <w:tcW w:w="764" w:type="pct"/>
            <w:noWrap w:val="0"/>
            <w:vAlign w:val="center"/>
          </w:tcPr>
          <w:p>
            <w:pPr>
              <w:jc w:val="center"/>
              <w:rPr>
                <w:rFonts w:hint="default" w:eastAsia="宋体"/>
                <w:u w:val="none"/>
                <w:lang w:val="en-US" w:eastAsia="zh-CN" w:bidi="ar"/>
              </w:rPr>
            </w:pPr>
            <w:r>
              <w:rPr>
                <w:rFonts w:hint="eastAsia"/>
                <w:u w:val="none"/>
                <w:lang w:val="en-US" w:eastAsia="zh-CN" w:bidi="ar"/>
              </w:rPr>
              <w:t>/</w:t>
            </w:r>
          </w:p>
        </w:tc>
        <w:tc>
          <w:tcPr>
            <w:tcW w:w="747" w:type="pct"/>
            <w:noWrap w:val="0"/>
            <w:vAlign w:val="center"/>
          </w:tcPr>
          <w:p>
            <w:pPr>
              <w:jc w:val="center"/>
              <w:rPr>
                <w:rFonts w:hint="default" w:eastAsia="宋体"/>
                <w:u w:val="none"/>
                <w:lang w:val="en-US" w:eastAsia="zh-CN" w:bidi="ar"/>
              </w:rPr>
            </w:pPr>
            <w:r>
              <w:rPr>
                <w:rFonts w:hint="eastAsia"/>
                <w:u w:val="none"/>
                <w:lang w:val="en-US" w:eastAsia="zh-CN" w:bidi="ar"/>
              </w:rPr>
              <w:t>/</w:t>
            </w:r>
          </w:p>
        </w:tc>
        <w:tc>
          <w:tcPr>
            <w:tcW w:w="1293" w:type="pct"/>
            <w:noWrap w:val="0"/>
            <w:vAlign w:val="center"/>
          </w:tcPr>
          <w:p>
            <w:pPr>
              <w:jc w:val="center"/>
              <w:rPr>
                <w:sz w:val="21"/>
                <w:u w:val="none"/>
                <w:lang w:bidi="ar"/>
              </w:rPr>
            </w:pPr>
            <w:r>
              <w:rPr>
                <w:rFonts w:hint="eastAsia"/>
                <w:u w:val="none"/>
                <w:lang w:val="en-US" w:eastAsia="zh-CN" w:bidi="ar"/>
              </w:rPr>
              <w:t>/</w:t>
            </w:r>
          </w:p>
        </w:tc>
        <w:tc>
          <w:tcPr>
            <w:tcW w:w="1563" w:type="pct"/>
            <w:noWrap w:val="0"/>
            <w:vAlign w:val="center"/>
          </w:tcPr>
          <w:p>
            <w:pPr>
              <w:jc w:val="center"/>
              <w:rPr>
                <w:u w:val="none"/>
                <w:lang w:bidi="ar"/>
              </w:rPr>
            </w:pPr>
            <w:r>
              <w:rPr>
                <w:rFonts w:hint="eastAsia"/>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459" w:hRule="atLeast"/>
          <w:jc w:val="center"/>
        </w:trPr>
        <w:tc>
          <w:tcPr>
            <w:tcW w:w="630" w:type="pct"/>
            <w:noWrap w:val="0"/>
            <w:vAlign w:val="center"/>
          </w:tcPr>
          <w:p>
            <w:pPr>
              <w:jc w:val="center"/>
            </w:pPr>
            <w:r>
              <w:t>地表水</w:t>
            </w:r>
          </w:p>
          <w:p>
            <w:pPr>
              <w:jc w:val="center"/>
            </w:pPr>
            <w:r>
              <w:t>环境</w:t>
            </w:r>
          </w:p>
        </w:tc>
        <w:tc>
          <w:tcPr>
            <w:tcW w:w="764" w:type="pct"/>
            <w:noWrap w:val="0"/>
            <w:vAlign w:val="center"/>
          </w:tcPr>
          <w:p>
            <w:pPr>
              <w:jc w:val="center"/>
              <w:rPr>
                <w:rFonts w:hint="default" w:eastAsia="宋体"/>
                <w:lang w:val="en-US" w:eastAsia="zh-CN"/>
              </w:rPr>
            </w:pPr>
            <w:r>
              <w:rPr>
                <w:rFonts w:hint="eastAsia"/>
                <w:lang w:val="en-US" w:eastAsia="zh-CN"/>
              </w:rPr>
              <w:t>医疗废水（病房废水、生活污水）</w:t>
            </w:r>
          </w:p>
        </w:tc>
        <w:tc>
          <w:tcPr>
            <w:tcW w:w="747" w:type="pct"/>
            <w:noWrap w:val="0"/>
            <w:vAlign w:val="center"/>
          </w:tcPr>
          <w:p>
            <w:pPr>
              <w:jc w:val="center"/>
            </w:pPr>
            <w:r>
              <w:rPr>
                <w:rFonts w:hint="default" w:ascii="Times New Roman" w:hAnsi="Times New Roman" w:cs="Times New Roman"/>
                <w:u w:val="none" w:color="auto"/>
              </w:rPr>
              <w:t>CODcr、BOD</w:t>
            </w:r>
            <w:r>
              <w:rPr>
                <w:rFonts w:hint="default" w:ascii="Times New Roman" w:hAnsi="Times New Roman" w:cs="Times New Roman"/>
                <w:u w:val="none" w:color="auto"/>
                <w:vertAlign w:val="subscript"/>
              </w:rPr>
              <w:t>5</w:t>
            </w:r>
            <w:r>
              <w:rPr>
                <w:rFonts w:hint="default" w:ascii="Times New Roman" w:hAnsi="Times New Roman" w:cs="Times New Roman"/>
                <w:u w:val="none" w:color="auto"/>
              </w:rPr>
              <w:t>、NH</w:t>
            </w:r>
            <w:r>
              <w:rPr>
                <w:rFonts w:hint="default" w:ascii="Times New Roman" w:hAnsi="Times New Roman" w:cs="Times New Roman"/>
                <w:u w:val="none" w:color="auto"/>
                <w:vertAlign w:val="subscript"/>
              </w:rPr>
              <w:t>3</w:t>
            </w:r>
            <w:r>
              <w:rPr>
                <w:rFonts w:hint="default" w:ascii="Times New Roman" w:hAnsi="Times New Roman" w:cs="Times New Roman"/>
                <w:u w:val="none" w:color="auto"/>
              </w:rPr>
              <w:t>-N、SS、粪大肠菌群、含病原微生物的废水</w:t>
            </w:r>
          </w:p>
        </w:tc>
        <w:tc>
          <w:tcPr>
            <w:tcW w:w="1293" w:type="pct"/>
            <w:noWrap w:val="0"/>
            <w:vAlign w:val="center"/>
          </w:tcPr>
          <w:p>
            <w:pPr>
              <w:jc w:val="center"/>
              <w:rPr>
                <w:rFonts w:hint="eastAsia"/>
                <w:u w:val="single"/>
                <w:lang w:val="en-US" w:eastAsia="zh-CN"/>
              </w:rPr>
            </w:pPr>
            <w:r>
              <w:rPr>
                <w:rFonts w:hint="eastAsia"/>
                <w:u w:val="none"/>
                <w:lang w:val="en-US" w:eastAsia="zh-CN"/>
              </w:rPr>
              <w:t>生活污水和病房废水经化粪池处理后一起进入一体化污水处理设施（依托花垣县疾控中心现有）处理达标准后排入市政污水管网</w:t>
            </w:r>
          </w:p>
        </w:tc>
        <w:tc>
          <w:tcPr>
            <w:tcW w:w="1563" w:type="pct"/>
            <w:noWrap w:val="0"/>
            <w:vAlign w:val="center"/>
          </w:tcPr>
          <w:p>
            <w:pPr>
              <w:jc w:val="center"/>
              <w:rPr>
                <w:rFonts w:hint="eastAsia" w:eastAsia="宋体"/>
                <w:u w:val="single"/>
                <w:lang w:val="en-US" w:eastAsia="zh-CN"/>
              </w:rPr>
            </w:pPr>
            <w:r>
              <w:rPr>
                <w:rFonts w:hint="eastAsia"/>
                <w:sz w:val="24"/>
                <w:u w:val="none"/>
                <w:lang w:eastAsia="zh-CN"/>
              </w:rPr>
              <w:t>《</w:t>
            </w:r>
            <w:r>
              <w:rPr>
                <w:sz w:val="24"/>
                <w:u w:val="none"/>
              </w:rPr>
              <w:t>医疗机构水污染物排放标准》（GB18466-2005）</w:t>
            </w:r>
            <w:r>
              <w:rPr>
                <w:rFonts w:hint="eastAsia"/>
                <w:sz w:val="24"/>
                <w:u w:val="none"/>
                <w:lang w:val="en-US" w:eastAsia="zh-CN"/>
              </w:rPr>
              <w:t>表2</w:t>
            </w:r>
            <w:r>
              <w:rPr>
                <w:rFonts w:hint="eastAsia"/>
                <w:sz w:val="24"/>
                <w:u w:val="none"/>
              </w:rPr>
              <w:t>预处理标准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30" w:type="pct"/>
            <w:noWrap w:val="0"/>
            <w:vAlign w:val="center"/>
          </w:tcPr>
          <w:p>
            <w:pPr>
              <w:jc w:val="center"/>
            </w:pPr>
            <w:r>
              <w:t>声环境</w:t>
            </w:r>
          </w:p>
        </w:tc>
        <w:tc>
          <w:tcPr>
            <w:tcW w:w="764" w:type="pct"/>
            <w:noWrap w:val="0"/>
            <w:vAlign w:val="center"/>
          </w:tcPr>
          <w:p>
            <w:pPr>
              <w:jc w:val="center"/>
            </w:pPr>
            <w:r>
              <w:rPr>
                <w:rFonts w:hint="eastAsia"/>
                <w:lang w:val="en-US" w:eastAsia="zh-CN"/>
              </w:rPr>
              <w:t>配电设备，空调外机等</w:t>
            </w:r>
            <w:r>
              <w:t>噪声</w:t>
            </w:r>
          </w:p>
        </w:tc>
        <w:tc>
          <w:tcPr>
            <w:tcW w:w="747" w:type="pct"/>
            <w:noWrap w:val="0"/>
            <w:vAlign w:val="center"/>
          </w:tcPr>
          <w:p>
            <w:pPr>
              <w:jc w:val="center"/>
            </w:pPr>
            <w:r>
              <w:t>噪声</w:t>
            </w:r>
          </w:p>
        </w:tc>
        <w:tc>
          <w:tcPr>
            <w:tcW w:w="1293" w:type="pct"/>
            <w:noWrap w:val="0"/>
            <w:vAlign w:val="center"/>
          </w:tcPr>
          <w:p>
            <w:pPr>
              <w:jc w:val="center"/>
              <w:rPr>
                <w:rFonts w:hint="default" w:eastAsia="宋体"/>
                <w:b/>
                <w:lang w:val="en-US" w:eastAsia="zh-CN"/>
              </w:rPr>
            </w:pPr>
            <w:r>
              <w:rPr>
                <w:rFonts w:hint="default" w:eastAsia="宋体"/>
                <w:b w:val="0"/>
                <w:bCs/>
                <w:lang w:val="en-US" w:eastAsia="zh-CN"/>
              </w:rPr>
              <w:t>选用低噪声设备，合理布局，隔声、距离衰减等措施</w:t>
            </w:r>
          </w:p>
        </w:tc>
        <w:tc>
          <w:tcPr>
            <w:tcW w:w="1563" w:type="pct"/>
            <w:noWrap w:val="0"/>
            <w:vAlign w:val="center"/>
          </w:tcPr>
          <w:p>
            <w:pPr>
              <w:jc w:val="center"/>
            </w:pPr>
            <w: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81" w:hRule="atLeast"/>
          <w:jc w:val="center"/>
        </w:trPr>
        <w:tc>
          <w:tcPr>
            <w:tcW w:w="630" w:type="pct"/>
            <w:noWrap w:val="0"/>
            <w:vAlign w:val="center"/>
          </w:tcPr>
          <w:p>
            <w:pPr>
              <w:jc w:val="center"/>
            </w:pPr>
            <w:r>
              <w:t>电磁辐射</w:t>
            </w:r>
          </w:p>
        </w:tc>
        <w:tc>
          <w:tcPr>
            <w:tcW w:w="764" w:type="pct"/>
            <w:noWrap w:val="0"/>
            <w:vAlign w:val="center"/>
          </w:tcPr>
          <w:p>
            <w:pPr>
              <w:jc w:val="center"/>
            </w:pPr>
            <w:r>
              <w:t>/</w:t>
            </w:r>
          </w:p>
        </w:tc>
        <w:tc>
          <w:tcPr>
            <w:tcW w:w="747" w:type="pct"/>
            <w:noWrap w:val="0"/>
            <w:vAlign w:val="center"/>
          </w:tcPr>
          <w:p>
            <w:pPr>
              <w:jc w:val="center"/>
            </w:pPr>
            <w:r>
              <w:t>/</w:t>
            </w:r>
          </w:p>
        </w:tc>
        <w:tc>
          <w:tcPr>
            <w:tcW w:w="1293" w:type="pct"/>
            <w:noWrap w:val="0"/>
            <w:vAlign w:val="center"/>
          </w:tcPr>
          <w:p>
            <w:pPr>
              <w:jc w:val="center"/>
            </w:pPr>
            <w:r>
              <w:t>/</w:t>
            </w:r>
          </w:p>
        </w:tc>
        <w:tc>
          <w:tcPr>
            <w:tcW w:w="1563" w:type="pct"/>
            <w:noWrap w:val="0"/>
            <w:vAlign w:val="center"/>
          </w:tcPr>
          <w:p>
            <w:pPr>
              <w:jc w:val="center"/>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30" w:type="pct"/>
            <w:vMerge w:val="restar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u w:val="none"/>
              </w:rPr>
            </w:pPr>
            <w:r>
              <w:rPr>
                <w:u w:val="none"/>
              </w:rPr>
              <w:t>固体废物</w:t>
            </w:r>
          </w:p>
        </w:tc>
        <w:tc>
          <w:tcPr>
            <w:tcW w:w="764" w:type="pct"/>
            <w:noWrap w:val="0"/>
            <w:vAlign w:val="center"/>
          </w:tcPr>
          <w:p>
            <w:pPr>
              <w:pStyle w:val="9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eastAsia="宋体"/>
                <w:sz w:val="24"/>
                <w:szCs w:val="24"/>
                <w:u w:val="none"/>
                <w:lang w:val="en-US" w:eastAsia="zh-CN"/>
              </w:rPr>
            </w:pPr>
            <w:r>
              <w:rPr>
                <w:rFonts w:hint="eastAsia"/>
                <w:sz w:val="24"/>
                <w:szCs w:val="24"/>
                <w:u w:val="none"/>
                <w:lang w:val="en-US" w:eastAsia="zh-CN"/>
              </w:rPr>
              <w:t>医疗废物</w:t>
            </w:r>
          </w:p>
        </w:tc>
        <w:tc>
          <w:tcPr>
            <w:tcW w:w="747" w:type="pct"/>
            <w:noWrap w:val="0"/>
            <w:vAlign w:val="center"/>
          </w:tcPr>
          <w:p>
            <w:pPr>
              <w:pStyle w:val="9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sz w:val="24"/>
                <w:szCs w:val="24"/>
                <w:u w:val="none"/>
              </w:rPr>
            </w:pPr>
            <w:r>
              <w:rPr>
                <w:rFonts w:hint="eastAsia"/>
                <w:sz w:val="24"/>
                <w:szCs w:val="24"/>
                <w:u w:val="none"/>
              </w:rPr>
              <w:t>HW01危险废物，一次性医疗器具</w:t>
            </w:r>
          </w:p>
        </w:tc>
        <w:tc>
          <w:tcPr>
            <w:tcW w:w="1293" w:type="pct"/>
            <w:noWrap w:val="0"/>
            <w:vAlign w:val="center"/>
          </w:tcPr>
          <w:p>
            <w:pPr>
              <w:pStyle w:val="9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4"/>
                <w:szCs w:val="24"/>
                <w:u w:val="none"/>
              </w:rPr>
            </w:pPr>
            <w:r>
              <w:rPr>
                <w:rFonts w:hint="eastAsia"/>
                <w:sz w:val="24"/>
                <w:szCs w:val="24"/>
                <w:u w:val="none"/>
              </w:rPr>
              <w:t>各项医疗废物分类使用不同容器收集，高温高压灭菌及消毒处理，并贴上相应标签，</w:t>
            </w:r>
            <w:r>
              <w:rPr>
                <w:rFonts w:hint="eastAsia"/>
                <w:sz w:val="24"/>
                <w:szCs w:val="24"/>
                <w:u w:val="none"/>
                <w:lang w:val="en-US" w:eastAsia="zh-CN"/>
              </w:rPr>
              <w:t>依托</w:t>
            </w:r>
            <w:r>
              <w:rPr>
                <w:rFonts w:hint="eastAsia"/>
                <w:sz w:val="24"/>
                <w:szCs w:val="24"/>
                <w:u w:val="none"/>
              </w:rPr>
              <w:t>暂存于</w:t>
            </w:r>
            <w:r>
              <w:rPr>
                <w:rFonts w:hint="eastAsia"/>
                <w:sz w:val="24"/>
                <w:szCs w:val="24"/>
                <w:u w:val="none"/>
                <w:lang w:val="en-US" w:eastAsia="zh-CN"/>
              </w:rPr>
              <w:t>花垣县</w:t>
            </w:r>
            <w:r>
              <w:rPr>
                <w:rFonts w:hint="eastAsia"/>
                <w:sz w:val="24"/>
                <w:szCs w:val="24"/>
                <w:u w:val="none"/>
              </w:rPr>
              <w:t>疾控中心的</w:t>
            </w:r>
            <w:r>
              <w:rPr>
                <w:rFonts w:hint="eastAsia"/>
                <w:sz w:val="24"/>
                <w:szCs w:val="24"/>
                <w:u w:val="none"/>
                <w:lang w:val="en-US" w:eastAsia="zh-CN"/>
              </w:rPr>
              <w:t>医疗废物</w:t>
            </w:r>
            <w:r>
              <w:rPr>
                <w:rFonts w:hint="eastAsia"/>
                <w:sz w:val="24"/>
                <w:szCs w:val="24"/>
                <w:u w:val="none"/>
              </w:rPr>
              <w:t>暂存间内，委托有危废资质单位处理</w:t>
            </w:r>
          </w:p>
        </w:tc>
        <w:tc>
          <w:tcPr>
            <w:tcW w:w="1563" w:type="pct"/>
            <w:noWrap w:val="0"/>
            <w:vAlign w:val="center"/>
          </w:tcPr>
          <w:p>
            <w:pPr>
              <w:pStyle w:val="9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4"/>
                <w:szCs w:val="24"/>
                <w:u w:val="none"/>
              </w:rPr>
            </w:pPr>
            <w:r>
              <w:rPr>
                <w:rFonts w:hint="eastAsia"/>
                <w:sz w:val="24"/>
                <w:szCs w:val="24"/>
                <w:u w:val="none"/>
              </w:rPr>
              <w:t>《危险废物贮存污染控制标准》（GB18597-20</w:t>
            </w:r>
            <w:r>
              <w:rPr>
                <w:rFonts w:hint="eastAsia"/>
                <w:sz w:val="24"/>
                <w:szCs w:val="24"/>
                <w:u w:val="none"/>
                <w:lang w:val="en-US" w:eastAsia="zh-CN"/>
              </w:rPr>
              <w:t>23</w:t>
            </w:r>
            <w:r>
              <w:rPr>
                <w:rFonts w:hint="eastAsia"/>
                <w:sz w:val="24"/>
                <w:szCs w:val="24"/>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30" w:type="pct"/>
            <w:vMerge w:val="continue"/>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pPr>
          </w:p>
        </w:tc>
        <w:tc>
          <w:tcPr>
            <w:tcW w:w="764" w:type="pct"/>
            <w:noWrap w:val="0"/>
            <w:vAlign w:val="center"/>
          </w:tcPr>
          <w:p>
            <w:pPr>
              <w:pStyle w:val="9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eastAsia="宋体"/>
                <w:sz w:val="24"/>
                <w:szCs w:val="24"/>
                <w:u w:val="single"/>
                <w:lang w:val="en-US" w:eastAsia="zh-CN"/>
              </w:rPr>
            </w:pPr>
            <w:r>
              <w:rPr>
                <w:rFonts w:hint="eastAsia"/>
                <w:sz w:val="24"/>
                <w:szCs w:val="24"/>
                <w:u w:val="none"/>
                <w:lang w:val="en-US" w:eastAsia="zh-CN"/>
              </w:rPr>
              <w:t>化粪池、一体化污水处理设施栅渣、污泥</w:t>
            </w:r>
          </w:p>
        </w:tc>
        <w:tc>
          <w:tcPr>
            <w:tcW w:w="747" w:type="pct"/>
            <w:noWrap w:val="0"/>
            <w:vAlign w:val="center"/>
          </w:tcPr>
          <w:p>
            <w:pPr>
              <w:pStyle w:val="180"/>
              <w:ind w:firstLine="0" w:firstLineChars="0"/>
              <w:jc w:val="center"/>
              <w:rPr>
                <w:rFonts w:hint="eastAsia"/>
                <w:sz w:val="24"/>
                <w:szCs w:val="24"/>
                <w:u w:val="single"/>
              </w:rPr>
            </w:pPr>
            <w:r>
              <w:rPr>
                <w:rFonts w:hint="default" w:ascii="Times New Roman" w:hAnsi="Times New Roman" w:cs="Times New Roman"/>
                <w:sz w:val="24"/>
                <w:szCs w:val="24"/>
                <w:u w:val="none" w:color="auto"/>
              </w:rPr>
              <w:t>HW49危险废物，有机质、细菌菌体等</w:t>
            </w:r>
          </w:p>
        </w:tc>
        <w:tc>
          <w:tcPr>
            <w:tcW w:w="1293" w:type="pct"/>
            <w:noWrap w:val="0"/>
            <w:vAlign w:val="center"/>
          </w:tcPr>
          <w:p>
            <w:pPr>
              <w:pStyle w:val="180"/>
              <w:ind w:firstLine="0" w:firstLineChars="0"/>
              <w:jc w:val="center"/>
              <w:rPr>
                <w:rFonts w:hint="eastAsia"/>
                <w:sz w:val="24"/>
                <w:szCs w:val="24"/>
                <w:u w:val="single"/>
              </w:rPr>
            </w:pPr>
            <w:r>
              <w:rPr>
                <w:rFonts w:hint="eastAsia"/>
                <w:sz w:val="24"/>
                <w:szCs w:val="24"/>
                <w:u w:val="none"/>
              </w:rPr>
              <w:t>泥清掏前应进行监测，并进行消毒灭菌处理。</w:t>
            </w:r>
            <w:r>
              <w:rPr>
                <w:rFonts w:hint="eastAsia"/>
                <w:sz w:val="24"/>
                <w:szCs w:val="24"/>
                <w:u w:val="none"/>
                <w:lang w:val="en-US" w:eastAsia="zh-CN"/>
              </w:rPr>
              <w:t>依托</w:t>
            </w:r>
            <w:r>
              <w:rPr>
                <w:rFonts w:hint="eastAsia"/>
                <w:sz w:val="24"/>
                <w:szCs w:val="24"/>
                <w:u w:val="none"/>
              </w:rPr>
              <w:t>暂存于</w:t>
            </w:r>
            <w:r>
              <w:rPr>
                <w:rFonts w:hint="eastAsia"/>
                <w:sz w:val="24"/>
                <w:szCs w:val="24"/>
                <w:u w:val="none"/>
                <w:lang w:val="en-US" w:eastAsia="zh-CN"/>
              </w:rPr>
              <w:t>花垣县</w:t>
            </w:r>
            <w:r>
              <w:rPr>
                <w:rFonts w:hint="eastAsia"/>
                <w:sz w:val="24"/>
                <w:szCs w:val="24"/>
                <w:u w:val="none"/>
              </w:rPr>
              <w:t>疾控中心的</w:t>
            </w:r>
            <w:r>
              <w:rPr>
                <w:rFonts w:hint="eastAsia"/>
                <w:sz w:val="24"/>
                <w:szCs w:val="24"/>
                <w:u w:val="none"/>
                <w:lang w:val="en-US" w:eastAsia="zh-CN"/>
              </w:rPr>
              <w:t>医疗废物</w:t>
            </w:r>
            <w:r>
              <w:rPr>
                <w:rFonts w:hint="eastAsia"/>
                <w:sz w:val="24"/>
                <w:szCs w:val="24"/>
                <w:u w:val="none"/>
              </w:rPr>
              <w:t>暂存间内，委托有危险废物资质单位处理</w:t>
            </w:r>
          </w:p>
        </w:tc>
        <w:tc>
          <w:tcPr>
            <w:tcW w:w="1563" w:type="pct"/>
            <w:noWrap w:val="0"/>
            <w:vAlign w:val="center"/>
          </w:tcPr>
          <w:p>
            <w:pPr>
              <w:pStyle w:val="180"/>
              <w:ind w:firstLine="0" w:firstLineChars="0"/>
              <w:jc w:val="center"/>
              <w:rPr>
                <w:rFonts w:hint="eastAsia"/>
                <w:sz w:val="24"/>
                <w:szCs w:val="24"/>
                <w:u w:val="single"/>
              </w:rPr>
            </w:pPr>
            <w:r>
              <w:rPr>
                <w:rFonts w:hint="default" w:ascii="Times New Roman" w:hAnsi="Times New Roman" w:cs="Times New Roman"/>
                <w:sz w:val="24"/>
                <w:szCs w:val="24"/>
                <w:u w:val="none" w:color="auto"/>
              </w:rPr>
              <w:t>《医疗机构水污染物排放标准》（GB18466-2005）表4医疗机构污泥控制标准要求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679" w:hRule="atLeast"/>
          <w:jc w:val="center"/>
        </w:trPr>
        <w:tc>
          <w:tcPr>
            <w:tcW w:w="630" w:type="pct"/>
            <w:vMerge w:val="continue"/>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pPr>
          </w:p>
        </w:tc>
        <w:tc>
          <w:tcPr>
            <w:tcW w:w="764" w:type="pct"/>
            <w:noWrap w:val="0"/>
            <w:vAlign w:val="center"/>
          </w:tcPr>
          <w:p>
            <w:pPr>
              <w:pStyle w:val="9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eastAsia="宋体"/>
                <w:sz w:val="24"/>
                <w:szCs w:val="24"/>
                <w:u w:val="none" w:color="auto"/>
                <w:lang w:val="en-US" w:eastAsia="zh-CN"/>
              </w:rPr>
            </w:pPr>
            <w:r>
              <w:rPr>
                <w:rFonts w:hint="eastAsia"/>
                <w:sz w:val="24"/>
                <w:szCs w:val="24"/>
                <w:u w:val="none" w:color="auto"/>
                <w:lang w:val="en-US" w:eastAsia="zh-CN"/>
              </w:rPr>
              <w:t>病房废药物、药品</w:t>
            </w:r>
          </w:p>
        </w:tc>
        <w:tc>
          <w:tcPr>
            <w:tcW w:w="747" w:type="pct"/>
            <w:noWrap w:val="0"/>
            <w:vAlign w:val="center"/>
          </w:tcPr>
          <w:p>
            <w:pPr>
              <w:pStyle w:val="9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eastAsia="宋体"/>
                <w:sz w:val="24"/>
                <w:szCs w:val="24"/>
                <w:u w:val="none" w:color="auto"/>
                <w:lang w:val="en-US" w:eastAsia="zh-CN"/>
              </w:rPr>
            </w:pPr>
            <w:r>
              <w:rPr>
                <w:rFonts w:hint="eastAsia"/>
                <w:sz w:val="24"/>
                <w:szCs w:val="24"/>
                <w:u w:val="none" w:color="auto"/>
                <w:lang w:val="en-US" w:eastAsia="zh-CN"/>
              </w:rPr>
              <w:t>HW03危险废物，废药物、药品</w:t>
            </w:r>
          </w:p>
        </w:tc>
        <w:tc>
          <w:tcPr>
            <w:tcW w:w="1293" w:type="pct"/>
            <w:noWrap w:val="0"/>
            <w:vAlign w:val="center"/>
          </w:tcPr>
          <w:p>
            <w:pPr>
              <w:pStyle w:val="9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4"/>
                <w:szCs w:val="24"/>
                <w:u w:val="none" w:color="auto"/>
              </w:rPr>
            </w:pPr>
            <w:r>
              <w:rPr>
                <w:rFonts w:hint="eastAsia" w:cs="Times New Roman"/>
                <w:sz w:val="24"/>
                <w:szCs w:val="24"/>
                <w:u w:val="none" w:color="auto"/>
                <w:lang w:val="en-US" w:eastAsia="zh-CN"/>
              </w:rPr>
              <w:t>依托</w:t>
            </w:r>
            <w:r>
              <w:rPr>
                <w:rFonts w:hint="default" w:ascii="Times New Roman" w:hAnsi="Times New Roman" w:cs="Times New Roman"/>
                <w:sz w:val="24"/>
                <w:szCs w:val="24"/>
                <w:u w:val="none" w:color="auto"/>
              </w:rPr>
              <w:t>暂存于</w:t>
            </w:r>
            <w:r>
              <w:rPr>
                <w:rFonts w:hint="eastAsia" w:ascii="Times New Roman" w:hAnsi="Times New Roman" w:cs="Times New Roman"/>
                <w:sz w:val="24"/>
                <w:szCs w:val="24"/>
                <w:u w:val="none" w:color="auto"/>
                <w:lang w:val="en-US" w:eastAsia="zh-CN"/>
              </w:rPr>
              <w:t>花垣县</w:t>
            </w:r>
            <w:r>
              <w:rPr>
                <w:rFonts w:hint="default" w:ascii="Times New Roman" w:hAnsi="Times New Roman" w:cs="Times New Roman"/>
                <w:sz w:val="24"/>
                <w:szCs w:val="24"/>
                <w:u w:val="none" w:color="auto"/>
              </w:rPr>
              <w:t>疾控中心的</w:t>
            </w:r>
            <w:r>
              <w:rPr>
                <w:rFonts w:hint="eastAsia" w:cs="Times New Roman"/>
                <w:sz w:val="24"/>
                <w:szCs w:val="24"/>
                <w:u w:val="none" w:color="auto"/>
                <w:lang w:val="en-US" w:eastAsia="zh-CN"/>
              </w:rPr>
              <w:t>医疗废物</w:t>
            </w:r>
            <w:r>
              <w:rPr>
                <w:rFonts w:hint="default" w:ascii="Times New Roman" w:hAnsi="Times New Roman" w:cs="Times New Roman"/>
                <w:sz w:val="24"/>
                <w:szCs w:val="24"/>
                <w:u w:val="none" w:color="auto"/>
              </w:rPr>
              <w:t>暂存间内，委托有危废资质单位处理</w:t>
            </w:r>
          </w:p>
        </w:tc>
        <w:tc>
          <w:tcPr>
            <w:tcW w:w="1563" w:type="pct"/>
            <w:noWrap w:val="0"/>
            <w:vAlign w:val="center"/>
          </w:tcPr>
          <w:p>
            <w:pPr>
              <w:pStyle w:val="9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4"/>
                <w:szCs w:val="24"/>
                <w:u w:val="none" w:color="auto"/>
              </w:rPr>
            </w:pPr>
            <w:r>
              <w:rPr>
                <w:rFonts w:hint="eastAsia"/>
                <w:sz w:val="24"/>
                <w:szCs w:val="24"/>
                <w:u w:val="none" w:color="auto"/>
              </w:rPr>
              <w:t>《危险废物贮存污染控制标准》（GB18597-20</w:t>
            </w:r>
            <w:r>
              <w:rPr>
                <w:rFonts w:hint="eastAsia"/>
                <w:sz w:val="24"/>
                <w:szCs w:val="24"/>
                <w:u w:val="none" w:color="auto"/>
                <w:lang w:val="en-US" w:eastAsia="zh-CN"/>
              </w:rPr>
              <w:t>23</w:t>
            </w:r>
            <w:r>
              <w:rPr>
                <w:rFonts w:hint="eastAsia"/>
                <w:sz w:val="24"/>
                <w:szCs w:val="24"/>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59" w:hRule="atLeast"/>
          <w:jc w:val="center"/>
        </w:trPr>
        <w:tc>
          <w:tcPr>
            <w:tcW w:w="630" w:type="pct"/>
            <w:vMerge w:val="continue"/>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pPr>
          </w:p>
        </w:tc>
        <w:tc>
          <w:tcPr>
            <w:tcW w:w="764" w:type="pct"/>
            <w:noWrap w:val="0"/>
            <w:vAlign w:val="center"/>
          </w:tcPr>
          <w:p>
            <w:pPr>
              <w:pStyle w:val="9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eastAsia="宋体"/>
                <w:sz w:val="24"/>
                <w:szCs w:val="24"/>
                <w:u w:val="none" w:color="auto"/>
                <w:lang w:val="en-US" w:eastAsia="zh-CN"/>
              </w:rPr>
            </w:pPr>
            <w:r>
              <w:rPr>
                <w:rFonts w:hint="eastAsia"/>
                <w:sz w:val="24"/>
                <w:szCs w:val="24"/>
                <w:u w:val="none" w:color="auto"/>
                <w:lang w:val="en-US" w:eastAsia="zh-CN"/>
              </w:rPr>
              <w:t>生活垃圾</w:t>
            </w:r>
          </w:p>
        </w:tc>
        <w:tc>
          <w:tcPr>
            <w:tcW w:w="747" w:type="pct"/>
            <w:noWrap w:val="0"/>
            <w:vAlign w:val="center"/>
          </w:tcPr>
          <w:p>
            <w:pPr>
              <w:pStyle w:val="9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sz w:val="24"/>
                <w:szCs w:val="24"/>
                <w:u w:val="none" w:color="auto"/>
              </w:rPr>
            </w:pPr>
            <w:r>
              <w:rPr>
                <w:rFonts w:hint="eastAsia"/>
                <w:sz w:val="24"/>
                <w:szCs w:val="24"/>
                <w:u w:val="none" w:color="auto"/>
                <w:lang w:val="en-US" w:eastAsia="zh-CN"/>
              </w:rPr>
              <w:t>生活垃圾</w:t>
            </w:r>
          </w:p>
        </w:tc>
        <w:tc>
          <w:tcPr>
            <w:tcW w:w="1293" w:type="pct"/>
            <w:noWrap w:val="0"/>
            <w:vAlign w:val="center"/>
          </w:tcPr>
          <w:p>
            <w:pPr>
              <w:pStyle w:val="9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4"/>
                <w:szCs w:val="24"/>
                <w:u w:val="none" w:color="auto"/>
                <w:lang w:val="en-US" w:eastAsia="zh-CN"/>
              </w:rPr>
            </w:pPr>
            <w:r>
              <w:rPr>
                <w:rFonts w:hint="eastAsia" w:eastAsia="宋体"/>
                <w:sz w:val="24"/>
                <w:szCs w:val="24"/>
                <w:u w:val="none" w:color="auto"/>
                <w:lang w:val="en-US" w:eastAsia="zh-CN"/>
              </w:rPr>
              <w:t>垃圾桶分类收集后交由环卫部门处理</w:t>
            </w:r>
          </w:p>
        </w:tc>
        <w:tc>
          <w:tcPr>
            <w:tcW w:w="1563" w:type="pct"/>
            <w:noWrap w:val="0"/>
            <w:vAlign w:val="center"/>
          </w:tcPr>
          <w:p>
            <w:pPr>
              <w:pStyle w:val="9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sz w:val="24"/>
                <w:szCs w:val="24"/>
                <w:u w:val="none" w:color="auto"/>
              </w:rPr>
            </w:pPr>
            <w:r>
              <w:rPr>
                <w:rFonts w:hint="eastAsia"/>
                <w:sz w:val="24"/>
                <w:szCs w:val="24"/>
                <w:u w:val="none" w:color="auto"/>
              </w:rPr>
              <w:t>不产生二次污染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30" w:type="pct"/>
            <w:noWrap w:val="0"/>
            <w:vAlign w:val="center"/>
          </w:tcPr>
          <w:p>
            <w:pPr>
              <w:jc w:val="center"/>
            </w:pPr>
            <w:r>
              <w:t>土壤及地下水污染防治措施</w:t>
            </w:r>
          </w:p>
        </w:tc>
        <w:tc>
          <w:tcPr>
            <w:tcW w:w="4369" w:type="pct"/>
            <w:gridSpan w:val="4"/>
            <w:noWrap w:val="0"/>
            <w:vAlign w:val="center"/>
          </w:tcPr>
          <w:p>
            <w:pPr>
              <w:pStyle w:val="9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sz w:val="24"/>
                <w:szCs w:val="24"/>
              </w:rPr>
            </w:pPr>
            <w:r>
              <w:rPr>
                <w:rFonts w:hint="eastAsia"/>
                <w:sz w:val="24"/>
                <w:szCs w:val="24"/>
                <w:lang w:val="en-US" w:eastAsia="zh-CN"/>
              </w:rPr>
              <w:t>各</w:t>
            </w:r>
            <w:r>
              <w:rPr>
                <w:sz w:val="24"/>
                <w:szCs w:val="24"/>
              </w:rPr>
              <w:t>区域按相关要求</w:t>
            </w:r>
            <w:r>
              <w:rPr>
                <w:rFonts w:hint="eastAsia"/>
                <w:sz w:val="24"/>
                <w:szCs w:val="24"/>
              </w:rPr>
              <w:t>进行硬化和必要的防渗处理，采取防止和减少污染物跑、冒、滴、漏的措施，防渗设计应依据污染防治区采取相应的防渗方案</w:t>
            </w:r>
            <w:r>
              <w:rPr>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30" w:type="pct"/>
            <w:noWrap w:val="0"/>
            <w:vAlign w:val="center"/>
          </w:tcPr>
          <w:p>
            <w:pPr>
              <w:jc w:val="center"/>
            </w:pPr>
            <w:r>
              <w:t>生态保护措施</w:t>
            </w:r>
          </w:p>
        </w:tc>
        <w:tc>
          <w:tcPr>
            <w:tcW w:w="4369" w:type="pct"/>
            <w:gridSpan w:val="4"/>
            <w:noWrap w:val="0"/>
            <w:vAlign w:val="center"/>
          </w:tcPr>
          <w:p>
            <w:pPr>
              <w:pStyle w:val="9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sz w:val="24"/>
                <w:szCs w:val="24"/>
              </w:rPr>
            </w:pPr>
            <w:r>
              <w:rPr>
                <w:rFonts w:hint="eastAsia"/>
                <w:sz w:val="24"/>
                <w:szCs w:val="24"/>
                <w:lang w:val="en-US" w:eastAsia="zh-CN"/>
              </w:rPr>
              <w:t>本项目利用</w:t>
            </w:r>
            <w:r>
              <w:rPr>
                <w:rFonts w:hint="eastAsia" w:ascii="Times New Roman" w:hAnsi="Times New Roman" w:eastAsia="宋体" w:cs="Times New Roman"/>
                <w:color w:val="000000"/>
                <w:kern w:val="0"/>
                <w:sz w:val="24"/>
                <w:szCs w:val="24"/>
                <w:u w:val="none" w:color="auto"/>
                <w:lang w:val="en-US" w:eastAsia="zh-CN" w:bidi="ar-SA"/>
              </w:rPr>
              <w:t>花垣县妇幼保健计划生育服务中心</w:t>
            </w:r>
            <w:r>
              <w:rPr>
                <w:rFonts w:hint="eastAsia" w:eastAsia="宋体" w:cs="Times New Roman"/>
                <w:color w:val="000000"/>
                <w:kern w:val="0"/>
                <w:sz w:val="24"/>
                <w:szCs w:val="24"/>
                <w:u w:val="none" w:color="auto"/>
                <w:lang w:val="en-US" w:eastAsia="zh-CN" w:bidi="ar-SA"/>
              </w:rPr>
              <w:t>现有</w:t>
            </w:r>
            <w:r>
              <w:rPr>
                <w:rFonts w:hint="eastAsia" w:ascii="Times New Roman" w:hAnsi="Times New Roman" w:eastAsia="宋体" w:cs="Times New Roman"/>
                <w:color w:val="000000"/>
                <w:kern w:val="0"/>
                <w:sz w:val="24"/>
                <w:szCs w:val="24"/>
                <w:u w:val="none" w:color="auto"/>
                <w:lang w:val="en-US" w:eastAsia="zh-CN" w:bidi="ar-SA"/>
              </w:rPr>
              <w:t>综合楼</w:t>
            </w:r>
            <w:r>
              <w:rPr>
                <w:rFonts w:hint="eastAsia" w:eastAsia="宋体" w:cs="Times New Roman"/>
                <w:color w:val="000000"/>
                <w:kern w:val="0"/>
                <w:sz w:val="24"/>
                <w:szCs w:val="24"/>
                <w:u w:val="none" w:color="auto"/>
                <w:lang w:val="en-US" w:eastAsia="zh-CN" w:bidi="ar-SA"/>
              </w:rPr>
              <w:t>进行装饰装修，不涉及土建工程</w:t>
            </w:r>
            <w:r>
              <w:rPr>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30" w:type="pct"/>
            <w:noWrap w:val="0"/>
            <w:vAlign w:val="center"/>
          </w:tcPr>
          <w:p>
            <w:pPr>
              <w:jc w:val="center"/>
            </w:pPr>
            <w:r>
              <w:t>环境风险</w:t>
            </w:r>
          </w:p>
          <w:p>
            <w:pPr>
              <w:jc w:val="center"/>
            </w:pPr>
            <w:r>
              <w:t>防范措施</w:t>
            </w:r>
          </w:p>
        </w:tc>
        <w:tc>
          <w:tcPr>
            <w:tcW w:w="4369" w:type="pct"/>
            <w:gridSpan w:val="4"/>
            <w:noWrap w:val="0"/>
            <w:vAlign w:val="center"/>
          </w:tcPr>
          <w:p>
            <w:pPr>
              <w:pStyle w:val="9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sz w:val="24"/>
                <w:szCs w:val="24"/>
              </w:rPr>
            </w:pPr>
            <w:r>
              <w:rPr>
                <w:rFonts w:hint="default"/>
                <w:sz w:val="24"/>
                <w:szCs w:val="24"/>
                <w:lang w:val="en-US" w:eastAsia="zh-CN"/>
              </w:rPr>
              <w:t>按分区防渗的要求进行防渗处理，建立有效的风险管理机制</w:t>
            </w:r>
            <w:r>
              <w:rPr>
                <w:rFonts w:hint="eastAsia"/>
                <w:sz w:val="24"/>
                <w:szCs w:val="24"/>
                <w:lang w:val="en-US" w:eastAsia="zh-CN"/>
              </w:rPr>
              <w:t>，设置</w:t>
            </w:r>
            <w:r>
              <w:rPr>
                <w:rFonts w:hint="default"/>
                <w:sz w:val="24"/>
                <w:szCs w:val="24"/>
                <w:lang w:val="en-US" w:eastAsia="zh-CN"/>
              </w:rPr>
              <w:t>应急事故</w:t>
            </w:r>
            <w:r>
              <w:rPr>
                <w:rFonts w:hint="eastAsia"/>
                <w:sz w:val="24"/>
                <w:szCs w:val="24"/>
                <w:lang w:val="en-US" w:eastAsia="zh-CN"/>
              </w:rPr>
              <w:t>罐，保证发生风险事故时，事故废水能得到有效控制，确保项目不对周边地下、土壤水造成污染。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30" w:type="pct"/>
            <w:noWrap w:val="0"/>
            <w:vAlign w:val="center"/>
          </w:tcPr>
          <w:p>
            <w:pPr>
              <w:jc w:val="center"/>
            </w:pPr>
            <w:r>
              <w:t>其他环境</w:t>
            </w:r>
          </w:p>
          <w:p>
            <w:pPr>
              <w:jc w:val="center"/>
            </w:pPr>
            <w:r>
              <w:t>管理要求</w:t>
            </w:r>
          </w:p>
        </w:tc>
        <w:tc>
          <w:tcPr>
            <w:tcW w:w="4369" w:type="pct"/>
            <w:gridSpan w:val="4"/>
            <w:noWrap w:val="0"/>
            <w:vAlign w:val="center"/>
          </w:tcPr>
          <w:p>
            <w:pPr>
              <w:pStyle w:val="9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sz w:val="24"/>
                <w:szCs w:val="24"/>
              </w:rPr>
            </w:pPr>
            <w:r>
              <w:rPr>
                <w:rFonts w:hint="eastAsia"/>
                <w:sz w:val="24"/>
                <w:szCs w:val="24"/>
                <w:lang w:val="en-US" w:eastAsia="zh-CN"/>
              </w:rPr>
              <w:t>1</w:t>
            </w:r>
            <w:r>
              <w:rPr>
                <w:rFonts w:hint="default"/>
                <w:sz w:val="24"/>
                <w:szCs w:val="24"/>
              </w:rPr>
              <w:t>、建设单位应认真落实环保“三同时”，做到废气、废水和噪声治理措施与主体工程建设同时设计、同时施工、同时验收。</w:t>
            </w:r>
          </w:p>
          <w:p>
            <w:pPr>
              <w:pStyle w:val="9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sz w:val="24"/>
                <w:szCs w:val="24"/>
              </w:rPr>
            </w:pPr>
            <w:r>
              <w:rPr>
                <w:rFonts w:hint="eastAsia"/>
                <w:sz w:val="24"/>
                <w:szCs w:val="24"/>
                <w:lang w:val="en-US" w:eastAsia="zh-CN"/>
              </w:rPr>
              <w:t>2</w:t>
            </w:r>
            <w:r>
              <w:rPr>
                <w:rFonts w:hint="default"/>
                <w:sz w:val="24"/>
                <w:szCs w:val="24"/>
              </w:rPr>
              <w:t>、加强职工环境意识教育，制定环保设施操作运行规程，建立健全各项环保岗位责任制，强化环保管理，确保环保设施正常稳定运行，防止污染事故发生。</w:t>
            </w:r>
          </w:p>
          <w:p>
            <w:pPr>
              <w:pStyle w:val="9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sz w:val="24"/>
                <w:szCs w:val="24"/>
              </w:rPr>
            </w:pPr>
            <w:r>
              <w:rPr>
                <w:rFonts w:hint="eastAsia"/>
                <w:sz w:val="24"/>
                <w:szCs w:val="24"/>
                <w:lang w:val="en-US" w:eastAsia="zh-CN"/>
              </w:rPr>
              <w:t>3</w:t>
            </w:r>
            <w:r>
              <w:rPr>
                <w:rFonts w:hint="default"/>
                <w:sz w:val="24"/>
                <w:szCs w:val="24"/>
              </w:rPr>
              <w:t>、严格按照环境影响评价文件要求进行建设，不准擅自变更建设项目的地点、性质、规模及生产工艺等。若发生变化，建设单位应重新办理建设项目环境影响评价手续，并报有审批权的环保部门批准。</w:t>
            </w:r>
          </w:p>
          <w:p>
            <w:pPr>
              <w:pStyle w:val="9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eastAsia"/>
                <w:sz w:val="24"/>
                <w:szCs w:val="24"/>
              </w:rPr>
            </w:pPr>
            <w:r>
              <w:rPr>
                <w:rFonts w:hint="eastAsia"/>
                <w:sz w:val="24"/>
                <w:szCs w:val="24"/>
                <w:lang w:val="en-US" w:eastAsia="zh-CN"/>
              </w:rPr>
              <w:t>4</w:t>
            </w:r>
            <w:r>
              <w:rPr>
                <w:rFonts w:hint="default"/>
                <w:sz w:val="24"/>
                <w:szCs w:val="24"/>
                <w:lang w:val="en-US" w:eastAsia="zh-CN"/>
              </w:rPr>
              <w:t>、</w:t>
            </w:r>
            <w:r>
              <w:rPr>
                <w:rFonts w:hint="default"/>
                <w:sz w:val="24"/>
                <w:szCs w:val="24"/>
                <w:lang w:val="en-US"/>
              </w:rPr>
              <w:t>根据《建设项目竣工环境保护验收暂行办法》，建设项目配套水、噪声、大气、固体废物污染防治设施由企业自主验收</w:t>
            </w:r>
            <w:r>
              <w:rPr>
                <w:rFonts w:hint="default"/>
                <w:sz w:val="24"/>
                <w:szCs w:val="24"/>
                <w:lang w:eastAsia="zh-CN"/>
              </w:rPr>
              <w:t>，</w:t>
            </w:r>
            <w:r>
              <w:rPr>
                <w:rFonts w:hint="default"/>
                <w:sz w:val="24"/>
                <w:szCs w:val="24"/>
                <w:lang w:val="en-US" w:eastAsia="zh-CN"/>
              </w:rPr>
              <w:t>并按要求办理排污许可</w:t>
            </w:r>
            <w:r>
              <w:rPr>
                <w:sz w:val="24"/>
                <w:szCs w:val="24"/>
              </w:rPr>
              <w:t>。</w:t>
            </w:r>
          </w:p>
        </w:tc>
      </w:tr>
    </w:tbl>
    <w:p>
      <w:pPr>
        <w:pStyle w:val="25"/>
        <w:rPr>
          <w:snapToGrid w:val="0"/>
        </w:rPr>
      </w:pPr>
      <w:r>
        <w:rPr>
          <w:snapToGrid w:val="0"/>
        </w:rPr>
        <w:br w:type="page"/>
      </w:r>
      <w:bookmarkStart w:id="28" w:name="_Toc142759964"/>
      <w:bookmarkStart w:id="29" w:name="_Toc7580"/>
      <w:r>
        <w:rPr>
          <w:snapToGrid w:val="0"/>
        </w:rPr>
        <w:t>六、结论</w:t>
      </w:r>
      <w:bookmarkEnd w:id="28"/>
      <w:bookmarkEnd w:id="29"/>
    </w:p>
    <w:tbl>
      <w:tblPr>
        <w:tblStyle w:val="34"/>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noWrap w:val="0"/>
            <w:vAlign w:val="top"/>
          </w:tcPr>
          <w:p>
            <w:pPr>
              <w:pStyle w:val="98"/>
              <w:ind w:firstLine="480"/>
              <w:rPr>
                <w:sz w:val="24"/>
                <w:szCs w:val="24"/>
                <w:u w:val="single"/>
              </w:rPr>
            </w:pPr>
            <w:r>
              <w:rPr>
                <w:rFonts w:hint="default" w:ascii="Times New Roman" w:hAnsi="Times New Roman" w:cs="Times New Roman"/>
                <w:sz w:val="24"/>
                <w:szCs w:val="24"/>
              </w:rPr>
              <w:t>综上所述，</w:t>
            </w:r>
            <w:r>
              <w:rPr>
                <w:rFonts w:hint="eastAsia" w:ascii="Times New Roman" w:hAnsi="Times New Roman" w:cs="Times New Roman"/>
                <w:sz w:val="24"/>
                <w:szCs w:val="24"/>
                <w:lang w:eastAsia="zh-CN"/>
              </w:rPr>
              <w:t>花垣县人民医院精神科项目</w:t>
            </w:r>
            <w:r>
              <w:rPr>
                <w:rFonts w:hint="default" w:ascii="Times New Roman" w:hAnsi="Times New Roman" w:cs="Times New Roman"/>
                <w:sz w:val="24"/>
                <w:szCs w:val="24"/>
              </w:rPr>
              <w:t>的建设符合国家产业政策，项目选址符合当地政府总体规划要求，项目用地符合国家土地利用政策；项目营运期采用节能、降耗、环保设备，实施有效的污染控制措施，符合清洁生产要求；项目污染物治理及生态保护措施可靠，污染物的排放符合国家及地方污染物排放标准和地方政府总量控制要求；在本报告提出的各项污染防治措施落实良好的情况下，项目产生的污染物对周围环境的影响可满足环境质量标准及生态保护目标要求。从环境保护的角度，该项目的建设是可行的。</w:t>
            </w:r>
          </w:p>
        </w:tc>
      </w:tr>
    </w:tbl>
    <w:p>
      <w:pPr>
        <w:ind w:firstLine="480"/>
        <w:sectPr>
          <w:pgSz w:w="11906" w:h="16838"/>
          <w:pgMar w:top="1134" w:right="1531" w:bottom="1134" w:left="1531" w:header="851" w:footer="850" w:gutter="0"/>
          <w:cols w:space="720" w:num="1"/>
          <w:docGrid w:linePitch="312" w:charSpace="0"/>
        </w:sectPr>
      </w:pPr>
    </w:p>
    <w:p>
      <w:pPr>
        <w:pStyle w:val="25"/>
        <w:rPr>
          <w:snapToGrid w:val="0"/>
        </w:rPr>
      </w:pPr>
      <w:bookmarkStart w:id="30" w:name="_Toc142759965"/>
      <w:r>
        <w:rPr>
          <w:snapToGrid w:val="0"/>
        </w:rPr>
        <w:t>建设项目污染物排放量汇总表</w:t>
      </w:r>
      <w:bookmarkEnd w:id="30"/>
    </w:p>
    <w:tbl>
      <w:tblPr>
        <w:tblStyle w:val="34"/>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2227"/>
        <w:gridCol w:w="1658"/>
        <w:gridCol w:w="1429"/>
        <w:gridCol w:w="1905"/>
        <w:gridCol w:w="1747"/>
        <w:gridCol w:w="1834"/>
        <w:gridCol w:w="1893"/>
        <w:gridCol w:w="13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50" w:type="pct"/>
            <w:tcBorders>
              <w:tl2br w:val="single" w:color="auto" w:sz="4" w:space="0"/>
            </w:tcBorders>
            <w:noWrap w:val="0"/>
            <w:tcMar>
              <w:left w:w="28" w:type="dxa"/>
              <w:right w:w="28" w:type="dxa"/>
            </w:tcMar>
            <w:vAlign w:val="center"/>
          </w:tcPr>
          <w:p>
            <w:pPr>
              <w:rPr>
                <w:snapToGrid w:val="0"/>
                <w:sz w:val="21"/>
                <w:szCs w:val="21"/>
              </w:rPr>
            </w:pPr>
            <w:r>
              <w:rPr>
                <w:snapToGrid w:val="0"/>
                <w:sz w:val="21"/>
                <w:szCs w:val="21"/>
              </w:rPr>
              <w:t>项目</w:t>
            </w:r>
            <w:r>
              <w:rPr>
                <w:rFonts w:hint="eastAsia"/>
                <w:snapToGrid w:val="0"/>
                <w:sz w:val="21"/>
                <w:szCs w:val="21"/>
                <w:lang w:val="en-US" w:eastAsia="zh-CN"/>
              </w:rPr>
              <w:t xml:space="preserve">    </w:t>
            </w:r>
            <w:r>
              <w:rPr>
                <w:snapToGrid w:val="0"/>
                <w:sz w:val="21"/>
                <w:szCs w:val="21"/>
              </w:rPr>
              <w:t>分类</w:t>
            </w:r>
          </w:p>
        </w:tc>
        <w:tc>
          <w:tcPr>
            <w:tcW w:w="720" w:type="pct"/>
            <w:noWrap w:val="0"/>
            <w:tcMar>
              <w:left w:w="28" w:type="dxa"/>
              <w:right w:w="28" w:type="dxa"/>
            </w:tcMar>
            <w:vAlign w:val="center"/>
          </w:tcPr>
          <w:p>
            <w:pPr>
              <w:rPr>
                <w:snapToGrid w:val="0"/>
                <w:sz w:val="21"/>
                <w:szCs w:val="21"/>
              </w:rPr>
            </w:pPr>
            <w:r>
              <w:rPr>
                <w:snapToGrid w:val="0"/>
                <w:sz w:val="21"/>
                <w:szCs w:val="21"/>
              </w:rPr>
              <w:t>污染物名称</w:t>
            </w:r>
          </w:p>
        </w:tc>
        <w:tc>
          <w:tcPr>
            <w:tcW w:w="536" w:type="pct"/>
            <w:noWrap w:val="0"/>
            <w:tcMar>
              <w:left w:w="28" w:type="dxa"/>
              <w:right w:w="28" w:type="dxa"/>
            </w:tcMar>
            <w:vAlign w:val="center"/>
          </w:tcPr>
          <w:p>
            <w:pPr>
              <w:rPr>
                <w:snapToGrid w:val="0"/>
                <w:sz w:val="21"/>
                <w:szCs w:val="21"/>
              </w:rPr>
            </w:pPr>
            <w:r>
              <w:rPr>
                <w:snapToGrid w:val="0"/>
                <w:sz w:val="21"/>
                <w:szCs w:val="21"/>
              </w:rPr>
              <w:t>现有工程排放量（固体废物产生量）</w:t>
            </w:r>
            <w:r>
              <w:rPr>
                <w:snapToGrid w:val="0"/>
                <w:sz w:val="21"/>
                <w:szCs w:val="21"/>
              </w:rPr>
              <w:fldChar w:fldCharType="begin"/>
            </w:r>
            <w:r>
              <w:rPr>
                <w:snapToGrid w:val="0"/>
                <w:sz w:val="21"/>
                <w:szCs w:val="21"/>
              </w:rPr>
              <w:instrText xml:space="preserve"> = 1 \* GB3 \* MERGEFORMAT </w:instrText>
            </w:r>
            <w:r>
              <w:rPr>
                <w:snapToGrid w:val="0"/>
                <w:sz w:val="21"/>
                <w:szCs w:val="21"/>
              </w:rPr>
              <w:fldChar w:fldCharType="separate"/>
            </w:r>
            <w:r>
              <w:rPr>
                <w:rFonts w:hint="eastAsia" w:ascii="宋体" w:hAnsi="宋体" w:cs="宋体"/>
                <w:kern w:val="2"/>
                <w:sz w:val="21"/>
                <w:szCs w:val="21"/>
              </w:rPr>
              <w:t>①</w:t>
            </w:r>
            <w:r>
              <w:rPr>
                <w:snapToGrid w:val="0"/>
                <w:sz w:val="21"/>
                <w:szCs w:val="21"/>
              </w:rPr>
              <w:fldChar w:fldCharType="end"/>
            </w:r>
          </w:p>
        </w:tc>
        <w:tc>
          <w:tcPr>
            <w:tcW w:w="462" w:type="pct"/>
            <w:noWrap w:val="0"/>
            <w:tcMar>
              <w:left w:w="28" w:type="dxa"/>
              <w:right w:w="28" w:type="dxa"/>
            </w:tcMar>
            <w:vAlign w:val="center"/>
          </w:tcPr>
          <w:p>
            <w:pPr>
              <w:rPr>
                <w:snapToGrid w:val="0"/>
                <w:sz w:val="21"/>
                <w:szCs w:val="21"/>
              </w:rPr>
            </w:pPr>
            <w:r>
              <w:rPr>
                <w:snapToGrid w:val="0"/>
                <w:sz w:val="21"/>
                <w:szCs w:val="21"/>
              </w:rPr>
              <w:t>现有工程许可排放量</w:t>
            </w:r>
            <w:r>
              <w:rPr>
                <w:snapToGrid w:val="0"/>
                <w:sz w:val="21"/>
                <w:szCs w:val="21"/>
              </w:rPr>
              <w:fldChar w:fldCharType="begin"/>
            </w:r>
            <w:r>
              <w:rPr>
                <w:snapToGrid w:val="0"/>
                <w:sz w:val="21"/>
                <w:szCs w:val="21"/>
              </w:rPr>
              <w:instrText xml:space="preserve"> = 2 \* GB3 \* MERGEFORMAT </w:instrText>
            </w:r>
            <w:r>
              <w:rPr>
                <w:snapToGrid w:val="0"/>
                <w:sz w:val="21"/>
                <w:szCs w:val="21"/>
              </w:rPr>
              <w:fldChar w:fldCharType="separate"/>
            </w:r>
            <w:r>
              <w:rPr>
                <w:rFonts w:hint="eastAsia" w:ascii="宋体" w:hAnsi="宋体" w:cs="宋体"/>
                <w:snapToGrid w:val="0"/>
                <w:sz w:val="21"/>
                <w:szCs w:val="21"/>
              </w:rPr>
              <w:t>②</w:t>
            </w:r>
            <w:r>
              <w:rPr>
                <w:snapToGrid w:val="0"/>
                <w:sz w:val="21"/>
                <w:szCs w:val="21"/>
              </w:rPr>
              <w:fldChar w:fldCharType="end"/>
            </w:r>
          </w:p>
        </w:tc>
        <w:tc>
          <w:tcPr>
            <w:tcW w:w="616" w:type="pct"/>
            <w:noWrap w:val="0"/>
            <w:tcMar>
              <w:left w:w="28" w:type="dxa"/>
              <w:right w:w="28" w:type="dxa"/>
            </w:tcMar>
            <w:vAlign w:val="center"/>
          </w:tcPr>
          <w:p>
            <w:pPr>
              <w:rPr>
                <w:snapToGrid w:val="0"/>
                <w:sz w:val="21"/>
                <w:szCs w:val="21"/>
              </w:rPr>
            </w:pPr>
            <w:r>
              <w:rPr>
                <w:snapToGrid w:val="0"/>
                <w:sz w:val="21"/>
                <w:szCs w:val="21"/>
              </w:rPr>
              <w:t>在建工程排放量（固体废物产生量）</w:t>
            </w:r>
            <w:r>
              <w:rPr>
                <w:snapToGrid w:val="0"/>
                <w:sz w:val="21"/>
                <w:szCs w:val="21"/>
              </w:rPr>
              <w:fldChar w:fldCharType="begin"/>
            </w:r>
            <w:r>
              <w:rPr>
                <w:snapToGrid w:val="0"/>
                <w:sz w:val="21"/>
                <w:szCs w:val="21"/>
              </w:rPr>
              <w:instrText xml:space="preserve"> = 3 \* GB3 \* MERGEFORMAT </w:instrText>
            </w:r>
            <w:r>
              <w:rPr>
                <w:snapToGrid w:val="0"/>
                <w:sz w:val="21"/>
                <w:szCs w:val="21"/>
              </w:rPr>
              <w:fldChar w:fldCharType="separate"/>
            </w:r>
            <w:r>
              <w:rPr>
                <w:rFonts w:hint="eastAsia" w:ascii="宋体" w:hAnsi="宋体" w:cs="宋体"/>
                <w:kern w:val="2"/>
                <w:sz w:val="21"/>
                <w:szCs w:val="21"/>
              </w:rPr>
              <w:t>③</w:t>
            </w:r>
            <w:r>
              <w:rPr>
                <w:snapToGrid w:val="0"/>
                <w:sz w:val="21"/>
                <w:szCs w:val="21"/>
              </w:rPr>
              <w:fldChar w:fldCharType="end"/>
            </w:r>
          </w:p>
        </w:tc>
        <w:tc>
          <w:tcPr>
            <w:tcW w:w="565" w:type="pct"/>
            <w:noWrap w:val="0"/>
            <w:tcMar>
              <w:left w:w="28" w:type="dxa"/>
              <w:right w:w="28" w:type="dxa"/>
            </w:tcMar>
            <w:vAlign w:val="center"/>
          </w:tcPr>
          <w:p>
            <w:pPr>
              <w:rPr>
                <w:snapToGrid w:val="0"/>
                <w:sz w:val="21"/>
                <w:szCs w:val="21"/>
              </w:rPr>
            </w:pPr>
            <w:r>
              <w:rPr>
                <w:snapToGrid w:val="0"/>
                <w:sz w:val="21"/>
                <w:szCs w:val="21"/>
              </w:rPr>
              <w:t>本项目排放量（固体废物产生量）</w:t>
            </w:r>
            <w:r>
              <w:rPr>
                <w:snapToGrid w:val="0"/>
                <w:sz w:val="21"/>
                <w:szCs w:val="21"/>
              </w:rPr>
              <w:fldChar w:fldCharType="begin"/>
            </w:r>
            <w:r>
              <w:rPr>
                <w:snapToGrid w:val="0"/>
                <w:sz w:val="21"/>
                <w:szCs w:val="21"/>
              </w:rPr>
              <w:instrText xml:space="preserve"> = 4 \* GB3 \* MERGEFORMAT </w:instrText>
            </w:r>
            <w:r>
              <w:rPr>
                <w:snapToGrid w:val="0"/>
                <w:sz w:val="21"/>
                <w:szCs w:val="21"/>
              </w:rPr>
              <w:fldChar w:fldCharType="separate"/>
            </w:r>
            <w:r>
              <w:rPr>
                <w:rFonts w:hint="eastAsia" w:ascii="宋体" w:hAnsi="宋体" w:cs="宋体"/>
                <w:kern w:val="2"/>
                <w:sz w:val="21"/>
                <w:szCs w:val="21"/>
              </w:rPr>
              <w:t>④</w:t>
            </w:r>
            <w:r>
              <w:rPr>
                <w:snapToGrid w:val="0"/>
                <w:sz w:val="21"/>
                <w:szCs w:val="21"/>
              </w:rPr>
              <w:fldChar w:fldCharType="end"/>
            </w:r>
          </w:p>
        </w:tc>
        <w:tc>
          <w:tcPr>
            <w:tcW w:w="593" w:type="pct"/>
            <w:noWrap w:val="0"/>
            <w:tcMar>
              <w:left w:w="28" w:type="dxa"/>
              <w:right w:w="28" w:type="dxa"/>
            </w:tcMar>
            <w:vAlign w:val="center"/>
          </w:tcPr>
          <w:p>
            <w:pPr>
              <w:rPr>
                <w:snapToGrid w:val="0"/>
                <w:spacing w:val="-16"/>
                <w:sz w:val="21"/>
                <w:szCs w:val="21"/>
              </w:rPr>
            </w:pPr>
            <w:r>
              <w:rPr>
                <w:snapToGrid w:val="0"/>
                <w:spacing w:val="-16"/>
                <w:sz w:val="21"/>
                <w:szCs w:val="21"/>
              </w:rPr>
              <w:t>以新带老削减量（新建项目不填）</w:t>
            </w:r>
            <w:r>
              <w:rPr>
                <w:snapToGrid w:val="0"/>
                <w:spacing w:val="-16"/>
                <w:sz w:val="21"/>
                <w:szCs w:val="21"/>
              </w:rPr>
              <w:fldChar w:fldCharType="begin"/>
            </w:r>
            <w:r>
              <w:rPr>
                <w:snapToGrid w:val="0"/>
                <w:spacing w:val="-16"/>
                <w:sz w:val="21"/>
                <w:szCs w:val="21"/>
              </w:rPr>
              <w:instrText xml:space="preserve"> = 5 \* GB3 \* MERGEFORMAT </w:instrText>
            </w:r>
            <w:r>
              <w:rPr>
                <w:snapToGrid w:val="0"/>
                <w:spacing w:val="-16"/>
                <w:sz w:val="21"/>
                <w:szCs w:val="21"/>
              </w:rPr>
              <w:fldChar w:fldCharType="separate"/>
            </w:r>
            <w:r>
              <w:rPr>
                <w:rFonts w:hint="eastAsia" w:ascii="宋体" w:hAnsi="宋体" w:cs="宋体"/>
                <w:kern w:val="2"/>
                <w:sz w:val="21"/>
                <w:szCs w:val="21"/>
              </w:rPr>
              <w:t>⑤</w:t>
            </w:r>
            <w:r>
              <w:rPr>
                <w:snapToGrid w:val="0"/>
                <w:spacing w:val="-16"/>
                <w:sz w:val="21"/>
                <w:szCs w:val="21"/>
              </w:rPr>
              <w:fldChar w:fldCharType="end"/>
            </w:r>
          </w:p>
        </w:tc>
        <w:tc>
          <w:tcPr>
            <w:tcW w:w="612" w:type="pct"/>
            <w:noWrap w:val="0"/>
            <w:tcMar>
              <w:left w:w="28" w:type="dxa"/>
              <w:right w:w="28" w:type="dxa"/>
            </w:tcMar>
            <w:vAlign w:val="center"/>
          </w:tcPr>
          <w:p>
            <w:pPr>
              <w:rPr>
                <w:snapToGrid w:val="0"/>
                <w:spacing w:val="-16"/>
                <w:sz w:val="21"/>
                <w:szCs w:val="21"/>
              </w:rPr>
            </w:pPr>
            <w:r>
              <w:rPr>
                <w:snapToGrid w:val="0"/>
                <w:spacing w:val="-16"/>
                <w:sz w:val="21"/>
                <w:szCs w:val="21"/>
              </w:rPr>
              <w:t>本项目建成后全厂排放量（固体废物产生量）</w:t>
            </w:r>
            <w:r>
              <w:rPr>
                <w:snapToGrid w:val="0"/>
                <w:spacing w:val="-16"/>
                <w:sz w:val="21"/>
                <w:szCs w:val="21"/>
              </w:rPr>
              <w:fldChar w:fldCharType="begin"/>
            </w:r>
            <w:r>
              <w:rPr>
                <w:snapToGrid w:val="0"/>
                <w:spacing w:val="-16"/>
                <w:sz w:val="21"/>
                <w:szCs w:val="21"/>
              </w:rPr>
              <w:instrText xml:space="preserve"> = 6 \* GB3 \* MERGEFORMAT </w:instrText>
            </w:r>
            <w:r>
              <w:rPr>
                <w:snapToGrid w:val="0"/>
                <w:spacing w:val="-16"/>
                <w:sz w:val="21"/>
                <w:szCs w:val="21"/>
              </w:rPr>
              <w:fldChar w:fldCharType="separate"/>
            </w:r>
            <w:r>
              <w:rPr>
                <w:rFonts w:hint="eastAsia" w:ascii="宋体" w:hAnsi="宋体" w:cs="宋体"/>
                <w:kern w:val="2"/>
                <w:sz w:val="21"/>
                <w:szCs w:val="21"/>
              </w:rPr>
              <w:t>⑥</w:t>
            </w:r>
            <w:r>
              <w:rPr>
                <w:snapToGrid w:val="0"/>
                <w:spacing w:val="-16"/>
                <w:sz w:val="21"/>
                <w:szCs w:val="21"/>
              </w:rPr>
              <w:fldChar w:fldCharType="end"/>
            </w:r>
          </w:p>
        </w:tc>
        <w:tc>
          <w:tcPr>
            <w:tcW w:w="443" w:type="pct"/>
            <w:noWrap w:val="0"/>
            <w:tcMar>
              <w:left w:w="28" w:type="dxa"/>
              <w:right w:w="28" w:type="dxa"/>
            </w:tcMar>
            <w:vAlign w:val="center"/>
          </w:tcPr>
          <w:p>
            <w:pPr>
              <w:rPr>
                <w:snapToGrid w:val="0"/>
                <w:sz w:val="21"/>
                <w:szCs w:val="21"/>
              </w:rPr>
            </w:pPr>
            <w:r>
              <w:rPr>
                <w:snapToGrid w:val="0"/>
                <w:sz w:val="21"/>
                <w:szCs w:val="21"/>
              </w:rPr>
              <w:t>变化量</w:t>
            </w:r>
            <w:r>
              <w:rPr>
                <w:snapToGrid w:val="0"/>
                <w:sz w:val="21"/>
                <w:szCs w:val="21"/>
              </w:rPr>
              <w:fldChar w:fldCharType="begin"/>
            </w:r>
            <w:r>
              <w:rPr>
                <w:snapToGrid w:val="0"/>
                <w:sz w:val="21"/>
                <w:szCs w:val="21"/>
              </w:rPr>
              <w:instrText xml:space="preserve"> = 7 \* GB3 \* MERGEFORMAT </w:instrText>
            </w:r>
            <w:r>
              <w:rPr>
                <w:snapToGrid w:val="0"/>
                <w:sz w:val="21"/>
                <w:szCs w:val="21"/>
              </w:rPr>
              <w:fldChar w:fldCharType="separate"/>
            </w:r>
            <w:r>
              <w:rPr>
                <w:rFonts w:hint="eastAsia" w:ascii="宋体" w:hAnsi="宋体" w:cs="宋体"/>
                <w:kern w:val="2"/>
                <w:sz w:val="21"/>
                <w:szCs w:val="21"/>
              </w:rPr>
              <w:t>⑦</w:t>
            </w:r>
            <w:r>
              <w:rPr>
                <w:snapToGrid w:val="0"/>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50" w:type="pct"/>
            <w:vMerge w:val="restart"/>
            <w:noWrap w:val="0"/>
            <w:vAlign w:val="center"/>
          </w:tcPr>
          <w:p>
            <w:pPr>
              <w:rPr>
                <w:snapToGrid w:val="0"/>
                <w:sz w:val="21"/>
                <w:szCs w:val="21"/>
              </w:rPr>
            </w:pPr>
            <w:r>
              <w:rPr>
                <w:snapToGrid w:val="0"/>
                <w:sz w:val="21"/>
                <w:szCs w:val="21"/>
              </w:rPr>
              <w:t>废气</w:t>
            </w:r>
          </w:p>
        </w:tc>
        <w:tc>
          <w:tcPr>
            <w:tcW w:w="720" w:type="pct"/>
            <w:noWrap w:val="0"/>
            <w:vAlign w:val="center"/>
          </w:tcPr>
          <w:p>
            <w:pPr>
              <w:rPr>
                <w:rFonts w:hint="default"/>
                <w:sz w:val="21"/>
                <w:szCs w:val="21"/>
                <w:lang w:val="en-US" w:eastAsia="zh-CN" w:bidi="ar"/>
              </w:rPr>
            </w:pPr>
            <w:r>
              <w:rPr>
                <w:snapToGrid w:val="0"/>
                <w:sz w:val="21"/>
                <w:szCs w:val="21"/>
              </w:rPr>
              <w:t>/</w:t>
            </w:r>
          </w:p>
        </w:tc>
        <w:tc>
          <w:tcPr>
            <w:tcW w:w="536" w:type="pct"/>
            <w:noWrap w:val="0"/>
            <w:vAlign w:val="center"/>
          </w:tcPr>
          <w:p>
            <w:pPr>
              <w:rPr>
                <w:sz w:val="21"/>
                <w:szCs w:val="21"/>
              </w:rPr>
            </w:pPr>
            <w:r>
              <w:rPr>
                <w:snapToGrid w:val="0"/>
                <w:sz w:val="21"/>
                <w:szCs w:val="21"/>
              </w:rPr>
              <w:t>/</w:t>
            </w:r>
          </w:p>
        </w:tc>
        <w:tc>
          <w:tcPr>
            <w:tcW w:w="462" w:type="pct"/>
            <w:noWrap w:val="0"/>
            <w:vAlign w:val="center"/>
          </w:tcPr>
          <w:p>
            <w:pPr>
              <w:rPr>
                <w:sz w:val="21"/>
                <w:szCs w:val="21"/>
              </w:rPr>
            </w:pPr>
            <w:r>
              <w:rPr>
                <w:snapToGrid w:val="0"/>
                <w:sz w:val="21"/>
                <w:szCs w:val="21"/>
              </w:rPr>
              <w:t>/</w:t>
            </w:r>
          </w:p>
        </w:tc>
        <w:tc>
          <w:tcPr>
            <w:tcW w:w="616" w:type="pct"/>
            <w:noWrap w:val="0"/>
            <w:vAlign w:val="center"/>
          </w:tcPr>
          <w:p>
            <w:pPr>
              <w:rPr>
                <w:sz w:val="21"/>
                <w:szCs w:val="21"/>
              </w:rPr>
            </w:pPr>
            <w:r>
              <w:rPr>
                <w:snapToGrid w:val="0"/>
                <w:sz w:val="21"/>
                <w:szCs w:val="21"/>
              </w:rPr>
              <w:t>/</w:t>
            </w:r>
          </w:p>
        </w:tc>
        <w:tc>
          <w:tcPr>
            <w:tcW w:w="565" w:type="pct"/>
            <w:noWrap w:val="0"/>
            <w:vAlign w:val="center"/>
          </w:tcPr>
          <w:p>
            <w:pPr>
              <w:rPr>
                <w:rFonts w:hint="default" w:eastAsia="宋体"/>
                <w:sz w:val="21"/>
                <w:szCs w:val="21"/>
                <w:lang w:val="en-US" w:eastAsia="zh-CN" w:bidi="ar-SA"/>
              </w:rPr>
            </w:pPr>
            <w:r>
              <w:rPr>
                <w:snapToGrid w:val="0"/>
                <w:sz w:val="21"/>
                <w:szCs w:val="21"/>
              </w:rPr>
              <w:t>/</w:t>
            </w:r>
          </w:p>
        </w:tc>
        <w:tc>
          <w:tcPr>
            <w:tcW w:w="593" w:type="pct"/>
            <w:noWrap w:val="0"/>
            <w:vAlign w:val="center"/>
          </w:tcPr>
          <w:p>
            <w:pPr>
              <w:rPr>
                <w:sz w:val="21"/>
                <w:szCs w:val="21"/>
                <w:lang w:val="en-US" w:eastAsia="zh-CN" w:bidi="ar-SA"/>
              </w:rPr>
            </w:pPr>
            <w:r>
              <w:rPr>
                <w:snapToGrid w:val="0"/>
                <w:sz w:val="21"/>
                <w:szCs w:val="21"/>
              </w:rPr>
              <w:t>/</w:t>
            </w:r>
          </w:p>
        </w:tc>
        <w:tc>
          <w:tcPr>
            <w:tcW w:w="612" w:type="pct"/>
            <w:noWrap w:val="0"/>
            <w:vAlign w:val="center"/>
          </w:tcPr>
          <w:p>
            <w:pPr>
              <w:rPr>
                <w:rFonts w:hint="eastAsia" w:eastAsia="宋体"/>
                <w:sz w:val="21"/>
                <w:szCs w:val="21"/>
                <w:lang w:val="en-US" w:eastAsia="zh-CN" w:bidi="ar-SA"/>
              </w:rPr>
            </w:pPr>
            <w:r>
              <w:rPr>
                <w:snapToGrid w:val="0"/>
                <w:sz w:val="21"/>
                <w:szCs w:val="21"/>
              </w:rPr>
              <w:t>/</w:t>
            </w:r>
          </w:p>
        </w:tc>
        <w:tc>
          <w:tcPr>
            <w:tcW w:w="443" w:type="pct"/>
            <w:noWrap w:val="0"/>
            <w:vAlign w:val="center"/>
          </w:tcPr>
          <w:p>
            <w:pPr>
              <w:rPr>
                <w:sz w:val="21"/>
                <w:szCs w:val="21"/>
                <w:lang w:val="en-US" w:eastAsia="zh-CN" w:bidi="ar-SA"/>
              </w:rPr>
            </w:pPr>
            <w:r>
              <w:rPr>
                <w:snapToGrid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50" w:type="pct"/>
            <w:vMerge w:val="continue"/>
            <w:noWrap w:val="0"/>
            <w:vAlign w:val="center"/>
          </w:tcPr>
          <w:p/>
        </w:tc>
        <w:tc>
          <w:tcPr>
            <w:tcW w:w="720" w:type="pct"/>
            <w:noWrap w:val="0"/>
            <w:vAlign w:val="center"/>
          </w:tcPr>
          <w:p>
            <w:pPr>
              <w:rPr>
                <w:rFonts w:hint="default"/>
                <w:sz w:val="21"/>
                <w:szCs w:val="21"/>
                <w:lang w:val="en-US" w:eastAsia="zh-CN" w:bidi="ar"/>
              </w:rPr>
            </w:pPr>
            <w:r>
              <w:rPr>
                <w:snapToGrid w:val="0"/>
                <w:sz w:val="21"/>
                <w:szCs w:val="21"/>
              </w:rPr>
              <w:t>/</w:t>
            </w:r>
          </w:p>
        </w:tc>
        <w:tc>
          <w:tcPr>
            <w:tcW w:w="536" w:type="pct"/>
            <w:noWrap w:val="0"/>
            <w:vAlign w:val="center"/>
          </w:tcPr>
          <w:p>
            <w:pPr>
              <w:rPr>
                <w:sz w:val="21"/>
                <w:szCs w:val="21"/>
                <w:lang w:val="en-US" w:eastAsia="zh-CN" w:bidi="ar"/>
              </w:rPr>
            </w:pPr>
            <w:r>
              <w:rPr>
                <w:snapToGrid w:val="0"/>
                <w:sz w:val="21"/>
                <w:szCs w:val="21"/>
              </w:rPr>
              <w:t>/</w:t>
            </w:r>
          </w:p>
        </w:tc>
        <w:tc>
          <w:tcPr>
            <w:tcW w:w="462" w:type="pct"/>
            <w:noWrap w:val="0"/>
            <w:vAlign w:val="center"/>
          </w:tcPr>
          <w:p>
            <w:pPr>
              <w:rPr>
                <w:sz w:val="21"/>
                <w:szCs w:val="21"/>
                <w:lang w:val="en-US" w:eastAsia="zh-CN" w:bidi="ar"/>
              </w:rPr>
            </w:pPr>
            <w:r>
              <w:rPr>
                <w:snapToGrid w:val="0"/>
                <w:sz w:val="21"/>
                <w:szCs w:val="21"/>
              </w:rPr>
              <w:t>/</w:t>
            </w:r>
          </w:p>
        </w:tc>
        <w:tc>
          <w:tcPr>
            <w:tcW w:w="616" w:type="pct"/>
            <w:noWrap w:val="0"/>
            <w:vAlign w:val="center"/>
          </w:tcPr>
          <w:p>
            <w:pPr>
              <w:rPr>
                <w:sz w:val="21"/>
                <w:szCs w:val="21"/>
                <w:lang w:val="en-US" w:eastAsia="zh-CN" w:bidi="ar"/>
              </w:rPr>
            </w:pPr>
            <w:r>
              <w:rPr>
                <w:snapToGrid w:val="0"/>
                <w:sz w:val="21"/>
                <w:szCs w:val="21"/>
              </w:rPr>
              <w:t>/</w:t>
            </w:r>
          </w:p>
        </w:tc>
        <w:tc>
          <w:tcPr>
            <w:tcW w:w="565" w:type="pct"/>
            <w:noWrap w:val="0"/>
            <w:vAlign w:val="center"/>
          </w:tcPr>
          <w:p>
            <w:pPr>
              <w:rPr>
                <w:rFonts w:hint="default"/>
                <w:sz w:val="21"/>
                <w:szCs w:val="21"/>
                <w:lang w:val="en-US" w:eastAsia="zh-CN" w:bidi="ar"/>
              </w:rPr>
            </w:pPr>
            <w:r>
              <w:rPr>
                <w:snapToGrid w:val="0"/>
                <w:sz w:val="21"/>
                <w:szCs w:val="21"/>
              </w:rPr>
              <w:t>/</w:t>
            </w:r>
          </w:p>
        </w:tc>
        <w:tc>
          <w:tcPr>
            <w:tcW w:w="593" w:type="pct"/>
            <w:noWrap w:val="0"/>
            <w:vAlign w:val="center"/>
          </w:tcPr>
          <w:p>
            <w:pPr>
              <w:rPr>
                <w:sz w:val="21"/>
                <w:szCs w:val="21"/>
                <w:lang w:val="en-US" w:eastAsia="zh-CN" w:bidi="ar"/>
              </w:rPr>
            </w:pPr>
            <w:r>
              <w:rPr>
                <w:snapToGrid w:val="0"/>
                <w:sz w:val="21"/>
                <w:szCs w:val="21"/>
              </w:rPr>
              <w:t>/</w:t>
            </w:r>
          </w:p>
        </w:tc>
        <w:tc>
          <w:tcPr>
            <w:tcW w:w="612" w:type="pct"/>
            <w:noWrap w:val="0"/>
            <w:vAlign w:val="center"/>
          </w:tcPr>
          <w:p>
            <w:pPr>
              <w:rPr>
                <w:sz w:val="21"/>
                <w:szCs w:val="21"/>
                <w:lang w:val="en-US" w:eastAsia="zh-CN" w:bidi="ar"/>
              </w:rPr>
            </w:pPr>
            <w:r>
              <w:rPr>
                <w:snapToGrid w:val="0"/>
                <w:sz w:val="21"/>
                <w:szCs w:val="21"/>
              </w:rPr>
              <w:t>/</w:t>
            </w:r>
          </w:p>
        </w:tc>
        <w:tc>
          <w:tcPr>
            <w:tcW w:w="443" w:type="pct"/>
            <w:noWrap w:val="0"/>
            <w:vAlign w:val="center"/>
          </w:tcPr>
          <w:p>
            <w:pPr>
              <w:rPr>
                <w:sz w:val="21"/>
                <w:szCs w:val="21"/>
                <w:lang w:val="en-US" w:eastAsia="zh-CN" w:bidi="ar"/>
              </w:rPr>
            </w:pPr>
            <w:r>
              <w:rPr>
                <w:snapToGrid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50" w:type="pct"/>
            <w:vMerge w:val="restart"/>
            <w:noWrap w:val="0"/>
            <w:vAlign w:val="center"/>
          </w:tcPr>
          <w:p>
            <w:pPr>
              <w:rPr>
                <w:snapToGrid w:val="0"/>
                <w:sz w:val="21"/>
                <w:szCs w:val="21"/>
              </w:rPr>
            </w:pPr>
            <w:r>
              <w:rPr>
                <w:snapToGrid w:val="0"/>
                <w:sz w:val="21"/>
                <w:szCs w:val="21"/>
              </w:rPr>
              <w:t>废水</w:t>
            </w:r>
          </w:p>
        </w:tc>
        <w:tc>
          <w:tcPr>
            <w:tcW w:w="720" w:type="pct"/>
            <w:noWrap w:val="0"/>
            <w:vAlign w:val="center"/>
          </w:tcPr>
          <w:p>
            <w:pPr>
              <w:pStyle w:val="104"/>
              <w:keepNext w:val="0"/>
              <w:keepLines w:val="0"/>
              <w:pageBreakBefore w:val="0"/>
              <w:widowControl/>
              <w:kinsoku/>
              <w:wordWrap/>
              <w:overflowPunct w:val="0"/>
              <w:topLinePunct w:val="0"/>
              <w:autoSpaceDE w:val="0"/>
              <w:autoSpaceDN w:val="0"/>
              <w:bidi w:val="0"/>
              <w:adjustRightInd/>
              <w:snapToGrid/>
              <w:spacing w:before="0"/>
              <w:ind w:left="0" w:leftChars="0"/>
              <w:jc w:val="center"/>
              <w:textAlignment w:val="auto"/>
              <w:rPr>
                <w:sz w:val="21"/>
                <w:szCs w:val="21"/>
              </w:rPr>
            </w:pPr>
            <w:r>
              <w:rPr>
                <w:rFonts w:hint="default" w:ascii="Times New Roman" w:hAnsi="Times New Roman" w:eastAsia="宋体" w:cs="Times New Roman"/>
                <w:sz w:val="21"/>
                <w:lang w:val="en-US"/>
              </w:rPr>
              <w:t>CODcr</w:t>
            </w:r>
          </w:p>
        </w:tc>
        <w:tc>
          <w:tcPr>
            <w:tcW w:w="536" w:type="pct"/>
            <w:noWrap w:val="0"/>
            <w:vAlign w:val="center"/>
          </w:tcPr>
          <w:p>
            <w:pPr>
              <w:rPr>
                <w:sz w:val="21"/>
                <w:szCs w:val="21"/>
              </w:rPr>
            </w:pPr>
            <w:r>
              <w:rPr>
                <w:snapToGrid w:val="0"/>
                <w:sz w:val="21"/>
                <w:szCs w:val="21"/>
              </w:rPr>
              <w:t>/</w:t>
            </w:r>
          </w:p>
        </w:tc>
        <w:tc>
          <w:tcPr>
            <w:tcW w:w="462" w:type="pct"/>
            <w:noWrap w:val="0"/>
            <w:vAlign w:val="center"/>
          </w:tcPr>
          <w:p>
            <w:pPr>
              <w:rPr>
                <w:sz w:val="21"/>
                <w:szCs w:val="21"/>
              </w:rPr>
            </w:pPr>
            <w:r>
              <w:rPr>
                <w:snapToGrid w:val="0"/>
                <w:sz w:val="21"/>
                <w:szCs w:val="21"/>
              </w:rPr>
              <w:t>/</w:t>
            </w:r>
          </w:p>
        </w:tc>
        <w:tc>
          <w:tcPr>
            <w:tcW w:w="616" w:type="pct"/>
            <w:noWrap w:val="0"/>
            <w:vAlign w:val="center"/>
          </w:tcPr>
          <w:p>
            <w:pPr>
              <w:rPr>
                <w:sz w:val="21"/>
                <w:szCs w:val="21"/>
              </w:rPr>
            </w:pPr>
            <w:r>
              <w:rPr>
                <w:snapToGrid w:val="0"/>
                <w:sz w:val="21"/>
                <w:szCs w:val="21"/>
              </w:rPr>
              <w:t>/</w:t>
            </w:r>
          </w:p>
        </w:tc>
        <w:tc>
          <w:tcPr>
            <w:tcW w:w="565" w:type="pct"/>
            <w:noWrap w:val="0"/>
            <w:vAlign w:val="center"/>
          </w:tcPr>
          <w:p>
            <w:pPr>
              <w:rPr>
                <w:rFonts w:hint="default" w:eastAsia="宋体"/>
                <w:sz w:val="21"/>
                <w:szCs w:val="21"/>
                <w:lang w:val="en-US" w:eastAsia="zh-CN"/>
              </w:rPr>
            </w:pPr>
            <w:r>
              <w:rPr>
                <w:rFonts w:hint="eastAsia"/>
                <w:sz w:val="21"/>
                <w:szCs w:val="21"/>
                <w:lang w:val="en-US" w:eastAsia="zh-CN"/>
              </w:rPr>
              <w:t>0.982t/a</w:t>
            </w:r>
          </w:p>
        </w:tc>
        <w:tc>
          <w:tcPr>
            <w:tcW w:w="593" w:type="pct"/>
            <w:noWrap w:val="0"/>
            <w:vAlign w:val="center"/>
          </w:tcPr>
          <w:p>
            <w:pPr>
              <w:rPr>
                <w:sz w:val="21"/>
                <w:szCs w:val="21"/>
              </w:rPr>
            </w:pPr>
            <w:r>
              <w:rPr>
                <w:snapToGrid w:val="0"/>
                <w:sz w:val="21"/>
                <w:szCs w:val="21"/>
              </w:rPr>
              <w:t>/</w:t>
            </w:r>
          </w:p>
        </w:tc>
        <w:tc>
          <w:tcPr>
            <w:tcW w:w="612" w:type="pct"/>
            <w:noWrap w:val="0"/>
            <w:vAlign w:val="center"/>
          </w:tcPr>
          <w:p>
            <w:pPr>
              <w:rPr>
                <w:sz w:val="21"/>
                <w:szCs w:val="21"/>
              </w:rPr>
            </w:pPr>
            <w:r>
              <w:rPr>
                <w:rFonts w:hint="eastAsia"/>
                <w:sz w:val="21"/>
                <w:szCs w:val="21"/>
                <w:lang w:val="en-US" w:eastAsia="zh-CN"/>
              </w:rPr>
              <w:t>0.982t/a</w:t>
            </w:r>
          </w:p>
        </w:tc>
        <w:tc>
          <w:tcPr>
            <w:tcW w:w="443" w:type="pct"/>
            <w:noWrap w:val="0"/>
            <w:vAlign w:val="center"/>
          </w:tcPr>
          <w:p>
            <w:pPr>
              <w:rPr>
                <w:sz w:val="21"/>
                <w:szCs w:val="21"/>
              </w:rPr>
            </w:pPr>
            <w:r>
              <w:rPr>
                <w:rFonts w:hint="eastAsia"/>
                <w:sz w:val="21"/>
                <w:szCs w:val="21"/>
                <w:lang w:val="en-US" w:eastAsia="zh-CN"/>
              </w:rPr>
              <w:t>+0.982t/a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50" w:type="pct"/>
            <w:vMerge w:val="continue"/>
            <w:noWrap w:val="0"/>
            <w:vAlign w:val="center"/>
          </w:tcPr>
          <w:p>
            <w:pPr>
              <w:rPr>
                <w:snapToGrid w:val="0"/>
                <w:sz w:val="21"/>
                <w:szCs w:val="21"/>
              </w:rPr>
            </w:pPr>
          </w:p>
        </w:tc>
        <w:tc>
          <w:tcPr>
            <w:tcW w:w="720" w:type="pct"/>
            <w:noWrap w:val="0"/>
            <w:vAlign w:val="center"/>
          </w:tcPr>
          <w:p>
            <w:pPr>
              <w:pStyle w:val="104"/>
              <w:keepNext w:val="0"/>
              <w:keepLines w:val="0"/>
              <w:pageBreakBefore w:val="0"/>
              <w:widowControl/>
              <w:kinsoku/>
              <w:wordWrap/>
              <w:overflowPunct w:val="0"/>
              <w:topLinePunct w:val="0"/>
              <w:autoSpaceDE w:val="0"/>
              <w:autoSpaceDN w:val="0"/>
              <w:bidi w:val="0"/>
              <w:adjustRightInd/>
              <w:snapToGrid/>
              <w:spacing w:before="0"/>
              <w:ind w:left="0" w:leftChars="0"/>
              <w:jc w:val="center"/>
              <w:textAlignment w:val="auto"/>
              <w:rPr>
                <w:sz w:val="21"/>
                <w:szCs w:val="21"/>
              </w:rPr>
            </w:pPr>
            <w:r>
              <w:rPr>
                <w:rFonts w:hint="default" w:ascii="Times New Roman" w:hAnsi="Times New Roman" w:eastAsia="宋体" w:cs="Times New Roman"/>
                <w:sz w:val="21"/>
                <w:lang w:val="en-US"/>
              </w:rPr>
              <w:t>BOD</w:t>
            </w:r>
            <w:r>
              <w:rPr>
                <w:rFonts w:hint="default" w:ascii="Times New Roman" w:hAnsi="Times New Roman" w:eastAsia="宋体" w:cs="Times New Roman"/>
                <w:sz w:val="21"/>
                <w:vertAlign w:val="subscript"/>
                <w:lang w:val="en-US"/>
              </w:rPr>
              <w:t>5</w:t>
            </w:r>
          </w:p>
        </w:tc>
        <w:tc>
          <w:tcPr>
            <w:tcW w:w="536" w:type="pct"/>
            <w:noWrap w:val="0"/>
            <w:vAlign w:val="center"/>
          </w:tcPr>
          <w:p>
            <w:pPr>
              <w:rPr>
                <w:sz w:val="21"/>
                <w:szCs w:val="21"/>
              </w:rPr>
            </w:pPr>
            <w:r>
              <w:rPr>
                <w:snapToGrid w:val="0"/>
                <w:sz w:val="21"/>
                <w:szCs w:val="21"/>
              </w:rPr>
              <w:t>/</w:t>
            </w:r>
          </w:p>
        </w:tc>
        <w:tc>
          <w:tcPr>
            <w:tcW w:w="462" w:type="pct"/>
            <w:noWrap w:val="0"/>
            <w:vAlign w:val="center"/>
          </w:tcPr>
          <w:p>
            <w:pPr>
              <w:rPr>
                <w:sz w:val="21"/>
                <w:szCs w:val="21"/>
              </w:rPr>
            </w:pPr>
            <w:r>
              <w:rPr>
                <w:snapToGrid w:val="0"/>
                <w:sz w:val="21"/>
                <w:szCs w:val="21"/>
              </w:rPr>
              <w:t>/</w:t>
            </w:r>
          </w:p>
        </w:tc>
        <w:tc>
          <w:tcPr>
            <w:tcW w:w="616" w:type="pct"/>
            <w:noWrap w:val="0"/>
            <w:vAlign w:val="center"/>
          </w:tcPr>
          <w:p>
            <w:pPr>
              <w:rPr>
                <w:sz w:val="21"/>
                <w:szCs w:val="21"/>
              </w:rPr>
            </w:pPr>
            <w:r>
              <w:rPr>
                <w:snapToGrid w:val="0"/>
                <w:sz w:val="21"/>
                <w:szCs w:val="21"/>
              </w:rPr>
              <w:t>/</w:t>
            </w:r>
          </w:p>
        </w:tc>
        <w:tc>
          <w:tcPr>
            <w:tcW w:w="565" w:type="pct"/>
            <w:noWrap w:val="0"/>
            <w:vAlign w:val="center"/>
          </w:tcPr>
          <w:p>
            <w:pPr>
              <w:rPr>
                <w:rFonts w:hint="default" w:eastAsia="宋体"/>
                <w:sz w:val="21"/>
                <w:szCs w:val="21"/>
                <w:lang w:val="en-US" w:eastAsia="zh-CN"/>
              </w:rPr>
            </w:pPr>
            <w:r>
              <w:rPr>
                <w:rFonts w:hint="eastAsia"/>
                <w:sz w:val="21"/>
                <w:szCs w:val="21"/>
                <w:lang w:val="en-US" w:eastAsia="zh-CN"/>
              </w:rPr>
              <w:t>0.393t/a</w:t>
            </w:r>
          </w:p>
        </w:tc>
        <w:tc>
          <w:tcPr>
            <w:tcW w:w="593" w:type="pct"/>
            <w:noWrap w:val="0"/>
            <w:vAlign w:val="center"/>
          </w:tcPr>
          <w:p>
            <w:pPr>
              <w:rPr>
                <w:sz w:val="21"/>
                <w:szCs w:val="21"/>
              </w:rPr>
            </w:pPr>
            <w:r>
              <w:rPr>
                <w:snapToGrid w:val="0"/>
                <w:sz w:val="21"/>
                <w:szCs w:val="21"/>
              </w:rPr>
              <w:t>/</w:t>
            </w:r>
          </w:p>
        </w:tc>
        <w:tc>
          <w:tcPr>
            <w:tcW w:w="612" w:type="pct"/>
            <w:noWrap w:val="0"/>
            <w:vAlign w:val="center"/>
          </w:tcPr>
          <w:p>
            <w:pPr>
              <w:rPr>
                <w:sz w:val="21"/>
                <w:szCs w:val="21"/>
              </w:rPr>
            </w:pPr>
            <w:r>
              <w:rPr>
                <w:rFonts w:hint="eastAsia"/>
                <w:sz w:val="21"/>
                <w:szCs w:val="21"/>
                <w:lang w:val="en-US" w:eastAsia="zh-CN"/>
              </w:rPr>
              <w:t>0.393t/a</w:t>
            </w:r>
          </w:p>
        </w:tc>
        <w:tc>
          <w:tcPr>
            <w:tcW w:w="443" w:type="pct"/>
            <w:noWrap w:val="0"/>
            <w:vAlign w:val="center"/>
          </w:tcPr>
          <w:p>
            <w:pPr>
              <w:rPr>
                <w:sz w:val="21"/>
                <w:szCs w:val="21"/>
              </w:rPr>
            </w:pPr>
            <w:r>
              <w:rPr>
                <w:rFonts w:hint="eastAsia"/>
                <w:sz w:val="21"/>
                <w:szCs w:val="21"/>
                <w:lang w:val="en-US" w:eastAsia="zh-CN"/>
              </w:rPr>
              <w:t>+0.393t/a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50" w:type="pct"/>
            <w:vMerge w:val="continue"/>
            <w:noWrap w:val="0"/>
            <w:vAlign w:val="center"/>
          </w:tcPr>
          <w:p>
            <w:pPr>
              <w:rPr>
                <w:snapToGrid w:val="0"/>
                <w:sz w:val="21"/>
                <w:szCs w:val="21"/>
              </w:rPr>
            </w:pPr>
          </w:p>
        </w:tc>
        <w:tc>
          <w:tcPr>
            <w:tcW w:w="720" w:type="pct"/>
            <w:noWrap w:val="0"/>
            <w:vAlign w:val="center"/>
          </w:tcPr>
          <w:p>
            <w:pPr>
              <w:pStyle w:val="104"/>
              <w:keepNext w:val="0"/>
              <w:keepLines w:val="0"/>
              <w:pageBreakBefore w:val="0"/>
              <w:widowControl/>
              <w:kinsoku/>
              <w:wordWrap/>
              <w:overflowPunct w:val="0"/>
              <w:topLinePunct w:val="0"/>
              <w:autoSpaceDE w:val="0"/>
              <w:autoSpaceDN w:val="0"/>
              <w:bidi w:val="0"/>
              <w:adjustRightInd/>
              <w:snapToGrid/>
              <w:spacing w:before="0"/>
              <w:ind w:left="0" w:leftChars="0"/>
              <w:jc w:val="center"/>
              <w:textAlignment w:val="auto"/>
              <w:rPr>
                <w:sz w:val="21"/>
                <w:szCs w:val="21"/>
              </w:rPr>
            </w:pPr>
            <w:r>
              <w:rPr>
                <w:rFonts w:hint="default" w:ascii="Times New Roman" w:hAnsi="Times New Roman" w:eastAsia="宋体" w:cs="Times New Roman"/>
                <w:sz w:val="21"/>
                <w:lang w:val="en-US"/>
              </w:rPr>
              <w:t>SS</w:t>
            </w:r>
          </w:p>
        </w:tc>
        <w:tc>
          <w:tcPr>
            <w:tcW w:w="536" w:type="pct"/>
            <w:noWrap w:val="0"/>
            <w:vAlign w:val="center"/>
          </w:tcPr>
          <w:p>
            <w:pPr>
              <w:rPr>
                <w:sz w:val="21"/>
                <w:szCs w:val="21"/>
              </w:rPr>
            </w:pPr>
            <w:r>
              <w:rPr>
                <w:snapToGrid w:val="0"/>
                <w:sz w:val="21"/>
                <w:szCs w:val="21"/>
              </w:rPr>
              <w:t>/</w:t>
            </w:r>
          </w:p>
        </w:tc>
        <w:tc>
          <w:tcPr>
            <w:tcW w:w="462" w:type="pct"/>
            <w:noWrap w:val="0"/>
            <w:vAlign w:val="center"/>
          </w:tcPr>
          <w:p>
            <w:pPr>
              <w:rPr>
                <w:sz w:val="21"/>
                <w:szCs w:val="21"/>
              </w:rPr>
            </w:pPr>
            <w:r>
              <w:rPr>
                <w:snapToGrid w:val="0"/>
                <w:sz w:val="21"/>
                <w:szCs w:val="21"/>
              </w:rPr>
              <w:t>/</w:t>
            </w:r>
          </w:p>
        </w:tc>
        <w:tc>
          <w:tcPr>
            <w:tcW w:w="616" w:type="pct"/>
            <w:noWrap w:val="0"/>
            <w:vAlign w:val="center"/>
          </w:tcPr>
          <w:p>
            <w:pPr>
              <w:rPr>
                <w:sz w:val="21"/>
                <w:szCs w:val="21"/>
              </w:rPr>
            </w:pPr>
            <w:r>
              <w:rPr>
                <w:snapToGrid w:val="0"/>
                <w:sz w:val="21"/>
                <w:szCs w:val="21"/>
              </w:rPr>
              <w:t>/</w:t>
            </w:r>
          </w:p>
        </w:tc>
        <w:tc>
          <w:tcPr>
            <w:tcW w:w="565" w:type="pct"/>
            <w:noWrap w:val="0"/>
            <w:vAlign w:val="center"/>
          </w:tcPr>
          <w:p>
            <w:pPr>
              <w:rPr>
                <w:sz w:val="21"/>
                <w:szCs w:val="21"/>
              </w:rPr>
            </w:pPr>
            <w:r>
              <w:rPr>
                <w:rFonts w:hint="eastAsia"/>
                <w:sz w:val="21"/>
                <w:szCs w:val="21"/>
                <w:lang w:val="en-US" w:eastAsia="zh-CN"/>
              </w:rPr>
              <w:t>0.236t/a</w:t>
            </w:r>
          </w:p>
        </w:tc>
        <w:tc>
          <w:tcPr>
            <w:tcW w:w="593" w:type="pct"/>
            <w:noWrap w:val="0"/>
            <w:vAlign w:val="center"/>
          </w:tcPr>
          <w:p>
            <w:pPr>
              <w:rPr>
                <w:sz w:val="21"/>
                <w:szCs w:val="21"/>
              </w:rPr>
            </w:pPr>
            <w:r>
              <w:rPr>
                <w:snapToGrid w:val="0"/>
                <w:sz w:val="21"/>
                <w:szCs w:val="21"/>
              </w:rPr>
              <w:t>/</w:t>
            </w:r>
          </w:p>
        </w:tc>
        <w:tc>
          <w:tcPr>
            <w:tcW w:w="612" w:type="pct"/>
            <w:noWrap w:val="0"/>
            <w:vAlign w:val="center"/>
          </w:tcPr>
          <w:p>
            <w:pPr>
              <w:rPr>
                <w:sz w:val="21"/>
                <w:szCs w:val="21"/>
              </w:rPr>
            </w:pPr>
            <w:r>
              <w:rPr>
                <w:rFonts w:hint="eastAsia"/>
                <w:sz w:val="21"/>
                <w:szCs w:val="21"/>
                <w:lang w:val="en-US" w:eastAsia="zh-CN"/>
              </w:rPr>
              <w:t>0.236t/a</w:t>
            </w:r>
          </w:p>
        </w:tc>
        <w:tc>
          <w:tcPr>
            <w:tcW w:w="443" w:type="pct"/>
            <w:noWrap w:val="0"/>
            <w:vAlign w:val="center"/>
          </w:tcPr>
          <w:p>
            <w:pPr>
              <w:rPr>
                <w:sz w:val="21"/>
                <w:szCs w:val="21"/>
              </w:rPr>
            </w:pPr>
            <w:r>
              <w:rPr>
                <w:rFonts w:hint="eastAsia"/>
                <w:sz w:val="21"/>
                <w:szCs w:val="21"/>
                <w:lang w:val="en-US" w:eastAsia="zh-CN"/>
              </w:rPr>
              <w:t>+0.236t/a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50" w:type="pct"/>
            <w:vMerge w:val="continue"/>
            <w:noWrap w:val="0"/>
            <w:vAlign w:val="center"/>
          </w:tcPr>
          <w:p>
            <w:pPr>
              <w:rPr>
                <w:snapToGrid w:val="0"/>
                <w:sz w:val="21"/>
                <w:szCs w:val="21"/>
              </w:rPr>
            </w:pPr>
          </w:p>
        </w:tc>
        <w:tc>
          <w:tcPr>
            <w:tcW w:w="720" w:type="pct"/>
            <w:noWrap w:val="0"/>
            <w:vAlign w:val="center"/>
          </w:tcPr>
          <w:p>
            <w:pPr>
              <w:pStyle w:val="104"/>
              <w:keepNext w:val="0"/>
              <w:keepLines w:val="0"/>
              <w:pageBreakBefore w:val="0"/>
              <w:widowControl/>
              <w:kinsoku/>
              <w:wordWrap/>
              <w:overflowPunct w:val="0"/>
              <w:topLinePunct w:val="0"/>
              <w:autoSpaceDE w:val="0"/>
              <w:autoSpaceDN w:val="0"/>
              <w:bidi w:val="0"/>
              <w:adjustRightInd/>
              <w:snapToGrid/>
              <w:spacing w:before="0"/>
              <w:ind w:left="0" w:leftChars="0"/>
              <w:jc w:val="center"/>
              <w:textAlignment w:val="auto"/>
              <w:rPr>
                <w:rFonts w:hint="default" w:eastAsia="宋体"/>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536" w:type="pct"/>
            <w:noWrap w:val="0"/>
            <w:vAlign w:val="center"/>
          </w:tcPr>
          <w:p>
            <w:pPr>
              <w:rPr>
                <w:sz w:val="21"/>
                <w:szCs w:val="21"/>
              </w:rPr>
            </w:pPr>
            <w:r>
              <w:rPr>
                <w:snapToGrid w:val="0"/>
                <w:sz w:val="21"/>
                <w:szCs w:val="21"/>
              </w:rPr>
              <w:t>/</w:t>
            </w:r>
          </w:p>
        </w:tc>
        <w:tc>
          <w:tcPr>
            <w:tcW w:w="462" w:type="pct"/>
            <w:noWrap w:val="0"/>
            <w:vAlign w:val="center"/>
          </w:tcPr>
          <w:p>
            <w:pPr>
              <w:rPr>
                <w:sz w:val="21"/>
                <w:szCs w:val="21"/>
              </w:rPr>
            </w:pPr>
            <w:r>
              <w:rPr>
                <w:snapToGrid w:val="0"/>
                <w:sz w:val="21"/>
                <w:szCs w:val="21"/>
              </w:rPr>
              <w:t>/</w:t>
            </w:r>
          </w:p>
        </w:tc>
        <w:tc>
          <w:tcPr>
            <w:tcW w:w="616" w:type="pct"/>
            <w:noWrap w:val="0"/>
            <w:vAlign w:val="center"/>
          </w:tcPr>
          <w:p>
            <w:pPr>
              <w:rPr>
                <w:sz w:val="21"/>
                <w:szCs w:val="21"/>
              </w:rPr>
            </w:pPr>
            <w:r>
              <w:rPr>
                <w:snapToGrid w:val="0"/>
                <w:sz w:val="21"/>
                <w:szCs w:val="21"/>
              </w:rPr>
              <w:t>/</w:t>
            </w:r>
          </w:p>
        </w:tc>
        <w:tc>
          <w:tcPr>
            <w:tcW w:w="565" w:type="pct"/>
            <w:noWrap w:val="0"/>
            <w:vAlign w:val="center"/>
          </w:tcPr>
          <w:p>
            <w:pPr>
              <w:rPr>
                <w:sz w:val="21"/>
                <w:szCs w:val="21"/>
              </w:rPr>
            </w:pPr>
            <w:r>
              <w:rPr>
                <w:rFonts w:hint="eastAsia"/>
                <w:sz w:val="21"/>
                <w:szCs w:val="21"/>
                <w:lang w:val="en-US" w:eastAsia="zh-CN"/>
              </w:rPr>
              <w:t>0.177t/a</w:t>
            </w:r>
          </w:p>
        </w:tc>
        <w:tc>
          <w:tcPr>
            <w:tcW w:w="593" w:type="pct"/>
            <w:noWrap w:val="0"/>
            <w:vAlign w:val="center"/>
          </w:tcPr>
          <w:p>
            <w:pPr>
              <w:rPr>
                <w:sz w:val="21"/>
                <w:szCs w:val="21"/>
              </w:rPr>
            </w:pPr>
            <w:r>
              <w:rPr>
                <w:snapToGrid w:val="0"/>
                <w:sz w:val="21"/>
                <w:szCs w:val="21"/>
              </w:rPr>
              <w:t>/</w:t>
            </w:r>
          </w:p>
        </w:tc>
        <w:tc>
          <w:tcPr>
            <w:tcW w:w="612" w:type="pct"/>
            <w:noWrap w:val="0"/>
            <w:vAlign w:val="center"/>
          </w:tcPr>
          <w:p>
            <w:pPr>
              <w:rPr>
                <w:sz w:val="21"/>
                <w:szCs w:val="21"/>
              </w:rPr>
            </w:pPr>
            <w:r>
              <w:rPr>
                <w:rFonts w:hint="eastAsia"/>
                <w:sz w:val="21"/>
                <w:szCs w:val="21"/>
                <w:lang w:val="en-US" w:eastAsia="zh-CN"/>
              </w:rPr>
              <w:t>0.177t/a</w:t>
            </w:r>
          </w:p>
        </w:tc>
        <w:tc>
          <w:tcPr>
            <w:tcW w:w="443" w:type="pct"/>
            <w:noWrap w:val="0"/>
            <w:vAlign w:val="center"/>
          </w:tcPr>
          <w:p>
            <w:pPr>
              <w:rPr>
                <w:sz w:val="21"/>
                <w:szCs w:val="21"/>
              </w:rPr>
            </w:pPr>
            <w:r>
              <w:rPr>
                <w:rFonts w:hint="eastAsia"/>
                <w:sz w:val="21"/>
                <w:szCs w:val="21"/>
                <w:lang w:val="en-US" w:eastAsia="zh-CN"/>
              </w:rPr>
              <w:t>+0.177t/a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50" w:type="pct"/>
            <w:vMerge w:val="restart"/>
            <w:noWrap w:val="0"/>
            <w:vAlign w:val="center"/>
          </w:tcPr>
          <w:p>
            <w:pPr>
              <w:rPr>
                <w:rFonts w:hint="default" w:eastAsia="宋体"/>
                <w:snapToGrid w:val="0"/>
                <w:sz w:val="21"/>
                <w:szCs w:val="21"/>
                <w:lang w:val="en-US" w:eastAsia="zh-CN"/>
              </w:rPr>
            </w:pPr>
            <w:r>
              <w:rPr>
                <w:rFonts w:hint="eastAsia"/>
                <w:snapToGrid w:val="0"/>
                <w:sz w:val="21"/>
                <w:szCs w:val="21"/>
                <w:lang w:val="en-US" w:eastAsia="zh-CN"/>
              </w:rPr>
              <w:t>危险废物</w:t>
            </w:r>
          </w:p>
        </w:tc>
        <w:tc>
          <w:tcPr>
            <w:tcW w:w="720" w:type="pct"/>
            <w:noWrap w:val="0"/>
            <w:vAlign w:val="center"/>
          </w:tcPr>
          <w:p>
            <w:pPr>
              <w:rPr>
                <w:rFonts w:hint="default" w:eastAsia="宋体"/>
                <w:sz w:val="21"/>
                <w:szCs w:val="21"/>
                <w:lang w:val="en-US" w:eastAsia="zh-CN"/>
              </w:rPr>
            </w:pPr>
            <w:r>
              <w:rPr>
                <w:rFonts w:hint="eastAsia"/>
                <w:sz w:val="21"/>
                <w:szCs w:val="21"/>
                <w:lang w:val="en-US" w:eastAsia="zh-CN"/>
              </w:rPr>
              <w:t>医疗废物</w:t>
            </w:r>
          </w:p>
        </w:tc>
        <w:tc>
          <w:tcPr>
            <w:tcW w:w="536" w:type="pct"/>
            <w:noWrap w:val="0"/>
            <w:vAlign w:val="center"/>
          </w:tcPr>
          <w:p>
            <w:pPr>
              <w:rPr>
                <w:snapToGrid w:val="0"/>
                <w:sz w:val="21"/>
                <w:szCs w:val="21"/>
              </w:rPr>
            </w:pPr>
            <w:r>
              <w:rPr>
                <w:snapToGrid w:val="0"/>
                <w:sz w:val="21"/>
                <w:szCs w:val="21"/>
              </w:rPr>
              <w:t>/</w:t>
            </w:r>
          </w:p>
        </w:tc>
        <w:tc>
          <w:tcPr>
            <w:tcW w:w="462" w:type="pct"/>
            <w:noWrap w:val="0"/>
            <w:vAlign w:val="center"/>
          </w:tcPr>
          <w:p>
            <w:pPr>
              <w:rPr>
                <w:snapToGrid w:val="0"/>
                <w:sz w:val="21"/>
                <w:szCs w:val="21"/>
              </w:rPr>
            </w:pPr>
            <w:r>
              <w:rPr>
                <w:snapToGrid w:val="0"/>
                <w:sz w:val="21"/>
                <w:szCs w:val="21"/>
              </w:rPr>
              <w:t>/</w:t>
            </w:r>
          </w:p>
        </w:tc>
        <w:tc>
          <w:tcPr>
            <w:tcW w:w="616" w:type="pct"/>
            <w:noWrap w:val="0"/>
            <w:vAlign w:val="center"/>
          </w:tcPr>
          <w:p>
            <w:pPr>
              <w:rPr>
                <w:snapToGrid w:val="0"/>
                <w:sz w:val="21"/>
                <w:szCs w:val="21"/>
              </w:rPr>
            </w:pPr>
            <w:r>
              <w:rPr>
                <w:snapToGrid w:val="0"/>
                <w:sz w:val="21"/>
                <w:szCs w:val="21"/>
              </w:rPr>
              <w:t>/</w:t>
            </w:r>
          </w:p>
        </w:tc>
        <w:tc>
          <w:tcPr>
            <w:tcW w:w="565" w:type="pct"/>
            <w:noWrap w:val="0"/>
            <w:vAlign w:val="center"/>
          </w:tcPr>
          <w:p>
            <w:pPr>
              <w:rPr>
                <w:rFonts w:hint="default" w:eastAsia="宋体"/>
                <w:sz w:val="21"/>
                <w:szCs w:val="21"/>
                <w:lang w:val="en-US" w:eastAsia="zh-CN"/>
              </w:rPr>
            </w:pPr>
            <w:r>
              <w:rPr>
                <w:rFonts w:hint="eastAsia"/>
                <w:sz w:val="21"/>
                <w:szCs w:val="21"/>
                <w:lang w:val="en-US" w:eastAsia="zh-CN"/>
              </w:rPr>
              <w:t>9.286t/a</w:t>
            </w:r>
          </w:p>
        </w:tc>
        <w:tc>
          <w:tcPr>
            <w:tcW w:w="593" w:type="pct"/>
            <w:noWrap w:val="0"/>
            <w:vAlign w:val="center"/>
          </w:tcPr>
          <w:p>
            <w:pPr>
              <w:rPr>
                <w:sz w:val="21"/>
                <w:szCs w:val="21"/>
              </w:rPr>
            </w:pPr>
            <w:r>
              <w:rPr>
                <w:snapToGrid w:val="0"/>
                <w:sz w:val="21"/>
                <w:szCs w:val="21"/>
              </w:rPr>
              <w:t>/</w:t>
            </w:r>
          </w:p>
        </w:tc>
        <w:tc>
          <w:tcPr>
            <w:tcW w:w="1893" w:type="dxa"/>
            <w:noWrap w:val="0"/>
            <w:vAlign w:val="center"/>
          </w:tcPr>
          <w:p>
            <w:pPr>
              <w:rPr>
                <w:sz w:val="21"/>
                <w:szCs w:val="21"/>
              </w:rPr>
            </w:pPr>
            <w:r>
              <w:rPr>
                <w:rFonts w:hint="eastAsia"/>
                <w:sz w:val="21"/>
                <w:szCs w:val="21"/>
                <w:lang w:val="en-US" w:eastAsia="zh-CN"/>
              </w:rPr>
              <w:t>9.286t/a</w:t>
            </w:r>
          </w:p>
        </w:tc>
        <w:tc>
          <w:tcPr>
            <w:tcW w:w="1370" w:type="dxa"/>
            <w:noWrap w:val="0"/>
            <w:vAlign w:val="center"/>
          </w:tcPr>
          <w:p>
            <w:pPr>
              <w:rPr>
                <w:rFonts w:hint="eastAsia" w:eastAsia="宋体"/>
                <w:sz w:val="21"/>
                <w:szCs w:val="21"/>
                <w:lang w:val="en-US" w:eastAsia="zh-CN"/>
              </w:rPr>
            </w:pPr>
            <w:r>
              <w:rPr>
                <w:rFonts w:hint="eastAsia"/>
                <w:sz w:val="21"/>
                <w:szCs w:val="21"/>
                <w:lang w:val="en-US" w:eastAsia="zh-CN"/>
              </w:rPr>
              <w:t>+9.286t/a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50" w:type="pct"/>
            <w:vMerge w:val="continue"/>
            <w:noWrap w:val="0"/>
            <w:vAlign w:val="center"/>
          </w:tcPr>
          <w:p>
            <w:pPr>
              <w:rPr>
                <w:snapToGrid w:val="0"/>
                <w:sz w:val="21"/>
                <w:szCs w:val="21"/>
              </w:rPr>
            </w:pPr>
          </w:p>
        </w:tc>
        <w:tc>
          <w:tcPr>
            <w:tcW w:w="720" w:type="pct"/>
            <w:noWrap w:val="0"/>
            <w:vAlign w:val="center"/>
          </w:tcPr>
          <w:p>
            <w:pPr>
              <w:rPr>
                <w:rFonts w:hint="default" w:eastAsia="宋体"/>
                <w:sz w:val="21"/>
                <w:szCs w:val="21"/>
                <w:lang w:val="en-US" w:eastAsia="zh-CN"/>
              </w:rPr>
            </w:pPr>
            <w:r>
              <w:rPr>
                <w:rFonts w:hint="eastAsia"/>
                <w:sz w:val="21"/>
                <w:szCs w:val="21"/>
                <w:lang w:val="en-US" w:eastAsia="zh-CN"/>
              </w:rPr>
              <w:t>污泥</w:t>
            </w:r>
          </w:p>
        </w:tc>
        <w:tc>
          <w:tcPr>
            <w:tcW w:w="536" w:type="pct"/>
            <w:noWrap w:val="0"/>
            <w:vAlign w:val="center"/>
          </w:tcPr>
          <w:p>
            <w:pPr>
              <w:rPr>
                <w:sz w:val="21"/>
                <w:szCs w:val="21"/>
              </w:rPr>
            </w:pPr>
            <w:r>
              <w:rPr>
                <w:snapToGrid w:val="0"/>
                <w:sz w:val="21"/>
                <w:szCs w:val="21"/>
              </w:rPr>
              <w:t>/</w:t>
            </w:r>
          </w:p>
        </w:tc>
        <w:tc>
          <w:tcPr>
            <w:tcW w:w="462" w:type="pct"/>
            <w:noWrap w:val="0"/>
            <w:vAlign w:val="center"/>
          </w:tcPr>
          <w:p>
            <w:pPr>
              <w:rPr>
                <w:sz w:val="21"/>
                <w:szCs w:val="21"/>
              </w:rPr>
            </w:pPr>
            <w:r>
              <w:rPr>
                <w:snapToGrid w:val="0"/>
                <w:sz w:val="21"/>
                <w:szCs w:val="21"/>
              </w:rPr>
              <w:t>/</w:t>
            </w:r>
          </w:p>
        </w:tc>
        <w:tc>
          <w:tcPr>
            <w:tcW w:w="616" w:type="pct"/>
            <w:noWrap w:val="0"/>
            <w:vAlign w:val="center"/>
          </w:tcPr>
          <w:p>
            <w:pPr>
              <w:rPr>
                <w:sz w:val="21"/>
                <w:szCs w:val="21"/>
              </w:rPr>
            </w:pPr>
            <w:r>
              <w:rPr>
                <w:snapToGrid w:val="0"/>
                <w:sz w:val="21"/>
                <w:szCs w:val="21"/>
              </w:rPr>
              <w:t>/</w:t>
            </w:r>
          </w:p>
        </w:tc>
        <w:tc>
          <w:tcPr>
            <w:tcW w:w="565" w:type="pct"/>
            <w:noWrap w:val="0"/>
            <w:vAlign w:val="center"/>
          </w:tcPr>
          <w:p>
            <w:pPr>
              <w:rPr>
                <w:rFonts w:hint="default" w:eastAsia="宋体"/>
                <w:color w:val="FF0000"/>
                <w:sz w:val="21"/>
                <w:szCs w:val="21"/>
                <w:lang w:val="en-US" w:eastAsia="zh-CN"/>
              </w:rPr>
            </w:pPr>
            <w:r>
              <w:rPr>
                <w:rFonts w:hint="eastAsia"/>
                <w:sz w:val="21"/>
                <w:szCs w:val="21"/>
                <w:lang w:val="en-US" w:eastAsia="zh-CN"/>
              </w:rPr>
              <w:t>0.35t/a</w:t>
            </w:r>
          </w:p>
        </w:tc>
        <w:tc>
          <w:tcPr>
            <w:tcW w:w="593" w:type="pct"/>
            <w:noWrap w:val="0"/>
            <w:vAlign w:val="center"/>
          </w:tcPr>
          <w:p>
            <w:pPr>
              <w:rPr>
                <w:sz w:val="21"/>
                <w:szCs w:val="21"/>
              </w:rPr>
            </w:pPr>
            <w:r>
              <w:rPr>
                <w:snapToGrid w:val="0"/>
                <w:sz w:val="21"/>
                <w:szCs w:val="21"/>
              </w:rPr>
              <w:t>/</w:t>
            </w:r>
          </w:p>
        </w:tc>
        <w:tc>
          <w:tcPr>
            <w:tcW w:w="1893" w:type="dxa"/>
            <w:noWrap w:val="0"/>
            <w:vAlign w:val="center"/>
          </w:tcPr>
          <w:p>
            <w:pPr>
              <w:rPr>
                <w:rFonts w:hint="default"/>
                <w:color w:val="FF0000"/>
                <w:sz w:val="21"/>
                <w:szCs w:val="21"/>
                <w:lang w:val="en-US"/>
              </w:rPr>
            </w:pPr>
            <w:r>
              <w:rPr>
                <w:rFonts w:hint="eastAsia"/>
                <w:sz w:val="21"/>
                <w:szCs w:val="21"/>
                <w:lang w:val="en-US" w:eastAsia="zh-CN"/>
              </w:rPr>
              <w:t>0.35t/a</w:t>
            </w:r>
          </w:p>
        </w:tc>
        <w:tc>
          <w:tcPr>
            <w:tcW w:w="1370" w:type="dxa"/>
            <w:noWrap w:val="0"/>
            <w:vAlign w:val="center"/>
          </w:tcPr>
          <w:p>
            <w:pPr>
              <w:rPr>
                <w:sz w:val="21"/>
                <w:szCs w:val="21"/>
              </w:rPr>
            </w:pPr>
            <w:r>
              <w:rPr>
                <w:rFonts w:hint="eastAsia"/>
                <w:sz w:val="21"/>
                <w:szCs w:val="21"/>
                <w:lang w:val="en-US" w:eastAsia="zh-CN"/>
              </w:rPr>
              <w:t>+0.35t/a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0" w:type="pct"/>
            <w:vMerge w:val="continue"/>
            <w:noWrap w:val="0"/>
            <w:vAlign w:val="center"/>
          </w:tcPr>
          <w:p>
            <w:pPr>
              <w:rPr>
                <w:snapToGrid w:val="0"/>
                <w:sz w:val="21"/>
                <w:szCs w:val="21"/>
              </w:rPr>
            </w:pPr>
          </w:p>
        </w:tc>
        <w:tc>
          <w:tcPr>
            <w:tcW w:w="720" w:type="pct"/>
            <w:noWrap w:val="0"/>
            <w:vAlign w:val="center"/>
          </w:tcPr>
          <w:p>
            <w:pPr>
              <w:rPr>
                <w:rFonts w:hint="default" w:eastAsia="宋体"/>
                <w:sz w:val="21"/>
                <w:szCs w:val="21"/>
                <w:lang w:val="en-US" w:eastAsia="zh-CN"/>
              </w:rPr>
            </w:pPr>
            <w:r>
              <w:rPr>
                <w:rFonts w:hint="eastAsia"/>
                <w:sz w:val="21"/>
                <w:szCs w:val="21"/>
                <w:lang w:val="en-US" w:eastAsia="zh-CN"/>
              </w:rPr>
              <w:t>废药物药品</w:t>
            </w:r>
          </w:p>
        </w:tc>
        <w:tc>
          <w:tcPr>
            <w:tcW w:w="536" w:type="pct"/>
            <w:noWrap w:val="0"/>
            <w:vAlign w:val="center"/>
          </w:tcPr>
          <w:p>
            <w:pPr>
              <w:rPr>
                <w:snapToGrid w:val="0"/>
                <w:sz w:val="21"/>
                <w:szCs w:val="21"/>
              </w:rPr>
            </w:pPr>
            <w:r>
              <w:rPr>
                <w:snapToGrid w:val="0"/>
                <w:sz w:val="21"/>
                <w:szCs w:val="21"/>
              </w:rPr>
              <w:t>/</w:t>
            </w:r>
          </w:p>
        </w:tc>
        <w:tc>
          <w:tcPr>
            <w:tcW w:w="462" w:type="pct"/>
            <w:noWrap w:val="0"/>
            <w:vAlign w:val="center"/>
          </w:tcPr>
          <w:p>
            <w:pPr>
              <w:rPr>
                <w:snapToGrid w:val="0"/>
                <w:sz w:val="21"/>
                <w:szCs w:val="21"/>
              </w:rPr>
            </w:pPr>
            <w:r>
              <w:rPr>
                <w:snapToGrid w:val="0"/>
                <w:sz w:val="21"/>
                <w:szCs w:val="21"/>
              </w:rPr>
              <w:t>/</w:t>
            </w:r>
          </w:p>
        </w:tc>
        <w:tc>
          <w:tcPr>
            <w:tcW w:w="616" w:type="pct"/>
            <w:noWrap w:val="0"/>
            <w:vAlign w:val="center"/>
          </w:tcPr>
          <w:p>
            <w:pPr>
              <w:rPr>
                <w:snapToGrid w:val="0"/>
                <w:sz w:val="21"/>
                <w:szCs w:val="21"/>
              </w:rPr>
            </w:pPr>
            <w:r>
              <w:rPr>
                <w:snapToGrid w:val="0"/>
                <w:sz w:val="21"/>
                <w:szCs w:val="21"/>
              </w:rPr>
              <w:t>/</w:t>
            </w:r>
          </w:p>
        </w:tc>
        <w:tc>
          <w:tcPr>
            <w:tcW w:w="565" w:type="pct"/>
            <w:noWrap w:val="0"/>
            <w:vAlign w:val="center"/>
          </w:tcPr>
          <w:p>
            <w:pPr>
              <w:rPr>
                <w:rFonts w:hint="default" w:eastAsia="宋体"/>
                <w:sz w:val="21"/>
                <w:szCs w:val="21"/>
                <w:lang w:val="en-US" w:eastAsia="zh-CN"/>
              </w:rPr>
            </w:pPr>
            <w:r>
              <w:rPr>
                <w:rFonts w:hint="eastAsia"/>
                <w:sz w:val="21"/>
                <w:szCs w:val="21"/>
                <w:lang w:val="en-US" w:eastAsia="zh-CN"/>
              </w:rPr>
              <w:t>0.01t/a</w:t>
            </w:r>
          </w:p>
        </w:tc>
        <w:tc>
          <w:tcPr>
            <w:tcW w:w="593" w:type="pct"/>
            <w:noWrap w:val="0"/>
            <w:vAlign w:val="center"/>
          </w:tcPr>
          <w:p>
            <w:pPr>
              <w:rPr>
                <w:sz w:val="21"/>
                <w:szCs w:val="21"/>
              </w:rPr>
            </w:pPr>
            <w:r>
              <w:rPr>
                <w:snapToGrid w:val="0"/>
                <w:sz w:val="21"/>
                <w:szCs w:val="21"/>
              </w:rPr>
              <w:t>/</w:t>
            </w:r>
          </w:p>
        </w:tc>
        <w:tc>
          <w:tcPr>
            <w:tcW w:w="1893" w:type="dxa"/>
            <w:noWrap w:val="0"/>
            <w:vAlign w:val="center"/>
          </w:tcPr>
          <w:p>
            <w:pPr>
              <w:rPr>
                <w:sz w:val="21"/>
                <w:szCs w:val="21"/>
              </w:rPr>
            </w:pPr>
            <w:r>
              <w:rPr>
                <w:rFonts w:hint="eastAsia"/>
                <w:sz w:val="21"/>
                <w:szCs w:val="21"/>
                <w:lang w:val="en-US" w:eastAsia="zh-CN"/>
              </w:rPr>
              <w:t>0.01t/a</w:t>
            </w:r>
          </w:p>
        </w:tc>
        <w:tc>
          <w:tcPr>
            <w:tcW w:w="1370" w:type="dxa"/>
            <w:noWrap w:val="0"/>
            <w:vAlign w:val="center"/>
          </w:tcPr>
          <w:p>
            <w:pPr>
              <w:rPr>
                <w:sz w:val="21"/>
                <w:szCs w:val="21"/>
              </w:rPr>
            </w:pPr>
            <w:r>
              <w:rPr>
                <w:rFonts w:hint="eastAsia"/>
                <w:sz w:val="21"/>
                <w:szCs w:val="21"/>
                <w:lang w:val="en-US" w:eastAsia="zh-CN"/>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50" w:type="pct"/>
            <w:noWrap w:val="0"/>
            <w:vAlign w:val="center"/>
          </w:tcPr>
          <w:p>
            <w:pPr>
              <w:rPr>
                <w:rFonts w:hint="default" w:eastAsia="宋体"/>
                <w:snapToGrid w:val="0"/>
                <w:sz w:val="21"/>
                <w:szCs w:val="21"/>
                <w:lang w:val="en-US" w:eastAsia="zh-CN"/>
              </w:rPr>
            </w:pPr>
            <w:r>
              <w:rPr>
                <w:rFonts w:hint="eastAsia"/>
                <w:snapToGrid w:val="0"/>
                <w:sz w:val="21"/>
                <w:szCs w:val="21"/>
                <w:lang w:val="en-US" w:eastAsia="zh-CN"/>
              </w:rPr>
              <w:t>一般工业固体废物</w:t>
            </w:r>
          </w:p>
        </w:tc>
        <w:tc>
          <w:tcPr>
            <w:tcW w:w="720" w:type="pct"/>
            <w:noWrap w:val="0"/>
            <w:vAlign w:val="center"/>
          </w:tcPr>
          <w:p>
            <w:pPr>
              <w:rPr>
                <w:rFonts w:hint="default" w:eastAsia="宋体"/>
                <w:snapToGrid w:val="0"/>
                <w:sz w:val="21"/>
                <w:szCs w:val="21"/>
                <w:lang w:val="en-US" w:eastAsia="zh-CN"/>
              </w:rPr>
            </w:pPr>
            <w:r>
              <w:rPr>
                <w:rFonts w:hint="eastAsia"/>
                <w:snapToGrid w:val="0"/>
                <w:sz w:val="21"/>
                <w:szCs w:val="21"/>
                <w:lang w:val="en-US" w:eastAsia="zh-CN"/>
              </w:rPr>
              <w:t>生活垃圾</w:t>
            </w:r>
          </w:p>
        </w:tc>
        <w:tc>
          <w:tcPr>
            <w:tcW w:w="536" w:type="pct"/>
            <w:noWrap w:val="0"/>
            <w:vAlign w:val="center"/>
          </w:tcPr>
          <w:p>
            <w:pPr>
              <w:rPr>
                <w:snapToGrid w:val="0"/>
                <w:sz w:val="21"/>
                <w:szCs w:val="21"/>
              </w:rPr>
            </w:pPr>
            <w:r>
              <w:rPr>
                <w:snapToGrid w:val="0"/>
                <w:sz w:val="21"/>
                <w:szCs w:val="21"/>
              </w:rPr>
              <w:t>/</w:t>
            </w:r>
          </w:p>
        </w:tc>
        <w:tc>
          <w:tcPr>
            <w:tcW w:w="462" w:type="pct"/>
            <w:noWrap w:val="0"/>
            <w:vAlign w:val="center"/>
          </w:tcPr>
          <w:p>
            <w:pPr>
              <w:rPr>
                <w:snapToGrid w:val="0"/>
                <w:sz w:val="21"/>
                <w:szCs w:val="21"/>
              </w:rPr>
            </w:pPr>
            <w:r>
              <w:rPr>
                <w:snapToGrid w:val="0"/>
                <w:sz w:val="21"/>
                <w:szCs w:val="21"/>
              </w:rPr>
              <w:t>/</w:t>
            </w:r>
          </w:p>
        </w:tc>
        <w:tc>
          <w:tcPr>
            <w:tcW w:w="616" w:type="pct"/>
            <w:noWrap w:val="0"/>
            <w:vAlign w:val="center"/>
          </w:tcPr>
          <w:p>
            <w:pPr>
              <w:rPr>
                <w:snapToGrid w:val="0"/>
                <w:sz w:val="21"/>
                <w:szCs w:val="21"/>
              </w:rPr>
            </w:pPr>
            <w:r>
              <w:rPr>
                <w:snapToGrid w:val="0"/>
                <w:sz w:val="21"/>
                <w:szCs w:val="21"/>
              </w:rPr>
              <w:t>/</w:t>
            </w:r>
          </w:p>
        </w:tc>
        <w:tc>
          <w:tcPr>
            <w:tcW w:w="565" w:type="pct"/>
            <w:noWrap w:val="0"/>
            <w:vAlign w:val="center"/>
          </w:tcPr>
          <w:p>
            <w:pPr>
              <w:rPr>
                <w:rFonts w:hint="eastAsia"/>
                <w:snapToGrid w:val="0"/>
                <w:sz w:val="21"/>
                <w:szCs w:val="21"/>
                <w:lang w:val="en-US" w:eastAsia="zh-CN"/>
              </w:rPr>
            </w:pPr>
            <w:r>
              <w:rPr>
                <w:rFonts w:hint="eastAsia"/>
                <w:sz w:val="21"/>
                <w:szCs w:val="21"/>
                <w:lang w:val="en-US" w:eastAsia="zh-CN"/>
              </w:rPr>
              <w:t>5.329t/a</w:t>
            </w:r>
          </w:p>
        </w:tc>
        <w:tc>
          <w:tcPr>
            <w:tcW w:w="593" w:type="pct"/>
            <w:noWrap w:val="0"/>
            <w:vAlign w:val="center"/>
          </w:tcPr>
          <w:p>
            <w:pPr>
              <w:rPr>
                <w:sz w:val="21"/>
                <w:szCs w:val="21"/>
              </w:rPr>
            </w:pPr>
            <w:r>
              <w:rPr>
                <w:snapToGrid w:val="0"/>
                <w:sz w:val="21"/>
                <w:szCs w:val="21"/>
              </w:rPr>
              <w:t>/</w:t>
            </w:r>
          </w:p>
        </w:tc>
        <w:tc>
          <w:tcPr>
            <w:tcW w:w="612" w:type="pct"/>
            <w:noWrap w:val="0"/>
            <w:vAlign w:val="center"/>
          </w:tcPr>
          <w:p>
            <w:pPr>
              <w:rPr>
                <w:rFonts w:hint="eastAsia"/>
                <w:snapToGrid w:val="0"/>
                <w:sz w:val="21"/>
                <w:szCs w:val="21"/>
                <w:lang w:val="en-US" w:eastAsia="zh-CN"/>
              </w:rPr>
            </w:pPr>
            <w:r>
              <w:rPr>
                <w:rFonts w:hint="eastAsia"/>
                <w:sz w:val="21"/>
                <w:szCs w:val="21"/>
                <w:lang w:val="en-US" w:eastAsia="zh-CN"/>
              </w:rPr>
              <w:t>5.329t/a</w:t>
            </w:r>
          </w:p>
        </w:tc>
        <w:tc>
          <w:tcPr>
            <w:tcW w:w="443" w:type="pct"/>
            <w:noWrap w:val="0"/>
            <w:vAlign w:val="center"/>
          </w:tcPr>
          <w:p>
            <w:pPr>
              <w:rPr>
                <w:sz w:val="21"/>
                <w:szCs w:val="21"/>
              </w:rPr>
            </w:pPr>
            <w:r>
              <w:rPr>
                <w:rFonts w:hint="eastAsia"/>
                <w:sz w:val="21"/>
                <w:szCs w:val="21"/>
                <w:lang w:val="en-US" w:eastAsia="zh-CN"/>
              </w:rPr>
              <w:t>+5.329t/a</w:t>
            </w:r>
          </w:p>
        </w:tc>
      </w:tr>
    </w:tbl>
    <w:p>
      <w:pPr>
        <w:pStyle w:val="90"/>
        <w:spacing w:before="192" w:beforeLines="80" w:after="24"/>
        <w:ind w:firstLine="480"/>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p>
      <w:pPr>
        <w:rPr>
          <w:rFonts w:ascii="Times New Roman"/>
          <w:snapToGrid w:val="0"/>
          <w:spacing w:val="-6"/>
          <w:kern w:val="21"/>
          <w:szCs w:val="21"/>
        </w:rPr>
      </w:pPr>
    </w:p>
    <w:p>
      <w:pPr>
        <w:pStyle w:val="67"/>
        <w:rPr>
          <w:rFonts w:ascii="Times New Roman"/>
          <w:snapToGrid w:val="0"/>
          <w:spacing w:val="-6"/>
          <w:kern w:val="21"/>
          <w:szCs w:val="21"/>
        </w:rPr>
      </w:pPr>
    </w:p>
    <w:p>
      <w:pPr>
        <w:pStyle w:val="67"/>
        <w:rPr>
          <w:rFonts w:ascii="Times New Roman"/>
          <w:snapToGrid w:val="0"/>
          <w:spacing w:val="-6"/>
          <w:kern w:val="21"/>
          <w:szCs w:val="21"/>
        </w:rPr>
      </w:pPr>
    </w:p>
    <w:p>
      <w:pPr>
        <w:pStyle w:val="67"/>
        <w:rPr>
          <w:rFonts w:ascii="Times New Roman"/>
          <w:snapToGrid w:val="0"/>
          <w:spacing w:val="-6"/>
          <w:kern w:val="21"/>
          <w:szCs w:val="21"/>
        </w:rPr>
      </w:pPr>
    </w:p>
    <w:p>
      <w:pPr>
        <w:pStyle w:val="67"/>
        <w:rPr>
          <w:rFonts w:ascii="Times New Roman"/>
          <w:snapToGrid w:val="0"/>
          <w:spacing w:val="-6"/>
          <w:kern w:val="21"/>
          <w:szCs w:val="21"/>
        </w:rPr>
      </w:pPr>
    </w:p>
    <w:p>
      <w:pPr>
        <w:pStyle w:val="67"/>
        <w:rPr>
          <w:rFonts w:ascii="Times New Roman"/>
          <w:snapToGrid w:val="0"/>
          <w:spacing w:val="-6"/>
          <w:kern w:val="21"/>
          <w:szCs w:val="21"/>
        </w:rPr>
      </w:pPr>
    </w:p>
    <w:p>
      <w:pPr>
        <w:pStyle w:val="67"/>
        <w:rPr>
          <w:rFonts w:ascii="Times New Roman"/>
          <w:snapToGrid w:val="0"/>
          <w:spacing w:val="-6"/>
          <w:kern w:val="21"/>
          <w:szCs w:val="21"/>
        </w:rPr>
        <w:sectPr>
          <w:footerReference r:id="rId7" w:type="default"/>
          <w:pgSz w:w="16838" w:h="11906" w:orient="landscape"/>
          <w:pgMar w:top="720" w:right="720" w:bottom="720" w:left="720" w:header="851" w:footer="851" w:gutter="0"/>
          <w:cols w:space="720" w:num="1"/>
          <w:docGrid w:linePitch="326" w:charSpace="0"/>
        </w:sectPr>
      </w:pPr>
    </w:p>
    <w:p>
      <w:pPr>
        <w:pStyle w:val="67"/>
        <w:rPr>
          <w:rFonts w:ascii="Times New Roman"/>
          <w:snapToGrid w:val="0"/>
          <w:spacing w:val="-6"/>
          <w:kern w:val="21"/>
          <w:szCs w:val="21"/>
        </w:rPr>
      </w:pPr>
    </w:p>
    <w:p>
      <w:pPr>
        <w:pStyle w:val="67"/>
        <w:rPr>
          <w:rFonts w:ascii="Times New Roman"/>
          <w:snapToGrid w:val="0"/>
          <w:spacing w:val="-6"/>
          <w:kern w:val="21"/>
          <w:szCs w:val="21"/>
        </w:rPr>
      </w:pPr>
    </w:p>
    <w:p>
      <w:pPr>
        <w:pStyle w:val="67"/>
        <w:rPr>
          <w:rFonts w:ascii="Times New Roman"/>
          <w:snapToGrid w:val="0"/>
          <w:spacing w:val="-6"/>
          <w:kern w:val="21"/>
          <w:szCs w:val="21"/>
        </w:rPr>
      </w:pPr>
    </w:p>
    <w:p>
      <w:pPr>
        <w:pStyle w:val="67"/>
        <w:rPr>
          <w:rFonts w:ascii="Times New Roman"/>
          <w:snapToGrid w:val="0"/>
          <w:spacing w:val="-6"/>
          <w:kern w:val="21"/>
          <w:szCs w:val="21"/>
        </w:rPr>
      </w:pPr>
    </w:p>
    <w:p>
      <w:pPr>
        <w:pStyle w:val="67"/>
        <w:rPr>
          <w:rFonts w:ascii="Times New Roman"/>
          <w:snapToGrid w:val="0"/>
          <w:spacing w:val="-6"/>
          <w:kern w:val="21"/>
          <w:szCs w:val="21"/>
        </w:rPr>
      </w:pPr>
    </w:p>
    <w:sectPr>
      <w:type w:val="continuous"/>
      <w:pgSz w:w="16838" w:h="11906" w:orient="landscape"/>
      <w:pgMar w:top="720" w:right="720" w:bottom="720" w:left="720" w:header="851" w:footer="851"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onsolas">
    <w:panose1 w:val="020B0609020204030204"/>
    <w:charset w:val="00"/>
    <w:family w:val="modern"/>
    <w:pitch w:val="default"/>
    <w:sig w:usb0="E00006FF" w:usb1="0000FCFF" w:usb2="00000001" w:usb3="00000000" w:csb0="600001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CG Times (WN)">
    <w:altName w:val="Times New Roman"/>
    <w:panose1 w:val="00000000000000000000"/>
    <w:charset w:val="00"/>
    <w:family w:val="auto"/>
    <w:pitch w:val="default"/>
    <w:sig w:usb0="00000000" w:usb1="00000000" w:usb2="00000000" w:usb3="00000000" w:csb0="00000001" w:csb1="00000000"/>
  </w:font>
  <w:font w:name="Impact">
    <w:panose1 w:val="020B0806030902050204"/>
    <w:charset w:val="00"/>
    <w:family w:val="swiss"/>
    <w:pitch w:val="default"/>
    <w:sig w:usb0="00000287" w:usb1="00000000" w:usb2="00000000" w:usb3="00000000" w:csb0="2000009F" w:csb1="DFD7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ind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480" w:hanging="480"/>
      <w:jc w:val="center"/>
      <w:rPr>
        <w:rFonts w:hint="eastAsia"/>
      </w:rPr>
    </w:pPr>
    <w:r>
      <w:fldChar w:fldCharType="begin"/>
    </w:r>
    <w:r>
      <w:instrText xml:space="preserve">PAGE   \* MERGEFORMAT</w:instrText>
    </w:r>
    <w:r>
      <w:fldChar w:fldCharType="separate"/>
    </w:r>
    <w:r>
      <w:rPr>
        <w:lang w:val="zh-CN"/>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480" w:hanging="48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480" w:hanging="480"/>
      <w:jc w:val="center"/>
      <w:rPr>
        <w:rFonts w:hint="eastAsia"/>
      </w:rPr>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480" w:hanging="480"/>
      <w:jc w:val="center"/>
      <w:rPr>
        <w:rFonts w:hint="eastAsia"/>
      </w:rPr>
    </w:pPr>
    <w:r>
      <w:fldChar w:fldCharType="begin"/>
    </w:r>
    <w:r>
      <w:instrText xml:space="preserve">PAGE   \* MERGEFORMAT</w:instrText>
    </w:r>
    <w:r>
      <w:fldChar w:fldCharType="separate"/>
    </w:r>
    <w:r>
      <w:rPr>
        <w:lang w:val="zh-CN"/>
      </w:rPr>
      <w:t>55</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CE6961"/>
    <w:multiLevelType w:val="singleLevel"/>
    <w:tmpl w:val="D6CE6961"/>
    <w:lvl w:ilvl="0" w:tentative="0">
      <w:start w:val="2"/>
      <w:numFmt w:val="decimal"/>
      <w:suff w:val="nothing"/>
      <w:lvlText w:val="%1）"/>
      <w:lvlJc w:val="left"/>
    </w:lvl>
  </w:abstractNum>
  <w:abstractNum w:abstractNumId="1">
    <w:nsid w:val="D77AFC6E"/>
    <w:multiLevelType w:val="singleLevel"/>
    <w:tmpl w:val="D77AFC6E"/>
    <w:lvl w:ilvl="0" w:tentative="0">
      <w:start w:val="1"/>
      <w:numFmt w:val="lowerLetter"/>
      <w:suff w:val="nothing"/>
      <w:lvlText w:val="%1、"/>
      <w:lvlJc w:val="left"/>
    </w:lvl>
  </w:abstractNum>
  <w:abstractNum w:abstractNumId="2">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106"/>
      <w:lvlText w:val="%3."/>
      <w:lvlJc w:val="right"/>
      <w:pPr>
        <w:tabs>
          <w:tab w:val="left" w:pos="1260"/>
        </w:tabs>
        <w:ind w:left="1260" w:hanging="420"/>
      </w:pPr>
    </w:lvl>
    <w:lvl w:ilvl="3" w:tentative="0">
      <w:start w:val="1"/>
      <w:numFmt w:val="decimal"/>
      <w:pStyle w:val="11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hYzNlY2YxZDVlMWMyZjcwZjNiZDUwMTkyNDEyZTgifQ=="/>
    <w:docVar w:name="KSO_WPS_MARK_KEY" w:val="fa565297-f705-4874-a8d1-4817feb74d63"/>
  </w:docVars>
  <w:rsids>
    <w:rsidRoot w:val="00172A27"/>
    <w:rsid w:val="000060B3"/>
    <w:rsid w:val="00033F2F"/>
    <w:rsid w:val="00040525"/>
    <w:rsid w:val="00042CC8"/>
    <w:rsid w:val="0004364B"/>
    <w:rsid w:val="00045B09"/>
    <w:rsid w:val="00052A18"/>
    <w:rsid w:val="00055835"/>
    <w:rsid w:val="00061B1F"/>
    <w:rsid w:val="00063A84"/>
    <w:rsid w:val="00071135"/>
    <w:rsid w:val="000733C4"/>
    <w:rsid w:val="00074783"/>
    <w:rsid w:val="0008070B"/>
    <w:rsid w:val="000810AC"/>
    <w:rsid w:val="00081A02"/>
    <w:rsid w:val="00082231"/>
    <w:rsid w:val="000846AF"/>
    <w:rsid w:val="0009271D"/>
    <w:rsid w:val="00092D38"/>
    <w:rsid w:val="0009377B"/>
    <w:rsid w:val="000A20C9"/>
    <w:rsid w:val="000A78BE"/>
    <w:rsid w:val="000B058F"/>
    <w:rsid w:val="000B4467"/>
    <w:rsid w:val="000B4DB9"/>
    <w:rsid w:val="000C09AC"/>
    <w:rsid w:val="000C1F6A"/>
    <w:rsid w:val="000C767F"/>
    <w:rsid w:val="000D5A44"/>
    <w:rsid w:val="000D6508"/>
    <w:rsid w:val="000E3ED2"/>
    <w:rsid w:val="00103BEF"/>
    <w:rsid w:val="001208D3"/>
    <w:rsid w:val="00131F42"/>
    <w:rsid w:val="001357F1"/>
    <w:rsid w:val="00140FA8"/>
    <w:rsid w:val="00142FEB"/>
    <w:rsid w:val="00143A2D"/>
    <w:rsid w:val="00145A41"/>
    <w:rsid w:val="00151675"/>
    <w:rsid w:val="00151EC2"/>
    <w:rsid w:val="00157435"/>
    <w:rsid w:val="00160613"/>
    <w:rsid w:val="0017504D"/>
    <w:rsid w:val="0017671A"/>
    <w:rsid w:val="00177422"/>
    <w:rsid w:val="00180DF6"/>
    <w:rsid w:val="00184590"/>
    <w:rsid w:val="00186406"/>
    <w:rsid w:val="001870D1"/>
    <w:rsid w:val="0018781E"/>
    <w:rsid w:val="0019262D"/>
    <w:rsid w:val="00195DE0"/>
    <w:rsid w:val="001A1B35"/>
    <w:rsid w:val="001A2911"/>
    <w:rsid w:val="001A48A2"/>
    <w:rsid w:val="001A6F61"/>
    <w:rsid w:val="001B4627"/>
    <w:rsid w:val="001B72B8"/>
    <w:rsid w:val="001C69B3"/>
    <w:rsid w:val="001D5595"/>
    <w:rsid w:val="001D7655"/>
    <w:rsid w:val="001D7874"/>
    <w:rsid w:val="001D7F22"/>
    <w:rsid w:val="001E12FA"/>
    <w:rsid w:val="001E594A"/>
    <w:rsid w:val="001E7B36"/>
    <w:rsid w:val="001F0F17"/>
    <w:rsid w:val="001F2B39"/>
    <w:rsid w:val="001F3347"/>
    <w:rsid w:val="001F62C3"/>
    <w:rsid w:val="001F69E4"/>
    <w:rsid w:val="002125B4"/>
    <w:rsid w:val="002155B8"/>
    <w:rsid w:val="00224839"/>
    <w:rsid w:val="002249B2"/>
    <w:rsid w:val="00226574"/>
    <w:rsid w:val="002278EC"/>
    <w:rsid w:val="00230E97"/>
    <w:rsid w:val="00232178"/>
    <w:rsid w:val="0023280E"/>
    <w:rsid w:val="002377D1"/>
    <w:rsid w:val="002477E9"/>
    <w:rsid w:val="0025040A"/>
    <w:rsid w:val="002506BC"/>
    <w:rsid w:val="00254345"/>
    <w:rsid w:val="00254DAC"/>
    <w:rsid w:val="002571B6"/>
    <w:rsid w:val="00264557"/>
    <w:rsid w:val="0026677F"/>
    <w:rsid w:val="002805AB"/>
    <w:rsid w:val="00284204"/>
    <w:rsid w:val="002868B6"/>
    <w:rsid w:val="00291773"/>
    <w:rsid w:val="00297EFA"/>
    <w:rsid w:val="002A0294"/>
    <w:rsid w:val="002A168C"/>
    <w:rsid w:val="002A2BDA"/>
    <w:rsid w:val="002A3DC7"/>
    <w:rsid w:val="002B3AF3"/>
    <w:rsid w:val="002B49E2"/>
    <w:rsid w:val="002B7B00"/>
    <w:rsid w:val="002B7C44"/>
    <w:rsid w:val="002C205D"/>
    <w:rsid w:val="002C2B17"/>
    <w:rsid w:val="002C6677"/>
    <w:rsid w:val="002D3DD0"/>
    <w:rsid w:val="002E1F3A"/>
    <w:rsid w:val="002E298A"/>
    <w:rsid w:val="002F16F1"/>
    <w:rsid w:val="002F1A6E"/>
    <w:rsid w:val="002F38D5"/>
    <w:rsid w:val="00301978"/>
    <w:rsid w:val="0030332C"/>
    <w:rsid w:val="00304CF4"/>
    <w:rsid w:val="003051C2"/>
    <w:rsid w:val="00312296"/>
    <w:rsid w:val="00314F0E"/>
    <w:rsid w:val="00321D8E"/>
    <w:rsid w:val="00325928"/>
    <w:rsid w:val="00332863"/>
    <w:rsid w:val="00333244"/>
    <w:rsid w:val="0033684D"/>
    <w:rsid w:val="00337B42"/>
    <w:rsid w:val="00341B42"/>
    <w:rsid w:val="0034348F"/>
    <w:rsid w:val="00356653"/>
    <w:rsid w:val="0035743F"/>
    <w:rsid w:val="00357BE2"/>
    <w:rsid w:val="0036170C"/>
    <w:rsid w:val="00366E0F"/>
    <w:rsid w:val="0037576E"/>
    <w:rsid w:val="00376E2A"/>
    <w:rsid w:val="00381A72"/>
    <w:rsid w:val="00384676"/>
    <w:rsid w:val="00390857"/>
    <w:rsid w:val="003A0855"/>
    <w:rsid w:val="003A4BF3"/>
    <w:rsid w:val="003A6595"/>
    <w:rsid w:val="003B420D"/>
    <w:rsid w:val="003C072D"/>
    <w:rsid w:val="003C6C16"/>
    <w:rsid w:val="003D01E5"/>
    <w:rsid w:val="003D1505"/>
    <w:rsid w:val="003D794D"/>
    <w:rsid w:val="003E3058"/>
    <w:rsid w:val="003E71A3"/>
    <w:rsid w:val="003E76A9"/>
    <w:rsid w:val="003F0809"/>
    <w:rsid w:val="003F3F97"/>
    <w:rsid w:val="003F6A8C"/>
    <w:rsid w:val="003F755C"/>
    <w:rsid w:val="00401BF5"/>
    <w:rsid w:val="004039D4"/>
    <w:rsid w:val="00406F01"/>
    <w:rsid w:val="00416D50"/>
    <w:rsid w:val="00416FD5"/>
    <w:rsid w:val="00417772"/>
    <w:rsid w:val="004203C0"/>
    <w:rsid w:val="00420E6A"/>
    <w:rsid w:val="00425A9E"/>
    <w:rsid w:val="00426D6B"/>
    <w:rsid w:val="004317AA"/>
    <w:rsid w:val="00431E6C"/>
    <w:rsid w:val="00433CE7"/>
    <w:rsid w:val="00451BC6"/>
    <w:rsid w:val="00452738"/>
    <w:rsid w:val="00455088"/>
    <w:rsid w:val="00456091"/>
    <w:rsid w:val="00464FA7"/>
    <w:rsid w:val="00466321"/>
    <w:rsid w:val="0047463A"/>
    <w:rsid w:val="00484B9B"/>
    <w:rsid w:val="004855F6"/>
    <w:rsid w:val="0048661E"/>
    <w:rsid w:val="00490670"/>
    <w:rsid w:val="00490E4C"/>
    <w:rsid w:val="00494670"/>
    <w:rsid w:val="00494D6E"/>
    <w:rsid w:val="0049583E"/>
    <w:rsid w:val="004A3823"/>
    <w:rsid w:val="004A6048"/>
    <w:rsid w:val="004B2F30"/>
    <w:rsid w:val="004D1BD0"/>
    <w:rsid w:val="004E6946"/>
    <w:rsid w:val="004F1AD8"/>
    <w:rsid w:val="005039CB"/>
    <w:rsid w:val="0050558F"/>
    <w:rsid w:val="00506286"/>
    <w:rsid w:val="00507CB3"/>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6117C"/>
    <w:rsid w:val="005720AE"/>
    <w:rsid w:val="005928D2"/>
    <w:rsid w:val="00594D77"/>
    <w:rsid w:val="005969E4"/>
    <w:rsid w:val="005A06B7"/>
    <w:rsid w:val="005A1759"/>
    <w:rsid w:val="005A68A7"/>
    <w:rsid w:val="005B2EDF"/>
    <w:rsid w:val="005D36AB"/>
    <w:rsid w:val="006107C2"/>
    <w:rsid w:val="00617CC3"/>
    <w:rsid w:val="00625679"/>
    <w:rsid w:val="006377A6"/>
    <w:rsid w:val="00637A3D"/>
    <w:rsid w:val="006411EF"/>
    <w:rsid w:val="0065042B"/>
    <w:rsid w:val="00651167"/>
    <w:rsid w:val="00666869"/>
    <w:rsid w:val="006748B8"/>
    <w:rsid w:val="00675A40"/>
    <w:rsid w:val="006775C3"/>
    <w:rsid w:val="006776B9"/>
    <w:rsid w:val="00682001"/>
    <w:rsid w:val="00691FC1"/>
    <w:rsid w:val="0069290A"/>
    <w:rsid w:val="006970EE"/>
    <w:rsid w:val="0069775A"/>
    <w:rsid w:val="00697813"/>
    <w:rsid w:val="006A2001"/>
    <w:rsid w:val="006A2902"/>
    <w:rsid w:val="006A3EE8"/>
    <w:rsid w:val="006A72BF"/>
    <w:rsid w:val="006B03F2"/>
    <w:rsid w:val="006B37DC"/>
    <w:rsid w:val="006B40FB"/>
    <w:rsid w:val="006B4F68"/>
    <w:rsid w:val="006C0592"/>
    <w:rsid w:val="006C272E"/>
    <w:rsid w:val="006C5479"/>
    <w:rsid w:val="006D13B5"/>
    <w:rsid w:val="006D4EDE"/>
    <w:rsid w:val="006E12FF"/>
    <w:rsid w:val="006E2242"/>
    <w:rsid w:val="006E607E"/>
    <w:rsid w:val="006F7235"/>
    <w:rsid w:val="00701657"/>
    <w:rsid w:val="00706C5D"/>
    <w:rsid w:val="007075C8"/>
    <w:rsid w:val="007213A4"/>
    <w:rsid w:val="00732922"/>
    <w:rsid w:val="0075162E"/>
    <w:rsid w:val="00754034"/>
    <w:rsid w:val="00754664"/>
    <w:rsid w:val="00756556"/>
    <w:rsid w:val="00757752"/>
    <w:rsid w:val="007618C4"/>
    <w:rsid w:val="00764E99"/>
    <w:rsid w:val="00767980"/>
    <w:rsid w:val="00770B19"/>
    <w:rsid w:val="0077463F"/>
    <w:rsid w:val="007757BC"/>
    <w:rsid w:val="007833B0"/>
    <w:rsid w:val="007836EA"/>
    <w:rsid w:val="00784CDA"/>
    <w:rsid w:val="007851D1"/>
    <w:rsid w:val="007873B6"/>
    <w:rsid w:val="007906C4"/>
    <w:rsid w:val="007940EA"/>
    <w:rsid w:val="007967E8"/>
    <w:rsid w:val="007A2170"/>
    <w:rsid w:val="007A22BF"/>
    <w:rsid w:val="007A2923"/>
    <w:rsid w:val="007A3323"/>
    <w:rsid w:val="007B1F43"/>
    <w:rsid w:val="007B72B8"/>
    <w:rsid w:val="007B7A58"/>
    <w:rsid w:val="007C21B5"/>
    <w:rsid w:val="007D6A53"/>
    <w:rsid w:val="007E4BD2"/>
    <w:rsid w:val="00801393"/>
    <w:rsid w:val="00802F88"/>
    <w:rsid w:val="00810905"/>
    <w:rsid w:val="008117C7"/>
    <w:rsid w:val="0081293E"/>
    <w:rsid w:val="00815465"/>
    <w:rsid w:val="00817E71"/>
    <w:rsid w:val="00817E9A"/>
    <w:rsid w:val="008306BD"/>
    <w:rsid w:val="00831A80"/>
    <w:rsid w:val="00833743"/>
    <w:rsid w:val="008340A4"/>
    <w:rsid w:val="008417B2"/>
    <w:rsid w:val="00853010"/>
    <w:rsid w:val="00855BD6"/>
    <w:rsid w:val="0085636B"/>
    <w:rsid w:val="00860DB2"/>
    <w:rsid w:val="008621BC"/>
    <w:rsid w:val="00864169"/>
    <w:rsid w:val="0087135F"/>
    <w:rsid w:val="00872D94"/>
    <w:rsid w:val="00880364"/>
    <w:rsid w:val="008831ED"/>
    <w:rsid w:val="00883449"/>
    <w:rsid w:val="00891592"/>
    <w:rsid w:val="00891E9E"/>
    <w:rsid w:val="008971FE"/>
    <w:rsid w:val="008A2F68"/>
    <w:rsid w:val="008A6ED7"/>
    <w:rsid w:val="008B4FA6"/>
    <w:rsid w:val="008B5282"/>
    <w:rsid w:val="008B7C17"/>
    <w:rsid w:val="008C2D01"/>
    <w:rsid w:val="008C40E6"/>
    <w:rsid w:val="008D0F7A"/>
    <w:rsid w:val="008D68E4"/>
    <w:rsid w:val="008E0506"/>
    <w:rsid w:val="008E0CFF"/>
    <w:rsid w:val="008E5D6B"/>
    <w:rsid w:val="008E76F0"/>
    <w:rsid w:val="008F15FE"/>
    <w:rsid w:val="008F27E2"/>
    <w:rsid w:val="008F2D29"/>
    <w:rsid w:val="008F5187"/>
    <w:rsid w:val="008F60D8"/>
    <w:rsid w:val="00901AD5"/>
    <w:rsid w:val="00902727"/>
    <w:rsid w:val="0090312B"/>
    <w:rsid w:val="0091736D"/>
    <w:rsid w:val="00922781"/>
    <w:rsid w:val="00922BAC"/>
    <w:rsid w:val="00927F77"/>
    <w:rsid w:val="0093037A"/>
    <w:rsid w:val="00936ECD"/>
    <w:rsid w:val="0094154D"/>
    <w:rsid w:val="009438FA"/>
    <w:rsid w:val="0094408F"/>
    <w:rsid w:val="0095155F"/>
    <w:rsid w:val="009527C3"/>
    <w:rsid w:val="00954429"/>
    <w:rsid w:val="009563CE"/>
    <w:rsid w:val="00976328"/>
    <w:rsid w:val="0097680D"/>
    <w:rsid w:val="00982438"/>
    <w:rsid w:val="00982D97"/>
    <w:rsid w:val="0098404C"/>
    <w:rsid w:val="00985283"/>
    <w:rsid w:val="0099404E"/>
    <w:rsid w:val="00995992"/>
    <w:rsid w:val="009A03E5"/>
    <w:rsid w:val="009A0F3B"/>
    <w:rsid w:val="009A1BB4"/>
    <w:rsid w:val="009A2628"/>
    <w:rsid w:val="009A3200"/>
    <w:rsid w:val="009B0897"/>
    <w:rsid w:val="009B42B7"/>
    <w:rsid w:val="009B7BD9"/>
    <w:rsid w:val="009C7DD5"/>
    <w:rsid w:val="009E1E2A"/>
    <w:rsid w:val="009E227D"/>
    <w:rsid w:val="009E42D0"/>
    <w:rsid w:val="009E5019"/>
    <w:rsid w:val="009F06CA"/>
    <w:rsid w:val="00A04F1B"/>
    <w:rsid w:val="00A0501B"/>
    <w:rsid w:val="00A05922"/>
    <w:rsid w:val="00A14269"/>
    <w:rsid w:val="00A14947"/>
    <w:rsid w:val="00A15CDC"/>
    <w:rsid w:val="00A16279"/>
    <w:rsid w:val="00A275A0"/>
    <w:rsid w:val="00A32A83"/>
    <w:rsid w:val="00A368DB"/>
    <w:rsid w:val="00A423AA"/>
    <w:rsid w:val="00A45B40"/>
    <w:rsid w:val="00A53EC6"/>
    <w:rsid w:val="00A55C0F"/>
    <w:rsid w:val="00A57B7C"/>
    <w:rsid w:val="00A57F80"/>
    <w:rsid w:val="00A60855"/>
    <w:rsid w:val="00A62E56"/>
    <w:rsid w:val="00A714E4"/>
    <w:rsid w:val="00A77039"/>
    <w:rsid w:val="00A8145F"/>
    <w:rsid w:val="00A81583"/>
    <w:rsid w:val="00A856F4"/>
    <w:rsid w:val="00A8713F"/>
    <w:rsid w:val="00A90BA1"/>
    <w:rsid w:val="00A97A9A"/>
    <w:rsid w:val="00AA04C2"/>
    <w:rsid w:val="00AA0671"/>
    <w:rsid w:val="00AA2531"/>
    <w:rsid w:val="00AB1E09"/>
    <w:rsid w:val="00AB29D2"/>
    <w:rsid w:val="00AB5330"/>
    <w:rsid w:val="00AB7747"/>
    <w:rsid w:val="00AC14CE"/>
    <w:rsid w:val="00AC2A56"/>
    <w:rsid w:val="00AC4F30"/>
    <w:rsid w:val="00AC51E8"/>
    <w:rsid w:val="00AD055E"/>
    <w:rsid w:val="00AD47A7"/>
    <w:rsid w:val="00AE2129"/>
    <w:rsid w:val="00AF0CBF"/>
    <w:rsid w:val="00AF257F"/>
    <w:rsid w:val="00AF33CF"/>
    <w:rsid w:val="00AF4D50"/>
    <w:rsid w:val="00AF6179"/>
    <w:rsid w:val="00B01C46"/>
    <w:rsid w:val="00B06975"/>
    <w:rsid w:val="00B1295A"/>
    <w:rsid w:val="00B20A45"/>
    <w:rsid w:val="00B22C5C"/>
    <w:rsid w:val="00B24F30"/>
    <w:rsid w:val="00B31ABF"/>
    <w:rsid w:val="00B33BE3"/>
    <w:rsid w:val="00B364EE"/>
    <w:rsid w:val="00B44BA2"/>
    <w:rsid w:val="00B52997"/>
    <w:rsid w:val="00B53B5D"/>
    <w:rsid w:val="00B6055E"/>
    <w:rsid w:val="00B6317D"/>
    <w:rsid w:val="00B67401"/>
    <w:rsid w:val="00B757F6"/>
    <w:rsid w:val="00B7723F"/>
    <w:rsid w:val="00B80534"/>
    <w:rsid w:val="00B8433C"/>
    <w:rsid w:val="00B87491"/>
    <w:rsid w:val="00BA29E9"/>
    <w:rsid w:val="00BA7142"/>
    <w:rsid w:val="00BB237C"/>
    <w:rsid w:val="00BB41A3"/>
    <w:rsid w:val="00BB5A41"/>
    <w:rsid w:val="00BC32DC"/>
    <w:rsid w:val="00BC35B6"/>
    <w:rsid w:val="00BC690E"/>
    <w:rsid w:val="00BD1B51"/>
    <w:rsid w:val="00BD4596"/>
    <w:rsid w:val="00BE1405"/>
    <w:rsid w:val="00BE312D"/>
    <w:rsid w:val="00BF1C20"/>
    <w:rsid w:val="00C0160F"/>
    <w:rsid w:val="00C10578"/>
    <w:rsid w:val="00C135BC"/>
    <w:rsid w:val="00C15C95"/>
    <w:rsid w:val="00C2596A"/>
    <w:rsid w:val="00C27537"/>
    <w:rsid w:val="00C328FE"/>
    <w:rsid w:val="00C33507"/>
    <w:rsid w:val="00C34CA8"/>
    <w:rsid w:val="00C4409D"/>
    <w:rsid w:val="00C44E72"/>
    <w:rsid w:val="00C452CF"/>
    <w:rsid w:val="00C45A06"/>
    <w:rsid w:val="00C47E5B"/>
    <w:rsid w:val="00C52D29"/>
    <w:rsid w:val="00C543FA"/>
    <w:rsid w:val="00C57324"/>
    <w:rsid w:val="00C57FBF"/>
    <w:rsid w:val="00C60FFA"/>
    <w:rsid w:val="00C6113D"/>
    <w:rsid w:val="00C61E4B"/>
    <w:rsid w:val="00C64550"/>
    <w:rsid w:val="00C64BFF"/>
    <w:rsid w:val="00C704E9"/>
    <w:rsid w:val="00C71CA8"/>
    <w:rsid w:val="00C763C9"/>
    <w:rsid w:val="00C80057"/>
    <w:rsid w:val="00C82232"/>
    <w:rsid w:val="00C82913"/>
    <w:rsid w:val="00C8599B"/>
    <w:rsid w:val="00C972B1"/>
    <w:rsid w:val="00C97841"/>
    <w:rsid w:val="00CA2CCE"/>
    <w:rsid w:val="00CA43FD"/>
    <w:rsid w:val="00CA7EF8"/>
    <w:rsid w:val="00CC424C"/>
    <w:rsid w:val="00CC489B"/>
    <w:rsid w:val="00CC4A6D"/>
    <w:rsid w:val="00CD0D4A"/>
    <w:rsid w:val="00CD2BCD"/>
    <w:rsid w:val="00CD3A4C"/>
    <w:rsid w:val="00CD5D5B"/>
    <w:rsid w:val="00CE10E9"/>
    <w:rsid w:val="00CE2910"/>
    <w:rsid w:val="00CE5393"/>
    <w:rsid w:val="00CE70BF"/>
    <w:rsid w:val="00CF36BE"/>
    <w:rsid w:val="00CF6000"/>
    <w:rsid w:val="00D003F3"/>
    <w:rsid w:val="00D0364F"/>
    <w:rsid w:val="00D06834"/>
    <w:rsid w:val="00D308ED"/>
    <w:rsid w:val="00D36D86"/>
    <w:rsid w:val="00D4187F"/>
    <w:rsid w:val="00D428AA"/>
    <w:rsid w:val="00D43984"/>
    <w:rsid w:val="00D457FE"/>
    <w:rsid w:val="00D472AF"/>
    <w:rsid w:val="00D50A34"/>
    <w:rsid w:val="00D53EFA"/>
    <w:rsid w:val="00D86331"/>
    <w:rsid w:val="00D900AE"/>
    <w:rsid w:val="00D9415D"/>
    <w:rsid w:val="00D94A7C"/>
    <w:rsid w:val="00D95896"/>
    <w:rsid w:val="00DA55F2"/>
    <w:rsid w:val="00DB16A2"/>
    <w:rsid w:val="00DB2983"/>
    <w:rsid w:val="00DC1257"/>
    <w:rsid w:val="00DC3DC0"/>
    <w:rsid w:val="00DC5B2B"/>
    <w:rsid w:val="00DC5D98"/>
    <w:rsid w:val="00DD318D"/>
    <w:rsid w:val="00DF2E12"/>
    <w:rsid w:val="00DF514A"/>
    <w:rsid w:val="00DF6690"/>
    <w:rsid w:val="00DF6804"/>
    <w:rsid w:val="00E00082"/>
    <w:rsid w:val="00E0358D"/>
    <w:rsid w:val="00E04323"/>
    <w:rsid w:val="00E070A2"/>
    <w:rsid w:val="00E15445"/>
    <w:rsid w:val="00E2656A"/>
    <w:rsid w:val="00E26FE2"/>
    <w:rsid w:val="00E412D0"/>
    <w:rsid w:val="00E56322"/>
    <w:rsid w:val="00E60982"/>
    <w:rsid w:val="00E62C62"/>
    <w:rsid w:val="00E654C1"/>
    <w:rsid w:val="00E65D97"/>
    <w:rsid w:val="00E72A3B"/>
    <w:rsid w:val="00E72A5A"/>
    <w:rsid w:val="00E73354"/>
    <w:rsid w:val="00E86328"/>
    <w:rsid w:val="00E9242D"/>
    <w:rsid w:val="00EB5255"/>
    <w:rsid w:val="00EB5C47"/>
    <w:rsid w:val="00ED0639"/>
    <w:rsid w:val="00ED2645"/>
    <w:rsid w:val="00EF4755"/>
    <w:rsid w:val="00EF7135"/>
    <w:rsid w:val="00F027DB"/>
    <w:rsid w:val="00F112BB"/>
    <w:rsid w:val="00F136F4"/>
    <w:rsid w:val="00F14A7A"/>
    <w:rsid w:val="00F1699C"/>
    <w:rsid w:val="00F22985"/>
    <w:rsid w:val="00F24B4A"/>
    <w:rsid w:val="00F332F8"/>
    <w:rsid w:val="00F3383E"/>
    <w:rsid w:val="00F346C8"/>
    <w:rsid w:val="00F375AD"/>
    <w:rsid w:val="00F37D93"/>
    <w:rsid w:val="00F457DB"/>
    <w:rsid w:val="00F465A7"/>
    <w:rsid w:val="00F50B7C"/>
    <w:rsid w:val="00F550E6"/>
    <w:rsid w:val="00F64246"/>
    <w:rsid w:val="00F6605C"/>
    <w:rsid w:val="00F74345"/>
    <w:rsid w:val="00F80A0A"/>
    <w:rsid w:val="00F82B19"/>
    <w:rsid w:val="00F9212D"/>
    <w:rsid w:val="00F929F4"/>
    <w:rsid w:val="00F965DA"/>
    <w:rsid w:val="00F97A39"/>
    <w:rsid w:val="00FA11C9"/>
    <w:rsid w:val="00FA406A"/>
    <w:rsid w:val="00FB0611"/>
    <w:rsid w:val="00FB503A"/>
    <w:rsid w:val="00FB516C"/>
    <w:rsid w:val="00FB522E"/>
    <w:rsid w:val="00FB72B3"/>
    <w:rsid w:val="00FC30B5"/>
    <w:rsid w:val="00FC4AF5"/>
    <w:rsid w:val="00FC655C"/>
    <w:rsid w:val="00FD0236"/>
    <w:rsid w:val="00FD18F4"/>
    <w:rsid w:val="00FD1ED7"/>
    <w:rsid w:val="00FD54DB"/>
    <w:rsid w:val="00FD619F"/>
    <w:rsid w:val="00FE0217"/>
    <w:rsid w:val="00FE3217"/>
    <w:rsid w:val="00FF3525"/>
    <w:rsid w:val="010E5F32"/>
    <w:rsid w:val="0112577F"/>
    <w:rsid w:val="01134E24"/>
    <w:rsid w:val="0115081A"/>
    <w:rsid w:val="01172B64"/>
    <w:rsid w:val="01193C85"/>
    <w:rsid w:val="0119677B"/>
    <w:rsid w:val="011E2BCC"/>
    <w:rsid w:val="011F401C"/>
    <w:rsid w:val="012177BC"/>
    <w:rsid w:val="01227635"/>
    <w:rsid w:val="012525E7"/>
    <w:rsid w:val="01256EC3"/>
    <w:rsid w:val="01260883"/>
    <w:rsid w:val="012670EA"/>
    <w:rsid w:val="01284C10"/>
    <w:rsid w:val="01290F7E"/>
    <w:rsid w:val="01291E13"/>
    <w:rsid w:val="012A38D1"/>
    <w:rsid w:val="012A70D3"/>
    <w:rsid w:val="01320281"/>
    <w:rsid w:val="01360EB1"/>
    <w:rsid w:val="013662EB"/>
    <w:rsid w:val="01370DF9"/>
    <w:rsid w:val="01382568"/>
    <w:rsid w:val="01396E1E"/>
    <w:rsid w:val="013C4124"/>
    <w:rsid w:val="01577C03"/>
    <w:rsid w:val="015A050F"/>
    <w:rsid w:val="015D1E09"/>
    <w:rsid w:val="016D56A5"/>
    <w:rsid w:val="017709F2"/>
    <w:rsid w:val="01875B4C"/>
    <w:rsid w:val="018B46BA"/>
    <w:rsid w:val="01915E7F"/>
    <w:rsid w:val="01A45D75"/>
    <w:rsid w:val="01AE60ED"/>
    <w:rsid w:val="01B00B10"/>
    <w:rsid w:val="01B06A78"/>
    <w:rsid w:val="01B2547F"/>
    <w:rsid w:val="01B91D0C"/>
    <w:rsid w:val="01BC0A85"/>
    <w:rsid w:val="01C05502"/>
    <w:rsid w:val="01C0753F"/>
    <w:rsid w:val="01C316F4"/>
    <w:rsid w:val="01C903A4"/>
    <w:rsid w:val="01D02974"/>
    <w:rsid w:val="01D60E41"/>
    <w:rsid w:val="01E07299"/>
    <w:rsid w:val="01E46D89"/>
    <w:rsid w:val="01E61FB2"/>
    <w:rsid w:val="01E64861"/>
    <w:rsid w:val="01E826B9"/>
    <w:rsid w:val="01EC6BBB"/>
    <w:rsid w:val="01F07200"/>
    <w:rsid w:val="01F4072A"/>
    <w:rsid w:val="01F5634B"/>
    <w:rsid w:val="01FB7B66"/>
    <w:rsid w:val="01FC5E11"/>
    <w:rsid w:val="02056D00"/>
    <w:rsid w:val="020A5043"/>
    <w:rsid w:val="020C0D91"/>
    <w:rsid w:val="02102D61"/>
    <w:rsid w:val="0218077F"/>
    <w:rsid w:val="021D1F8B"/>
    <w:rsid w:val="02206F7E"/>
    <w:rsid w:val="022148B6"/>
    <w:rsid w:val="0222699E"/>
    <w:rsid w:val="02265277"/>
    <w:rsid w:val="022A2088"/>
    <w:rsid w:val="022A6766"/>
    <w:rsid w:val="022E5FAA"/>
    <w:rsid w:val="02354BB2"/>
    <w:rsid w:val="02362314"/>
    <w:rsid w:val="02363BC5"/>
    <w:rsid w:val="02390D96"/>
    <w:rsid w:val="023C4E17"/>
    <w:rsid w:val="02403D02"/>
    <w:rsid w:val="02405A36"/>
    <w:rsid w:val="024D1F94"/>
    <w:rsid w:val="02512F12"/>
    <w:rsid w:val="02587777"/>
    <w:rsid w:val="025A3A84"/>
    <w:rsid w:val="025D4572"/>
    <w:rsid w:val="02621377"/>
    <w:rsid w:val="02673669"/>
    <w:rsid w:val="0267790C"/>
    <w:rsid w:val="02683E32"/>
    <w:rsid w:val="02697903"/>
    <w:rsid w:val="02720F4D"/>
    <w:rsid w:val="02727240"/>
    <w:rsid w:val="02774724"/>
    <w:rsid w:val="027C3466"/>
    <w:rsid w:val="028A338D"/>
    <w:rsid w:val="028B4089"/>
    <w:rsid w:val="028C3303"/>
    <w:rsid w:val="028D7214"/>
    <w:rsid w:val="0290499E"/>
    <w:rsid w:val="02913D35"/>
    <w:rsid w:val="02930193"/>
    <w:rsid w:val="02933964"/>
    <w:rsid w:val="02962E34"/>
    <w:rsid w:val="02972559"/>
    <w:rsid w:val="029826DF"/>
    <w:rsid w:val="02987B05"/>
    <w:rsid w:val="02A14C7A"/>
    <w:rsid w:val="02A1535B"/>
    <w:rsid w:val="02A749AC"/>
    <w:rsid w:val="02AA2E5F"/>
    <w:rsid w:val="02AC0B0B"/>
    <w:rsid w:val="02AC4165"/>
    <w:rsid w:val="02AD7A92"/>
    <w:rsid w:val="02AE1145"/>
    <w:rsid w:val="02B17358"/>
    <w:rsid w:val="02B64648"/>
    <w:rsid w:val="02BC1AB4"/>
    <w:rsid w:val="02BE0455"/>
    <w:rsid w:val="02C018D9"/>
    <w:rsid w:val="02C656A2"/>
    <w:rsid w:val="02C97701"/>
    <w:rsid w:val="02D363BC"/>
    <w:rsid w:val="02D55A4D"/>
    <w:rsid w:val="02E81E26"/>
    <w:rsid w:val="02E91287"/>
    <w:rsid w:val="02EA1E15"/>
    <w:rsid w:val="02EA6507"/>
    <w:rsid w:val="02F71528"/>
    <w:rsid w:val="02F96569"/>
    <w:rsid w:val="02FB626D"/>
    <w:rsid w:val="02FC64DB"/>
    <w:rsid w:val="030516AD"/>
    <w:rsid w:val="030671D3"/>
    <w:rsid w:val="03084CFA"/>
    <w:rsid w:val="03086AA8"/>
    <w:rsid w:val="030C31C1"/>
    <w:rsid w:val="0317586A"/>
    <w:rsid w:val="032C4DBE"/>
    <w:rsid w:val="03302CA1"/>
    <w:rsid w:val="033169A4"/>
    <w:rsid w:val="03321916"/>
    <w:rsid w:val="03322BBE"/>
    <w:rsid w:val="03327FC8"/>
    <w:rsid w:val="033B7EAF"/>
    <w:rsid w:val="03534707"/>
    <w:rsid w:val="035831A5"/>
    <w:rsid w:val="035E5601"/>
    <w:rsid w:val="035F47CD"/>
    <w:rsid w:val="03614A75"/>
    <w:rsid w:val="03641C4B"/>
    <w:rsid w:val="03661EC7"/>
    <w:rsid w:val="03682336"/>
    <w:rsid w:val="03692AA7"/>
    <w:rsid w:val="036C306A"/>
    <w:rsid w:val="03777B34"/>
    <w:rsid w:val="03860729"/>
    <w:rsid w:val="038F0973"/>
    <w:rsid w:val="038F6622"/>
    <w:rsid w:val="03914751"/>
    <w:rsid w:val="03952A4E"/>
    <w:rsid w:val="03976B53"/>
    <w:rsid w:val="03986C2F"/>
    <w:rsid w:val="039A0EAC"/>
    <w:rsid w:val="03A765D4"/>
    <w:rsid w:val="03A95855"/>
    <w:rsid w:val="03AA6E6D"/>
    <w:rsid w:val="03AB0C2E"/>
    <w:rsid w:val="03AC3834"/>
    <w:rsid w:val="03B03021"/>
    <w:rsid w:val="03B62663"/>
    <w:rsid w:val="03B8094D"/>
    <w:rsid w:val="03BB0937"/>
    <w:rsid w:val="03C926DB"/>
    <w:rsid w:val="03CA63CE"/>
    <w:rsid w:val="03CC165D"/>
    <w:rsid w:val="03CD5DD0"/>
    <w:rsid w:val="03D01A50"/>
    <w:rsid w:val="03D35BC5"/>
    <w:rsid w:val="03D84760"/>
    <w:rsid w:val="03E40A2C"/>
    <w:rsid w:val="03E94B2B"/>
    <w:rsid w:val="03EA7B21"/>
    <w:rsid w:val="03F96CD5"/>
    <w:rsid w:val="040113A7"/>
    <w:rsid w:val="04096F7B"/>
    <w:rsid w:val="040F3E66"/>
    <w:rsid w:val="04127F37"/>
    <w:rsid w:val="041E0E62"/>
    <w:rsid w:val="04252070"/>
    <w:rsid w:val="04257E38"/>
    <w:rsid w:val="04274CE8"/>
    <w:rsid w:val="04294612"/>
    <w:rsid w:val="042A2D1A"/>
    <w:rsid w:val="04357D70"/>
    <w:rsid w:val="04394DFD"/>
    <w:rsid w:val="043E3524"/>
    <w:rsid w:val="04417443"/>
    <w:rsid w:val="044B47B4"/>
    <w:rsid w:val="044D4CED"/>
    <w:rsid w:val="04551989"/>
    <w:rsid w:val="04567CE7"/>
    <w:rsid w:val="045B70AB"/>
    <w:rsid w:val="045D04EF"/>
    <w:rsid w:val="04654360"/>
    <w:rsid w:val="04677314"/>
    <w:rsid w:val="04695C6C"/>
    <w:rsid w:val="047F2D4F"/>
    <w:rsid w:val="04851788"/>
    <w:rsid w:val="04860F3B"/>
    <w:rsid w:val="04873CAB"/>
    <w:rsid w:val="048E122E"/>
    <w:rsid w:val="04925E66"/>
    <w:rsid w:val="04950198"/>
    <w:rsid w:val="049820AD"/>
    <w:rsid w:val="049F52DD"/>
    <w:rsid w:val="04A37534"/>
    <w:rsid w:val="04A469A0"/>
    <w:rsid w:val="04A86420"/>
    <w:rsid w:val="04B10AEC"/>
    <w:rsid w:val="04C01DF3"/>
    <w:rsid w:val="04C1379D"/>
    <w:rsid w:val="04C414D6"/>
    <w:rsid w:val="04C41692"/>
    <w:rsid w:val="04C76D5E"/>
    <w:rsid w:val="04CA56E1"/>
    <w:rsid w:val="04CC6897"/>
    <w:rsid w:val="04CE7FAB"/>
    <w:rsid w:val="04D16F0C"/>
    <w:rsid w:val="04D3143D"/>
    <w:rsid w:val="04D91CCB"/>
    <w:rsid w:val="04DD3F64"/>
    <w:rsid w:val="04E010E0"/>
    <w:rsid w:val="04E37283"/>
    <w:rsid w:val="04EA019A"/>
    <w:rsid w:val="04F2130A"/>
    <w:rsid w:val="04F574FF"/>
    <w:rsid w:val="05003179"/>
    <w:rsid w:val="05066C15"/>
    <w:rsid w:val="05091D8F"/>
    <w:rsid w:val="050A3C68"/>
    <w:rsid w:val="05172334"/>
    <w:rsid w:val="051F15AE"/>
    <w:rsid w:val="052B5861"/>
    <w:rsid w:val="052F2566"/>
    <w:rsid w:val="05314AB6"/>
    <w:rsid w:val="05322F8A"/>
    <w:rsid w:val="05362CB0"/>
    <w:rsid w:val="054619CA"/>
    <w:rsid w:val="05482C82"/>
    <w:rsid w:val="05585A8E"/>
    <w:rsid w:val="05592A53"/>
    <w:rsid w:val="05646273"/>
    <w:rsid w:val="05647F40"/>
    <w:rsid w:val="056F57FC"/>
    <w:rsid w:val="057265C0"/>
    <w:rsid w:val="057421E4"/>
    <w:rsid w:val="05764D19"/>
    <w:rsid w:val="05767710"/>
    <w:rsid w:val="057A17B3"/>
    <w:rsid w:val="057C4A50"/>
    <w:rsid w:val="057E1A3F"/>
    <w:rsid w:val="058C1323"/>
    <w:rsid w:val="059176D5"/>
    <w:rsid w:val="05917FAF"/>
    <w:rsid w:val="05922340"/>
    <w:rsid w:val="05924102"/>
    <w:rsid w:val="05926168"/>
    <w:rsid w:val="059345B5"/>
    <w:rsid w:val="05983191"/>
    <w:rsid w:val="05A131E3"/>
    <w:rsid w:val="05AB7E36"/>
    <w:rsid w:val="05AD3238"/>
    <w:rsid w:val="05AE2FC1"/>
    <w:rsid w:val="05B22717"/>
    <w:rsid w:val="05B81465"/>
    <w:rsid w:val="05C66920"/>
    <w:rsid w:val="05C97B05"/>
    <w:rsid w:val="05CB2C1B"/>
    <w:rsid w:val="05D16A8D"/>
    <w:rsid w:val="05D6362D"/>
    <w:rsid w:val="05DD1B8C"/>
    <w:rsid w:val="05E117EC"/>
    <w:rsid w:val="05E82301"/>
    <w:rsid w:val="05E84F0C"/>
    <w:rsid w:val="05EB4AF1"/>
    <w:rsid w:val="05EB6D1E"/>
    <w:rsid w:val="05ED22A9"/>
    <w:rsid w:val="05F83EAE"/>
    <w:rsid w:val="05FD7C54"/>
    <w:rsid w:val="06021ED4"/>
    <w:rsid w:val="06047368"/>
    <w:rsid w:val="0607573C"/>
    <w:rsid w:val="06085041"/>
    <w:rsid w:val="060A5AF4"/>
    <w:rsid w:val="060C27E5"/>
    <w:rsid w:val="06130212"/>
    <w:rsid w:val="06134096"/>
    <w:rsid w:val="061A762A"/>
    <w:rsid w:val="06241567"/>
    <w:rsid w:val="06245953"/>
    <w:rsid w:val="06260C06"/>
    <w:rsid w:val="062956B3"/>
    <w:rsid w:val="062D572C"/>
    <w:rsid w:val="062F5F50"/>
    <w:rsid w:val="06352B2D"/>
    <w:rsid w:val="063A02DC"/>
    <w:rsid w:val="063E7D85"/>
    <w:rsid w:val="06445BC6"/>
    <w:rsid w:val="0645784A"/>
    <w:rsid w:val="0658720D"/>
    <w:rsid w:val="065B2AE6"/>
    <w:rsid w:val="065B4484"/>
    <w:rsid w:val="065D31BA"/>
    <w:rsid w:val="06602050"/>
    <w:rsid w:val="0663356B"/>
    <w:rsid w:val="066372BA"/>
    <w:rsid w:val="06695AAF"/>
    <w:rsid w:val="066B5CCB"/>
    <w:rsid w:val="06705037"/>
    <w:rsid w:val="06766495"/>
    <w:rsid w:val="06794C80"/>
    <w:rsid w:val="06803D82"/>
    <w:rsid w:val="06881F36"/>
    <w:rsid w:val="068C6794"/>
    <w:rsid w:val="06912FFF"/>
    <w:rsid w:val="0691629C"/>
    <w:rsid w:val="0693669D"/>
    <w:rsid w:val="0694169C"/>
    <w:rsid w:val="06947578"/>
    <w:rsid w:val="0698604A"/>
    <w:rsid w:val="06A125B4"/>
    <w:rsid w:val="06A52264"/>
    <w:rsid w:val="06A56748"/>
    <w:rsid w:val="06A671FA"/>
    <w:rsid w:val="06A831CE"/>
    <w:rsid w:val="06A977D5"/>
    <w:rsid w:val="06AE3D56"/>
    <w:rsid w:val="06B30387"/>
    <w:rsid w:val="06B7375E"/>
    <w:rsid w:val="06B86DF2"/>
    <w:rsid w:val="06BB4AC0"/>
    <w:rsid w:val="06C6122C"/>
    <w:rsid w:val="06CE0008"/>
    <w:rsid w:val="06D61115"/>
    <w:rsid w:val="06D67F97"/>
    <w:rsid w:val="06D871F0"/>
    <w:rsid w:val="06DA06C7"/>
    <w:rsid w:val="06E26DBE"/>
    <w:rsid w:val="06E541BC"/>
    <w:rsid w:val="06E611C4"/>
    <w:rsid w:val="06EE4742"/>
    <w:rsid w:val="06F36BC6"/>
    <w:rsid w:val="06FB6AFA"/>
    <w:rsid w:val="070005F5"/>
    <w:rsid w:val="07011324"/>
    <w:rsid w:val="07094A4D"/>
    <w:rsid w:val="07126229"/>
    <w:rsid w:val="071511F6"/>
    <w:rsid w:val="071B21B2"/>
    <w:rsid w:val="071B33C4"/>
    <w:rsid w:val="072209E8"/>
    <w:rsid w:val="0724014B"/>
    <w:rsid w:val="07293586"/>
    <w:rsid w:val="07295285"/>
    <w:rsid w:val="072A06F3"/>
    <w:rsid w:val="072E5F65"/>
    <w:rsid w:val="07334B87"/>
    <w:rsid w:val="07370A10"/>
    <w:rsid w:val="073D0661"/>
    <w:rsid w:val="073F1A11"/>
    <w:rsid w:val="073F3820"/>
    <w:rsid w:val="07475900"/>
    <w:rsid w:val="0749730C"/>
    <w:rsid w:val="07543AB1"/>
    <w:rsid w:val="075705B9"/>
    <w:rsid w:val="07595BFC"/>
    <w:rsid w:val="07636392"/>
    <w:rsid w:val="07640FED"/>
    <w:rsid w:val="0766262B"/>
    <w:rsid w:val="076E6B46"/>
    <w:rsid w:val="077036FA"/>
    <w:rsid w:val="07736189"/>
    <w:rsid w:val="07770C56"/>
    <w:rsid w:val="077916E9"/>
    <w:rsid w:val="077C22D7"/>
    <w:rsid w:val="07886409"/>
    <w:rsid w:val="078D1C71"/>
    <w:rsid w:val="078E60DA"/>
    <w:rsid w:val="07A215EA"/>
    <w:rsid w:val="07A2645E"/>
    <w:rsid w:val="07A3551A"/>
    <w:rsid w:val="07A57448"/>
    <w:rsid w:val="07A626D8"/>
    <w:rsid w:val="07A92DBB"/>
    <w:rsid w:val="07B01F38"/>
    <w:rsid w:val="07B627CE"/>
    <w:rsid w:val="07B91F80"/>
    <w:rsid w:val="07C74AA3"/>
    <w:rsid w:val="07C81EB8"/>
    <w:rsid w:val="07C962BE"/>
    <w:rsid w:val="07CD02C0"/>
    <w:rsid w:val="07D045CB"/>
    <w:rsid w:val="07DA72F5"/>
    <w:rsid w:val="07DF53B2"/>
    <w:rsid w:val="07E450DC"/>
    <w:rsid w:val="07EA1FEC"/>
    <w:rsid w:val="07EB04C2"/>
    <w:rsid w:val="07EB22D0"/>
    <w:rsid w:val="07F27BFE"/>
    <w:rsid w:val="07F33CDF"/>
    <w:rsid w:val="07F575F9"/>
    <w:rsid w:val="07F752BC"/>
    <w:rsid w:val="07F910B5"/>
    <w:rsid w:val="07F926F2"/>
    <w:rsid w:val="07FD02AE"/>
    <w:rsid w:val="07FE1F1A"/>
    <w:rsid w:val="080103F2"/>
    <w:rsid w:val="080A4499"/>
    <w:rsid w:val="08106943"/>
    <w:rsid w:val="08116B05"/>
    <w:rsid w:val="08136B07"/>
    <w:rsid w:val="08187E2A"/>
    <w:rsid w:val="0820777A"/>
    <w:rsid w:val="082226D5"/>
    <w:rsid w:val="082C3238"/>
    <w:rsid w:val="083007B5"/>
    <w:rsid w:val="08312EAA"/>
    <w:rsid w:val="083420A6"/>
    <w:rsid w:val="083B5436"/>
    <w:rsid w:val="085052BC"/>
    <w:rsid w:val="085237B7"/>
    <w:rsid w:val="08581E02"/>
    <w:rsid w:val="085B3B7E"/>
    <w:rsid w:val="085B3F2A"/>
    <w:rsid w:val="085F49C6"/>
    <w:rsid w:val="086D2241"/>
    <w:rsid w:val="087157F0"/>
    <w:rsid w:val="08772AC5"/>
    <w:rsid w:val="087826A3"/>
    <w:rsid w:val="087976D7"/>
    <w:rsid w:val="087A0572"/>
    <w:rsid w:val="08824DAF"/>
    <w:rsid w:val="08890647"/>
    <w:rsid w:val="088E7FD9"/>
    <w:rsid w:val="088F37C7"/>
    <w:rsid w:val="08902440"/>
    <w:rsid w:val="08976286"/>
    <w:rsid w:val="08A737E0"/>
    <w:rsid w:val="08A9403C"/>
    <w:rsid w:val="08AC76ED"/>
    <w:rsid w:val="08AE4A57"/>
    <w:rsid w:val="08B451FA"/>
    <w:rsid w:val="08BC74F8"/>
    <w:rsid w:val="08BF36A7"/>
    <w:rsid w:val="08CC47C2"/>
    <w:rsid w:val="08CE4A3D"/>
    <w:rsid w:val="08D16E6A"/>
    <w:rsid w:val="08D64B01"/>
    <w:rsid w:val="08DF4B73"/>
    <w:rsid w:val="08E30F1C"/>
    <w:rsid w:val="08EE0BA2"/>
    <w:rsid w:val="08F3070F"/>
    <w:rsid w:val="08F96603"/>
    <w:rsid w:val="08FF7E1C"/>
    <w:rsid w:val="09026019"/>
    <w:rsid w:val="09044223"/>
    <w:rsid w:val="090D20D1"/>
    <w:rsid w:val="091813AA"/>
    <w:rsid w:val="0919709A"/>
    <w:rsid w:val="091B505B"/>
    <w:rsid w:val="091D0DD3"/>
    <w:rsid w:val="092217DD"/>
    <w:rsid w:val="09250A7C"/>
    <w:rsid w:val="09330FD3"/>
    <w:rsid w:val="093A7294"/>
    <w:rsid w:val="093B5276"/>
    <w:rsid w:val="093D59D9"/>
    <w:rsid w:val="094A33C7"/>
    <w:rsid w:val="094C6E67"/>
    <w:rsid w:val="09584E3C"/>
    <w:rsid w:val="09625051"/>
    <w:rsid w:val="09664B04"/>
    <w:rsid w:val="096B5FE2"/>
    <w:rsid w:val="096D10E7"/>
    <w:rsid w:val="096D6BBF"/>
    <w:rsid w:val="096E5B62"/>
    <w:rsid w:val="097811E1"/>
    <w:rsid w:val="097E32CC"/>
    <w:rsid w:val="098150C7"/>
    <w:rsid w:val="09831129"/>
    <w:rsid w:val="098F14DD"/>
    <w:rsid w:val="09B1528B"/>
    <w:rsid w:val="09B24664"/>
    <w:rsid w:val="09BA1ACC"/>
    <w:rsid w:val="09C02E09"/>
    <w:rsid w:val="09C43213"/>
    <w:rsid w:val="09CB6C67"/>
    <w:rsid w:val="09CD25C0"/>
    <w:rsid w:val="09D20E53"/>
    <w:rsid w:val="09D40C60"/>
    <w:rsid w:val="09D83817"/>
    <w:rsid w:val="09DE1794"/>
    <w:rsid w:val="09E14BF8"/>
    <w:rsid w:val="09F2400E"/>
    <w:rsid w:val="09F40620"/>
    <w:rsid w:val="09F70371"/>
    <w:rsid w:val="09FA3F69"/>
    <w:rsid w:val="0A051804"/>
    <w:rsid w:val="0A084F4A"/>
    <w:rsid w:val="0A0E10FE"/>
    <w:rsid w:val="0A0F4457"/>
    <w:rsid w:val="0A1B3564"/>
    <w:rsid w:val="0A1D7023"/>
    <w:rsid w:val="0A1E5AF4"/>
    <w:rsid w:val="0A256A70"/>
    <w:rsid w:val="0A263993"/>
    <w:rsid w:val="0A293BC8"/>
    <w:rsid w:val="0A294197"/>
    <w:rsid w:val="0A2D3AC2"/>
    <w:rsid w:val="0A324A56"/>
    <w:rsid w:val="0A345B7B"/>
    <w:rsid w:val="0A347935"/>
    <w:rsid w:val="0A3D115F"/>
    <w:rsid w:val="0A405117"/>
    <w:rsid w:val="0A424F96"/>
    <w:rsid w:val="0A452C55"/>
    <w:rsid w:val="0A485374"/>
    <w:rsid w:val="0A6071C9"/>
    <w:rsid w:val="0A622EF7"/>
    <w:rsid w:val="0A625996"/>
    <w:rsid w:val="0A640A93"/>
    <w:rsid w:val="0A6570E6"/>
    <w:rsid w:val="0A69260C"/>
    <w:rsid w:val="0A6A3BA2"/>
    <w:rsid w:val="0A6C300B"/>
    <w:rsid w:val="0A6D11FE"/>
    <w:rsid w:val="0A861736"/>
    <w:rsid w:val="0A994399"/>
    <w:rsid w:val="0A9B0C84"/>
    <w:rsid w:val="0A9B1969"/>
    <w:rsid w:val="0A9E1910"/>
    <w:rsid w:val="0AA34216"/>
    <w:rsid w:val="0AA755DF"/>
    <w:rsid w:val="0AB00A77"/>
    <w:rsid w:val="0AB4103E"/>
    <w:rsid w:val="0ABB534C"/>
    <w:rsid w:val="0AC232F8"/>
    <w:rsid w:val="0ACA6130"/>
    <w:rsid w:val="0ACA784C"/>
    <w:rsid w:val="0ACD1955"/>
    <w:rsid w:val="0ACF6A70"/>
    <w:rsid w:val="0AD2648A"/>
    <w:rsid w:val="0AD55045"/>
    <w:rsid w:val="0AD66B06"/>
    <w:rsid w:val="0ADD1EE6"/>
    <w:rsid w:val="0AE47875"/>
    <w:rsid w:val="0AE5151C"/>
    <w:rsid w:val="0AE80A22"/>
    <w:rsid w:val="0AE860A1"/>
    <w:rsid w:val="0AF21F0D"/>
    <w:rsid w:val="0AF525AB"/>
    <w:rsid w:val="0AFA2C13"/>
    <w:rsid w:val="0AFB7E58"/>
    <w:rsid w:val="0AFD137F"/>
    <w:rsid w:val="0B022248"/>
    <w:rsid w:val="0B023358"/>
    <w:rsid w:val="0B064109"/>
    <w:rsid w:val="0B103E3F"/>
    <w:rsid w:val="0B120D44"/>
    <w:rsid w:val="0B132A93"/>
    <w:rsid w:val="0B185CF6"/>
    <w:rsid w:val="0B1D2269"/>
    <w:rsid w:val="0B204995"/>
    <w:rsid w:val="0B234781"/>
    <w:rsid w:val="0B265843"/>
    <w:rsid w:val="0B2C105B"/>
    <w:rsid w:val="0B2D32A9"/>
    <w:rsid w:val="0B311E36"/>
    <w:rsid w:val="0B323B84"/>
    <w:rsid w:val="0B413654"/>
    <w:rsid w:val="0B4342D4"/>
    <w:rsid w:val="0B5427B0"/>
    <w:rsid w:val="0B5701EF"/>
    <w:rsid w:val="0B5D7438"/>
    <w:rsid w:val="0B662876"/>
    <w:rsid w:val="0B681180"/>
    <w:rsid w:val="0B6945B4"/>
    <w:rsid w:val="0B7C14CA"/>
    <w:rsid w:val="0B7C68A6"/>
    <w:rsid w:val="0B8E7D66"/>
    <w:rsid w:val="0B9F3C08"/>
    <w:rsid w:val="0BA205BC"/>
    <w:rsid w:val="0BA348A5"/>
    <w:rsid w:val="0BA60640"/>
    <w:rsid w:val="0BAB0918"/>
    <w:rsid w:val="0BAB285F"/>
    <w:rsid w:val="0BAF6134"/>
    <w:rsid w:val="0BB53545"/>
    <w:rsid w:val="0BBA1D27"/>
    <w:rsid w:val="0BBF2A42"/>
    <w:rsid w:val="0BC24A8A"/>
    <w:rsid w:val="0BC456D3"/>
    <w:rsid w:val="0BC70F4E"/>
    <w:rsid w:val="0BD27BF6"/>
    <w:rsid w:val="0BD4044B"/>
    <w:rsid w:val="0BD7406C"/>
    <w:rsid w:val="0BD943D3"/>
    <w:rsid w:val="0BDC3FBF"/>
    <w:rsid w:val="0BE032A8"/>
    <w:rsid w:val="0BE177DD"/>
    <w:rsid w:val="0BE40FF7"/>
    <w:rsid w:val="0BE4725F"/>
    <w:rsid w:val="0BEC01A4"/>
    <w:rsid w:val="0BED17C9"/>
    <w:rsid w:val="0BEE3D7E"/>
    <w:rsid w:val="0BF107AA"/>
    <w:rsid w:val="0BF4406D"/>
    <w:rsid w:val="0BF80261"/>
    <w:rsid w:val="0BF951F8"/>
    <w:rsid w:val="0BFC5DC5"/>
    <w:rsid w:val="0C0434D1"/>
    <w:rsid w:val="0C060038"/>
    <w:rsid w:val="0C07635C"/>
    <w:rsid w:val="0C094138"/>
    <w:rsid w:val="0C1069CD"/>
    <w:rsid w:val="0C12387B"/>
    <w:rsid w:val="0C18012E"/>
    <w:rsid w:val="0C1D0DAA"/>
    <w:rsid w:val="0C2B2BC9"/>
    <w:rsid w:val="0C3017E0"/>
    <w:rsid w:val="0C310539"/>
    <w:rsid w:val="0C337D2A"/>
    <w:rsid w:val="0C3B3C7D"/>
    <w:rsid w:val="0C42211B"/>
    <w:rsid w:val="0C434676"/>
    <w:rsid w:val="0C48643B"/>
    <w:rsid w:val="0C4918C8"/>
    <w:rsid w:val="0C4B0D30"/>
    <w:rsid w:val="0C50509F"/>
    <w:rsid w:val="0C56501A"/>
    <w:rsid w:val="0C584569"/>
    <w:rsid w:val="0C5A44C1"/>
    <w:rsid w:val="0C5B6BE9"/>
    <w:rsid w:val="0C5E19DF"/>
    <w:rsid w:val="0C6123F5"/>
    <w:rsid w:val="0C612FC7"/>
    <w:rsid w:val="0C613F4A"/>
    <w:rsid w:val="0C64453F"/>
    <w:rsid w:val="0C670C74"/>
    <w:rsid w:val="0C685366"/>
    <w:rsid w:val="0C6C3EBD"/>
    <w:rsid w:val="0C724374"/>
    <w:rsid w:val="0C953127"/>
    <w:rsid w:val="0C953E92"/>
    <w:rsid w:val="0C9729ED"/>
    <w:rsid w:val="0C994C14"/>
    <w:rsid w:val="0C9A2AAF"/>
    <w:rsid w:val="0C9C5870"/>
    <w:rsid w:val="0CA255A4"/>
    <w:rsid w:val="0CA94C68"/>
    <w:rsid w:val="0CAB2EAE"/>
    <w:rsid w:val="0CAE2E00"/>
    <w:rsid w:val="0CB04AE1"/>
    <w:rsid w:val="0CB13761"/>
    <w:rsid w:val="0CB6145C"/>
    <w:rsid w:val="0CBB5E7E"/>
    <w:rsid w:val="0CBB6EFE"/>
    <w:rsid w:val="0CBC542A"/>
    <w:rsid w:val="0CBF6E28"/>
    <w:rsid w:val="0CC30316"/>
    <w:rsid w:val="0CC32498"/>
    <w:rsid w:val="0CC600FA"/>
    <w:rsid w:val="0CC92EFB"/>
    <w:rsid w:val="0CCA0F46"/>
    <w:rsid w:val="0CD10304"/>
    <w:rsid w:val="0CDA7707"/>
    <w:rsid w:val="0CE44052"/>
    <w:rsid w:val="0CEC36CE"/>
    <w:rsid w:val="0CED61BA"/>
    <w:rsid w:val="0CFE30E7"/>
    <w:rsid w:val="0D0144C3"/>
    <w:rsid w:val="0D04278C"/>
    <w:rsid w:val="0D046532"/>
    <w:rsid w:val="0D07177E"/>
    <w:rsid w:val="0D08093A"/>
    <w:rsid w:val="0D1837D0"/>
    <w:rsid w:val="0D1B0EC7"/>
    <w:rsid w:val="0D1D404D"/>
    <w:rsid w:val="0D1E6142"/>
    <w:rsid w:val="0D241758"/>
    <w:rsid w:val="0D27048F"/>
    <w:rsid w:val="0D2941EA"/>
    <w:rsid w:val="0D352518"/>
    <w:rsid w:val="0D36189A"/>
    <w:rsid w:val="0D3E31C7"/>
    <w:rsid w:val="0D4C62EB"/>
    <w:rsid w:val="0D51004C"/>
    <w:rsid w:val="0D543E16"/>
    <w:rsid w:val="0D55640E"/>
    <w:rsid w:val="0D5B1742"/>
    <w:rsid w:val="0D603C13"/>
    <w:rsid w:val="0D621C7D"/>
    <w:rsid w:val="0D661615"/>
    <w:rsid w:val="0D662D48"/>
    <w:rsid w:val="0D692839"/>
    <w:rsid w:val="0D7105AD"/>
    <w:rsid w:val="0D7302AC"/>
    <w:rsid w:val="0D7549DB"/>
    <w:rsid w:val="0D7731A8"/>
    <w:rsid w:val="0D804519"/>
    <w:rsid w:val="0D854F03"/>
    <w:rsid w:val="0D892919"/>
    <w:rsid w:val="0D8C3151"/>
    <w:rsid w:val="0D8F7A6B"/>
    <w:rsid w:val="0D8F7BA7"/>
    <w:rsid w:val="0D902B95"/>
    <w:rsid w:val="0D996319"/>
    <w:rsid w:val="0D9B5810"/>
    <w:rsid w:val="0D9C4937"/>
    <w:rsid w:val="0DA61D2C"/>
    <w:rsid w:val="0DAA4650"/>
    <w:rsid w:val="0DBA3C12"/>
    <w:rsid w:val="0DBF190C"/>
    <w:rsid w:val="0DBF2837"/>
    <w:rsid w:val="0DC33EE8"/>
    <w:rsid w:val="0DC7000A"/>
    <w:rsid w:val="0DC716E0"/>
    <w:rsid w:val="0DC8473C"/>
    <w:rsid w:val="0DC91529"/>
    <w:rsid w:val="0DCA4E18"/>
    <w:rsid w:val="0DCC29FC"/>
    <w:rsid w:val="0DCD3C14"/>
    <w:rsid w:val="0DCE4456"/>
    <w:rsid w:val="0DD4550B"/>
    <w:rsid w:val="0DD67E7C"/>
    <w:rsid w:val="0DD91258"/>
    <w:rsid w:val="0DDB6A00"/>
    <w:rsid w:val="0DE014C0"/>
    <w:rsid w:val="0DEB0C3F"/>
    <w:rsid w:val="0DEF4766"/>
    <w:rsid w:val="0DEF5E14"/>
    <w:rsid w:val="0DF12ABE"/>
    <w:rsid w:val="0DF61125"/>
    <w:rsid w:val="0DF7468F"/>
    <w:rsid w:val="0DF87A8E"/>
    <w:rsid w:val="0E0367E9"/>
    <w:rsid w:val="0E0B71AC"/>
    <w:rsid w:val="0E0D09AF"/>
    <w:rsid w:val="0E1053AA"/>
    <w:rsid w:val="0E120862"/>
    <w:rsid w:val="0E137EC3"/>
    <w:rsid w:val="0E1A2561"/>
    <w:rsid w:val="0E1B1114"/>
    <w:rsid w:val="0E1F1149"/>
    <w:rsid w:val="0E2578BE"/>
    <w:rsid w:val="0E2B2329"/>
    <w:rsid w:val="0E3552C0"/>
    <w:rsid w:val="0E387E58"/>
    <w:rsid w:val="0E397809"/>
    <w:rsid w:val="0E3D1A89"/>
    <w:rsid w:val="0E3D2B56"/>
    <w:rsid w:val="0E3F4472"/>
    <w:rsid w:val="0E462B7A"/>
    <w:rsid w:val="0E4672C4"/>
    <w:rsid w:val="0E4735DD"/>
    <w:rsid w:val="0E4B0190"/>
    <w:rsid w:val="0E4B21E2"/>
    <w:rsid w:val="0E4F4D64"/>
    <w:rsid w:val="0E534F54"/>
    <w:rsid w:val="0E5862F7"/>
    <w:rsid w:val="0E5B225E"/>
    <w:rsid w:val="0E5E46F2"/>
    <w:rsid w:val="0E5F5EF1"/>
    <w:rsid w:val="0E6179B4"/>
    <w:rsid w:val="0E673360"/>
    <w:rsid w:val="0E6E499D"/>
    <w:rsid w:val="0E704FAC"/>
    <w:rsid w:val="0E73034D"/>
    <w:rsid w:val="0E753703"/>
    <w:rsid w:val="0E795012"/>
    <w:rsid w:val="0E7B26AA"/>
    <w:rsid w:val="0E8578B7"/>
    <w:rsid w:val="0E894F96"/>
    <w:rsid w:val="0E8B6019"/>
    <w:rsid w:val="0E8F6EBB"/>
    <w:rsid w:val="0E981D97"/>
    <w:rsid w:val="0E9E0404"/>
    <w:rsid w:val="0EA73C93"/>
    <w:rsid w:val="0EA93835"/>
    <w:rsid w:val="0EAA135B"/>
    <w:rsid w:val="0EAE575F"/>
    <w:rsid w:val="0EAE7612"/>
    <w:rsid w:val="0EB260BF"/>
    <w:rsid w:val="0EC36EA8"/>
    <w:rsid w:val="0EC55E1B"/>
    <w:rsid w:val="0EC829BA"/>
    <w:rsid w:val="0ECD5CBA"/>
    <w:rsid w:val="0ED37F9C"/>
    <w:rsid w:val="0ED435AD"/>
    <w:rsid w:val="0ED43727"/>
    <w:rsid w:val="0ED71A24"/>
    <w:rsid w:val="0EE261AB"/>
    <w:rsid w:val="0EE33E70"/>
    <w:rsid w:val="0EEA2FCC"/>
    <w:rsid w:val="0EED3A93"/>
    <w:rsid w:val="0EEE3800"/>
    <w:rsid w:val="0EF349EE"/>
    <w:rsid w:val="0EF4160E"/>
    <w:rsid w:val="0EFB108B"/>
    <w:rsid w:val="0F054899"/>
    <w:rsid w:val="0F071EB2"/>
    <w:rsid w:val="0F0C2AD8"/>
    <w:rsid w:val="0F0C46AC"/>
    <w:rsid w:val="0F13775A"/>
    <w:rsid w:val="0F1725C9"/>
    <w:rsid w:val="0F1831EA"/>
    <w:rsid w:val="0F193087"/>
    <w:rsid w:val="0F1B08C2"/>
    <w:rsid w:val="0F1D3226"/>
    <w:rsid w:val="0F1E5DB1"/>
    <w:rsid w:val="0F214967"/>
    <w:rsid w:val="0F2227A9"/>
    <w:rsid w:val="0F2E0F57"/>
    <w:rsid w:val="0F2F3C4A"/>
    <w:rsid w:val="0F327FD1"/>
    <w:rsid w:val="0F3805B3"/>
    <w:rsid w:val="0F381888"/>
    <w:rsid w:val="0F3836A3"/>
    <w:rsid w:val="0F3A029C"/>
    <w:rsid w:val="0F3A33F9"/>
    <w:rsid w:val="0F477325"/>
    <w:rsid w:val="0F575EFE"/>
    <w:rsid w:val="0F5B5D15"/>
    <w:rsid w:val="0F5C2892"/>
    <w:rsid w:val="0F5F45FE"/>
    <w:rsid w:val="0F605956"/>
    <w:rsid w:val="0F66566E"/>
    <w:rsid w:val="0F6B200C"/>
    <w:rsid w:val="0F71481B"/>
    <w:rsid w:val="0F735BF1"/>
    <w:rsid w:val="0F7C16CF"/>
    <w:rsid w:val="0F8032BE"/>
    <w:rsid w:val="0F803E6A"/>
    <w:rsid w:val="0F817142"/>
    <w:rsid w:val="0F847EF3"/>
    <w:rsid w:val="0F863462"/>
    <w:rsid w:val="0F930C8B"/>
    <w:rsid w:val="0F956560"/>
    <w:rsid w:val="0F975460"/>
    <w:rsid w:val="0F9754D5"/>
    <w:rsid w:val="0F9A112B"/>
    <w:rsid w:val="0F9B615B"/>
    <w:rsid w:val="0F9D416A"/>
    <w:rsid w:val="0F9F0794"/>
    <w:rsid w:val="0FA05DF4"/>
    <w:rsid w:val="0FAC184E"/>
    <w:rsid w:val="0FB20624"/>
    <w:rsid w:val="0FB23AC1"/>
    <w:rsid w:val="0FB673DB"/>
    <w:rsid w:val="0FB8027B"/>
    <w:rsid w:val="0FBA3FA2"/>
    <w:rsid w:val="0FBB6406"/>
    <w:rsid w:val="0FBD48BA"/>
    <w:rsid w:val="0FD0428F"/>
    <w:rsid w:val="0FD24365"/>
    <w:rsid w:val="0FE268D2"/>
    <w:rsid w:val="0FE8038D"/>
    <w:rsid w:val="0FEB156C"/>
    <w:rsid w:val="0FEC2927"/>
    <w:rsid w:val="0FF74039"/>
    <w:rsid w:val="0FF92EE0"/>
    <w:rsid w:val="100504FB"/>
    <w:rsid w:val="100A2C1D"/>
    <w:rsid w:val="10125FB3"/>
    <w:rsid w:val="10140151"/>
    <w:rsid w:val="10203B00"/>
    <w:rsid w:val="10253D6C"/>
    <w:rsid w:val="1027514F"/>
    <w:rsid w:val="1036066E"/>
    <w:rsid w:val="103F1B2B"/>
    <w:rsid w:val="10406880"/>
    <w:rsid w:val="10443CB7"/>
    <w:rsid w:val="104656E4"/>
    <w:rsid w:val="104E5F1C"/>
    <w:rsid w:val="10551B7F"/>
    <w:rsid w:val="105B70B1"/>
    <w:rsid w:val="105D134F"/>
    <w:rsid w:val="10615FF3"/>
    <w:rsid w:val="10633BB0"/>
    <w:rsid w:val="1067750E"/>
    <w:rsid w:val="106A2411"/>
    <w:rsid w:val="106D2D80"/>
    <w:rsid w:val="106D2F64"/>
    <w:rsid w:val="106F7446"/>
    <w:rsid w:val="10720632"/>
    <w:rsid w:val="10736225"/>
    <w:rsid w:val="10747298"/>
    <w:rsid w:val="10780405"/>
    <w:rsid w:val="107F4D67"/>
    <w:rsid w:val="10883201"/>
    <w:rsid w:val="108C2E85"/>
    <w:rsid w:val="108C42D4"/>
    <w:rsid w:val="108C6234"/>
    <w:rsid w:val="10923D1A"/>
    <w:rsid w:val="10935112"/>
    <w:rsid w:val="10993435"/>
    <w:rsid w:val="109C760D"/>
    <w:rsid w:val="10A818CA"/>
    <w:rsid w:val="10A90B15"/>
    <w:rsid w:val="10B101ED"/>
    <w:rsid w:val="10B43CE3"/>
    <w:rsid w:val="10B63710"/>
    <w:rsid w:val="10B7583B"/>
    <w:rsid w:val="10BB2008"/>
    <w:rsid w:val="10BD65EC"/>
    <w:rsid w:val="10BF64FC"/>
    <w:rsid w:val="10C539C9"/>
    <w:rsid w:val="10C722DC"/>
    <w:rsid w:val="10C82141"/>
    <w:rsid w:val="10D05284"/>
    <w:rsid w:val="10D66094"/>
    <w:rsid w:val="10D821AF"/>
    <w:rsid w:val="10DF5FA4"/>
    <w:rsid w:val="10E301A4"/>
    <w:rsid w:val="10E93504"/>
    <w:rsid w:val="10EA3295"/>
    <w:rsid w:val="10EE7BE2"/>
    <w:rsid w:val="10F10820"/>
    <w:rsid w:val="10F13271"/>
    <w:rsid w:val="10F76D7B"/>
    <w:rsid w:val="10FB6F1B"/>
    <w:rsid w:val="10FC6DB7"/>
    <w:rsid w:val="10FC73B2"/>
    <w:rsid w:val="11082369"/>
    <w:rsid w:val="110B1A7E"/>
    <w:rsid w:val="110C0DE4"/>
    <w:rsid w:val="110C19F4"/>
    <w:rsid w:val="110D6A8D"/>
    <w:rsid w:val="110F1892"/>
    <w:rsid w:val="111331E7"/>
    <w:rsid w:val="111C2F7A"/>
    <w:rsid w:val="111F4145"/>
    <w:rsid w:val="112A5547"/>
    <w:rsid w:val="112F3123"/>
    <w:rsid w:val="113022A3"/>
    <w:rsid w:val="1131366D"/>
    <w:rsid w:val="113522EE"/>
    <w:rsid w:val="1142768E"/>
    <w:rsid w:val="114B7350"/>
    <w:rsid w:val="11521006"/>
    <w:rsid w:val="115A6430"/>
    <w:rsid w:val="115B4B8E"/>
    <w:rsid w:val="115E27FF"/>
    <w:rsid w:val="11613CFC"/>
    <w:rsid w:val="11665CA1"/>
    <w:rsid w:val="11721CF2"/>
    <w:rsid w:val="117308C2"/>
    <w:rsid w:val="1175263D"/>
    <w:rsid w:val="11765868"/>
    <w:rsid w:val="11913562"/>
    <w:rsid w:val="119441B3"/>
    <w:rsid w:val="1196079B"/>
    <w:rsid w:val="119E40F5"/>
    <w:rsid w:val="11A14ECD"/>
    <w:rsid w:val="11AF39FA"/>
    <w:rsid w:val="11AF6FF8"/>
    <w:rsid w:val="11B72499"/>
    <w:rsid w:val="11BE5610"/>
    <w:rsid w:val="11C06B32"/>
    <w:rsid w:val="11C13D89"/>
    <w:rsid w:val="11C33149"/>
    <w:rsid w:val="11C57BC2"/>
    <w:rsid w:val="11C71CA0"/>
    <w:rsid w:val="11C92809"/>
    <w:rsid w:val="11CE35B2"/>
    <w:rsid w:val="11CF1563"/>
    <w:rsid w:val="11D10A3B"/>
    <w:rsid w:val="11D37108"/>
    <w:rsid w:val="11D85EA9"/>
    <w:rsid w:val="11DC5888"/>
    <w:rsid w:val="11DF6C79"/>
    <w:rsid w:val="11DF703D"/>
    <w:rsid w:val="11E35BD1"/>
    <w:rsid w:val="11E710E0"/>
    <w:rsid w:val="11E741AA"/>
    <w:rsid w:val="11E83F17"/>
    <w:rsid w:val="11E84B96"/>
    <w:rsid w:val="11ED05AE"/>
    <w:rsid w:val="11ED0E5A"/>
    <w:rsid w:val="11F12DFD"/>
    <w:rsid w:val="11F53BD6"/>
    <w:rsid w:val="11F64B99"/>
    <w:rsid w:val="12022718"/>
    <w:rsid w:val="12064683"/>
    <w:rsid w:val="12095789"/>
    <w:rsid w:val="1216271F"/>
    <w:rsid w:val="1217572A"/>
    <w:rsid w:val="121847A9"/>
    <w:rsid w:val="12196B0C"/>
    <w:rsid w:val="12241424"/>
    <w:rsid w:val="12284413"/>
    <w:rsid w:val="122C4754"/>
    <w:rsid w:val="122D3776"/>
    <w:rsid w:val="122F2A00"/>
    <w:rsid w:val="1234419D"/>
    <w:rsid w:val="12344C76"/>
    <w:rsid w:val="1237572B"/>
    <w:rsid w:val="123C09F0"/>
    <w:rsid w:val="12464A8A"/>
    <w:rsid w:val="12496D25"/>
    <w:rsid w:val="125011CF"/>
    <w:rsid w:val="12513493"/>
    <w:rsid w:val="12520EC6"/>
    <w:rsid w:val="12524FF3"/>
    <w:rsid w:val="12542DD3"/>
    <w:rsid w:val="125D2B77"/>
    <w:rsid w:val="12617DFD"/>
    <w:rsid w:val="12666306"/>
    <w:rsid w:val="1267316F"/>
    <w:rsid w:val="126863C9"/>
    <w:rsid w:val="126B0E01"/>
    <w:rsid w:val="126C5003"/>
    <w:rsid w:val="12722D42"/>
    <w:rsid w:val="12731411"/>
    <w:rsid w:val="12774528"/>
    <w:rsid w:val="128423B1"/>
    <w:rsid w:val="12880FD1"/>
    <w:rsid w:val="128811F5"/>
    <w:rsid w:val="128E3264"/>
    <w:rsid w:val="128E5294"/>
    <w:rsid w:val="1290799F"/>
    <w:rsid w:val="12952BE1"/>
    <w:rsid w:val="129C40A0"/>
    <w:rsid w:val="129C5313"/>
    <w:rsid w:val="129F459B"/>
    <w:rsid w:val="12A14823"/>
    <w:rsid w:val="12A211BF"/>
    <w:rsid w:val="12A879F2"/>
    <w:rsid w:val="12AC235E"/>
    <w:rsid w:val="12B12137"/>
    <w:rsid w:val="12BA5B32"/>
    <w:rsid w:val="12BD2BDF"/>
    <w:rsid w:val="12BD536B"/>
    <w:rsid w:val="12BD5DA4"/>
    <w:rsid w:val="12C42B0A"/>
    <w:rsid w:val="12C56763"/>
    <w:rsid w:val="12C57BA7"/>
    <w:rsid w:val="12CB169D"/>
    <w:rsid w:val="12CC7DF7"/>
    <w:rsid w:val="12CF70DC"/>
    <w:rsid w:val="12D4160A"/>
    <w:rsid w:val="12D446FE"/>
    <w:rsid w:val="12D45A39"/>
    <w:rsid w:val="12E002AB"/>
    <w:rsid w:val="12F36641"/>
    <w:rsid w:val="12FB2185"/>
    <w:rsid w:val="12FC466C"/>
    <w:rsid w:val="13001549"/>
    <w:rsid w:val="13056944"/>
    <w:rsid w:val="1306629E"/>
    <w:rsid w:val="1317442E"/>
    <w:rsid w:val="131B2D72"/>
    <w:rsid w:val="131D4804"/>
    <w:rsid w:val="131D56A4"/>
    <w:rsid w:val="132B5E62"/>
    <w:rsid w:val="132D6A2A"/>
    <w:rsid w:val="133B36D8"/>
    <w:rsid w:val="134A5521"/>
    <w:rsid w:val="134E2B00"/>
    <w:rsid w:val="134E478B"/>
    <w:rsid w:val="13522C51"/>
    <w:rsid w:val="135C2AEC"/>
    <w:rsid w:val="135E0246"/>
    <w:rsid w:val="135F05D5"/>
    <w:rsid w:val="136878E1"/>
    <w:rsid w:val="13697318"/>
    <w:rsid w:val="136B76EC"/>
    <w:rsid w:val="136F034A"/>
    <w:rsid w:val="137610D8"/>
    <w:rsid w:val="137B3D02"/>
    <w:rsid w:val="137D703E"/>
    <w:rsid w:val="137F10CF"/>
    <w:rsid w:val="1382561D"/>
    <w:rsid w:val="13827BD8"/>
    <w:rsid w:val="138808F7"/>
    <w:rsid w:val="138C14AF"/>
    <w:rsid w:val="138C7267"/>
    <w:rsid w:val="13951726"/>
    <w:rsid w:val="139F2E18"/>
    <w:rsid w:val="13A32E01"/>
    <w:rsid w:val="13A3685B"/>
    <w:rsid w:val="13A67133"/>
    <w:rsid w:val="13A723A5"/>
    <w:rsid w:val="13A76A8D"/>
    <w:rsid w:val="13AF343D"/>
    <w:rsid w:val="13B1461D"/>
    <w:rsid w:val="13B4046B"/>
    <w:rsid w:val="13B46F7E"/>
    <w:rsid w:val="13B741E4"/>
    <w:rsid w:val="13C17334"/>
    <w:rsid w:val="13C251CA"/>
    <w:rsid w:val="13C92283"/>
    <w:rsid w:val="13D144B8"/>
    <w:rsid w:val="13D45F1D"/>
    <w:rsid w:val="13DF104D"/>
    <w:rsid w:val="13E10C2A"/>
    <w:rsid w:val="13E21AC9"/>
    <w:rsid w:val="13E37A82"/>
    <w:rsid w:val="13EB1880"/>
    <w:rsid w:val="13F21D87"/>
    <w:rsid w:val="13F310AE"/>
    <w:rsid w:val="13F968F1"/>
    <w:rsid w:val="14085339"/>
    <w:rsid w:val="140D2A47"/>
    <w:rsid w:val="14183995"/>
    <w:rsid w:val="141F2BAA"/>
    <w:rsid w:val="142071CE"/>
    <w:rsid w:val="14237B72"/>
    <w:rsid w:val="142771C3"/>
    <w:rsid w:val="143230AC"/>
    <w:rsid w:val="14396509"/>
    <w:rsid w:val="143A08C6"/>
    <w:rsid w:val="143D0B8E"/>
    <w:rsid w:val="143E4A1F"/>
    <w:rsid w:val="1445364A"/>
    <w:rsid w:val="14461973"/>
    <w:rsid w:val="14462515"/>
    <w:rsid w:val="144F0BA4"/>
    <w:rsid w:val="145030E1"/>
    <w:rsid w:val="14543112"/>
    <w:rsid w:val="145611AD"/>
    <w:rsid w:val="1457788F"/>
    <w:rsid w:val="145C110F"/>
    <w:rsid w:val="145D4787"/>
    <w:rsid w:val="145D70B7"/>
    <w:rsid w:val="145E135E"/>
    <w:rsid w:val="145E1A30"/>
    <w:rsid w:val="145F56DA"/>
    <w:rsid w:val="14680B5A"/>
    <w:rsid w:val="146B3AC2"/>
    <w:rsid w:val="14737A09"/>
    <w:rsid w:val="14767783"/>
    <w:rsid w:val="14792668"/>
    <w:rsid w:val="14795A57"/>
    <w:rsid w:val="147A357D"/>
    <w:rsid w:val="147C4D69"/>
    <w:rsid w:val="147E1FCC"/>
    <w:rsid w:val="14803325"/>
    <w:rsid w:val="148455F0"/>
    <w:rsid w:val="14874646"/>
    <w:rsid w:val="148B1F7C"/>
    <w:rsid w:val="148E0471"/>
    <w:rsid w:val="14931033"/>
    <w:rsid w:val="149D59A3"/>
    <w:rsid w:val="14A108C3"/>
    <w:rsid w:val="14A1358A"/>
    <w:rsid w:val="14A73A0F"/>
    <w:rsid w:val="14A74531"/>
    <w:rsid w:val="14AE09BB"/>
    <w:rsid w:val="14AF7EAC"/>
    <w:rsid w:val="14B67DF3"/>
    <w:rsid w:val="14B74B27"/>
    <w:rsid w:val="14C22659"/>
    <w:rsid w:val="14C33C42"/>
    <w:rsid w:val="14C7490E"/>
    <w:rsid w:val="14C8444E"/>
    <w:rsid w:val="14C85682"/>
    <w:rsid w:val="14D263E9"/>
    <w:rsid w:val="14DA5894"/>
    <w:rsid w:val="14DB2289"/>
    <w:rsid w:val="14DD2C3C"/>
    <w:rsid w:val="14DE3CCC"/>
    <w:rsid w:val="14E07884"/>
    <w:rsid w:val="14E278DB"/>
    <w:rsid w:val="14E56417"/>
    <w:rsid w:val="14E96764"/>
    <w:rsid w:val="14ED1B20"/>
    <w:rsid w:val="14ED624D"/>
    <w:rsid w:val="14F0771E"/>
    <w:rsid w:val="14F54F11"/>
    <w:rsid w:val="14F74BCE"/>
    <w:rsid w:val="14FD5480"/>
    <w:rsid w:val="15037702"/>
    <w:rsid w:val="150633AB"/>
    <w:rsid w:val="15092996"/>
    <w:rsid w:val="15134A0C"/>
    <w:rsid w:val="151432D0"/>
    <w:rsid w:val="15167FC1"/>
    <w:rsid w:val="1517416F"/>
    <w:rsid w:val="151C4BA3"/>
    <w:rsid w:val="151D1589"/>
    <w:rsid w:val="1521542C"/>
    <w:rsid w:val="1523598D"/>
    <w:rsid w:val="15294FAD"/>
    <w:rsid w:val="152A70A9"/>
    <w:rsid w:val="152E4CA7"/>
    <w:rsid w:val="153A7A89"/>
    <w:rsid w:val="153B4466"/>
    <w:rsid w:val="153C36C2"/>
    <w:rsid w:val="153E27FD"/>
    <w:rsid w:val="1544514D"/>
    <w:rsid w:val="154831F1"/>
    <w:rsid w:val="154F10D9"/>
    <w:rsid w:val="154F3BB9"/>
    <w:rsid w:val="1551043E"/>
    <w:rsid w:val="15555BED"/>
    <w:rsid w:val="155A467A"/>
    <w:rsid w:val="155C7AD8"/>
    <w:rsid w:val="15687277"/>
    <w:rsid w:val="156B2D07"/>
    <w:rsid w:val="1576599C"/>
    <w:rsid w:val="15793965"/>
    <w:rsid w:val="157B135B"/>
    <w:rsid w:val="157C685A"/>
    <w:rsid w:val="158315C1"/>
    <w:rsid w:val="15847EA0"/>
    <w:rsid w:val="158647E6"/>
    <w:rsid w:val="15873426"/>
    <w:rsid w:val="158B4DD4"/>
    <w:rsid w:val="158B65C1"/>
    <w:rsid w:val="15924686"/>
    <w:rsid w:val="15970304"/>
    <w:rsid w:val="1598128F"/>
    <w:rsid w:val="159C51DE"/>
    <w:rsid w:val="15A02451"/>
    <w:rsid w:val="15A11A46"/>
    <w:rsid w:val="15A33FA0"/>
    <w:rsid w:val="15A45123"/>
    <w:rsid w:val="15A5752D"/>
    <w:rsid w:val="15A62850"/>
    <w:rsid w:val="15A84179"/>
    <w:rsid w:val="15AA64D9"/>
    <w:rsid w:val="15AB5982"/>
    <w:rsid w:val="15AC3763"/>
    <w:rsid w:val="15B62E72"/>
    <w:rsid w:val="15B900D5"/>
    <w:rsid w:val="15BB2EB0"/>
    <w:rsid w:val="15BF6E32"/>
    <w:rsid w:val="15C0191F"/>
    <w:rsid w:val="15C85D34"/>
    <w:rsid w:val="15D16929"/>
    <w:rsid w:val="15D942D4"/>
    <w:rsid w:val="15DE07A7"/>
    <w:rsid w:val="15E00E58"/>
    <w:rsid w:val="15E05EDC"/>
    <w:rsid w:val="15E120E7"/>
    <w:rsid w:val="15E76C4F"/>
    <w:rsid w:val="15F511C6"/>
    <w:rsid w:val="15F871C2"/>
    <w:rsid w:val="15FD6F6C"/>
    <w:rsid w:val="16036D9B"/>
    <w:rsid w:val="16087E1D"/>
    <w:rsid w:val="1609368B"/>
    <w:rsid w:val="160B19D4"/>
    <w:rsid w:val="160F5C38"/>
    <w:rsid w:val="16190BD8"/>
    <w:rsid w:val="161D2209"/>
    <w:rsid w:val="1627309A"/>
    <w:rsid w:val="16324FF7"/>
    <w:rsid w:val="16344F74"/>
    <w:rsid w:val="1638549E"/>
    <w:rsid w:val="163D7E2F"/>
    <w:rsid w:val="16490DAA"/>
    <w:rsid w:val="16513C04"/>
    <w:rsid w:val="16525C24"/>
    <w:rsid w:val="16541AA1"/>
    <w:rsid w:val="16560563"/>
    <w:rsid w:val="165B2F3A"/>
    <w:rsid w:val="16763EEB"/>
    <w:rsid w:val="16771FE4"/>
    <w:rsid w:val="16786988"/>
    <w:rsid w:val="16793A5A"/>
    <w:rsid w:val="167D7B80"/>
    <w:rsid w:val="168146C7"/>
    <w:rsid w:val="1682782C"/>
    <w:rsid w:val="168707B2"/>
    <w:rsid w:val="168B7CFE"/>
    <w:rsid w:val="16925B85"/>
    <w:rsid w:val="16927A3A"/>
    <w:rsid w:val="16962F58"/>
    <w:rsid w:val="169779DA"/>
    <w:rsid w:val="16A60E1D"/>
    <w:rsid w:val="16B027EA"/>
    <w:rsid w:val="16B96CE3"/>
    <w:rsid w:val="16C344FC"/>
    <w:rsid w:val="16C5001B"/>
    <w:rsid w:val="16CA628C"/>
    <w:rsid w:val="16CB2B4C"/>
    <w:rsid w:val="16CE1CBF"/>
    <w:rsid w:val="16D750CE"/>
    <w:rsid w:val="16DF3E66"/>
    <w:rsid w:val="16E04028"/>
    <w:rsid w:val="16E05E91"/>
    <w:rsid w:val="16E178E4"/>
    <w:rsid w:val="16E672B5"/>
    <w:rsid w:val="16EF7956"/>
    <w:rsid w:val="16F51CB1"/>
    <w:rsid w:val="16F5338F"/>
    <w:rsid w:val="16F93FBB"/>
    <w:rsid w:val="16FA2B66"/>
    <w:rsid w:val="16FA576B"/>
    <w:rsid w:val="16FE00F8"/>
    <w:rsid w:val="16FE1BD6"/>
    <w:rsid w:val="17027B9D"/>
    <w:rsid w:val="17033763"/>
    <w:rsid w:val="17053276"/>
    <w:rsid w:val="171139AB"/>
    <w:rsid w:val="17194338"/>
    <w:rsid w:val="171C6B6E"/>
    <w:rsid w:val="172203CF"/>
    <w:rsid w:val="17292B0E"/>
    <w:rsid w:val="17354F12"/>
    <w:rsid w:val="1736155C"/>
    <w:rsid w:val="173E4161"/>
    <w:rsid w:val="17401BAC"/>
    <w:rsid w:val="174553AF"/>
    <w:rsid w:val="174827C8"/>
    <w:rsid w:val="174C2CA6"/>
    <w:rsid w:val="175311AF"/>
    <w:rsid w:val="175D2938"/>
    <w:rsid w:val="176366A5"/>
    <w:rsid w:val="176D1177"/>
    <w:rsid w:val="176E2494"/>
    <w:rsid w:val="17701D14"/>
    <w:rsid w:val="17712A16"/>
    <w:rsid w:val="17721A3F"/>
    <w:rsid w:val="17724495"/>
    <w:rsid w:val="17735226"/>
    <w:rsid w:val="177A2EC5"/>
    <w:rsid w:val="177C1C15"/>
    <w:rsid w:val="177D60CA"/>
    <w:rsid w:val="17805C82"/>
    <w:rsid w:val="1782767A"/>
    <w:rsid w:val="17872E1A"/>
    <w:rsid w:val="17896087"/>
    <w:rsid w:val="178D7DCB"/>
    <w:rsid w:val="178E2A01"/>
    <w:rsid w:val="179A67F1"/>
    <w:rsid w:val="179D09B2"/>
    <w:rsid w:val="17A10E21"/>
    <w:rsid w:val="17A96F9F"/>
    <w:rsid w:val="17AD2FA6"/>
    <w:rsid w:val="17BB55D7"/>
    <w:rsid w:val="17CC6697"/>
    <w:rsid w:val="17CD712F"/>
    <w:rsid w:val="17CE1EC2"/>
    <w:rsid w:val="17D73738"/>
    <w:rsid w:val="17DC12AB"/>
    <w:rsid w:val="17E578F1"/>
    <w:rsid w:val="17EB2A3D"/>
    <w:rsid w:val="17EB6C6C"/>
    <w:rsid w:val="17F00138"/>
    <w:rsid w:val="17F03075"/>
    <w:rsid w:val="17F24DDE"/>
    <w:rsid w:val="17F94415"/>
    <w:rsid w:val="17FC72E6"/>
    <w:rsid w:val="17FC7316"/>
    <w:rsid w:val="18026A4B"/>
    <w:rsid w:val="180853EA"/>
    <w:rsid w:val="180D6EB8"/>
    <w:rsid w:val="18123147"/>
    <w:rsid w:val="18160944"/>
    <w:rsid w:val="18167C27"/>
    <w:rsid w:val="181803AB"/>
    <w:rsid w:val="181E5170"/>
    <w:rsid w:val="181F6ABE"/>
    <w:rsid w:val="18256D72"/>
    <w:rsid w:val="182D70CA"/>
    <w:rsid w:val="182E01D7"/>
    <w:rsid w:val="18322488"/>
    <w:rsid w:val="183256F0"/>
    <w:rsid w:val="18357B04"/>
    <w:rsid w:val="18381785"/>
    <w:rsid w:val="183A47FF"/>
    <w:rsid w:val="183C03F5"/>
    <w:rsid w:val="183E1958"/>
    <w:rsid w:val="1847435C"/>
    <w:rsid w:val="184A1C44"/>
    <w:rsid w:val="184B01F4"/>
    <w:rsid w:val="184D7A71"/>
    <w:rsid w:val="1851544C"/>
    <w:rsid w:val="186407CC"/>
    <w:rsid w:val="18655014"/>
    <w:rsid w:val="186C6C0A"/>
    <w:rsid w:val="18714F55"/>
    <w:rsid w:val="18736C61"/>
    <w:rsid w:val="187C3BD7"/>
    <w:rsid w:val="187D5A8A"/>
    <w:rsid w:val="187F484C"/>
    <w:rsid w:val="188271B7"/>
    <w:rsid w:val="18854D77"/>
    <w:rsid w:val="188E559E"/>
    <w:rsid w:val="18930411"/>
    <w:rsid w:val="18996903"/>
    <w:rsid w:val="189C2A3B"/>
    <w:rsid w:val="189F624C"/>
    <w:rsid w:val="18A047CD"/>
    <w:rsid w:val="18A14648"/>
    <w:rsid w:val="18A41136"/>
    <w:rsid w:val="18A661BD"/>
    <w:rsid w:val="18AA428E"/>
    <w:rsid w:val="18AA6C02"/>
    <w:rsid w:val="18AF6AA4"/>
    <w:rsid w:val="18B03A11"/>
    <w:rsid w:val="18B27E32"/>
    <w:rsid w:val="18C44C73"/>
    <w:rsid w:val="18C55EBD"/>
    <w:rsid w:val="18C615EE"/>
    <w:rsid w:val="18C80D1E"/>
    <w:rsid w:val="18CD49EF"/>
    <w:rsid w:val="18D276FC"/>
    <w:rsid w:val="18D514DC"/>
    <w:rsid w:val="18D671F2"/>
    <w:rsid w:val="18E10993"/>
    <w:rsid w:val="18E114EC"/>
    <w:rsid w:val="18E2404C"/>
    <w:rsid w:val="18E662B8"/>
    <w:rsid w:val="18E83168"/>
    <w:rsid w:val="18EC6D66"/>
    <w:rsid w:val="18ED2A51"/>
    <w:rsid w:val="18F24AD4"/>
    <w:rsid w:val="18F66E6E"/>
    <w:rsid w:val="18FB3AD1"/>
    <w:rsid w:val="18FC27B4"/>
    <w:rsid w:val="18FF664E"/>
    <w:rsid w:val="1908317F"/>
    <w:rsid w:val="190A2DED"/>
    <w:rsid w:val="19126153"/>
    <w:rsid w:val="19136E32"/>
    <w:rsid w:val="1914066A"/>
    <w:rsid w:val="19153045"/>
    <w:rsid w:val="1917125F"/>
    <w:rsid w:val="19197065"/>
    <w:rsid w:val="19197611"/>
    <w:rsid w:val="191D37B3"/>
    <w:rsid w:val="191F5E1D"/>
    <w:rsid w:val="1920403A"/>
    <w:rsid w:val="19251D9C"/>
    <w:rsid w:val="192E0C10"/>
    <w:rsid w:val="192E2801"/>
    <w:rsid w:val="19330C6B"/>
    <w:rsid w:val="19331A02"/>
    <w:rsid w:val="193C70A5"/>
    <w:rsid w:val="194959F9"/>
    <w:rsid w:val="194A5C14"/>
    <w:rsid w:val="194B54E8"/>
    <w:rsid w:val="194D0242"/>
    <w:rsid w:val="194D26EB"/>
    <w:rsid w:val="194D4557"/>
    <w:rsid w:val="19526B8E"/>
    <w:rsid w:val="1956747C"/>
    <w:rsid w:val="19657151"/>
    <w:rsid w:val="19671BD7"/>
    <w:rsid w:val="19690451"/>
    <w:rsid w:val="196C47D3"/>
    <w:rsid w:val="19701262"/>
    <w:rsid w:val="197467ED"/>
    <w:rsid w:val="19752B69"/>
    <w:rsid w:val="197B18D0"/>
    <w:rsid w:val="198232E6"/>
    <w:rsid w:val="1983358D"/>
    <w:rsid w:val="19850CBD"/>
    <w:rsid w:val="198747E3"/>
    <w:rsid w:val="198E2DE4"/>
    <w:rsid w:val="19926006"/>
    <w:rsid w:val="19946B16"/>
    <w:rsid w:val="19965E00"/>
    <w:rsid w:val="19A96D61"/>
    <w:rsid w:val="19AA3E3F"/>
    <w:rsid w:val="19AD4B68"/>
    <w:rsid w:val="19B32602"/>
    <w:rsid w:val="19BC48B6"/>
    <w:rsid w:val="19BD1010"/>
    <w:rsid w:val="19C348DC"/>
    <w:rsid w:val="19C940FE"/>
    <w:rsid w:val="19CD2646"/>
    <w:rsid w:val="19CF625E"/>
    <w:rsid w:val="19D02717"/>
    <w:rsid w:val="19D4676E"/>
    <w:rsid w:val="19E139F4"/>
    <w:rsid w:val="19EC1C03"/>
    <w:rsid w:val="19ED23FF"/>
    <w:rsid w:val="19F525FC"/>
    <w:rsid w:val="19F60EE6"/>
    <w:rsid w:val="19FA7CCE"/>
    <w:rsid w:val="1A035CE1"/>
    <w:rsid w:val="1A037B71"/>
    <w:rsid w:val="1A077E8A"/>
    <w:rsid w:val="1A0A6F74"/>
    <w:rsid w:val="1A0F4768"/>
    <w:rsid w:val="1A10654D"/>
    <w:rsid w:val="1A1105F2"/>
    <w:rsid w:val="1A12025E"/>
    <w:rsid w:val="1A141436"/>
    <w:rsid w:val="1A16690C"/>
    <w:rsid w:val="1A1C66C0"/>
    <w:rsid w:val="1A1E3F4A"/>
    <w:rsid w:val="1A1E6105"/>
    <w:rsid w:val="1A1F2E53"/>
    <w:rsid w:val="1A1F498E"/>
    <w:rsid w:val="1A253CB3"/>
    <w:rsid w:val="1A253D28"/>
    <w:rsid w:val="1A2E024A"/>
    <w:rsid w:val="1A33240E"/>
    <w:rsid w:val="1A3640E8"/>
    <w:rsid w:val="1A3C4CC5"/>
    <w:rsid w:val="1A42393B"/>
    <w:rsid w:val="1A4428B3"/>
    <w:rsid w:val="1A493625"/>
    <w:rsid w:val="1A4B081E"/>
    <w:rsid w:val="1A4B1BBC"/>
    <w:rsid w:val="1A5165ED"/>
    <w:rsid w:val="1A587472"/>
    <w:rsid w:val="1A5A2EB9"/>
    <w:rsid w:val="1A5C66B8"/>
    <w:rsid w:val="1A5F749D"/>
    <w:rsid w:val="1A6043D9"/>
    <w:rsid w:val="1A622E09"/>
    <w:rsid w:val="1A686358"/>
    <w:rsid w:val="1A6F41F3"/>
    <w:rsid w:val="1A702325"/>
    <w:rsid w:val="1A714CBC"/>
    <w:rsid w:val="1A747F22"/>
    <w:rsid w:val="1A7727B7"/>
    <w:rsid w:val="1A79600A"/>
    <w:rsid w:val="1A827334"/>
    <w:rsid w:val="1A84479C"/>
    <w:rsid w:val="1A84630A"/>
    <w:rsid w:val="1A856BB0"/>
    <w:rsid w:val="1A947C4B"/>
    <w:rsid w:val="1A9E71E9"/>
    <w:rsid w:val="1AA6035F"/>
    <w:rsid w:val="1AA64451"/>
    <w:rsid w:val="1AAD45DE"/>
    <w:rsid w:val="1AB45BE5"/>
    <w:rsid w:val="1AB772D9"/>
    <w:rsid w:val="1ABC4AA7"/>
    <w:rsid w:val="1ABD3D2E"/>
    <w:rsid w:val="1AC36767"/>
    <w:rsid w:val="1ACB117D"/>
    <w:rsid w:val="1ACD2659"/>
    <w:rsid w:val="1ACF14C8"/>
    <w:rsid w:val="1ACF6D89"/>
    <w:rsid w:val="1AD03570"/>
    <w:rsid w:val="1AD31D49"/>
    <w:rsid w:val="1AD86A27"/>
    <w:rsid w:val="1ADA102F"/>
    <w:rsid w:val="1ADE1ADF"/>
    <w:rsid w:val="1ADE521A"/>
    <w:rsid w:val="1ADF2D0E"/>
    <w:rsid w:val="1AE0097D"/>
    <w:rsid w:val="1AE142EA"/>
    <w:rsid w:val="1AEA7F2E"/>
    <w:rsid w:val="1AF04EE4"/>
    <w:rsid w:val="1AF721A9"/>
    <w:rsid w:val="1AF80847"/>
    <w:rsid w:val="1AFC2378"/>
    <w:rsid w:val="1B030FEB"/>
    <w:rsid w:val="1B046F80"/>
    <w:rsid w:val="1B096303"/>
    <w:rsid w:val="1B0F4C3F"/>
    <w:rsid w:val="1B10568E"/>
    <w:rsid w:val="1B1D1BB4"/>
    <w:rsid w:val="1B20044A"/>
    <w:rsid w:val="1B245DDE"/>
    <w:rsid w:val="1B2706CD"/>
    <w:rsid w:val="1B28158C"/>
    <w:rsid w:val="1B285EB7"/>
    <w:rsid w:val="1B291859"/>
    <w:rsid w:val="1B2E2851"/>
    <w:rsid w:val="1B3267B5"/>
    <w:rsid w:val="1B33450A"/>
    <w:rsid w:val="1B39082D"/>
    <w:rsid w:val="1B40161D"/>
    <w:rsid w:val="1B441859"/>
    <w:rsid w:val="1B444924"/>
    <w:rsid w:val="1B49604A"/>
    <w:rsid w:val="1B532673"/>
    <w:rsid w:val="1B566F3A"/>
    <w:rsid w:val="1B5929D8"/>
    <w:rsid w:val="1B6039BF"/>
    <w:rsid w:val="1B6233C8"/>
    <w:rsid w:val="1B6606B1"/>
    <w:rsid w:val="1B66570B"/>
    <w:rsid w:val="1B6717BA"/>
    <w:rsid w:val="1B6D54B1"/>
    <w:rsid w:val="1B720AD9"/>
    <w:rsid w:val="1B733202"/>
    <w:rsid w:val="1B78184C"/>
    <w:rsid w:val="1B786EDC"/>
    <w:rsid w:val="1B7D5948"/>
    <w:rsid w:val="1B7F269A"/>
    <w:rsid w:val="1B8031FA"/>
    <w:rsid w:val="1B88530F"/>
    <w:rsid w:val="1B8D6088"/>
    <w:rsid w:val="1B8F65B6"/>
    <w:rsid w:val="1B944F25"/>
    <w:rsid w:val="1B950BA7"/>
    <w:rsid w:val="1BA26434"/>
    <w:rsid w:val="1BA62119"/>
    <w:rsid w:val="1BA764D7"/>
    <w:rsid w:val="1BAC350E"/>
    <w:rsid w:val="1BAC38E4"/>
    <w:rsid w:val="1BB25FB7"/>
    <w:rsid w:val="1BB317CC"/>
    <w:rsid w:val="1BB93941"/>
    <w:rsid w:val="1BBC7501"/>
    <w:rsid w:val="1BBE036A"/>
    <w:rsid w:val="1BC13257"/>
    <w:rsid w:val="1BC164C3"/>
    <w:rsid w:val="1BCA303C"/>
    <w:rsid w:val="1BCC3B15"/>
    <w:rsid w:val="1BD521D9"/>
    <w:rsid w:val="1BD56C66"/>
    <w:rsid w:val="1BD86E80"/>
    <w:rsid w:val="1BD9532E"/>
    <w:rsid w:val="1BE65100"/>
    <w:rsid w:val="1BEF7D46"/>
    <w:rsid w:val="1BF32C94"/>
    <w:rsid w:val="1BF60473"/>
    <w:rsid w:val="1BF8721B"/>
    <w:rsid w:val="1BF93DD5"/>
    <w:rsid w:val="1BFF725F"/>
    <w:rsid w:val="1C024DCF"/>
    <w:rsid w:val="1C0B7036"/>
    <w:rsid w:val="1C177DC5"/>
    <w:rsid w:val="1C1D1C86"/>
    <w:rsid w:val="1C1E66A8"/>
    <w:rsid w:val="1C1F48BB"/>
    <w:rsid w:val="1C2A670B"/>
    <w:rsid w:val="1C2D673F"/>
    <w:rsid w:val="1C300E5F"/>
    <w:rsid w:val="1C3929B4"/>
    <w:rsid w:val="1C3D2CDD"/>
    <w:rsid w:val="1C40365D"/>
    <w:rsid w:val="1C4042D7"/>
    <w:rsid w:val="1C4A2BE6"/>
    <w:rsid w:val="1C4E1577"/>
    <w:rsid w:val="1C4F74D3"/>
    <w:rsid w:val="1C5449CE"/>
    <w:rsid w:val="1C5850A9"/>
    <w:rsid w:val="1C5900BA"/>
    <w:rsid w:val="1C5E7925"/>
    <w:rsid w:val="1C627E65"/>
    <w:rsid w:val="1C632B49"/>
    <w:rsid w:val="1C632BF7"/>
    <w:rsid w:val="1C721FAB"/>
    <w:rsid w:val="1C791BA5"/>
    <w:rsid w:val="1C8542AA"/>
    <w:rsid w:val="1C862C53"/>
    <w:rsid w:val="1C8D2E49"/>
    <w:rsid w:val="1C914D2E"/>
    <w:rsid w:val="1C9E1571"/>
    <w:rsid w:val="1CA00427"/>
    <w:rsid w:val="1CAB1480"/>
    <w:rsid w:val="1CAF1065"/>
    <w:rsid w:val="1CB10D1A"/>
    <w:rsid w:val="1CC14E57"/>
    <w:rsid w:val="1CC535AD"/>
    <w:rsid w:val="1CCA0E15"/>
    <w:rsid w:val="1CCE56DB"/>
    <w:rsid w:val="1CCF2BFD"/>
    <w:rsid w:val="1CD466D4"/>
    <w:rsid w:val="1CD852E5"/>
    <w:rsid w:val="1CDD7E45"/>
    <w:rsid w:val="1CDF60B6"/>
    <w:rsid w:val="1CE178D2"/>
    <w:rsid w:val="1CE4012E"/>
    <w:rsid w:val="1CE63411"/>
    <w:rsid w:val="1CE87749"/>
    <w:rsid w:val="1CED6632"/>
    <w:rsid w:val="1CF35FA8"/>
    <w:rsid w:val="1CF77E61"/>
    <w:rsid w:val="1CF84808"/>
    <w:rsid w:val="1CFC624D"/>
    <w:rsid w:val="1CFD070F"/>
    <w:rsid w:val="1D00442A"/>
    <w:rsid w:val="1D0C618E"/>
    <w:rsid w:val="1D11549D"/>
    <w:rsid w:val="1D166CAB"/>
    <w:rsid w:val="1D195689"/>
    <w:rsid w:val="1D1A0F0A"/>
    <w:rsid w:val="1D1E04E4"/>
    <w:rsid w:val="1D1E19B2"/>
    <w:rsid w:val="1D233862"/>
    <w:rsid w:val="1D234F75"/>
    <w:rsid w:val="1D2D0346"/>
    <w:rsid w:val="1D2D3883"/>
    <w:rsid w:val="1D2E0141"/>
    <w:rsid w:val="1D330DEB"/>
    <w:rsid w:val="1D346403"/>
    <w:rsid w:val="1D354D8E"/>
    <w:rsid w:val="1D3609FA"/>
    <w:rsid w:val="1D377A32"/>
    <w:rsid w:val="1D3F5B71"/>
    <w:rsid w:val="1D46619A"/>
    <w:rsid w:val="1D547486"/>
    <w:rsid w:val="1D582410"/>
    <w:rsid w:val="1D5F6196"/>
    <w:rsid w:val="1D6132A5"/>
    <w:rsid w:val="1D62770B"/>
    <w:rsid w:val="1D661972"/>
    <w:rsid w:val="1D73420A"/>
    <w:rsid w:val="1D753B1F"/>
    <w:rsid w:val="1D7802A0"/>
    <w:rsid w:val="1D786744"/>
    <w:rsid w:val="1D7E3703"/>
    <w:rsid w:val="1D7E38F7"/>
    <w:rsid w:val="1D7F055F"/>
    <w:rsid w:val="1D801A3E"/>
    <w:rsid w:val="1D814C5D"/>
    <w:rsid w:val="1D841636"/>
    <w:rsid w:val="1D863588"/>
    <w:rsid w:val="1D894E19"/>
    <w:rsid w:val="1D8B5976"/>
    <w:rsid w:val="1D8E481A"/>
    <w:rsid w:val="1D8E56D5"/>
    <w:rsid w:val="1D9105C5"/>
    <w:rsid w:val="1D915AB5"/>
    <w:rsid w:val="1D924BC6"/>
    <w:rsid w:val="1D986A71"/>
    <w:rsid w:val="1DA04055"/>
    <w:rsid w:val="1DA25592"/>
    <w:rsid w:val="1DB0202C"/>
    <w:rsid w:val="1DB07D27"/>
    <w:rsid w:val="1DB1593D"/>
    <w:rsid w:val="1DB3371F"/>
    <w:rsid w:val="1DBB0B65"/>
    <w:rsid w:val="1DBC55C7"/>
    <w:rsid w:val="1DC342CE"/>
    <w:rsid w:val="1DCD1442"/>
    <w:rsid w:val="1DD46DE1"/>
    <w:rsid w:val="1DE718C8"/>
    <w:rsid w:val="1DE740F1"/>
    <w:rsid w:val="1DEC729A"/>
    <w:rsid w:val="1DF372AA"/>
    <w:rsid w:val="1DF57850"/>
    <w:rsid w:val="1DF73325"/>
    <w:rsid w:val="1DF9039B"/>
    <w:rsid w:val="1E002D45"/>
    <w:rsid w:val="1E003FA3"/>
    <w:rsid w:val="1E0D4D9D"/>
    <w:rsid w:val="1E165948"/>
    <w:rsid w:val="1E1659FC"/>
    <w:rsid w:val="1E246987"/>
    <w:rsid w:val="1E261069"/>
    <w:rsid w:val="1E303E5B"/>
    <w:rsid w:val="1E391F75"/>
    <w:rsid w:val="1E3E29AC"/>
    <w:rsid w:val="1E42619A"/>
    <w:rsid w:val="1E436D8C"/>
    <w:rsid w:val="1E473E78"/>
    <w:rsid w:val="1E4A1C09"/>
    <w:rsid w:val="1E533820"/>
    <w:rsid w:val="1E661144"/>
    <w:rsid w:val="1E6B482D"/>
    <w:rsid w:val="1E6F6881"/>
    <w:rsid w:val="1E706A1A"/>
    <w:rsid w:val="1E77744A"/>
    <w:rsid w:val="1E7A43DA"/>
    <w:rsid w:val="1E7B4700"/>
    <w:rsid w:val="1E7D4396"/>
    <w:rsid w:val="1E894AE9"/>
    <w:rsid w:val="1E9502B3"/>
    <w:rsid w:val="1E9A7BF3"/>
    <w:rsid w:val="1E9F255E"/>
    <w:rsid w:val="1EA2248C"/>
    <w:rsid w:val="1EA6725A"/>
    <w:rsid w:val="1EAA1F98"/>
    <w:rsid w:val="1EAB44E7"/>
    <w:rsid w:val="1EAF65C9"/>
    <w:rsid w:val="1EB42B60"/>
    <w:rsid w:val="1EB636DE"/>
    <w:rsid w:val="1ECA4F21"/>
    <w:rsid w:val="1ECA6B50"/>
    <w:rsid w:val="1ECA742C"/>
    <w:rsid w:val="1ECC445E"/>
    <w:rsid w:val="1ECD3E5D"/>
    <w:rsid w:val="1ECE7341"/>
    <w:rsid w:val="1ED74BCB"/>
    <w:rsid w:val="1EDD2D7E"/>
    <w:rsid w:val="1EDF5807"/>
    <w:rsid w:val="1EE61C5B"/>
    <w:rsid w:val="1EE737F9"/>
    <w:rsid w:val="1EE77A61"/>
    <w:rsid w:val="1EE9357B"/>
    <w:rsid w:val="1EEC5ECB"/>
    <w:rsid w:val="1EF25034"/>
    <w:rsid w:val="1EF66305"/>
    <w:rsid w:val="1EFB5E8C"/>
    <w:rsid w:val="1EFE10ED"/>
    <w:rsid w:val="1F0C2400"/>
    <w:rsid w:val="1F0C4D37"/>
    <w:rsid w:val="1F1534E2"/>
    <w:rsid w:val="1F182E2E"/>
    <w:rsid w:val="1F1C0189"/>
    <w:rsid w:val="1F205E97"/>
    <w:rsid w:val="1F23328C"/>
    <w:rsid w:val="1F2C6BBC"/>
    <w:rsid w:val="1F2D12F6"/>
    <w:rsid w:val="1F364544"/>
    <w:rsid w:val="1F3758BD"/>
    <w:rsid w:val="1F38206B"/>
    <w:rsid w:val="1F3A1311"/>
    <w:rsid w:val="1F3C5FFF"/>
    <w:rsid w:val="1F4A1941"/>
    <w:rsid w:val="1F4A2C3A"/>
    <w:rsid w:val="1F4C6E34"/>
    <w:rsid w:val="1F507F8F"/>
    <w:rsid w:val="1F666BD8"/>
    <w:rsid w:val="1F682C35"/>
    <w:rsid w:val="1F7532BF"/>
    <w:rsid w:val="1F7A74B4"/>
    <w:rsid w:val="1F870C55"/>
    <w:rsid w:val="1F87733F"/>
    <w:rsid w:val="1F8A5060"/>
    <w:rsid w:val="1F8B7833"/>
    <w:rsid w:val="1F980479"/>
    <w:rsid w:val="1F9B3FA5"/>
    <w:rsid w:val="1F9B6722"/>
    <w:rsid w:val="1F9C2218"/>
    <w:rsid w:val="1FA33DF7"/>
    <w:rsid w:val="1FA41122"/>
    <w:rsid w:val="1FAB5E90"/>
    <w:rsid w:val="1FAD56D2"/>
    <w:rsid w:val="1FBE51A4"/>
    <w:rsid w:val="1FC03C10"/>
    <w:rsid w:val="1FC05E63"/>
    <w:rsid w:val="1FC26FF5"/>
    <w:rsid w:val="1FC339F7"/>
    <w:rsid w:val="1FC61A2E"/>
    <w:rsid w:val="1FC84E25"/>
    <w:rsid w:val="1FD17135"/>
    <w:rsid w:val="1FD21DEA"/>
    <w:rsid w:val="1FD55B0C"/>
    <w:rsid w:val="1FD91AA0"/>
    <w:rsid w:val="1FDC28B8"/>
    <w:rsid w:val="1FDC333E"/>
    <w:rsid w:val="1FE638D7"/>
    <w:rsid w:val="1FE7539E"/>
    <w:rsid w:val="1FEB3581"/>
    <w:rsid w:val="1FEC6EE1"/>
    <w:rsid w:val="1FEF4E1F"/>
    <w:rsid w:val="1FF505BF"/>
    <w:rsid w:val="1FF561AF"/>
    <w:rsid w:val="1FF6323D"/>
    <w:rsid w:val="1FF85AAE"/>
    <w:rsid w:val="1FFB171B"/>
    <w:rsid w:val="1FFB54C3"/>
    <w:rsid w:val="1FFC473D"/>
    <w:rsid w:val="1FFE2483"/>
    <w:rsid w:val="1FFE50F4"/>
    <w:rsid w:val="1FFF393D"/>
    <w:rsid w:val="200639D2"/>
    <w:rsid w:val="20121742"/>
    <w:rsid w:val="201B4EFD"/>
    <w:rsid w:val="201E7FB1"/>
    <w:rsid w:val="20203282"/>
    <w:rsid w:val="202354B1"/>
    <w:rsid w:val="2025170E"/>
    <w:rsid w:val="202677CB"/>
    <w:rsid w:val="20350EB4"/>
    <w:rsid w:val="204213F3"/>
    <w:rsid w:val="204923B0"/>
    <w:rsid w:val="20587BD4"/>
    <w:rsid w:val="205D241A"/>
    <w:rsid w:val="2064408E"/>
    <w:rsid w:val="20671BE0"/>
    <w:rsid w:val="206D194A"/>
    <w:rsid w:val="206E1699"/>
    <w:rsid w:val="20712C7D"/>
    <w:rsid w:val="20750DFA"/>
    <w:rsid w:val="20757D89"/>
    <w:rsid w:val="207B0746"/>
    <w:rsid w:val="207D68CF"/>
    <w:rsid w:val="207D7BB6"/>
    <w:rsid w:val="20805829"/>
    <w:rsid w:val="208576AD"/>
    <w:rsid w:val="20863667"/>
    <w:rsid w:val="2089485C"/>
    <w:rsid w:val="208E5CE2"/>
    <w:rsid w:val="208F1553"/>
    <w:rsid w:val="20906C9B"/>
    <w:rsid w:val="20917D22"/>
    <w:rsid w:val="20963CB8"/>
    <w:rsid w:val="209E313C"/>
    <w:rsid w:val="20A025BE"/>
    <w:rsid w:val="20A63661"/>
    <w:rsid w:val="20A81A1B"/>
    <w:rsid w:val="20A94C63"/>
    <w:rsid w:val="20AA1423"/>
    <w:rsid w:val="20AD0B18"/>
    <w:rsid w:val="20B07FB6"/>
    <w:rsid w:val="20B21A23"/>
    <w:rsid w:val="20B56069"/>
    <w:rsid w:val="20B646FB"/>
    <w:rsid w:val="20B65797"/>
    <w:rsid w:val="20BF2BE6"/>
    <w:rsid w:val="20BF46EE"/>
    <w:rsid w:val="20C37CD4"/>
    <w:rsid w:val="20C43D00"/>
    <w:rsid w:val="20C812EC"/>
    <w:rsid w:val="20D619DA"/>
    <w:rsid w:val="20DD5EB8"/>
    <w:rsid w:val="20E34BC3"/>
    <w:rsid w:val="20E404F3"/>
    <w:rsid w:val="20E73C3D"/>
    <w:rsid w:val="20E83F48"/>
    <w:rsid w:val="20ED478F"/>
    <w:rsid w:val="20FC22FD"/>
    <w:rsid w:val="20FF2E41"/>
    <w:rsid w:val="210270E1"/>
    <w:rsid w:val="21082266"/>
    <w:rsid w:val="210939FB"/>
    <w:rsid w:val="21150825"/>
    <w:rsid w:val="211725AC"/>
    <w:rsid w:val="211E4DEC"/>
    <w:rsid w:val="212771B1"/>
    <w:rsid w:val="212B5791"/>
    <w:rsid w:val="2130749E"/>
    <w:rsid w:val="2133493C"/>
    <w:rsid w:val="21374317"/>
    <w:rsid w:val="21381451"/>
    <w:rsid w:val="213B74B1"/>
    <w:rsid w:val="214220E7"/>
    <w:rsid w:val="21424FE2"/>
    <w:rsid w:val="21461DC6"/>
    <w:rsid w:val="21495280"/>
    <w:rsid w:val="214A6564"/>
    <w:rsid w:val="215931C5"/>
    <w:rsid w:val="215A2310"/>
    <w:rsid w:val="215A451A"/>
    <w:rsid w:val="215B52D8"/>
    <w:rsid w:val="216761FD"/>
    <w:rsid w:val="2168109B"/>
    <w:rsid w:val="21692ED9"/>
    <w:rsid w:val="217270FD"/>
    <w:rsid w:val="21767F54"/>
    <w:rsid w:val="217C4665"/>
    <w:rsid w:val="217C4915"/>
    <w:rsid w:val="217E1B1D"/>
    <w:rsid w:val="2184171A"/>
    <w:rsid w:val="2184462D"/>
    <w:rsid w:val="219B19C7"/>
    <w:rsid w:val="219E7713"/>
    <w:rsid w:val="21A65A8E"/>
    <w:rsid w:val="21AA5343"/>
    <w:rsid w:val="21AC7245"/>
    <w:rsid w:val="21B0007D"/>
    <w:rsid w:val="21B64D44"/>
    <w:rsid w:val="21B856E5"/>
    <w:rsid w:val="21B93C0C"/>
    <w:rsid w:val="21BC2A2C"/>
    <w:rsid w:val="21BE4654"/>
    <w:rsid w:val="21BE58AC"/>
    <w:rsid w:val="21C1459A"/>
    <w:rsid w:val="21CA3F40"/>
    <w:rsid w:val="21CA6E8A"/>
    <w:rsid w:val="21CB64C4"/>
    <w:rsid w:val="21CF5074"/>
    <w:rsid w:val="21D07EBB"/>
    <w:rsid w:val="21D10F05"/>
    <w:rsid w:val="21D573F2"/>
    <w:rsid w:val="21DD0F7D"/>
    <w:rsid w:val="21DE318A"/>
    <w:rsid w:val="21E62793"/>
    <w:rsid w:val="21E64DE9"/>
    <w:rsid w:val="21E94D31"/>
    <w:rsid w:val="21EF5B80"/>
    <w:rsid w:val="21F82A47"/>
    <w:rsid w:val="220269CB"/>
    <w:rsid w:val="22041B74"/>
    <w:rsid w:val="22103166"/>
    <w:rsid w:val="22121668"/>
    <w:rsid w:val="221549C2"/>
    <w:rsid w:val="22192E9C"/>
    <w:rsid w:val="221B136E"/>
    <w:rsid w:val="221C6F48"/>
    <w:rsid w:val="22225AAB"/>
    <w:rsid w:val="22283AE7"/>
    <w:rsid w:val="22287C8C"/>
    <w:rsid w:val="22357114"/>
    <w:rsid w:val="22380609"/>
    <w:rsid w:val="223E3E3C"/>
    <w:rsid w:val="22435E18"/>
    <w:rsid w:val="22463406"/>
    <w:rsid w:val="224B4A5F"/>
    <w:rsid w:val="224C6559"/>
    <w:rsid w:val="224D4884"/>
    <w:rsid w:val="224F4C0D"/>
    <w:rsid w:val="225415CD"/>
    <w:rsid w:val="225525B4"/>
    <w:rsid w:val="225541DD"/>
    <w:rsid w:val="22576990"/>
    <w:rsid w:val="225C27E3"/>
    <w:rsid w:val="225C4302"/>
    <w:rsid w:val="22600C63"/>
    <w:rsid w:val="2260279D"/>
    <w:rsid w:val="22627F65"/>
    <w:rsid w:val="2263000B"/>
    <w:rsid w:val="22662857"/>
    <w:rsid w:val="22687009"/>
    <w:rsid w:val="226E7BA9"/>
    <w:rsid w:val="22712E82"/>
    <w:rsid w:val="227635D6"/>
    <w:rsid w:val="227855A0"/>
    <w:rsid w:val="22865256"/>
    <w:rsid w:val="228A2984"/>
    <w:rsid w:val="229648BE"/>
    <w:rsid w:val="229909A5"/>
    <w:rsid w:val="22A27119"/>
    <w:rsid w:val="22A60F3A"/>
    <w:rsid w:val="22AF53F4"/>
    <w:rsid w:val="22B57A29"/>
    <w:rsid w:val="22BD1E34"/>
    <w:rsid w:val="22BE4E14"/>
    <w:rsid w:val="22C36FE6"/>
    <w:rsid w:val="22D4742A"/>
    <w:rsid w:val="22D70315"/>
    <w:rsid w:val="22D95913"/>
    <w:rsid w:val="22DD6239"/>
    <w:rsid w:val="22E11113"/>
    <w:rsid w:val="22E61F9F"/>
    <w:rsid w:val="22F23A68"/>
    <w:rsid w:val="22F30BE6"/>
    <w:rsid w:val="22F32E6B"/>
    <w:rsid w:val="22F47480"/>
    <w:rsid w:val="22F81B15"/>
    <w:rsid w:val="22FF0490"/>
    <w:rsid w:val="23047D7C"/>
    <w:rsid w:val="230510F2"/>
    <w:rsid w:val="230A275A"/>
    <w:rsid w:val="230E1490"/>
    <w:rsid w:val="231862EB"/>
    <w:rsid w:val="231921B1"/>
    <w:rsid w:val="231B2164"/>
    <w:rsid w:val="231B62CA"/>
    <w:rsid w:val="231B722E"/>
    <w:rsid w:val="23224D40"/>
    <w:rsid w:val="2329689A"/>
    <w:rsid w:val="232C2684"/>
    <w:rsid w:val="23320CF8"/>
    <w:rsid w:val="233C53E7"/>
    <w:rsid w:val="233E0C95"/>
    <w:rsid w:val="2340432D"/>
    <w:rsid w:val="23442A7A"/>
    <w:rsid w:val="23444524"/>
    <w:rsid w:val="234F61C3"/>
    <w:rsid w:val="235C104D"/>
    <w:rsid w:val="235C32A8"/>
    <w:rsid w:val="236165FD"/>
    <w:rsid w:val="236317A4"/>
    <w:rsid w:val="236C4C0A"/>
    <w:rsid w:val="238113A1"/>
    <w:rsid w:val="23815487"/>
    <w:rsid w:val="238D325A"/>
    <w:rsid w:val="23925CC9"/>
    <w:rsid w:val="239414B7"/>
    <w:rsid w:val="23942BF1"/>
    <w:rsid w:val="239857CE"/>
    <w:rsid w:val="239A3A02"/>
    <w:rsid w:val="239B445E"/>
    <w:rsid w:val="239C6162"/>
    <w:rsid w:val="23A6590A"/>
    <w:rsid w:val="23A938F9"/>
    <w:rsid w:val="23A94C15"/>
    <w:rsid w:val="23AD6D8E"/>
    <w:rsid w:val="23B31A47"/>
    <w:rsid w:val="23B60D28"/>
    <w:rsid w:val="23B803B0"/>
    <w:rsid w:val="23B87B3B"/>
    <w:rsid w:val="23B95E70"/>
    <w:rsid w:val="23BA1A61"/>
    <w:rsid w:val="23C11BD6"/>
    <w:rsid w:val="23C143AE"/>
    <w:rsid w:val="23C96412"/>
    <w:rsid w:val="23CB390F"/>
    <w:rsid w:val="23CD68D2"/>
    <w:rsid w:val="23D5432C"/>
    <w:rsid w:val="23D67437"/>
    <w:rsid w:val="23D9282C"/>
    <w:rsid w:val="23DE1C48"/>
    <w:rsid w:val="23DF4A3A"/>
    <w:rsid w:val="23ED41C3"/>
    <w:rsid w:val="23ED7F30"/>
    <w:rsid w:val="23F036EA"/>
    <w:rsid w:val="23F05171"/>
    <w:rsid w:val="23F46EA8"/>
    <w:rsid w:val="23F97808"/>
    <w:rsid w:val="23FF2B7C"/>
    <w:rsid w:val="240210CD"/>
    <w:rsid w:val="240B3A15"/>
    <w:rsid w:val="240C4C6A"/>
    <w:rsid w:val="240E7D52"/>
    <w:rsid w:val="240F4AE8"/>
    <w:rsid w:val="24141C5A"/>
    <w:rsid w:val="241A0AAA"/>
    <w:rsid w:val="241A2F7F"/>
    <w:rsid w:val="24226B4E"/>
    <w:rsid w:val="242502C4"/>
    <w:rsid w:val="24287D21"/>
    <w:rsid w:val="24295FC9"/>
    <w:rsid w:val="242D3510"/>
    <w:rsid w:val="242D3D3D"/>
    <w:rsid w:val="24311EAA"/>
    <w:rsid w:val="24313056"/>
    <w:rsid w:val="24327E1C"/>
    <w:rsid w:val="2436587A"/>
    <w:rsid w:val="24375506"/>
    <w:rsid w:val="2439441A"/>
    <w:rsid w:val="243C7B16"/>
    <w:rsid w:val="2440720C"/>
    <w:rsid w:val="244119DD"/>
    <w:rsid w:val="2441652C"/>
    <w:rsid w:val="244167EB"/>
    <w:rsid w:val="244775B4"/>
    <w:rsid w:val="244B2DD2"/>
    <w:rsid w:val="244E777C"/>
    <w:rsid w:val="24501609"/>
    <w:rsid w:val="245529C6"/>
    <w:rsid w:val="24557904"/>
    <w:rsid w:val="245A5619"/>
    <w:rsid w:val="24613E12"/>
    <w:rsid w:val="246233BD"/>
    <w:rsid w:val="24672537"/>
    <w:rsid w:val="24752727"/>
    <w:rsid w:val="247641BC"/>
    <w:rsid w:val="24815781"/>
    <w:rsid w:val="248323C8"/>
    <w:rsid w:val="248D1D24"/>
    <w:rsid w:val="248F68F6"/>
    <w:rsid w:val="249E4F85"/>
    <w:rsid w:val="24A66C09"/>
    <w:rsid w:val="24AD182C"/>
    <w:rsid w:val="24B020C8"/>
    <w:rsid w:val="24BF09F7"/>
    <w:rsid w:val="24C60195"/>
    <w:rsid w:val="24CD14A7"/>
    <w:rsid w:val="24D06A4C"/>
    <w:rsid w:val="24D87957"/>
    <w:rsid w:val="24DB0068"/>
    <w:rsid w:val="24E42CD8"/>
    <w:rsid w:val="24E81F16"/>
    <w:rsid w:val="24E96F24"/>
    <w:rsid w:val="24FC5B57"/>
    <w:rsid w:val="24FD6060"/>
    <w:rsid w:val="24FE78B3"/>
    <w:rsid w:val="25031957"/>
    <w:rsid w:val="25052CD1"/>
    <w:rsid w:val="25067E8F"/>
    <w:rsid w:val="250830C1"/>
    <w:rsid w:val="250E0962"/>
    <w:rsid w:val="25134CAE"/>
    <w:rsid w:val="25164CC9"/>
    <w:rsid w:val="251E0B43"/>
    <w:rsid w:val="25270701"/>
    <w:rsid w:val="252D53FE"/>
    <w:rsid w:val="252F35AD"/>
    <w:rsid w:val="25345C2B"/>
    <w:rsid w:val="25356DCA"/>
    <w:rsid w:val="25371122"/>
    <w:rsid w:val="25387A55"/>
    <w:rsid w:val="253B7BB2"/>
    <w:rsid w:val="25413E9E"/>
    <w:rsid w:val="254750AA"/>
    <w:rsid w:val="254D7CA8"/>
    <w:rsid w:val="255F47F5"/>
    <w:rsid w:val="256641F9"/>
    <w:rsid w:val="256A0255"/>
    <w:rsid w:val="256D43FB"/>
    <w:rsid w:val="256F1025"/>
    <w:rsid w:val="2573427D"/>
    <w:rsid w:val="2583230B"/>
    <w:rsid w:val="2584600A"/>
    <w:rsid w:val="25886C0D"/>
    <w:rsid w:val="258B628F"/>
    <w:rsid w:val="2592115F"/>
    <w:rsid w:val="259449E9"/>
    <w:rsid w:val="25996040"/>
    <w:rsid w:val="259D623E"/>
    <w:rsid w:val="259F4F10"/>
    <w:rsid w:val="25A36B11"/>
    <w:rsid w:val="25AF24A4"/>
    <w:rsid w:val="25B21821"/>
    <w:rsid w:val="25B706B1"/>
    <w:rsid w:val="25B71DC5"/>
    <w:rsid w:val="25B908CA"/>
    <w:rsid w:val="25CD7330"/>
    <w:rsid w:val="25D121C4"/>
    <w:rsid w:val="25D24E52"/>
    <w:rsid w:val="25D6034F"/>
    <w:rsid w:val="25D8319B"/>
    <w:rsid w:val="25DE7F64"/>
    <w:rsid w:val="25E01649"/>
    <w:rsid w:val="25E16487"/>
    <w:rsid w:val="25E62821"/>
    <w:rsid w:val="25E80C32"/>
    <w:rsid w:val="25E90563"/>
    <w:rsid w:val="25EC06B8"/>
    <w:rsid w:val="25EC2D81"/>
    <w:rsid w:val="25F31D4D"/>
    <w:rsid w:val="25F918E0"/>
    <w:rsid w:val="25FC7DD8"/>
    <w:rsid w:val="26033B89"/>
    <w:rsid w:val="260642EA"/>
    <w:rsid w:val="26067203"/>
    <w:rsid w:val="260B04D9"/>
    <w:rsid w:val="260B2BCC"/>
    <w:rsid w:val="260C4431"/>
    <w:rsid w:val="26102E9E"/>
    <w:rsid w:val="26130CCC"/>
    <w:rsid w:val="26164C9C"/>
    <w:rsid w:val="26191E8D"/>
    <w:rsid w:val="261B18D4"/>
    <w:rsid w:val="261C7754"/>
    <w:rsid w:val="261D5ECF"/>
    <w:rsid w:val="261F66E2"/>
    <w:rsid w:val="262522BA"/>
    <w:rsid w:val="26290168"/>
    <w:rsid w:val="26292FD8"/>
    <w:rsid w:val="262E0379"/>
    <w:rsid w:val="262F2FC4"/>
    <w:rsid w:val="26487D00"/>
    <w:rsid w:val="264A3644"/>
    <w:rsid w:val="264F0538"/>
    <w:rsid w:val="264F52F8"/>
    <w:rsid w:val="26546728"/>
    <w:rsid w:val="2659535A"/>
    <w:rsid w:val="265E22B1"/>
    <w:rsid w:val="26602F17"/>
    <w:rsid w:val="266A6305"/>
    <w:rsid w:val="266E19B0"/>
    <w:rsid w:val="26713F4B"/>
    <w:rsid w:val="267407E6"/>
    <w:rsid w:val="2675026E"/>
    <w:rsid w:val="267C0148"/>
    <w:rsid w:val="268368D6"/>
    <w:rsid w:val="268520BD"/>
    <w:rsid w:val="268561AF"/>
    <w:rsid w:val="26890553"/>
    <w:rsid w:val="268B161A"/>
    <w:rsid w:val="268C5006"/>
    <w:rsid w:val="268E52FB"/>
    <w:rsid w:val="269173E0"/>
    <w:rsid w:val="26923486"/>
    <w:rsid w:val="26A91BA1"/>
    <w:rsid w:val="26B001D6"/>
    <w:rsid w:val="26B009F2"/>
    <w:rsid w:val="26B52645"/>
    <w:rsid w:val="26B65B38"/>
    <w:rsid w:val="26B90D02"/>
    <w:rsid w:val="26C47D3A"/>
    <w:rsid w:val="26C82E89"/>
    <w:rsid w:val="26CB6641"/>
    <w:rsid w:val="26D02908"/>
    <w:rsid w:val="26DC6DC1"/>
    <w:rsid w:val="26E17B69"/>
    <w:rsid w:val="26E250D8"/>
    <w:rsid w:val="26E86C27"/>
    <w:rsid w:val="26EE0BF3"/>
    <w:rsid w:val="26EF7D2D"/>
    <w:rsid w:val="26F66D17"/>
    <w:rsid w:val="26F84114"/>
    <w:rsid w:val="270562E0"/>
    <w:rsid w:val="27077828"/>
    <w:rsid w:val="270B4AB2"/>
    <w:rsid w:val="270D7E68"/>
    <w:rsid w:val="271138CD"/>
    <w:rsid w:val="27137286"/>
    <w:rsid w:val="2715301B"/>
    <w:rsid w:val="271D631B"/>
    <w:rsid w:val="2729004D"/>
    <w:rsid w:val="272C0083"/>
    <w:rsid w:val="272D1239"/>
    <w:rsid w:val="27347FDA"/>
    <w:rsid w:val="27391B8E"/>
    <w:rsid w:val="27392F77"/>
    <w:rsid w:val="273A125F"/>
    <w:rsid w:val="274217A2"/>
    <w:rsid w:val="274748C8"/>
    <w:rsid w:val="274A5031"/>
    <w:rsid w:val="27593A4A"/>
    <w:rsid w:val="275C2DD3"/>
    <w:rsid w:val="275D2F57"/>
    <w:rsid w:val="275E0996"/>
    <w:rsid w:val="276001A1"/>
    <w:rsid w:val="27643F81"/>
    <w:rsid w:val="27653976"/>
    <w:rsid w:val="27675BE3"/>
    <w:rsid w:val="276A0C56"/>
    <w:rsid w:val="277057A2"/>
    <w:rsid w:val="27767887"/>
    <w:rsid w:val="278159FB"/>
    <w:rsid w:val="278425AF"/>
    <w:rsid w:val="27867B66"/>
    <w:rsid w:val="278C38BA"/>
    <w:rsid w:val="27934C2A"/>
    <w:rsid w:val="27957DB4"/>
    <w:rsid w:val="27980FD0"/>
    <w:rsid w:val="279903AE"/>
    <w:rsid w:val="279A60B9"/>
    <w:rsid w:val="279B0581"/>
    <w:rsid w:val="27A43899"/>
    <w:rsid w:val="27A44741"/>
    <w:rsid w:val="27A92654"/>
    <w:rsid w:val="27AA6654"/>
    <w:rsid w:val="27AD48FD"/>
    <w:rsid w:val="27B16E5E"/>
    <w:rsid w:val="27B26339"/>
    <w:rsid w:val="27B72ED2"/>
    <w:rsid w:val="27BB5C40"/>
    <w:rsid w:val="27BD6A31"/>
    <w:rsid w:val="27BE0C59"/>
    <w:rsid w:val="27C508B5"/>
    <w:rsid w:val="27CF1CDC"/>
    <w:rsid w:val="27D6113A"/>
    <w:rsid w:val="27D74BCE"/>
    <w:rsid w:val="27D95453"/>
    <w:rsid w:val="27DB1C24"/>
    <w:rsid w:val="27DC5486"/>
    <w:rsid w:val="27DF1768"/>
    <w:rsid w:val="27E41A38"/>
    <w:rsid w:val="27E86CD2"/>
    <w:rsid w:val="27EA3152"/>
    <w:rsid w:val="27EE2C7A"/>
    <w:rsid w:val="27EF6631"/>
    <w:rsid w:val="27F10916"/>
    <w:rsid w:val="27F73559"/>
    <w:rsid w:val="27FC7E50"/>
    <w:rsid w:val="28011AF2"/>
    <w:rsid w:val="28025D85"/>
    <w:rsid w:val="28103C81"/>
    <w:rsid w:val="2814510C"/>
    <w:rsid w:val="281C6259"/>
    <w:rsid w:val="281D3EE7"/>
    <w:rsid w:val="28280A16"/>
    <w:rsid w:val="28282721"/>
    <w:rsid w:val="282910EA"/>
    <w:rsid w:val="28295DDD"/>
    <w:rsid w:val="28303B5D"/>
    <w:rsid w:val="28374EAD"/>
    <w:rsid w:val="28383337"/>
    <w:rsid w:val="283B64A3"/>
    <w:rsid w:val="283E235F"/>
    <w:rsid w:val="28481C05"/>
    <w:rsid w:val="28490E3D"/>
    <w:rsid w:val="284D01C3"/>
    <w:rsid w:val="284D0D9F"/>
    <w:rsid w:val="2853383A"/>
    <w:rsid w:val="28567052"/>
    <w:rsid w:val="285903E4"/>
    <w:rsid w:val="285A69A0"/>
    <w:rsid w:val="28643AB1"/>
    <w:rsid w:val="28681BBD"/>
    <w:rsid w:val="286A41B0"/>
    <w:rsid w:val="286F11F3"/>
    <w:rsid w:val="28731A54"/>
    <w:rsid w:val="28747BAF"/>
    <w:rsid w:val="287819EE"/>
    <w:rsid w:val="287C44FD"/>
    <w:rsid w:val="28844F5F"/>
    <w:rsid w:val="288A6E4D"/>
    <w:rsid w:val="288E3ED7"/>
    <w:rsid w:val="289660A9"/>
    <w:rsid w:val="289A279B"/>
    <w:rsid w:val="289C3384"/>
    <w:rsid w:val="28A97807"/>
    <w:rsid w:val="28B766F6"/>
    <w:rsid w:val="28B93C10"/>
    <w:rsid w:val="28BC78B8"/>
    <w:rsid w:val="28BE7A85"/>
    <w:rsid w:val="28C03078"/>
    <w:rsid w:val="28C2335D"/>
    <w:rsid w:val="28C34D8C"/>
    <w:rsid w:val="28C437B4"/>
    <w:rsid w:val="28C43B93"/>
    <w:rsid w:val="28C76F87"/>
    <w:rsid w:val="28C90654"/>
    <w:rsid w:val="28D205BE"/>
    <w:rsid w:val="28DA19EF"/>
    <w:rsid w:val="28E077C8"/>
    <w:rsid w:val="28E24055"/>
    <w:rsid w:val="28EA3082"/>
    <w:rsid w:val="28EC4B6D"/>
    <w:rsid w:val="28F27675"/>
    <w:rsid w:val="28F84B9B"/>
    <w:rsid w:val="28FA26BD"/>
    <w:rsid w:val="29023F25"/>
    <w:rsid w:val="29024249"/>
    <w:rsid w:val="290C4145"/>
    <w:rsid w:val="290D1745"/>
    <w:rsid w:val="291269F4"/>
    <w:rsid w:val="291400E1"/>
    <w:rsid w:val="2917175A"/>
    <w:rsid w:val="29194CBB"/>
    <w:rsid w:val="291A786A"/>
    <w:rsid w:val="291B3949"/>
    <w:rsid w:val="291D6A39"/>
    <w:rsid w:val="29206EB8"/>
    <w:rsid w:val="29243CF9"/>
    <w:rsid w:val="29282E54"/>
    <w:rsid w:val="292B4270"/>
    <w:rsid w:val="292D262D"/>
    <w:rsid w:val="29313D5B"/>
    <w:rsid w:val="293C106B"/>
    <w:rsid w:val="29426D5F"/>
    <w:rsid w:val="29447933"/>
    <w:rsid w:val="294B6FC3"/>
    <w:rsid w:val="294E5A10"/>
    <w:rsid w:val="294E7509"/>
    <w:rsid w:val="29541702"/>
    <w:rsid w:val="29543AF4"/>
    <w:rsid w:val="295764B9"/>
    <w:rsid w:val="29595666"/>
    <w:rsid w:val="295A3BE6"/>
    <w:rsid w:val="295F5E6C"/>
    <w:rsid w:val="29651D58"/>
    <w:rsid w:val="296F0D7F"/>
    <w:rsid w:val="29700AA2"/>
    <w:rsid w:val="29781B99"/>
    <w:rsid w:val="297E43ED"/>
    <w:rsid w:val="297F02E3"/>
    <w:rsid w:val="297F6C39"/>
    <w:rsid w:val="29821E18"/>
    <w:rsid w:val="29874881"/>
    <w:rsid w:val="298E6DD2"/>
    <w:rsid w:val="298F4F7D"/>
    <w:rsid w:val="299807E1"/>
    <w:rsid w:val="299A3FB6"/>
    <w:rsid w:val="29A02751"/>
    <w:rsid w:val="29A13CA3"/>
    <w:rsid w:val="29A2313E"/>
    <w:rsid w:val="29A52988"/>
    <w:rsid w:val="29A70519"/>
    <w:rsid w:val="29A80355"/>
    <w:rsid w:val="29AD6068"/>
    <w:rsid w:val="29B16D9B"/>
    <w:rsid w:val="29B532BC"/>
    <w:rsid w:val="29BF1D06"/>
    <w:rsid w:val="29C13915"/>
    <w:rsid w:val="29C51F51"/>
    <w:rsid w:val="29C6087B"/>
    <w:rsid w:val="29D22ED3"/>
    <w:rsid w:val="29D81AF4"/>
    <w:rsid w:val="29DE4C12"/>
    <w:rsid w:val="29E110F8"/>
    <w:rsid w:val="29E325E0"/>
    <w:rsid w:val="29E56413"/>
    <w:rsid w:val="29EB4B81"/>
    <w:rsid w:val="29ED1713"/>
    <w:rsid w:val="29F4270A"/>
    <w:rsid w:val="29F50755"/>
    <w:rsid w:val="29F54601"/>
    <w:rsid w:val="29F6050D"/>
    <w:rsid w:val="29FB6F1B"/>
    <w:rsid w:val="29FC1BA7"/>
    <w:rsid w:val="29FE01E8"/>
    <w:rsid w:val="2A026B2C"/>
    <w:rsid w:val="2A0526AA"/>
    <w:rsid w:val="2A0D044D"/>
    <w:rsid w:val="2A114768"/>
    <w:rsid w:val="2A1151AD"/>
    <w:rsid w:val="2A173DBE"/>
    <w:rsid w:val="2A175A15"/>
    <w:rsid w:val="2A187669"/>
    <w:rsid w:val="2A1E6C48"/>
    <w:rsid w:val="2A203A4E"/>
    <w:rsid w:val="2A23292D"/>
    <w:rsid w:val="2A2A68F8"/>
    <w:rsid w:val="2A2B2C0E"/>
    <w:rsid w:val="2A2F5D71"/>
    <w:rsid w:val="2A336E2C"/>
    <w:rsid w:val="2A4172CF"/>
    <w:rsid w:val="2A4333B1"/>
    <w:rsid w:val="2A452503"/>
    <w:rsid w:val="2A4814B8"/>
    <w:rsid w:val="2A4D034E"/>
    <w:rsid w:val="2A4F6737"/>
    <w:rsid w:val="2A5A5641"/>
    <w:rsid w:val="2A5B017E"/>
    <w:rsid w:val="2A5B1A74"/>
    <w:rsid w:val="2A63692E"/>
    <w:rsid w:val="2A643630"/>
    <w:rsid w:val="2A6546F3"/>
    <w:rsid w:val="2A665853"/>
    <w:rsid w:val="2A68139D"/>
    <w:rsid w:val="2A6D4392"/>
    <w:rsid w:val="2A6E49F9"/>
    <w:rsid w:val="2A6F7D2A"/>
    <w:rsid w:val="2A70072B"/>
    <w:rsid w:val="2A7263D8"/>
    <w:rsid w:val="2A747B2A"/>
    <w:rsid w:val="2A755AAF"/>
    <w:rsid w:val="2A7B22F5"/>
    <w:rsid w:val="2A7B766C"/>
    <w:rsid w:val="2A7F609F"/>
    <w:rsid w:val="2A841F70"/>
    <w:rsid w:val="2A8E0EF5"/>
    <w:rsid w:val="2A8F418E"/>
    <w:rsid w:val="2A8F7ADB"/>
    <w:rsid w:val="2A9F5694"/>
    <w:rsid w:val="2AAD7813"/>
    <w:rsid w:val="2AAF4D75"/>
    <w:rsid w:val="2AB54EB9"/>
    <w:rsid w:val="2AB949A8"/>
    <w:rsid w:val="2ABC6ADF"/>
    <w:rsid w:val="2AC12078"/>
    <w:rsid w:val="2ACB4AE2"/>
    <w:rsid w:val="2AD62419"/>
    <w:rsid w:val="2ADD0CA7"/>
    <w:rsid w:val="2ADE1515"/>
    <w:rsid w:val="2AE351BA"/>
    <w:rsid w:val="2AF26B1F"/>
    <w:rsid w:val="2AFF041D"/>
    <w:rsid w:val="2B065603"/>
    <w:rsid w:val="2B0A3005"/>
    <w:rsid w:val="2B0B78F2"/>
    <w:rsid w:val="2B111667"/>
    <w:rsid w:val="2B1602CF"/>
    <w:rsid w:val="2B234EA9"/>
    <w:rsid w:val="2B2913E3"/>
    <w:rsid w:val="2B296225"/>
    <w:rsid w:val="2B2C33CC"/>
    <w:rsid w:val="2B30036A"/>
    <w:rsid w:val="2B3E1F6F"/>
    <w:rsid w:val="2B3F4019"/>
    <w:rsid w:val="2B4C3828"/>
    <w:rsid w:val="2B4E2488"/>
    <w:rsid w:val="2B5844B4"/>
    <w:rsid w:val="2B591022"/>
    <w:rsid w:val="2B5B6B36"/>
    <w:rsid w:val="2B6D296A"/>
    <w:rsid w:val="2B6D49C9"/>
    <w:rsid w:val="2B757E0B"/>
    <w:rsid w:val="2B760F54"/>
    <w:rsid w:val="2B782E0B"/>
    <w:rsid w:val="2B8D1B8C"/>
    <w:rsid w:val="2B9304F2"/>
    <w:rsid w:val="2B932B69"/>
    <w:rsid w:val="2B93404B"/>
    <w:rsid w:val="2B9A05D2"/>
    <w:rsid w:val="2B9D3544"/>
    <w:rsid w:val="2BA32F62"/>
    <w:rsid w:val="2BA47406"/>
    <w:rsid w:val="2BA936A8"/>
    <w:rsid w:val="2BAA1506"/>
    <w:rsid w:val="2BB14702"/>
    <w:rsid w:val="2BB222EF"/>
    <w:rsid w:val="2BB61214"/>
    <w:rsid w:val="2BB645E3"/>
    <w:rsid w:val="2BBA5985"/>
    <w:rsid w:val="2BBC77DC"/>
    <w:rsid w:val="2BBF40BB"/>
    <w:rsid w:val="2BC52284"/>
    <w:rsid w:val="2BC7749E"/>
    <w:rsid w:val="2BC929C8"/>
    <w:rsid w:val="2BCD717E"/>
    <w:rsid w:val="2BD051DB"/>
    <w:rsid w:val="2BD57552"/>
    <w:rsid w:val="2BD861E7"/>
    <w:rsid w:val="2BDC26AF"/>
    <w:rsid w:val="2BDC5D27"/>
    <w:rsid w:val="2BE370E1"/>
    <w:rsid w:val="2BE46D6A"/>
    <w:rsid w:val="2BEB291D"/>
    <w:rsid w:val="2BEF3444"/>
    <w:rsid w:val="2BF27F8B"/>
    <w:rsid w:val="2BF75E00"/>
    <w:rsid w:val="2BFD3113"/>
    <w:rsid w:val="2BFF27B1"/>
    <w:rsid w:val="2C0504D6"/>
    <w:rsid w:val="2C1B0D4A"/>
    <w:rsid w:val="2C1C3440"/>
    <w:rsid w:val="2C236859"/>
    <w:rsid w:val="2C24792C"/>
    <w:rsid w:val="2C261C9D"/>
    <w:rsid w:val="2C281CF5"/>
    <w:rsid w:val="2C2868BD"/>
    <w:rsid w:val="2C2D2270"/>
    <w:rsid w:val="2C315A5A"/>
    <w:rsid w:val="2C32178B"/>
    <w:rsid w:val="2C332F91"/>
    <w:rsid w:val="2C39419D"/>
    <w:rsid w:val="2C401027"/>
    <w:rsid w:val="2C4115FD"/>
    <w:rsid w:val="2C416E6F"/>
    <w:rsid w:val="2C4B1C25"/>
    <w:rsid w:val="2C4C579B"/>
    <w:rsid w:val="2C4D68F4"/>
    <w:rsid w:val="2C513CE7"/>
    <w:rsid w:val="2C514BD3"/>
    <w:rsid w:val="2C547768"/>
    <w:rsid w:val="2C5671F4"/>
    <w:rsid w:val="2C714E0E"/>
    <w:rsid w:val="2C722ABC"/>
    <w:rsid w:val="2C75249A"/>
    <w:rsid w:val="2C75540D"/>
    <w:rsid w:val="2C7A1F15"/>
    <w:rsid w:val="2C7B4DA1"/>
    <w:rsid w:val="2C7D6EBA"/>
    <w:rsid w:val="2C7F275F"/>
    <w:rsid w:val="2C8129A6"/>
    <w:rsid w:val="2C8141F3"/>
    <w:rsid w:val="2C834F85"/>
    <w:rsid w:val="2C857FAA"/>
    <w:rsid w:val="2C862BA0"/>
    <w:rsid w:val="2C872E00"/>
    <w:rsid w:val="2C8B54D3"/>
    <w:rsid w:val="2C944049"/>
    <w:rsid w:val="2C977A55"/>
    <w:rsid w:val="2C9A085A"/>
    <w:rsid w:val="2C9D73EF"/>
    <w:rsid w:val="2CA85870"/>
    <w:rsid w:val="2CAA6C4C"/>
    <w:rsid w:val="2CB371D5"/>
    <w:rsid w:val="2CB715A8"/>
    <w:rsid w:val="2CBA666A"/>
    <w:rsid w:val="2CBD117B"/>
    <w:rsid w:val="2CCC5810"/>
    <w:rsid w:val="2CCF6131"/>
    <w:rsid w:val="2CD75EF5"/>
    <w:rsid w:val="2CD9731E"/>
    <w:rsid w:val="2CDA30CF"/>
    <w:rsid w:val="2CDA6349"/>
    <w:rsid w:val="2CE416D6"/>
    <w:rsid w:val="2CEB4A0F"/>
    <w:rsid w:val="2CEE11E2"/>
    <w:rsid w:val="2CEE1895"/>
    <w:rsid w:val="2CF1607F"/>
    <w:rsid w:val="2CFE32EC"/>
    <w:rsid w:val="2D005368"/>
    <w:rsid w:val="2D010E2E"/>
    <w:rsid w:val="2D032D9D"/>
    <w:rsid w:val="2D07611F"/>
    <w:rsid w:val="2D095CAD"/>
    <w:rsid w:val="2D0D1BBD"/>
    <w:rsid w:val="2D18228B"/>
    <w:rsid w:val="2D192A1A"/>
    <w:rsid w:val="2D214CCD"/>
    <w:rsid w:val="2D254C97"/>
    <w:rsid w:val="2D2561BF"/>
    <w:rsid w:val="2D256324"/>
    <w:rsid w:val="2D283C14"/>
    <w:rsid w:val="2D2D5E06"/>
    <w:rsid w:val="2D313BE8"/>
    <w:rsid w:val="2D3402DE"/>
    <w:rsid w:val="2D354EBE"/>
    <w:rsid w:val="2D371BB4"/>
    <w:rsid w:val="2D3B6487"/>
    <w:rsid w:val="2D4169B1"/>
    <w:rsid w:val="2D483DC1"/>
    <w:rsid w:val="2D4915B4"/>
    <w:rsid w:val="2D4E563B"/>
    <w:rsid w:val="2D512410"/>
    <w:rsid w:val="2D520A77"/>
    <w:rsid w:val="2D554A7A"/>
    <w:rsid w:val="2D5A7234"/>
    <w:rsid w:val="2D5F5A13"/>
    <w:rsid w:val="2D70398D"/>
    <w:rsid w:val="2D780631"/>
    <w:rsid w:val="2D7828F8"/>
    <w:rsid w:val="2D7B17A8"/>
    <w:rsid w:val="2D853B23"/>
    <w:rsid w:val="2D8D60E4"/>
    <w:rsid w:val="2D917CA6"/>
    <w:rsid w:val="2D935698"/>
    <w:rsid w:val="2D9E56F5"/>
    <w:rsid w:val="2DA32FAF"/>
    <w:rsid w:val="2DA725D4"/>
    <w:rsid w:val="2DAC3C8C"/>
    <w:rsid w:val="2DAF03AB"/>
    <w:rsid w:val="2DB010A3"/>
    <w:rsid w:val="2DB67ED8"/>
    <w:rsid w:val="2DC03EC3"/>
    <w:rsid w:val="2DC72F38"/>
    <w:rsid w:val="2DCA2732"/>
    <w:rsid w:val="2DD0309C"/>
    <w:rsid w:val="2DD96709"/>
    <w:rsid w:val="2DDA41E6"/>
    <w:rsid w:val="2DDB1A63"/>
    <w:rsid w:val="2DDB4C35"/>
    <w:rsid w:val="2DDD617D"/>
    <w:rsid w:val="2DE235EF"/>
    <w:rsid w:val="2DEE2918"/>
    <w:rsid w:val="2DF716B8"/>
    <w:rsid w:val="2DFC5C30"/>
    <w:rsid w:val="2E000527"/>
    <w:rsid w:val="2E01571F"/>
    <w:rsid w:val="2E022837"/>
    <w:rsid w:val="2E0D58D4"/>
    <w:rsid w:val="2E0F0A95"/>
    <w:rsid w:val="2E0F642A"/>
    <w:rsid w:val="2E1C0DFF"/>
    <w:rsid w:val="2E1C65E7"/>
    <w:rsid w:val="2E1F72D3"/>
    <w:rsid w:val="2E283E91"/>
    <w:rsid w:val="2E284292"/>
    <w:rsid w:val="2E3422E6"/>
    <w:rsid w:val="2E356B01"/>
    <w:rsid w:val="2E3C575B"/>
    <w:rsid w:val="2E3E726B"/>
    <w:rsid w:val="2E4944F0"/>
    <w:rsid w:val="2E4B4F37"/>
    <w:rsid w:val="2E550C73"/>
    <w:rsid w:val="2E573384"/>
    <w:rsid w:val="2E583BD0"/>
    <w:rsid w:val="2E5E1AE8"/>
    <w:rsid w:val="2E6040B6"/>
    <w:rsid w:val="2E6425ED"/>
    <w:rsid w:val="2E6558BA"/>
    <w:rsid w:val="2E667F96"/>
    <w:rsid w:val="2E6B420B"/>
    <w:rsid w:val="2E6F3B12"/>
    <w:rsid w:val="2E75338F"/>
    <w:rsid w:val="2E7B0432"/>
    <w:rsid w:val="2E7D28DE"/>
    <w:rsid w:val="2E7E5AE7"/>
    <w:rsid w:val="2E7F5C90"/>
    <w:rsid w:val="2E8226AB"/>
    <w:rsid w:val="2E931CB2"/>
    <w:rsid w:val="2E9322D0"/>
    <w:rsid w:val="2EA56816"/>
    <w:rsid w:val="2EA93723"/>
    <w:rsid w:val="2EAC0738"/>
    <w:rsid w:val="2EAF0E64"/>
    <w:rsid w:val="2EB14BD3"/>
    <w:rsid w:val="2EB86FCB"/>
    <w:rsid w:val="2EBB1595"/>
    <w:rsid w:val="2EBB5BAD"/>
    <w:rsid w:val="2EC104C4"/>
    <w:rsid w:val="2EC16FF2"/>
    <w:rsid w:val="2EC71418"/>
    <w:rsid w:val="2EC771BA"/>
    <w:rsid w:val="2ECB1D12"/>
    <w:rsid w:val="2ED0337E"/>
    <w:rsid w:val="2ED40171"/>
    <w:rsid w:val="2ED856E6"/>
    <w:rsid w:val="2EE22C0A"/>
    <w:rsid w:val="2EE512BD"/>
    <w:rsid w:val="2EF13A62"/>
    <w:rsid w:val="2EF24E24"/>
    <w:rsid w:val="2EF44A20"/>
    <w:rsid w:val="2EFD046E"/>
    <w:rsid w:val="2F001A50"/>
    <w:rsid w:val="2F0A6125"/>
    <w:rsid w:val="2F1015E7"/>
    <w:rsid w:val="2F135B59"/>
    <w:rsid w:val="2F143759"/>
    <w:rsid w:val="2F144D71"/>
    <w:rsid w:val="2F1C37FA"/>
    <w:rsid w:val="2F231098"/>
    <w:rsid w:val="2F271656"/>
    <w:rsid w:val="2F2F1AF1"/>
    <w:rsid w:val="2F2F348A"/>
    <w:rsid w:val="2F346CFF"/>
    <w:rsid w:val="2F35741F"/>
    <w:rsid w:val="2F36597D"/>
    <w:rsid w:val="2F4306C0"/>
    <w:rsid w:val="2F4D4D69"/>
    <w:rsid w:val="2F5657B1"/>
    <w:rsid w:val="2F5808E8"/>
    <w:rsid w:val="2F5E4AFA"/>
    <w:rsid w:val="2F646797"/>
    <w:rsid w:val="2F6601F3"/>
    <w:rsid w:val="2F665851"/>
    <w:rsid w:val="2F6D3FB3"/>
    <w:rsid w:val="2F723E59"/>
    <w:rsid w:val="2F78274A"/>
    <w:rsid w:val="2F7D02D3"/>
    <w:rsid w:val="2F7D0D5B"/>
    <w:rsid w:val="2F813AD7"/>
    <w:rsid w:val="2F814601"/>
    <w:rsid w:val="2F842305"/>
    <w:rsid w:val="2F8C3FDB"/>
    <w:rsid w:val="2F8F3E70"/>
    <w:rsid w:val="2F90512A"/>
    <w:rsid w:val="2F9428D7"/>
    <w:rsid w:val="2F9527AC"/>
    <w:rsid w:val="2F9721F8"/>
    <w:rsid w:val="2FA0029D"/>
    <w:rsid w:val="2FA10D4B"/>
    <w:rsid w:val="2FA32C2E"/>
    <w:rsid w:val="2FA7202E"/>
    <w:rsid w:val="2FAE2798"/>
    <w:rsid w:val="2FB02116"/>
    <w:rsid w:val="2FB32E46"/>
    <w:rsid w:val="2FB43BA8"/>
    <w:rsid w:val="2FB458BE"/>
    <w:rsid w:val="2FB76FDC"/>
    <w:rsid w:val="2FBC0304"/>
    <w:rsid w:val="2FC2532D"/>
    <w:rsid w:val="2FC76528"/>
    <w:rsid w:val="2FC7749B"/>
    <w:rsid w:val="2FC90FF1"/>
    <w:rsid w:val="2FC949E6"/>
    <w:rsid w:val="2FCA0C0F"/>
    <w:rsid w:val="2FCA4F61"/>
    <w:rsid w:val="2FCD0F37"/>
    <w:rsid w:val="2FD065E6"/>
    <w:rsid w:val="2FD96870"/>
    <w:rsid w:val="2FDB7ECA"/>
    <w:rsid w:val="300276F7"/>
    <w:rsid w:val="3007141D"/>
    <w:rsid w:val="300F46E3"/>
    <w:rsid w:val="30153B93"/>
    <w:rsid w:val="301544ED"/>
    <w:rsid w:val="301C7893"/>
    <w:rsid w:val="30203B13"/>
    <w:rsid w:val="30216E0A"/>
    <w:rsid w:val="3038675A"/>
    <w:rsid w:val="30395066"/>
    <w:rsid w:val="303B19BB"/>
    <w:rsid w:val="303C33BB"/>
    <w:rsid w:val="30463CCB"/>
    <w:rsid w:val="304658B4"/>
    <w:rsid w:val="304A3176"/>
    <w:rsid w:val="304E4907"/>
    <w:rsid w:val="30523594"/>
    <w:rsid w:val="305662C8"/>
    <w:rsid w:val="3057458F"/>
    <w:rsid w:val="30580BC9"/>
    <w:rsid w:val="30594C07"/>
    <w:rsid w:val="30604782"/>
    <w:rsid w:val="306354A8"/>
    <w:rsid w:val="306F0CCD"/>
    <w:rsid w:val="30717286"/>
    <w:rsid w:val="307C2684"/>
    <w:rsid w:val="307C2F35"/>
    <w:rsid w:val="308D2BC1"/>
    <w:rsid w:val="309023DA"/>
    <w:rsid w:val="30904CDB"/>
    <w:rsid w:val="30981532"/>
    <w:rsid w:val="30A43084"/>
    <w:rsid w:val="30A6292A"/>
    <w:rsid w:val="30AE0C81"/>
    <w:rsid w:val="30BA724A"/>
    <w:rsid w:val="30BE774F"/>
    <w:rsid w:val="30C16364"/>
    <w:rsid w:val="30C3032E"/>
    <w:rsid w:val="30C45A9C"/>
    <w:rsid w:val="30C7722D"/>
    <w:rsid w:val="30CD0CEE"/>
    <w:rsid w:val="30CD2CC7"/>
    <w:rsid w:val="30D4438E"/>
    <w:rsid w:val="30D81578"/>
    <w:rsid w:val="30DA7D87"/>
    <w:rsid w:val="30DC6581"/>
    <w:rsid w:val="30DF2EF5"/>
    <w:rsid w:val="30E907EF"/>
    <w:rsid w:val="30ED4F12"/>
    <w:rsid w:val="30F20743"/>
    <w:rsid w:val="30F257BA"/>
    <w:rsid w:val="30F428B1"/>
    <w:rsid w:val="30F702EF"/>
    <w:rsid w:val="30FC2D91"/>
    <w:rsid w:val="30FC4100"/>
    <w:rsid w:val="30FD473C"/>
    <w:rsid w:val="30FF0C3A"/>
    <w:rsid w:val="30FF549A"/>
    <w:rsid w:val="31073DED"/>
    <w:rsid w:val="310B077A"/>
    <w:rsid w:val="311046C0"/>
    <w:rsid w:val="311321B5"/>
    <w:rsid w:val="31167617"/>
    <w:rsid w:val="31170B25"/>
    <w:rsid w:val="31172428"/>
    <w:rsid w:val="31175F84"/>
    <w:rsid w:val="31194A4B"/>
    <w:rsid w:val="311E2C11"/>
    <w:rsid w:val="311E2ED7"/>
    <w:rsid w:val="31300732"/>
    <w:rsid w:val="31301D67"/>
    <w:rsid w:val="313B7221"/>
    <w:rsid w:val="313E2B93"/>
    <w:rsid w:val="3144445C"/>
    <w:rsid w:val="314F7305"/>
    <w:rsid w:val="31504698"/>
    <w:rsid w:val="31513673"/>
    <w:rsid w:val="315619EE"/>
    <w:rsid w:val="315665D0"/>
    <w:rsid w:val="31572144"/>
    <w:rsid w:val="315B5B22"/>
    <w:rsid w:val="315C449C"/>
    <w:rsid w:val="316010FC"/>
    <w:rsid w:val="316E2D39"/>
    <w:rsid w:val="316E7EF4"/>
    <w:rsid w:val="317156D6"/>
    <w:rsid w:val="31721CD6"/>
    <w:rsid w:val="31750C9A"/>
    <w:rsid w:val="3177072E"/>
    <w:rsid w:val="31784D63"/>
    <w:rsid w:val="3182070C"/>
    <w:rsid w:val="3182262F"/>
    <w:rsid w:val="318437D8"/>
    <w:rsid w:val="318C138C"/>
    <w:rsid w:val="319727B8"/>
    <w:rsid w:val="31A02DB6"/>
    <w:rsid w:val="31A264E9"/>
    <w:rsid w:val="31AC4E29"/>
    <w:rsid w:val="31AC796D"/>
    <w:rsid w:val="31B51996"/>
    <w:rsid w:val="31B75628"/>
    <w:rsid w:val="31B82709"/>
    <w:rsid w:val="31BE4652"/>
    <w:rsid w:val="31C3205A"/>
    <w:rsid w:val="31C34771"/>
    <w:rsid w:val="31CD2F93"/>
    <w:rsid w:val="31D05482"/>
    <w:rsid w:val="31D26DE1"/>
    <w:rsid w:val="31D51943"/>
    <w:rsid w:val="31DA64E3"/>
    <w:rsid w:val="31E8488C"/>
    <w:rsid w:val="31E856C6"/>
    <w:rsid w:val="31EE4F54"/>
    <w:rsid w:val="31EF2153"/>
    <w:rsid w:val="31F85EF7"/>
    <w:rsid w:val="31FD2072"/>
    <w:rsid w:val="31FE3C84"/>
    <w:rsid w:val="320370E4"/>
    <w:rsid w:val="320601EF"/>
    <w:rsid w:val="320B55A7"/>
    <w:rsid w:val="32171FB4"/>
    <w:rsid w:val="3218620D"/>
    <w:rsid w:val="32207B66"/>
    <w:rsid w:val="32230959"/>
    <w:rsid w:val="322463F4"/>
    <w:rsid w:val="32263E12"/>
    <w:rsid w:val="32274521"/>
    <w:rsid w:val="322A43D7"/>
    <w:rsid w:val="322C774D"/>
    <w:rsid w:val="32302B7A"/>
    <w:rsid w:val="32320D94"/>
    <w:rsid w:val="32400B34"/>
    <w:rsid w:val="32456B21"/>
    <w:rsid w:val="32476A1F"/>
    <w:rsid w:val="324A1955"/>
    <w:rsid w:val="325F1770"/>
    <w:rsid w:val="325F6270"/>
    <w:rsid w:val="32611D06"/>
    <w:rsid w:val="3264344B"/>
    <w:rsid w:val="326A4F6F"/>
    <w:rsid w:val="326B5C23"/>
    <w:rsid w:val="32700B35"/>
    <w:rsid w:val="3272383D"/>
    <w:rsid w:val="328438A5"/>
    <w:rsid w:val="328A3D90"/>
    <w:rsid w:val="32921C4F"/>
    <w:rsid w:val="32953503"/>
    <w:rsid w:val="329621A6"/>
    <w:rsid w:val="32995B39"/>
    <w:rsid w:val="32996EDD"/>
    <w:rsid w:val="329B5389"/>
    <w:rsid w:val="329E6876"/>
    <w:rsid w:val="32A54AEF"/>
    <w:rsid w:val="32AA095B"/>
    <w:rsid w:val="32B03289"/>
    <w:rsid w:val="32B07930"/>
    <w:rsid w:val="32B5377F"/>
    <w:rsid w:val="32B56DCD"/>
    <w:rsid w:val="32B65327"/>
    <w:rsid w:val="32B65331"/>
    <w:rsid w:val="32B80FDD"/>
    <w:rsid w:val="32B95FAA"/>
    <w:rsid w:val="32B97E12"/>
    <w:rsid w:val="32BE5B90"/>
    <w:rsid w:val="32C21B0C"/>
    <w:rsid w:val="32C67914"/>
    <w:rsid w:val="32C772CF"/>
    <w:rsid w:val="32D1310C"/>
    <w:rsid w:val="32E521D9"/>
    <w:rsid w:val="32E5366A"/>
    <w:rsid w:val="32E815FE"/>
    <w:rsid w:val="32EE386B"/>
    <w:rsid w:val="32F61963"/>
    <w:rsid w:val="32F930CA"/>
    <w:rsid w:val="32FB5022"/>
    <w:rsid w:val="32FE5012"/>
    <w:rsid w:val="330160AD"/>
    <w:rsid w:val="3305400E"/>
    <w:rsid w:val="3309675E"/>
    <w:rsid w:val="330B2BE8"/>
    <w:rsid w:val="330D6A04"/>
    <w:rsid w:val="330F5805"/>
    <w:rsid w:val="33141D2F"/>
    <w:rsid w:val="33175F23"/>
    <w:rsid w:val="33196702"/>
    <w:rsid w:val="331A0B88"/>
    <w:rsid w:val="331F38AB"/>
    <w:rsid w:val="332820EE"/>
    <w:rsid w:val="332B0018"/>
    <w:rsid w:val="332F558E"/>
    <w:rsid w:val="333015F2"/>
    <w:rsid w:val="33364458"/>
    <w:rsid w:val="333711A8"/>
    <w:rsid w:val="333954B4"/>
    <w:rsid w:val="333D5C6E"/>
    <w:rsid w:val="3344752F"/>
    <w:rsid w:val="334B5BCB"/>
    <w:rsid w:val="334B6320"/>
    <w:rsid w:val="33541711"/>
    <w:rsid w:val="335C3FFF"/>
    <w:rsid w:val="33703B45"/>
    <w:rsid w:val="337975C5"/>
    <w:rsid w:val="337A02BF"/>
    <w:rsid w:val="337E278F"/>
    <w:rsid w:val="337E53A5"/>
    <w:rsid w:val="337F3E0E"/>
    <w:rsid w:val="338114E1"/>
    <w:rsid w:val="338E25A5"/>
    <w:rsid w:val="338F274A"/>
    <w:rsid w:val="33987B6E"/>
    <w:rsid w:val="33991AD9"/>
    <w:rsid w:val="339A47AC"/>
    <w:rsid w:val="33A00EB5"/>
    <w:rsid w:val="33A310E1"/>
    <w:rsid w:val="33AD497E"/>
    <w:rsid w:val="33B04A62"/>
    <w:rsid w:val="33B31BE1"/>
    <w:rsid w:val="33B65F28"/>
    <w:rsid w:val="33BE6E67"/>
    <w:rsid w:val="33C30488"/>
    <w:rsid w:val="33CE7E44"/>
    <w:rsid w:val="33D54CD0"/>
    <w:rsid w:val="33D9205C"/>
    <w:rsid w:val="33D934D4"/>
    <w:rsid w:val="33D97CE4"/>
    <w:rsid w:val="33DB452D"/>
    <w:rsid w:val="33E24700"/>
    <w:rsid w:val="33E603B5"/>
    <w:rsid w:val="33E64676"/>
    <w:rsid w:val="33E74E06"/>
    <w:rsid w:val="33E779C0"/>
    <w:rsid w:val="33EC0CB7"/>
    <w:rsid w:val="33EC741C"/>
    <w:rsid w:val="33F53EA3"/>
    <w:rsid w:val="33F76B52"/>
    <w:rsid w:val="33FE2F6A"/>
    <w:rsid w:val="34062C22"/>
    <w:rsid w:val="340C3D9A"/>
    <w:rsid w:val="340E07E5"/>
    <w:rsid w:val="340E5459"/>
    <w:rsid w:val="34103227"/>
    <w:rsid w:val="34120C42"/>
    <w:rsid w:val="34134830"/>
    <w:rsid w:val="341744ED"/>
    <w:rsid w:val="34190318"/>
    <w:rsid w:val="34203332"/>
    <w:rsid w:val="34207D21"/>
    <w:rsid w:val="342175A1"/>
    <w:rsid w:val="34235BF7"/>
    <w:rsid w:val="342D36EE"/>
    <w:rsid w:val="342D3D10"/>
    <w:rsid w:val="343148E5"/>
    <w:rsid w:val="34334C3C"/>
    <w:rsid w:val="343547F1"/>
    <w:rsid w:val="34395274"/>
    <w:rsid w:val="343B388D"/>
    <w:rsid w:val="343C5996"/>
    <w:rsid w:val="34493572"/>
    <w:rsid w:val="344975F4"/>
    <w:rsid w:val="344A2B52"/>
    <w:rsid w:val="344E36A7"/>
    <w:rsid w:val="34605C52"/>
    <w:rsid w:val="34612BDF"/>
    <w:rsid w:val="346239BA"/>
    <w:rsid w:val="34633C32"/>
    <w:rsid w:val="34635A72"/>
    <w:rsid w:val="34643A17"/>
    <w:rsid w:val="3465106F"/>
    <w:rsid w:val="34657018"/>
    <w:rsid w:val="34692F9B"/>
    <w:rsid w:val="34695253"/>
    <w:rsid w:val="3479614A"/>
    <w:rsid w:val="347B5DF2"/>
    <w:rsid w:val="347D34AE"/>
    <w:rsid w:val="348044CB"/>
    <w:rsid w:val="3480791B"/>
    <w:rsid w:val="34885263"/>
    <w:rsid w:val="34922914"/>
    <w:rsid w:val="34955130"/>
    <w:rsid w:val="349C5E3A"/>
    <w:rsid w:val="349D4F4A"/>
    <w:rsid w:val="34A44606"/>
    <w:rsid w:val="34AC3E15"/>
    <w:rsid w:val="34AD11FB"/>
    <w:rsid w:val="34B16B84"/>
    <w:rsid w:val="34B441D4"/>
    <w:rsid w:val="34B64897"/>
    <w:rsid w:val="34B955A4"/>
    <w:rsid w:val="34BB1DFE"/>
    <w:rsid w:val="34BB756E"/>
    <w:rsid w:val="34BB79C6"/>
    <w:rsid w:val="34BF08CE"/>
    <w:rsid w:val="34BF552D"/>
    <w:rsid w:val="34C151CE"/>
    <w:rsid w:val="34C402D5"/>
    <w:rsid w:val="34C67706"/>
    <w:rsid w:val="34D01C4D"/>
    <w:rsid w:val="34DB681C"/>
    <w:rsid w:val="34DD2082"/>
    <w:rsid w:val="34DE6390"/>
    <w:rsid w:val="34DE6DF0"/>
    <w:rsid w:val="34EC0E2E"/>
    <w:rsid w:val="34F155C5"/>
    <w:rsid w:val="34F7542B"/>
    <w:rsid w:val="34F860CC"/>
    <w:rsid w:val="34F93623"/>
    <w:rsid w:val="34FC456A"/>
    <w:rsid w:val="34FE47A1"/>
    <w:rsid w:val="34FF56AD"/>
    <w:rsid w:val="34FF6A0F"/>
    <w:rsid w:val="35073DFF"/>
    <w:rsid w:val="350842C2"/>
    <w:rsid w:val="350A4B80"/>
    <w:rsid w:val="350C7DCA"/>
    <w:rsid w:val="35155367"/>
    <w:rsid w:val="35252CE3"/>
    <w:rsid w:val="35261FDD"/>
    <w:rsid w:val="352C2FF7"/>
    <w:rsid w:val="352F794E"/>
    <w:rsid w:val="353369DE"/>
    <w:rsid w:val="353F050D"/>
    <w:rsid w:val="354204F4"/>
    <w:rsid w:val="35451D0B"/>
    <w:rsid w:val="354C07F9"/>
    <w:rsid w:val="354D5667"/>
    <w:rsid w:val="354F4250"/>
    <w:rsid w:val="35535C63"/>
    <w:rsid w:val="35541835"/>
    <w:rsid w:val="35564462"/>
    <w:rsid w:val="355B5123"/>
    <w:rsid w:val="355C0A9D"/>
    <w:rsid w:val="35625A6E"/>
    <w:rsid w:val="35652984"/>
    <w:rsid w:val="35696219"/>
    <w:rsid w:val="35707A59"/>
    <w:rsid w:val="357A119C"/>
    <w:rsid w:val="357B7A37"/>
    <w:rsid w:val="357E1BC0"/>
    <w:rsid w:val="357E38F7"/>
    <w:rsid w:val="35850F00"/>
    <w:rsid w:val="358C5FA8"/>
    <w:rsid w:val="35951605"/>
    <w:rsid w:val="359D0A22"/>
    <w:rsid w:val="35AE7519"/>
    <w:rsid w:val="35B10692"/>
    <w:rsid w:val="35B71016"/>
    <w:rsid w:val="35BC22C3"/>
    <w:rsid w:val="35BE2345"/>
    <w:rsid w:val="35C15DF1"/>
    <w:rsid w:val="35C23876"/>
    <w:rsid w:val="35CA74E8"/>
    <w:rsid w:val="35CE6E2D"/>
    <w:rsid w:val="35D0004B"/>
    <w:rsid w:val="35D13BEE"/>
    <w:rsid w:val="35D21A14"/>
    <w:rsid w:val="35D331A9"/>
    <w:rsid w:val="35D344C0"/>
    <w:rsid w:val="35D77490"/>
    <w:rsid w:val="35DB4BC2"/>
    <w:rsid w:val="35E87A5C"/>
    <w:rsid w:val="35E95F70"/>
    <w:rsid w:val="35EF5721"/>
    <w:rsid w:val="35F01A6F"/>
    <w:rsid w:val="35F16545"/>
    <w:rsid w:val="35F334E5"/>
    <w:rsid w:val="35FD613A"/>
    <w:rsid w:val="360011F3"/>
    <w:rsid w:val="36011824"/>
    <w:rsid w:val="36074A7F"/>
    <w:rsid w:val="360F2883"/>
    <w:rsid w:val="361D712D"/>
    <w:rsid w:val="362162B7"/>
    <w:rsid w:val="362A1505"/>
    <w:rsid w:val="36304799"/>
    <w:rsid w:val="36307FD6"/>
    <w:rsid w:val="36360CD1"/>
    <w:rsid w:val="363853F7"/>
    <w:rsid w:val="36461997"/>
    <w:rsid w:val="36483084"/>
    <w:rsid w:val="3651018A"/>
    <w:rsid w:val="365632E7"/>
    <w:rsid w:val="36616C21"/>
    <w:rsid w:val="366A07C4"/>
    <w:rsid w:val="36707C35"/>
    <w:rsid w:val="36724D26"/>
    <w:rsid w:val="367C7125"/>
    <w:rsid w:val="367F65F2"/>
    <w:rsid w:val="367F6C7D"/>
    <w:rsid w:val="36801691"/>
    <w:rsid w:val="368472F2"/>
    <w:rsid w:val="36863EA7"/>
    <w:rsid w:val="368A7A65"/>
    <w:rsid w:val="3690626B"/>
    <w:rsid w:val="36923549"/>
    <w:rsid w:val="369C4B49"/>
    <w:rsid w:val="36A007CA"/>
    <w:rsid w:val="36A83204"/>
    <w:rsid w:val="36A85833"/>
    <w:rsid w:val="36A944B1"/>
    <w:rsid w:val="36B316DA"/>
    <w:rsid w:val="36B45BEF"/>
    <w:rsid w:val="36B75FBF"/>
    <w:rsid w:val="36B9500D"/>
    <w:rsid w:val="36BD0C45"/>
    <w:rsid w:val="36C95F72"/>
    <w:rsid w:val="36CA7072"/>
    <w:rsid w:val="36CC2449"/>
    <w:rsid w:val="36D04635"/>
    <w:rsid w:val="36D07CA7"/>
    <w:rsid w:val="36D33949"/>
    <w:rsid w:val="36D5166B"/>
    <w:rsid w:val="36D87697"/>
    <w:rsid w:val="36D939AF"/>
    <w:rsid w:val="36DA38A3"/>
    <w:rsid w:val="36DE67FF"/>
    <w:rsid w:val="36E21932"/>
    <w:rsid w:val="36E35A45"/>
    <w:rsid w:val="36E5323F"/>
    <w:rsid w:val="36E77149"/>
    <w:rsid w:val="36E854F7"/>
    <w:rsid w:val="36EB21E8"/>
    <w:rsid w:val="36ED0117"/>
    <w:rsid w:val="36F12C21"/>
    <w:rsid w:val="36F56CF5"/>
    <w:rsid w:val="36FB1BC7"/>
    <w:rsid w:val="3700570C"/>
    <w:rsid w:val="37010708"/>
    <w:rsid w:val="370456FA"/>
    <w:rsid w:val="37173BC7"/>
    <w:rsid w:val="37192F1C"/>
    <w:rsid w:val="37202702"/>
    <w:rsid w:val="372533B9"/>
    <w:rsid w:val="37296FDE"/>
    <w:rsid w:val="37377380"/>
    <w:rsid w:val="373F221B"/>
    <w:rsid w:val="37465815"/>
    <w:rsid w:val="3749752F"/>
    <w:rsid w:val="374B28C8"/>
    <w:rsid w:val="374C0952"/>
    <w:rsid w:val="374C3A8F"/>
    <w:rsid w:val="374E5282"/>
    <w:rsid w:val="375001E7"/>
    <w:rsid w:val="37540214"/>
    <w:rsid w:val="37562B28"/>
    <w:rsid w:val="3777094B"/>
    <w:rsid w:val="37785C3B"/>
    <w:rsid w:val="377B52C9"/>
    <w:rsid w:val="377D1F98"/>
    <w:rsid w:val="37855BF8"/>
    <w:rsid w:val="378A7F22"/>
    <w:rsid w:val="378D66EF"/>
    <w:rsid w:val="379250A2"/>
    <w:rsid w:val="379A5014"/>
    <w:rsid w:val="379B6F21"/>
    <w:rsid w:val="379C46FA"/>
    <w:rsid w:val="379F02B2"/>
    <w:rsid w:val="37A172B4"/>
    <w:rsid w:val="37A32124"/>
    <w:rsid w:val="37A416B2"/>
    <w:rsid w:val="37AF6638"/>
    <w:rsid w:val="37B02C8E"/>
    <w:rsid w:val="37B45AED"/>
    <w:rsid w:val="37C02AAB"/>
    <w:rsid w:val="37C04E35"/>
    <w:rsid w:val="37C05532"/>
    <w:rsid w:val="37C12A6F"/>
    <w:rsid w:val="37C50CCC"/>
    <w:rsid w:val="37CA74DE"/>
    <w:rsid w:val="37CC5447"/>
    <w:rsid w:val="37CF13AB"/>
    <w:rsid w:val="37D374D6"/>
    <w:rsid w:val="37D743B3"/>
    <w:rsid w:val="37D90374"/>
    <w:rsid w:val="37DD19D5"/>
    <w:rsid w:val="37DF0E70"/>
    <w:rsid w:val="37E00298"/>
    <w:rsid w:val="37E137BB"/>
    <w:rsid w:val="37E50C94"/>
    <w:rsid w:val="37EF202C"/>
    <w:rsid w:val="37F4701F"/>
    <w:rsid w:val="37FA1879"/>
    <w:rsid w:val="37FC2B04"/>
    <w:rsid w:val="38027BE3"/>
    <w:rsid w:val="38070C03"/>
    <w:rsid w:val="380E3BA0"/>
    <w:rsid w:val="381F2C9C"/>
    <w:rsid w:val="38206066"/>
    <w:rsid w:val="38210339"/>
    <w:rsid w:val="38264773"/>
    <w:rsid w:val="382B0F9F"/>
    <w:rsid w:val="382C26EB"/>
    <w:rsid w:val="382F44FB"/>
    <w:rsid w:val="38322892"/>
    <w:rsid w:val="38381A6D"/>
    <w:rsid w:val="38390C33"/>
    <w:rsid w:val="38393F2B"/>
    <w:rsid w:val="383A2FE5"/>
    <w:rsid w:val="383C0516"/>
    <w:rsid w:val="383D0D7D"/>
    <w:rsid w:val="38442C9A"/>
    <w:rsid w:val="384A1155"/>
    <w:rsid w:val="384A1FE8"/>
    <w:rsid w:val="384B1B1D"/>
    <w:rsid w:val="384C1EC0"/>
    <w:rsid w:val="384C6A06"/>
    <w:rsid w:val="38547B7F"/>
    <w:rsid w:val="38571688"/>
    <w:rsid w:val="38580218"/>
    <w:rsid w:val="385A1C36"/>
    <w:rsid w:val="386037AB"/>
    <w:rsid w:val="3862288C"/>
    <w:rsid w:val="38690F47"/>
    <w:rsid w:val="386F67E0"/>
    <w:rsid w:val="3871699B"/>
    <w:rsid w:val="38737065"/>
    <w:rsid w:val="387A2AA3"/>
    <w:rsid w:val="38805006"/>
    <w:rsid w:val="389147BD"/>
    <w:rsid w:val="38932336"/>
    <w:rsid w:val="38950300"/>
    <w:rsid w:val="38A16DFD"/>
    <w:rsid w:val="38A7508B"/>
    <w:rsid w:val="38A856BA"/>
    <w:rsid w:val="38AC1407"/>
    <w:rsid w:val="38AE6665"/>
    <w:rsid w:val="38B302F9"/>
    <w:rsid w:val="38B44A14"/>
    <w:rsid w:val="38B736AA"/>
    <w:rsid w:val="38BA021A"/>
    <w:rsid w:val="38BD68B7"/>
    <w:rsid w:val="38BF77AD"/>
    <w:rsid w:val="38C452BA"/>
    <w:rsid w:val="38C904AC"/>
    <w:rsid w:val="38CA64E7"/>
    <w:rsid w:val="38CA7CC5"/>
    <w:rsid w:val="38CF274A"/>
    <w:rsid w:val="38D12894"/>
    <w:rsid w:val="38DE5346"/>
    <w:rsid w:val="38DF5B94"/>
    <w:rsid w:val="38E258B2"/>
    <w:rsid w:val="38F00DCB"/>
    <w:rsid w:val="38F12CD3"/>
    <w:rsid w:val="38F27065"/>
    <w:rsid w:val="38F86973"/>
    <w:rsid w:val="38F94775"/>
    <w:rsid w:val="38FA4890"/>
    <w:rsid w:val="38FD33AC"/>
    <w:rsid w:val="38FD63A7"/>
    <w:rsid w:val="390037A2"/>
    <w:rsid w:val="390B79E8"/>
    <w:rsid w:val="39164361"/>
    <w:rsid w:val="39293360"/>
    <w:rsid w:val="392971ED"/>
    <w:rsid w:val="392A2672"/>
    <w:rsid w:val="392C6143"/>
    <w:rsid w:val="392F0D24"/>
    <w:rsid w:val="392F1B69"/>
    <w:rsid w:val="39325651"/>
    <w:rsid w:val="393323AE"/>
    <w:rsid w:val="39350D30"/>
    <w:rsid w:val="39355B41"/>
    <w:rsid w:val="393D4A62"/>
    <w:rsid w:val="3942025E"/>
    <w:rsid w:val="39487D75"/>
    <w:rsid w:val="394B3EAA"/>
    <w:rsid w:val="395135EB"/>
    <w:rsid w:val="3954269A"/>
    <w:rsid w:val="395F7813"/>
    <w:rsid w:val="396D73A0"/>
    <w:rsid w:val="3970476E"/>
    <w:rsid w:val="39736604"/>
    <w:rsid w:val="39767853"/>
    <w:rsid w:val="39813A0B"/>
    <w:rsid w:val="398C14D9"/>
    <w:rsid w:val="39921451"/>
    <w:rsid w:val="39955C59"/>
    <w:rsid w:val="39A700C1"/>
    <w:rsid w:val="39B459EC"/>
    <w:rsid w:val="39BF4CEF"/>
    <w:rsid w:val="39C113AF"/>
    <w:rsid w:val="39C631BB"/>
    <w:rsid w:val="39C90037"/>
    <w:rsid w:val="39CC5FBB"/>
    <w:rsid w:val="39CD55B3"/>
    <w:rsid w:val="39D07536"/>
    <w:rsid w:val="39D85D05"/>
    <w:rsid w:val="39E2255C"/>
    <w:rsid w:val="39E76710"/>
    <w:rsid w:val="39EB06E2"/>
    <w:rsid w:val="39F22FFC"/>
    <w:rsid w:val="39F37755"/>
    <w:rsid w:val="39FC2B34"/>
    <w:rsid w:val="3A017F5D"/>
    <w:rsid w:val="3A0E1B6C"/>
    <w:rsid w:val="3A0E7811"/>
    <w:rsid w:val="3A11057B"/>
    <w:rsid w:val="3A162CEA"/>
    <w:rsid w:val="3A1934D3"/>
    <w:rsid w:val="3A1E1D95"/>
    <w:rsid w:val="3A270451"/>
    <w:rsid w:val="3A2D6B20"/>
    <w:rsid w:val="3A2E6F97"/>
    <w:rsid w:val="3A313EE4"/>
    <w:rsid w:val="3A3178CA"/>
    <w:rsid w:val="3A317EBF"/>
    <w:rsid w:val="3A327599"/>
    <w:rsid w:val="3A335BEE"/>
    <w:rsid w:val="3A3A4C4A"/>
    <w:rsid w:val="3A420E39"/>
    <w:rsid w:val="3A510EC0"/>
    <w:rsid w:val="3A550C9B"/>
    <w:rsid w:val="3A5A4716"/>
    <w:rsid w:val="3A5B2CDB"/>
    <w:rsid w:val="3A5C58F5"/>
    <w:rsid w:val="3A5F5D92"/>
    <w:rsid w:val="3A5F6D95"/>
    <w:rsid w:val="3A602D59"/>
    <w:rsid w:val="3A614714"/>
    <w:rsid w:val="3A654204"/>
    <w:rsid w:val="3A660BD0"/>
    <w:rsid w:val="3A6B10EF"/>
    <w:rsid w:val="3A6B17A4"/>
    <w:rsid w:val="3A7546EA"/>
    <w:rsid w:val="3A764F67"/>
    <w:rsid w:val="3A766BC9"/>
    <w:rsid w:val="3A795AF3"/>
    <w:rsid w:val="3A7A47BA"/>
    <w:rsid w:val="3A810D3B"/>
    <w:rsid w:val="3A813EAE"/>
    <w:rsid w:val="3A83069C"/>
    <w:rsid w:val="3A836841"/>
    <w:rsid w:val="3A872856"/>
    <w:rsid w:val="3A88613E"/>
    <w:rsid w:val="3A8C0C0C"/>
    <w:rsid w:val="3A925819"/>
    <w:rsid w:val="3A933688"/>
    <w:rsid w:val="3A97005A"/>
    <w:rsid w:val="3A9B51BE"/>
    <w:rsid w:val="3A9D26B4"/>
    <w:rsid w:val="3AA03CF4"/>
    <w:rsid w:val="3AA104A3"/>
    <w:rsid w:val="3AA41FDF"/>
    <w:rsid w:val="3AB010C0"/>
    <w:rsid w:val="3AB30F57"/>
    <w:rsid w:val="3AB865FD"/>
    <w:rsid w:val="3ABB5602"/>
    <w:rsid w:val="3ABE6CD0"/>
    <w:rsid w:val="3ACC6031"/>
    <w:rsid w:val="3AD21562"/>
    <w:rsid w:val="3AD46C94"/>
    <w:rsid w:val="3AD51756"/>
    <w:rsid w:val="3AD743B3"/>
    <w:rsid w:val="3ADC2360"/>
    <w:rsid w:val="3ADD63FF"/>
    <w:rsid w:val="3AEE1B7C"/>
    <w:rsid w:val="3AF33A1A"/>
    <w:rsid w:val="3AFD61EB"/>
    <w:rsid w:val="3AFE01B5"/>
    <w:rsid w:val="3B056147"/>
    <w:rsid w:val="3B0D449A"/>
    <w:rsid w:val="3B0F3FE4"/>
    <w:rsid w:val="3B157698"/>
    <w:rsid w:val="3B18678B"/>
    <w:rsid w:val="3B1872E4"/>
    <w:rsid w:val="3B281A80"/>
    <w:rsid w:val="3B2E2D91"/>
    <w:rsid w:val="3B2F6F2B"/>
    <w:rsid w:val="3B3763D1"/>
    <w:rsid w:val="3B383ACF"/>
    <w:rsid w:val="3B3C49BE"/>
    <w:rsid w:val="3B452F79"/>
    <w:rsid w:val="3B491430"/>
    <w:rsid w:val="3B4A0142"/>
    <w:rsid w:val="3B563495"/>
    <w:rsid w:val="3B58589F"/>
    <w:rsid w:val="3B590718"/>
    <w:rsid w:val="3B595FD5"/>
    <w:rsid w:val="3B68537D"/>
    <w:rsid w:val="3B71008E"/>
    <w:rsid w:val="3B716BE7"/>
    <w:rsid w:val="3B7428B7"/>
    <w:rsid w:val="3B862D3B"/>
    <w:rsid w:val="3B892C45"/>
    <w:rsid w:val="3B8953BD"/>
    <w:rsid w:val="3B8A60CA"/>
    <w:rsid w:val="3B8B3A38"/>
    <w:rsid w:val="3B9317B4"/>
    <w:rsid w:val="3B974781"/>
    <w:rsid w:val="3BA955EB"/>
    <w:rsid w:val="3BAF62B5"/>
    <w:rsid w:val="3BB1764B"/>
    <w:rsid w:val="3BC01B63"/>
    <w:rsid w:val="3BC14BF4"/>
    <w:rsid w:val="3BC536EE"/>
    <w:rsid w:val="3BC66AFD"/>
    <w:rsid w:val="3BC95F01"/>
    <w:rsid w:val="3BCD4930"/>
    <w:rsid w:val="3BD50908"/>
    <w:rsid w:val="3BE32BB2"/>
    <w:rsid w:val="3BE34651"/>
    <w:rsid w:val="3BE64834"/>
    <w:rsid w:val="3BF01C28"/>
    <w:rsid w:val="3BF20E23"/>
    <w:rsid w:val="3BF35840"/>
    <w:rsid w:val="3BF743ED"/>
    <w:rsid w:val="3BFA0777"/>
    <w:rsid w:val="3C0444D9"/>
    <w:rsid w:val="3C1278C9"/>
    <w:rsid w:val="3C1572B3"/>
    <w:rsid w:val="3C165726"/>
    <w:rsid w:val="3C18464C"/>
    <w:rsid w:val="3C1972A2"/>
    <w:rsid w:val="3C2275BA"/>
    <w:rsid w:val="3C2C6D2A"/>
    <w:rsid w:val="3C2F22A2"/>
    <w:rsid w:val="3C2F6E1E"/>
    <w:rsid w:val="3C324917"/>
    <w:rsid w:val="3C3B704F"/>
    <w:rsid w:val="3C4B742A"/>
    <w:rsid w:val="3C4D398D"/>
    <w:rsid w:val="3C4F64BA"/>
    <w:rsid w:val="3C5150DE"/>
    <w:rsid w:val="3C516B3D"/>
    <w:rsid w:val="3C5A58BF"/>
    <w:rsid w:val="3C5E54B9"/>
    <w:rsid w:val="3C673B13"/>
    <w:rsid w:val="3C6E4EC6"/>
    <w:rsid w:val="3C7162D7"/>
    <w:rsid w:val="3C74072E"/>
    <w:rsid w:val="3C752089"/>
    <w:rsid w:val="3C775B58"/>
    <w:rsid w:val="3C784419"/>
    <w:rsid w:val="3C7A7205"/>
    <w:rsid w:val="3C7B0682"/>
    <w:rsid w:val="3C81109B"/>
    <w:rsid w:val="3C813B76"/>
    <w:rsid w:val="3C823F81"/>
    <w:rsid w:val="3C824716"/>
    <w:rsid w:val="3C90020E"/>
    <w:rsid w:val="3C995433"/>
    <w:rsid w:val="3CA212B2"/>
    <w:rsid w:val="3CA97B33"/>
    <w:rsid w:val="3CAB6FDB"/>
    <w:rsid w:val="3CAC0623"/>
    <w:rsid w:val="3CAE57D0"/>
    <w:rsid w:val="3CB37EA2"/>
    <w:rsid w:val="3CB45826"/>
    <w:rsid w:val="3CB9425E"/>
    <w:rsid w:val="3CBE553B"/>
    <w:rsid w:val="3CC17428"/>
    <w:rsid w:val="3CCD6694"/>
    <w:rsid w:val="3CD12706"/>
    <w:rsid w:val="3CDA245A"/>
    <w:rsid w:val="3CDE58D3"/>
    <w:rsid w:val="3CE331DE"/>
    <w:rsid w:val="3CE33B06"/>
    <w:rsid w:val="3CE84C78"/>
    <w:rsid w:val="3CE97309"/>
    <w:rsid w:val="3CEA2629"/>
    <w:rsid w:val="3CED41F2"/>
    <w:rsid w:val="3CF43590"/>
    <w:rsid w:val="3CF61143"/>
    <w:rsid w:val="3CF80F28"/>
    <w:rsid w:val="3CFA7085"/>
    <w:rsid w:val="3CFD2D8E"/>
    <w:rsid w:val="3D090C4E"/>
    <w:rsid w:val="3D0C38E8"/>
    <w:rsid w:val="3D0F2C3D"/>
    <w:rsid w:val="3D1201C7"/>
    <w:rsid w:val="3D164CD4"/>
    <w:rsid w:val="3D1A695F"/>
    <w:rsid w:val="3D1B55AC"/>
    <w:rsid w:val="3D1E06B7"/>
    <w:rsid w:val="3D1E60AD"/>
    <w:rsid w:val="3D28447A"/>
    <w:rsid w:val="3D2E4FC3"/>
    <w:rsid w:val="3D394C4B"/>
    <w:rsid w:val="3D53423C"/>
    <w:rsid w:val="3D535D5A"/>
    <w:rsid w:val="3D541CA6"/>
    <w:rsid w:val="3D563CF3"/>
    <w:rsid w:val="3D5D007B"/>
    <w:rsid w:val="3D5E5542"/>
    <w:rsid w:val="3D616F5B"/>
    <w:rsid w:val="3D6538A4"/>
    <w:rsid w:val="3D692B15"/>
    <w:rsid w:val="3D7059DA"/>
    <w:rsid w:val="3D732FCE"/>
    <w:rsid w:val="3D733273"/>
    <w:rsid w:val="3D74203D"/>
    <w:rsid w:val="3D7C7D94"/>
    <w:rsid w:val="3D82498A"/>
    <w:rsid w:val="3D9F1E18"/>
    <w:rsid w:val="3DA13739"/>
    <w:rsid w:val="3DA84E15"/>
    <w:rsid w:val="3DAA0180"/>
    <w:rsid w:val="3DAB4D32"/>
    <w:rsid w:val="3DB85EC4"/>
    <w:rsid w:val="3DB95A32"/>
    <w:rsid w:val="3DC70763"/>
    <w:rsid w:val="3DCD08BF"/>
    <w:rsid w:val="3DD24D65"/>
    <w:rsid w:val="3DD577AB"/>
    <w:rsid w:val="3DD671C7"/>
    <w:rsid w:val="3DDB092A"/>
    <w:rsid w:val="3DDE71C5"/>
    <w:rsid w:val="3DE03FD6"/>
    <w:rsid w:val="3DE6565C"/>
    <w:rsid w:val="3DEA3F52"/>
    <w:rsid w:val="3DF21C6D"/>
    <w:rsid w:val="3DF40D68"/>
    <w:rsid w:val="3DF53AF1"/>
    <w:rsid w:val="3DF77640"/>
    <w:rsid w:val="3DF95310"/>
    <w:rsid w:val="3DFA3042"/>
    <w:rsid w:val="3DFB7C74"/>
    <w:rsid w:val="3E081992"/>
    <w:rsid w:val="3E1166A6"/>
    <w:rsid w:val="3E13060D"/>
    <w:rsid w:val="3E13171F"/>
    <w:rsid w:val="3E176627"/>
    <w:rsid w:val="3E1A5D5E"/>
    <w:rsid w:val="3E1C7C46"/>
    <w:rsid w:val="3E1D01DB"/>
    <w:rsid w:val="3E207042"/>
    <w:rsid w:val="3E267847"/>
    <w:rsid w:val="3E2E7FEC"/>
    <w:rsid w:val="3E32465A"/>
    <w:rsid w:val="3E380448"/>
    <w:rsid w:val="3E3B5A45"/>
    <w:rsid w:val="3E3F5D4A"/>
    <w:rsid w:val="3E4549D9"/>
    <w:rsid w:val="3E45798D"/>
    <w:rsid w:val="3E51283E"/>
    <w:rsid w:val="3E5A0ADF"/>
    <w:rsid w:val="3E5D60F2"/>
    <w:rsid w:val="3E5E566D"/>
    <w:rsid w:val="3E60391B"/>
    <w:rsid w:val="3E764A04"/>
    <w:rsid w:val="3E8310FD"/>
    <w:rsid w:val="3E84039B"/>
    <w:rsid w:val="3E862D50"/>
    <w:rsid w:val="3E8735BF"/>
    <w:rsid w:val="3E874416"/>
    <w:rsid w:val="3E891CA8"/>
    <w:rsid w:val="3E8D3D29"/>
    <w:rsid w:val="3E927A60"/>
    <w:rsid w:val="3E9476DA"/>
    <w:rsid w:val="3E9914B6"/>
    <w:rsid w:val="3E9D0107"/>
    <w:rsid w:val="3EA00D23"/>
    <w:rsid w:val="3EA117B7"/>
    <w:rsid w:val="3EA201C2"/>
    <w:rsid w:val="3EA85018"/>
    <w:rsid w:val="3EAF3A31"/>
    <w:rsid w:val="3EB82154"/>
    <w:rsid w:val="3EB86F6A"/>
    <w:rsid w:val="3ECB42D4"/>
    <w:rsid w:val="3ECF4342"/>
    <w:rsid w:val="3EDA0523"/>
    <w:rsid w:val="3EDA6843"/>
    <w:rsid w:val="3EDD777F"/>
    <w:rsid w:val="3EDE0688"/>
    <w:rsid w:val="3EE10B16"/>
    <w:rsid w:val="3EE6386F"/>
    <w:rsid w:val="3EE871B2"/>
    <w:rsid w:val="3F0619DA"/>
    <w:rsid w:val="3F06344F"/>
    <w:rsid w:val="3F0B5B35"/>
    <w:rsid w:val="3F0D225D"/>
    <w:rsid w:val="3F1207BB"/>
    <w:rsid w:val="3F16078A"/>
    <w:rsid w:val="3F16229D"/>
    <w:rsid w:val="3F234508"/>
    <w:rsid w:val="3F2D74EE"/>
    <w:rsid w:val="3F313383"/>
    <w:rsid w:val="3F341D6A"/>
    <w:rsid w:val="3F360A23"/>
    <w:rsid w:val="3F387F51"/>
    <w:rsid w:val="3F39208A"/>
    <w:rsid w:val="3F3D346F"/>
    <w:rsid w:val="3F405EE5"/>
    <w:rsid w:val="3F424F00"/>
    <w:rsid w:val="3F441AF1"/>
    <w:rsid w:val="3F4C1E36"/>
    <w:rsid w:val="3F506416"/>
    <w:rsid w:val="3F516CE1"/>
    <w:rsid w:val="3F580091"/>
    <w:rsid w:val="3F5D2FD7"/>
    <w:rsid w:val="3F5D365D"/>
    <w:rsid w:val="3F625A2B"/>
    <w:rsid w:val="3F6433B1"/>
    <w:rsid w:val="3F685DDB"/>
    <w:rsid w:val="3F693F94"/>
    <w:rsid w:val="3F6D1F20"/>
    <w:rsid w:val="3F6E4D21"/>
    <w:rsid w:val="3F7425F7"/>
    <w:rsid w:val="3F7559D6"/>
    <w:rsid w:val="3F790456"/>
    <w:rsid w:val="3F837B7E"/>
    <w:rsid w:val="3F843B89"/>
    <w:rsid w:val="3F8573E9"/>
    <w:rsid w:val="3F870779"/>
    <w:rsid w:val="3F873DC8"/>
    <w:rsid w:val="3F8844F1"/>
    <w:rsid w:val="3F8C67A8"/>
    <w:rsid w:val="3F8E1FC4"/>
    <w:rsid w:val="3F926F98"/>
    <w:rsid w:val="3F9F1E64"/>
    <w:rsid w:val="3FA576D6"/>
    <w:rsid w:val="3FA86BA7"/>
    <w:rsid w:val="3FA95FA5"/>
    <w:rsid w:val="3FAF7CCF"/>
    <w:rsid w:val="3FAF7DD7"/>
    <w:rsid w:val="3FB949D7"/>
    <w:rsid w:val="3FBA2A68"/>
    <w:rsid w:val="3FBB0422"/>
    <w:rsid w:val="3FC23270"/>
    <w:rsid w:val="3FC757FD"/>
    <w:rsid w:val="3FC90D91"/>
    <w:rsid w:val="3FD15E98"/>
    <w:rsid w:val="3FD86422"/>
    <w:rsid w:val="3FDB6E30"/>
    <w:rsid w:val="3FE479AA"/>
    <w:rsid w:val="3FE56A30"/>
    <w:rsid w:val="3FEB6508"/>
    <w:rsid w:val="3FEC4D03"/>
    <w:rsid w:val="3FF52E19"/>
    <w:rsid w:val="3FF57DD8"/>
    <w:rsid w:val="3FF71C2D"/>
    <w:rsid w:val="4008596C"/>
    <w:rsid w:val="400D43A2"/>
    <w:rsid w:val="40112C3A"/>
    <w:rsid w:val="40224D9F"/>
    <w:rsid w:val="402443DF"/>
    <w:rsid w:val="4029746B"/>
    <w:rsid w:val="402C0963"/>
    <w:rsid w:val="4040726E"/>
    <w:rsid w:val="404448BC"/>
    <w:rsid w:val="404615BF"/>
    <w:rsid w:val="40497C46"/>
    <w:rsid w:val="404A1430"/>
    <w:rsid w:val="40577A31"/>
    <w:rsid w:val="405A0E22"/>
    <w:rsid w:val="405E3BCF"/>
    <w:rsid w:val="40624C69"/>
    <w:rsid w:val="40666A2D"/>
    <w:rsid w:val="407A2686"/>
    <w:rsid w:val="407A6407"/>
    <w:rsid w:val="407B109D"/>
    <w:rsid w:val="407D477E"/>
    <w:rsid w:val="408109B5"/>
    <w:rsid w:val="40866C82"/>
    <w:rsid w:val="409300F4"/>
    <w:rsid w:val="40961CD0"/>
    <w:rsid w:val="40980764"/>
    <w:rsid w:val="40992E7A"/>
    <w:rsid w:val="409C007A"/>
    <w:rsid w:val="40A02791"/>
    <w:rsid w:val="40A30FF5"/>
    <w:rsid w:val="40A51540"/>
    <w:rsid w:val="40A74396"/>
    <w:rsid w:val="40B12300"/>
    <w:rsid w:val="40B62FB9"/>
    <w:rsid w:val="40C6254A"/>
    <w:rsid w:val="40C656CE"/>
    <w:rsid w:val="40CD57B1"/>
    <w:rsid w:val="40CE317C"/>
    <w:rsid w:val="40CF2EA8"/>
    <w:rsid w:val="40D53465"/>
    <w:rsid w:val="40DC6029"/>
    <w:rsid w:val="40E112B3"/>
    <w:rsid w:val="40E34571"/>
    <w:rsid w:val="40E73C32"/>
    <w:rsid w:val="40EC2446"/>
    <w:rsid w:val="40F117FA"/>
    <w:rsid w:val="40F340A2"/>
    <w:rsid w:val="40FF43AC"/>
    <w:rsid w:val="410249B5"/>
    <w:rsid w:val="41055B89"/>
    <w:rsid w:val="410F1BE8"/>
    <w:rsid w:val="411109C7"/>
    <w:rsid w:val="41135DE3"/>
    <w:rsid w:val="411874E5"/>
    <w:rsid w:val="411A73CB"/>
    <w:rsid w:val="411C5081"/>
    <w:rsid w:val="412C2ABC"/>
    <w:rsid w:val="413224BE"/>
    <w:rsid w:val="41390F1D"/>
    <w:rsid w:val="413C1B8C"/>
    <w:rsid w:val="4146017B"/>
    <w:rsid w:val="414C40C4"/>
    <w:rsid w:val="414C6B21"/>
    <w:rsid w:val="41500867"/>
    <w:rsid w:val="41573F26"/>
    <w:rsid w:val="415B3D3E"/>
    <w:rsid w:val="415F7054"/>
    <w:rsid w:val="41652D3C"/>
    <w:rsid w:val="416830F3"/>
    <w:rsid w:val="416F3BBA"/>
    <w:rsid w:val="417030BB"/>
    <w:rsid w:val="41704FA9"/>
    <w:rsid w:val="41707413"/>
    <w:rsid w:val="417567AD"/>
    <w:rsid w:val="417846E0"/>
    <w:rsid w:val="417B296F"/>
    <w:rsid w:val="41856F3A"/>
    <w:rsid w:val="41963B02"/>
    <w:rsid w:val="41965069"/>
    <w:rsid w:val="419F7B4E"/>
    <w:rsid w:val="41A47013"/>
    <w:rsid w:val="41A73354"/>
    <w:rsid w:val="41AF1145"/>
    <w:rsid w:val="41B06F6C"/>
    <w:rsid w:val="41B41111"/>
    <w:rsid w:val="41BC5C6C"/>
    <w:rsid w:val="41BD6280"/>
    <w:rsid w:val="41BF3CE6"/>
    <w:rsid w:val="41C55588"/>
    <w:rsid w:val="41CC3785"/>
    <w:rsid w:val="41CE332F"/>
    <w:rsid w:val="41D35646"/>
    <w:rsid w:val="41D43A1D"/>
    <w:rsid w:val="41D606D5"/>
    <w:rsid w:val="41D64C70"/>
    <w:rsid w:val="41DD2EB5"/>
    <w:rsid w:val="41E21237"/>
    <w:rsid w:val="41E72203"/>
    <w:rsid w:val="4200449D"/>
    <w:rsid w:val="4204045A"/>
    <w:rsid w:val="42056C2B"/>
    <w:rsid w:val="42092065"/>
    <w:rsid w:val="42165DE4"/>
    <w:rsid w:val="421C7086"/>
    <w:rsid w:val="421E20DA"/>
    <w:rsid w:val="422A6508"/>
    <w:rsid w:val="422C234F"/>
    <w:rsid w:val="42311F6F"/>
    <w:rsid w:val="42326699"/>
    <w:rsid w:val="42385682"/>
    <w:rsid w:val="42385C42"/>
    <w:rsid w:val="423A3BCC"/>
    <w:rsid w:val="423B554C"/>
    <w:rsid w:val="423F232F"/>
    <w:rsid w:val="42422AEF"/>
    <w:rsid w:val="424E57D2"/>
    <w:rsid w:val="4251249E"/>
    <w:rsid w:val="42537038"/>
    <w:rsid w:val="4258025F"/>
    <w:rsid w:val="42605FCD"/>
    <w:rsid w:val="42690F20"/>
    <w:rsid w:val="4269685C"/>
    <w:rsid w:val="42750D5C"/>
    <w:rsid w:val="42764AD5"/>
    <w:rsid w:val="427669F3"/>
    <w:rsid w:val="427E23AB"/>
    <w:rsid w:val="427F2BFF"/>
    <w:rsid w:val="428B08D4"/>
    <w:rsid w:val="428D49B5"/>
    <w:rsid w:val="428F60D0"/>
    <w:rsid w:val="42964C70"/>
    <w:rsid w:val="42983D2B"/>
    <w:rsid w:val="4298689E"/>
    <w:rsid w:val="429A20F9"/>
    <w:rsid w:val="42A10599"/>
    <w:rsid w:val="42AA0E88"/>
    <w:rsid w:val="42AC556D"/>
    <w:rsid w:val="42B26C49"/>
    <w:rsid w:val="42B755EC"/>
    <w:rsid w:val="42BC0C1A"/>
    <w:rsid w:val="42BE5E4F"/>
    <w:rsid w:val="42C1578E"/>
    <w:rsid w:val="42C40C46"/>
    <w:rsid w:val="42C909A2"/>
    <w:rsid w:val="42C94FD6"/>
    <w:rsid w:val="42CA554C"/>
    <w:rsid w:val="42D71A17"/>
    <w:rsid w:val="42DB27AF"/>
    <w:rsid w:val="42DD025E"/>
    <w:rsid w:val="42DE59A6"/>
    <w:rsid w:val="42E00997"/>
    <w:rsid w:val="42E23BDE"/>
    <w:rsid w:val="42E41337"/>
    <w:rsid w:val="42E4676E"/>
    <w:rsid w:val="42E62043"/>
    <w:rsid w:val="42E77C2F"/>
    <w:rsid w:val="42EA58B9"/>
    <w:rsid w:val="42EC5E29"/>
    <w:rsid w:val="42EE77AA"/>
    <w:rsid w:val="42F303A3"/>
    <w:rsid w:val="42F64BAA"/>
    <w:rsid w:val="42F77BE9"/>
    <w:rsid w:val="42F82A07"/>
    <w:rsid w:val="42F837E5"/>
    <w:rsid w:val="4300323D"/>
    <w:rsid w:val="4303083F"/>
    <w:rsid w:val="43173A23"/>
    <w:rsid w:val="431B1FCC"/>
    <w:rsid w:val="431C6D3E"/>
    <w:rsid w:val="43210139"/>
    <w:rsid w:val="43237043"/>
    <w:rsid w:val="43317379"/>
    <w:rsid w:val="433A6FE6"/>
    <w:rsid w:val="433B4161"/>
    <w:rsid w:val="433E7706"/>
    <w:rsid w:val="43406704"/>
    <w:rsid w:val="434722CD"/>
    <w:rsid w:val="43480868"/>
    <w:rsid w:val="434C38A5"/>
    <w:rsid w:val="434F1A65"/>
    <w:rsid w:val="4350713C"/>
    <w:rsid w:val="4355046A"/>
    <w:rsid w:val="435D0D1B"/>
    <w:rsid w:val="435E1718"/>
    <w:rsid w:val="43624B48"/>
    <w:rsid w:val="4365572E"/>
    <w:rsid w:val="436653E0"/>
    <w:rsid w:val="436A11B1"/>
    <w:rsid w:val="43703923"/>
    <w:rsid w:val="437322F5"/>
    <w:rsid w:val="43737181"/>
    <w:rsid w:val="437637D8"/>
    <w:rsid w:val="437838AF"/>
    <w:rsid w:val="43796BB4"/>
    <w:rsid w:val="4387362C"/>
    <w:rsid w:val="438D4ABE"/>
    <w:rsid w:val="43913221"/>
    <w:rsid w:val="4395622B"/>
    <w:rsid w:val="439A4B4F"/>
    <w:rsid w:val="439B5BF3"/>
    <w:rsid w:val="43A46301"/>
    <w:rsid w:val="43A64EE5"/>
    <w:rsid w:val="43A83BE5"/>
    <w:rsid w:val="43AA269F"/>
    <w:rsid w:val="43AC15BA"/>
    <w:rsid w:val="43AC327E"/>
    <w:rsid w:val="43B23C7F"/>
    <w:rsid w:val="43B42255"/>
    <w:rsid w:val="43B65114"/>
    <w:rsid w:val="43BD1B9F"/>
    <w:rsid w:val="43C20FC7"/>
    <w:rsid w:val="43C4431A"/>
    <w:rsid w:val="43C96C04"/>
    <w:rsid w:val="43CA0898"/>
    <w:rsid w:val="43CA0D9D"/>
    <w:rsid w:val="43CD358D"/>
    <w:rsid w:val="43D9356D"/>
    <w:rsid w:val="43DA35B8"/>
    <w:rsid w:val="43DC5CD7"/>
    <w:rsid w:val="43DD723A"/>
    <w:rsid w:val="43E919EE"/>
    <w:rsid w:val="43EA5FB8"/>
    <w:rsid w:val="43ED6C5B"/>
    <w:rsid w:val="43F337F5"/>
    <w:rsid w:val="43F553D9"/>
    <w:rsid w:val="43F64711"/>
    <w:rsid w:val="43FB38FC"/>
    <w:rsid w:val="44056E0E"/>
    <w:rsid w:val="44095C3C"/>
    <w:rsid w:val="440C749E"/>
    <w:rsid w:val="440E3217"/>
    <w:rsid w:val="441115CC"/>
    <w:rsid w:val="4413234B"/>
    <w:rsid w:val="44157CE8"/>
    <w:rsid w:val="441A3E80"/>
    <w:rsid w:val="441F440E"/>
    <w:rsid w:val="442024AF"/>
    <w:rsid w:val="44213381"/>
    <w:rsid w:val="44277B38"/>
    <w:rsid w:val="44287660"/>
    <w:rsid w:val="44307631"/>
    <w:rsid w:val="443B07DA"/>
    <w:rsid w:val="443B7D84"/>
    <w:rsid w:val="443D3AFC"/>
    <w:rsid w:val="443D5ECD"/>
    <w:rsid w:val="44431D2D"/>
    <w:rsid w:val="444430DC"/>
    <w:rsid w:val="44451E6B"/>
    <w:rsid w:val="444C4D85"/>
    <w:rsid w:val="444D0412"/>
    <w:rsid w:val="444D1AA2"/>
    <w:rsid w:val="445E145F"/>
    <w:rsid w:val="445F34B4"/>
    <w:rsid w:val="445F4E38"/>
    <w:rsid w:val="44610F6E"/>
    <w:rsid w:val="44624422"/>
    <w:rsid w:val="44627A06"/>
    <w:rsid w:val="44682580"/>
    <w:rsid w:val="446B2672"/>
    <w:rsid w:val="447140E8"/>
    <w:rsid w:val="44753296"/>
    <w:rsid w:val="447F4B73"/>
    <w:rsid w:val="448B63E4"/>
    <w:rsid w:val="448D29FB"/>
    <w:rsid w:val="448E6F14"/>
    <w:rsid w:val="448F50AC"/>
    <w:rsid w:val="449000D0"/>
    <w:rsid w:val="44983233"/>
    <w:rsid w:val="449B3229"/>
    <w:rsid w:val="449D74F1"/>
    <w:rsid w:val="449E2D13"/>
    <w:rsid w:val="449E66EF"/>
    <w:rsid w:val="44A62967"/>
    <w:rsid w:val="44A678F3"/>
    <w:rsid w:val="44AF6921"/>
    <w:rsid w:val="44B1383D"/>
    <w:rsid w:val="44B83367"/>
    <w:rsid w:val="44B951CC"/>
    <w:rsid w:val="44BC51EF"/>
    <w:rsid w:val="44CD14E0"/>
    <w:rsid w:val="44D160E1"/>
    <w:rsid w:val="44D9338A"/>
    <w:rsid w:val="44E71337"/>
    <w:rsid w:val="44EC438D"/>
    <w:rsid w:val="44EE0A30"/>
    <w:rsid w:val="44F20B0B"/>
    <w:rsid w:val="44F74972"/>
    <w:rsid w:val="44F91E0C"/>
    <w:rsid w:val="44FD7088"/>
    <w:rsid w:val="44FE18E1"/>
    <w:rsid w:val="450430B0"/>
    <w:rsid w:val="45054C9A"/>
    <w:rsid w:val="45060C92"/>
    <w:rsid w:val="450B2D75"/>
    <w:rsid w:val="450B45C1"/>
    <w:rsid w:val="450C7B18"/>
    <w:rsid w:val="451B4198"/>
    <w:rsid w:val="45280308"/>
    <w:rsid w:val="452B1DBF"/>
    <w:rsid w:val="452E5F4C"/>
    <w:rsid w:val="45352A25"/>
    <w:rsid w:val="4538463E"/>
    <w:rsid w:val="453B4AA5"/>
    <w:rsid w:val="4543156D"/>
    <w:rsid w:val="4544142C"/>
    <w:rsid w:val="454515E0"/>
    <w:rsid w:val="454A10A2"/>
    <w:rsid w:val="454A347B"/>
    <w:rsid w:val="454D5E3B"/>
    <w:rsid w:val="454F47E9"/>
    <w:rsid w:val="4552460E"/>
    <w:rsid w:val="4555537A"/>
    <w:rsid w:val="4557299B"/>
    <w:rsid w:val="455C32EC"/>
    <w:rsid w:val="455C770B"/>
    <w:rsid w:val="455E7C31"/>
    <w:rsid w:val="45612018"/>
    <w:rsid w:val="456450B8"/>
    <w:rsid w:val="45674750"/>
    <w:rsid w:val="456A4D96"/>
    <w:rsid w:val="456A6B72"/>
    <w:rsid w:val="4574179F"/>
    <w:rsid w:val="457E6B2F"/>
    <w:rsid w:val="45813907"/>
    <w:rsid w:val="45835DEC"/>
    <w:rsid w:val="45854310"/>
    <w:rsid w:val="45862254"/>
    <w:rsid w:val="45880CEA"/>
    <w:rsid w:val="458924E5"/>
    <w:rsid w:val="458946E9"/>
    <w:rsid w:val="45954AD7"/>
    <w:rsid w:val="45966330"/>
    <w:rsid w:val="45980A14"/>
    <w:rsid w:val="45986E0F"/>
    <w:rsid w:val="459A5E52"/>
    <w:rsid w:val="459B597A"/>
    <w:rsid w:val="459E76F5"/>
    <w:rsid w:val="45A01FAB"/>
    <w:rsid w:val="45A32084"/>
    <w:rsid w:val="45A47C0E"/>
    <w:rsid w:val="45A567FA"/>
    <w:rsid w:val="45A823E8"/>
    <w:rsid w:val="45AF0C1E"/>
    <w:rsid w:val="45B43110"/>
    <w:rsid w:val="45B63C3C"/>
    <w:rsid w:val="45D4505E"/>
    <w:rsid w:val="45D770CF"/>
    <w:rsid w:val="45D9499D"/>
    <w:rsid w:val="45DD5596"/>
    <w:rsid w:val="45E772F9"/>
    <w:rsid w:val="45E87A97"/>
    <w:rsid w:val="45EE77A4"/>
    <w:rsid w:val="45F54C46"/>
    <w:rsid w:val="45FB04F2"/>
    <w:rsid w:val="45FC7ACE"/>
    <w:rsid w:val="460E2EEC"/>
    <w:rsid w:val="46131654"/>
    <w:rsid w:val="461D751C"/>
    <w:rsid w:val="464248BC"/>
    <w:rsid w:val="46433DC2"/>
    <w:rsid w:val="4649213E"/>
    <w:rsid w:val="46495DFA"/>
    <w:rsid w:val="464D6081"/>
    <w:rsid w:val="465630C6"/>
    <w:rsid w:val="46577FD6"/>
    <w:rsid w:val="46586D72"/>
    <w:rsid w:val="465A1E77"/>
    <w:rsid w:val="465B0C1C"/>
    <w:rsid w:val="465B6A51"/>
    <w:rsid w:val="465C516A"/>
    <w:rsid w:val="465E676E"/>
    <w:rsid w:val="4669404B"/>
    <w:rsid w:val="466972EF"/>
    <w:rsid w:val="466B0DF4"/>
    <w:rsid w:val="46787EE8"/>
    <w:rsid w:val="467D45F8"/>
    <w:rsid w:val="4689473A"/>
    <w:rsid w:val="468B3D4F"/>
    <w:rsid w:val="46927EE7"/>
    <w:rsid w:val="46934AEF"/>
    <w:rsid w:val="46952BDD"/>
    <w:rsid w:val="469C77F6"/>
    <w:rsid w:val="469E2D14"/>
    <w:rsid w:val="46A27559"/>
    <w:rsid w:val="46A32037"/>
    <w:rsid w:val="46A62604"/>
    <w:rsid w:val="46B54373"/>
    <w:rsid w:val="46BD19A6"/>
    <w:rsid w:val="46C027C2"/>
    <w:rsid w:val="46C12658"/>
    <w:rsid w:val="46C23286"/>
    <w:rsid w:val="46C51FAF"/>
    <w:rsid w:val="46CC37DC"/>
    <w:rsid w:val="46CD44E5"/>
    <w:rsid w:val="46CD7FC4"/>
    <w:rsid w:val="46D942FB"/>
    <w:rsid w:val="46D955A7"/>
    <w:rsid w:val="46E75FA1"/>
    <w:rsid w:val="46F01A60"/>
    <w:rsid w:val="46F52243"/>
    <w:rsid w:val="46F5619A"/>
    <w:rsid w:val="46FC0F9E"/>
    <w:rsid w:val="46FE24E9"/>
    <w:rsid w:val="47024B89"/>
    <w:rsid w:val="470C5857"/>
    <w:rsid w:val="470F78FB"/>
    <w:rsid w:val="47101ECF"/>
    <w:rsid w:val="47133957"/>
    <w:rsid w:val="471428F3"/>
    <w:rsid w:val="47194674"/>
    <w:rsid w:val="471A7196"/>
    <w:rsid w:val="471C20EE"/>
    <w:rsid w:val="4720748E"/>
    <w:rsid w:val="4723577F"/>
    <w:rsid w:val="4725035C"/>
    <w:rsid w:val="47250C9F"/>
    <w:rsid w:val="472B2909"/>
    <w:rsid w:val="472C45CF"/>
    <w:rsid w:val="472E27A4"/>
    <w:rsid w:val="47434DE4"/>
    <w:rsid w:val="474A59C6"/>
    <w:rsid w:val="474C18A1"/>
    <w:rsid w:val="475470D4"/>
    <w:rsid w:val="47637FE8"/>
    <w:rsid w:val="476F1F63"/>
    <w:rsid w:val="476F66C2"/>
    <w:rsid w:val="4772572A"/>
    <w:rsid w:val="4779230B"/>
    <w:rsid w:val="477F10CD"/>
    <w:rsid w:val="47867568"/>
    <w:rsid w:val="478709F4"/>
    <w:rsid w:val="478F2730"/>
    <w:rsid w:val="47A07E0C"/>
    <w:rsid w:val="47A70357"/>
    <w:rsid w:val="47A7174B"/>
    <w:rsid w:val="47B230E3"/>
    <w:rsid w:val="47B23BB2"/>
    <w:rsid w:val="47C253D9"/>
    <w:rsid w:val="47C26BDC"/>
    <w:rsid w:val="47C33B59"/>
    <w:rsid w:val="47C552A1"/>
    <w:rsid w:val="47CD4A8B"/>
    <w:rsid w:val="47CE194C"/>
    <w:rsid w:val="47D7067F"/>
    <w:rsid w:val="47D826A5"/>
    <w:rsid w:val="47D842C2"/>
    <w:rsid w:val="47E06ADA"/>
    <w:rsid w:val="47E47FCE"/>
    <w:rsid w:val="47E53D00"/>
    <w:rsid w:val="47ED19CB"/>
    <w:rsid w:val="47F14B45"/>
    <w:rsid w:val="47F410E2"/>
    <w:rsid w:val="47FE3925"/>
    <w:rsid w:val="48022F94"/>
    <w:rsid w:val="48061ABB"/>
    <w:rsid w:val="48081918"/>
    <w:rsid w:val="481B23A6"/>
    <w:rsid w:val="482B4E95"/>
    <w:rsid w:val="482C7075"/>
    <w:rsid w:val="482D4ABD"/>
    <w:rsid w:val="482F33E0"/>
    <w:rsid w:val="483104C4"/>
    <w:rsid w:val="48327ADC"/>
    <w:rsid w:val="484408B8"/>
    <w:rsid w:val="4844248B"/>
    <w:rsid w:val="48450185"/>
    <w:rsid w:val="484B3359"/>
    <w:rsid w:val="484D2BEE"/>
    <w:rsid w:val="48532E01"/>
    <w:rsid w:val="48562D40"/>
    <w:rsid w:val="48572041"/>
    <w:rsid w:val="485F1ABD"/>
    <w:rsid w:val="48605218"/>
    <w:rsid w:val="48655A5F"/>
    <w:rsid w:val="486A50DB"/>
    <w:rsid w:val="4870272E"/>
    <w:rsid w:val="487252F2"/>
    <w:rsid w:val="487E4535"/>
    <w:rsid w:val="48805A64"/>
    <w:rsid w:val="4882491C"/>
    <w:rsid w:val="48832EAF"/>
    <w:rsid w:val="48840A97"/>
    <w:rsid w:val="488537CD"/>
    <w:rsid w:val="488865F3"/>
    <w:rsid w:val="488928F3"/>
    <w:rsid w:val="48931F3C"/>
    <w:rsid w:val="489649C6"/>
    <w:rsid w:val="48A0741A"/>
    <w:rsid w:val="48A516A1"/>
    <w:rsid w:val="48A53258"/>
    <w:rsid w:val="48AA6EB0"/>
    <w:rsid w:val="48B80759"/>
    <w:rsid w:val="48C0189A"/>
    <w:rsid w:val="48C73D59"/>
    <w:rsid w:val="48C7643E"/>
    <w:rsid w:val="48D54D70"/>
    <w:rsid w:val="48DA0D0F"/>
    <w:rsid w:val="48DA3558"/>
    <w:rsid w:val="48E22EC4"/>
    <w:rsid w:val="48EC7AC6"/>
    <w:rsid w:val="48F814A0"/>
    <w:rsid w:val="48F8477D"/>
    <w:rsid w:val="48F953F1"/>
    <w:rsid w:val="48FC368F"/>
    <w:rsid w:val="48FE7A88"/>
    <w:rsid w:val="48FF7828"/>
    <w:rsid w:val="490918BD"/>
    <w:rsid w:val="490C07E3"/>
    <w:rsid w:val="49161D5E"/>
    <w:rsid w:val="491A2CE0"/>
    <w:rsid w:val="491B292F"/>
    <w:rsid w:val="491C5300"/>
    <w:rsid w:val="491D5A02"/>
    <w:rsid w:val="492178D9"/>
    <w:rsid w:val="49220565"/>
    <w:rsid w:val="49232D4C"/>
    <w:rsid w:val="49293FDA"/>
    <w:rsid w:val="492C5D03"/>
    <w:rsid w:val="492E7EB7"/>
    <w:rsid w:val="49386FEC"/>
    <w:rsid w:val="493931E7"/>
    <w:rsid w:val="493B39E7"/>
    <w:rsid w:val="493D4CFC"/>
    <w:rsid w:val="493F56AB"/>
    <w:rsid w:val="4949643C"/>
    <w:rsid w:val="494A7DC8"/>
    <w:rsid w:val="495430FC"/>
    <w:rsid w:val="495F4869"/>
    <w:rsid w:val="49672B68"/>
    <w:rsid w:val="49693E12"/>
    <w:rsid w:val="496C0E4F"/>
    <w:rsid w:val="4970161D"/>
    <w:rsid w:val="49715B77"/>
    <w:rsid w:val="497271B5"/>
    <w:rsid w:val="49752342"/>
    <w:rsid w:val="4978178F"/>
    <w:rsid w:val="498740A7"/>
    <w:rsid w:val="49912D31"/>
    <w:rsid w:val="49973CAE"/>
    <w:rsid w:val="49985CD7"/>
    <w:rsid w:val="499B4493"/>
    <w:rsid w:val="49A96BFC"/>
    <w:rsid w:val="49B93C25"/>
    <w:rsid w:val="49BC646E"/>
    <w:rsid w:val="49C2129B"/>
    <w:rsid w:val="49CA275B"/>
    <w:rsid w:val="49CE4A6E"/>
    <w:rsid w:val="49CF267D"/>
    <w:rsid w:val="49D05EF7"/>
    <w:rsid w:val="49D12AC4"/>
    <w:rsid w:val="49D45EDB"/>
    <w:rsid w:val="49D64FD5"/>
    <w:rsid w:val="49DA55F0"/>
    <w:rsid w:val="49DC7715"/>
    <w:rsid w:val="49E334F6"/>
    <w:rsid w:val="49E62540"/>
    <w:rsid w:val="49E669E4"/>
    <w:rsid w:val="49F42EAF"/>
    <w:rsid w:val="49F5717A"/>
    <w:rsid w:val="49FE2230"/>
    <w:rsid w:val="4A023139"/>
    <w:rsid w:val="4A06710F"/>
    <w:rsid w:val="4A0B13E6"/>
    <w:rsid w:val="4A0C20CE"/>
    <w:rsid w:val="4A1208A5"/>
    <w:rsid w:val="4A1560A1"/>
    <w:rsid w:val="4A1E714F"/>
    <w:rsid w:val="4A1F1A86"/>
    <w:rsid w:val="4A252079"/>
    <w:rsid w:val="4A280DAA"/>
    <w:rsid w:val="4A2825BE"/>
    <w:rsid w:val="4A305B77"/>
    <w:rsid w:val="4A387713"/>
    <w:rsid w:val="4A3D2554"/>
    <w:rsid w:val="4A3D68CE"/>
    <w:rsid w:val="4A402904"/>
    <w:rsid w:val="4A526E69"/>
    <w:rsid w:val="4A527FBE"/>
    <w:rsid w:val="4A5663DF"/>
    <w:rsid w:val="4A5669AB"/>
    <w:rsid w:val="4A57355E"/>
    <w:rsid w:val="4A610D8D"/>
    <w:rsid w:val="4A690504"/>
    <w:rsid w:val="4A712278"/>
    <w:rsid w:val="4A730277"/>
    <w:rsid w:val="4A7933B4"/>
    <w:rsid w:val="4A7B35D0"/>
    <w:rsid w:val="4A7B576F"/>
    <w:rsid w:val="4A7B5E08"/>
    <w:rsid w:val="4A851D59"/>
    <w:rsid w:val="4A88386E"/>
    <w:rsid w:val="4A8B25DF"/>
    <w:rsid w:val="4A934E5E"/>
    <w:rsid w:val="4A9427F9"/>
    <w:rsid w:val="4A9D3504"/>
    <w:rsid w:val="4AA21637"/>
    <w:rsid w:val="4AA24197"/>
    <w:rsid w:val="4AA32B9B"/>
    <w:rsid w:val="4AB378EA"/>
    <w:rsid w:val="4AB56266"/>
    <w:rsid w:val="4AB626B6"/>
    <w:rsid w:val="4ABE1060"/>
    <w:rsid w:val="4AC77D51"/>
    <w:rsid w:val="4AD11DB9"/>
    <w:rsid w:val="4AD36F68"/>
    <w:rsid w:val="4AD85FF0"/>
    <w:rsid w:val="4AE806AC"/>
    <w:rsid w:val="4AF10D26"/>
    <w:rsid w:val="4AF21335"/>
    <w:rsid w:val="4AF30A1A"/>
    <w:rsid w:val="4AF561A9"/>
    <w:rsid w:val="4AF8077D"/>
    <w:rsid w:val="4AFE280B"/>
    <w:rsid w:val="4AFE7338"/>
    <w:rsid w:val="4AFF5077"/>
    <w:rsid w:val="4B014715"/>
    <w:rsid w:val="4B0A6996"/>
    <w:rsid w:val="4B0C391F"/>
    <w:rsid w:val="4B0E1D4E"/>
    <w:rsid w:val="4B0F103E"/>
    <w:rsid w:val="4B0F29D9"/>
    <w:rsid w:val="4B0F492C"/>
    <w:rsid w:val="4B177F96"/>
    <w:rsid w:val="4B1952A6"/>
    <w:rsid w:val="4B1F3FB0"/>
    <w:rsid w:val="4B2349E1"/>
    <w:rsid w:val="4B23568F"/>
    <w:rsid w:val="4B2658AA"/>
    <w:rsid w:val="4B2B1F66"/>
    <w:rsid w:val="4B2F3BDE"/>
    <w:rsid w:val="4B327F4E"/>
    <w:rsid w:val="4B342BE3"/>
    <w:rsid w:val="4B3C3590"/>
    <w:rsid w:val="4B3E33A3"/>
    <w:rsid w:val="4B3E48A4"/>
    <w:rsid w:val="4B412AD8"/>
    <w:rsid w:val="4B427B0A"/>
    <w:rsid w:val="4B4C4A11"/>
    <w:rsid w:val="4B4C58B4"/>
    <w:rsid w:val="4B4E32E7"/>
    <w:rsid w:val="4B4F01FF"/>
    <w:rsid w:val="4B5020AB"/>
    <w:rsid w:val="4B511A34"/>
    <w:rsid w:val="4B514429"/>
    <w:rsid w:val="4B523905"/>
    <w:rsid w:val="4B5730FE"/>
    <w:rsid w:val="4B5A721C"/>
    <w:rsid w:val="4B623D7F"/>
    <w:rsid w:val="4B637D14"/>
    <w:rsid w:val="4B672FAE"/>
    <w:rsid w:val="4B6F2973"/>
    <w:rsid w:val="4B786623"/>
    <w:rsid w:val="4B78699F"/>
    <w:rsid w:val="4B7F1013"/>
    <w:rsid w:val="4B802B56"/>
    <w:rsid w:val="4B8B6792"/>
    <w:rsid w:val="4B8C5555"/>
    <w:rsid w:val="4B8E20FB"/>
    <w:rsid w:val="4BA07A29"/>
    <w:rsid w:val="4BA93BEB"/>
    <w:rsid w:val="4BAF771D"/>
    <w:rsid w:val="4BB04A2B"/>
    <w:rsid w:val="4BB30EC8"/>
    <w:rsid w:val="4BB5041C"/>
    <w:rsid w:val="4BB76D81"/>
    <w:rsid w:val="4BB94EF7"/>
    <w:rsid w:val="4BC5260F"/>
    <w:rsid w:val="4BD05FC3"/>
    <w:rsid w:val="4BD150D9"/>
    <w:rsid w:val="4BD311B1"/>
    <w:rsid w:val="4BD559F3"/>
    <w:rsid w:val="4BD6627D"/>
    <w:rsid w:val="4BDB29D5"/>
    <w:rsid w:val="4BDD1DBC"/>
    <w:rsid w:val="4BE17463"/>
    <w:rsid w:val="4BE247C4"/>
    <w:rsid w:val="4BE54F13"/>
    <w:rsid w:val="4BE647FC"/>
    <w:rsid w:val="4BE943A0"/>
    <w:rsid w:val="4BE966F0"/>
    <w:rsid w:val="4BEA3751"/>
    <w:rsid w:val="4BEA71D6"/>
    <w:rsid w:val="4BF81AF7"/>
    <w:rsid w:val="4BF90F9F"/>
    <w:rsid w:val="4BFD3FB1"/>
    <w:rsid w:val="4C0A1544"/>
    <w:rsid w:val="4C195B70"/>
    <w:rsid w:val="4C1E6A14"/>
    <w:rsid w:val="4C214760"/>
    <w:rsid w:val="4C251A9B"/>
    <w:rsid w:val="4C2B0340"/>
    <w:rsid w:val="4C2D4456"/>
    <w:rsid w:val="4C3664F1"/>
    <w:rsid w:val="4C3A2430"/>
    <w:rsid w:val="4C3F5D5D"/>
    <w:rsid w:val="4C407952"/>
    <w:rsid w:val="4C437BD9"/>
    <w:rsid w:val="4C45050E"/>
    <w:rsid w:val="4C4A0649"/>
    <w:rsid w:val="4C4A5008"/>
    <w:rsid w:val="4C4B1E53"/>
    <w:rsid w:val="4C4B20F1"/>
    <w:rsid w:val="4C4E7189"/>
    <w:rsid w:val="4C5061DF"/>
    <w:rsid w:val="4C53489A"/>
    <w:rsid w:val="4C5E7ECD"/>
    <w:rsid w:val="4C691850"/>
    <w:rsid w:val="4C6F11BB"/>
    <w:rsid w:val="4C6F3310"/>
    <w:rsid w:val="4C7208FD"/>
    <w:rsid w:val="4C7703C8"/>
    <w:rsid w:val="4C7E5ECA"/>
    <w:rsid w:val="4C8511E9"/>
    <w:rsid w:val="4C876AA5"/>
    <w:rsid w:val="4C8A08FA"/>
    <w:rsid w:val="4C8B25E3"/>
    <w:rsid w:val="4C8B6C8C"/>
    <w:rsid w:val="4C932E16"/>
    <w:rsid w:val="4C950F21"/>
    <w:rsid w:val="4C992F58"/>
    <w:rsid w:val="4C9E5354"/>
    <w:rsid w:val="4CA32B2C"/>
    <w:rsid w:val="4CA4080E"/>
    <w:rsid w:val="4CAC168B"/>
    <w:rsid w:val="4CB15087"/>
    <w:rsid w:val="4CBC1EEC"/>
    <w:rsid w:val="4CBE61AE"/>
    <w:rsid w:val="4CBF135F"/>
    <w:rsid w:val="4CC23870"/>
    <w:rsid w:val="4CCC749C"/>
    <w:rsid w:val="4CD45A4F"/>
    <w:rsid w:val="4CE02D8A"/>
    <w:rsid w:val="4CF338F1"/>
    <w:rsid w:val="4CF56B38"/>
    <w:rsid w:val="4CF61482"/>
    <w:rsid w:val="4CF61A49"/>
    <w:rsid w:val="4CFC52F8"/>
    <w:rsid w:val="4D061B15"/>
    <w:rsid w:val="4D0818AE"/>
    <w:rsid w:val="4D09646B"/>
    <w:rsid w:val="4D0C0468"/>
    <w:rsid w:val="4D0E00FB"/>
    <w:rsid w:val="4D103C7A"/>
    <w:rsid w:val="4D176606"/>
    <w:rsid w:val="4D193E10"/>
    <w:rsid w:val="4D2910C1"/>
    <w:rsid w:val="4D35324D"/>
    <w:rsid w:val="4D354C2F"/>
    <w:rsid w:val="4D3A3F94"/>
    <w:rsid w:val="4D3B4003"/>
    <w:rsid w:val="4D3E1C9E"/>
    <w:rsid w:val="4D3E62F9"/>
    <w:rsid w:val="4D3F2D89"/>
    <w:rsid w:val="4D4022FA"/>
    <w:rsid w:val="4D460F7F"/>
    <w:rsid w:val="4D461105"/>
    <w:rsid w:val="4D461C73"/>
    <w:rsid w:val="4D472845"/>
    <w:rsid w:val="4D4F1B6B"/>
    <w:rsid w:val="4D5A1A56"/>
    <w:rsid w:val="4D5A7D24"/>
    <w:rsid w:val="4D5B1CB4"/>
    <w:rsid w:val="4D5C4094"/>
    <w:rsid w:val="4D5C4D71"/>
    <w:rsid w:val="4D5F003A"/>
    <w:rsid w:val="4D663397"/>
    <w:rsid w:val="4D6678EE"/>
    <w:rsid w:val="4D6818F7"/>
    <w:rsid w:val="4D690BBA"/>
    <w:rsid w:val="4D6C7D8D"/>
    <w:rsid w:val="4D700A7E"/>
    <w:rsid w:val="4D743479"/>
    <w:rsid w:val="4D750652"/>
    <w:rsid w:val="4D7506FE"/>
    <w:rsid w:val="4D787A14"/>
    <w:rsid w:val="4D83130B"/>
    <w:rsid w:val="4D84067B"/>
    <w:rsid w:val="4D8448C2"/>
    <w:rsid w:val="4D850A22"/>
    <w:rsid w:val="4D882CA3"/>
    <w:rsid w:val="4D8B6AD7"/>
    <w:rsid w:val="4D8C0D71"/>
    <w:rsid w:val="4D97322B"/>
    <w:rsid w:val="4D977760"/>
    <w:rsid w:val="4D9F5EF6"/>
    <w:rsid w:val="4D9F7BB7"/>
    <w:rsid w:val="4DA32A5A"/>
    <w:rsid w:val="4DA409D1"/>
    <w:rsid w:val="4DA5369B"/>
    <w:rsid w:val="4DA64DBC"/>
    <w:rsid w:val="4DAC5319"/>
    <w:rsid w:val="4DAD0C96"/>
    <w:rsid w:val="4DB423A6"/>
    <w:rsid w:val="4DB736AC"/>
    <w:rsid w:val="4DB81551"/>
    <w:rsid w:val="4DBA535E"/>
    <w:rsid w:val="4DBD5ABA"/>
    <w:rsid w:val="4DC26382"/>
    <w:rsid w:val="4DC55A2A"/>
    <w:rsid w:val="4DCB36FF"/>
    <w:rsid w:val="4DCF37B3"/>
    <w:rsid w:val="4DD70080"/>
    <w:rsid w:val="4DD80CA1"/>
    <w:rsid w:val="4DE53B43"/>
    <w:rsid w:val="4DEA6B19"/>
    <w:rsid w:val="4DEC4FB0"/>
    <w:rsid w:val="4DF3010E"/>
    <w:rsid w:val="4DF50C5A"/>
    <w:rsid w:val="4DF976AA"/>
    <w:rsid w:val="4DFC0584"/>
    <w:rsid w:val="4E075D8A"/>
    <w:rsid w:val="4E094EF3"/>
    <w:rsid w:val="4E0E731A"/>
    <w:rsid w:val="4E1F389D"/>
    <w:rsid w:val="4E2B2C17"/>
    <w:rsid w:val="4E2C17F0"/>
    <w:rsid w:val="4E30647F"/>
    <w:rsid w:val="4E314440"/>
    <w:rsid w:val="4E37527E"/>
    <w:rsid w:val="4E390F4F"/>
    <w:rsid w:val="4E3C3076"/>
    <w:rsid w:val="4E3E2F05"/>
    <w:rsid w:val="4E5547A7"/>
    <w:rsid w:val="4E577EB0"/>
    <w:rsid w:val="4E5959D6"/>
    <w:rsid w:val="4E5C2439"/>
    <w:rsid w:val="4E5C7274"/>
    <w:rsid w:val="4E643BDF"/>
    <w:rsid w:val="4E644D9A"/>
    <w:rsid w:val="4E684854"/>
    <w:rsid w:val="4E6A241F"/>
    <w:rsid w:val="4E6F60D5"/>
    <w:rsid w:val="4E742810"/>
    <w:rsid w:val="4E794B96"/>
    <w:rsid w:val="4E7A015F"/>
    <w:rsid w:val="4E7F58C4"/>
    <w:rsid w:val="4E8266F4"/>
    <w:rsid w:val="4E845024"/>
    <w:rsid w:val="4E854F8A"/>
    <w:rsid w:val="4E870AFE"/>
    <w:rsid w:val="4E8955FF"/>
    <w:rsid w:val="4E8F32B9"/>
    <w:rsid w:val="4E9040B9"/>
    <w:rsid w:val="4E91226C"/>
    <w:rsid w:val="4E915EC8"/>
    <w:rsid w:val="4E9419A6"/>
    <w:rsid w:val="4E9B7D9D"/>
    <w:rsid w:val="4EA31CAF"/>
    <w:rsid w:val="4EAC194B"/>
    <w:rsid w:val="4EAF4AAA"/>
    <w:rsid w:val="4EB055E2"/>
    <w:rsid w:val="4EB97052"/>
    <w:rsid w:val="4EC00FAD"/>
    <w:rsid w:val="4EC255C0"/>
    <w:rsid w:val="4EC74B6F"/>
    <w:rsid w:val="4ECF3AB7"/>
    <w:rsid w:val="4ED13CC0"/>
    <w:rsid w:val="4EDD7BCB"/>
    <w:rsid w:val="4EE558C0"/>
    <w:rsid w:val="4EE85A40"/>
    <w:rsid w:val="4EED08EF"/>
    <w:rsid w:val="4EED635C"/>
    <w:rsid w:val="4EEF633A"/>
    <w:rsid w:val="4EF12AC9"/>
    <w:rsid w:val="4F02066C"/>
    <w:rsid w:val="4F095195"/>
    <w:rsid w:val="4F0B3B91"/>
    <w:rsid w:val="4F0C79D0"/>
    <w:rsid w:val="4F143BB5"/>
    <w:rsid w:val="4F1B4927"/>
    <w:rsid w:val="4F1B78AB"/>
    <w:rsid w:val="4F23041A"/>
    <w:rsid w:val="4F2830EA"/>
    <w:rsid w:val="4F286027"/>
    <w:rsid w:val="4F3E3BBF"/>
    <w:rsid w:val="4F3F609A"/>
    <w:rsid w:val="4F451F7A"/>
    <w:rsid w:val="4F464FD4"/>
    <w:rsid w:val="4F4B5FEC"/>
    <w:rsid w:val="4F4D22E9"/>
    <w:rsid w:val="4F6C409A"/>
    <w:rsid w:val="4F733577"/>
    <w:rsid w:val="4F7447CF"/>
    <w:rsid w:val="4F77300E"/>
    <w:rsid w:val="4F7979AC"/>
    <w:rsid w:val="4F7D0C2F"/>
    <w:rsid w:val="4F7D539D"/>
    <w:rsid w:val="4F80400C"/>
    <w:rsid w:val="4F8F43E3"/>
    <w:rsid w:val="4F903D58"/>
    <w:rsid w:val="4F95004C"/>
    <w:rsid w:val="4F952A3E"/>
    <w:rsid w:val="4F9843DC"/>
    <w:rsid w:val="4F99352F"/>
    <w:rsid w:val="4F9E32CF"/>
    <w:rsid w:val="4FC11527"/>
    <w:rsid w:val="4FC22989"/>
    <w:rsid w:val="4FC62A8C"/>
    <w:rsid w:val="4FCB7795"/>
    <w:rsid w:val="4FD06E0E"/>
    <w:rsid w:val="4FE20F0D"/>
    <w:rsid w:val="4FE51552"/>
    <w:rsid w:val="4FEA4613"/>
    <w:rsid w:val="4FEB5637"/>
    <w:rsid w:val="500B0F52"/>
    <w:rsid w:val="5011540C"/>
    <w:rsid w:val="50183110"/>
    <w:rsid w:val="501E5285"/>
    <w:rsid w:val="501F4769"/>
    <w:rsid w:val="502968A5"/>
    <w:rsid w:val="50342434"/>
    <w:rsid w:val="503B59D3"/>
    <w:rsid w:val="50420F09"/>
    <w:rsid w:val="504C76F3"/>
    <w:rsid w:val="504F162B"/>
    <w:rsid w:val="505044F7"/>
    <w:rsid w:val="50504C4B"/>
    <w:rsid w:val="505467FB"/>
    <w:rsid w:val="50577CF3"/>
    <w:rsid w:val="5059013B"/>
    <w:rsid w:val="50665B81"/>
    <w:rsid w:val="5075763E"/>
    <w:rsid w:val="507F10BC"/>
    <w:rsid w:val="5088246A"/>
    <w:rsid w:val="508A7DF6"/>
    <w:rsid w:val="508C12A7"/>
    <w:rsid w:val="50901457"/>
    <w:rsid w:val="50911528"/>
    <w:rsid w:val="50926AC3"/>
    <w:rsid w:val="5095376A"/>
    <w:rsid w:val="509A57B7"/>
    <w:rsid w:val="509B4C2C"/>
    <w:rsid w:val="509C6E7C"/>
    <w:rsid w:val="50B74C36"/>
    <w:rsid w:val="50B8357B"/>
    <w:rsid w:val="50B9273E"/>
    <w:rsid w:val="50BB36E6"/>
    <w:rsid w:val="50C367C7"/>
    <w:rsid w:val="50C6316E"/>
    <w:rsid w:val="50C64E79"/>
    <w:rsid w:val="50CD5796"/>
    <w:rsid w:val="50D41C8B"/>
    <w:rsid w:val="50DA6385"/>
    <w:rsid w:val="50DB14BA"/>
    <w:rsid w:val="50DB4AB9"/>
    <w:rsid w:val="50DD2B4F"/>
    <w:rsid w:val="50E91602"/>
    <w:rsid w:val="50E926C2"/>
    <w:rsid w:val="50EA3AA6"/>
    <w:rsid w:val="50EC1D0D"/>
    <w:rsid w:val="50ED1E71"/>
    <w:rsid w:val="50F26E2C"/>
    <w:rsid w:val="50F37B6E"/>
    <w:rsid w:val="50F91242"/>
    <w:rsid w:val="50FC05C8"/>
    <w:rsid w:val="50FC0BC0"/>
    <w:rsid w:val="50FF1F40"/>
    <w:rsid w:val="51037E7B"/>
    <w:rsid w:val="51047A70"/>
    <w:rsid w:val="510501AA"/>
    <w:rsid w:val="51080D4A"/>
    <w:rsid w:val="51083F54"/>
    <w:rsid w:val="51096609"/>
    <w:rsid w:val="510B592F"/>
    <w:rsid w:val="510D58A2"/>
    <w:rsid w:val="51107E32"/>
    <w:rsid w:val="51183927"/>
    <w:rsid w:val="51351E08"/>
    <w:rsid w:val="51362AAE"/>
    <w:rsid w:val="51395825"/>
    <w:rsid w:val="513B07C7"/>
    <w:rsid w:val="51430F3A"/>
    <w:rsid w:val="51433C3A"/>
    <w:rsid w:val="514445CC"/>
    <w:rsid w:val="515027B2"/>
    <w:rsid w:val="51510B7E"/>
    <w:rsid w:val="51561B42"/>
    <w:rsid w:val="515F6B08"/>
    <w:rsid w:val="51611049"/>
    <w:rsid w:val="516144FD"/>
    <w:rsid w:val="516164BC"/>
    <w:rsid w:val="5162104E"/>
    <w:rsid w:val="5163463A"/>
    <w:rsid w:val="51645255"/>
    <w:rsid w:val="51696363"/>
    <w:rsid w:val="51734D94"/>
    <w:rsid w:val="51751DB6"/>
    <w:rsid w:val="51784976"/>
    <w:rsid w:val="51797D19"/>
    <w:rsid w:val="517B7666"/>
    <w:rsid w:val="51850890"/>
    <w:rsid w:val="518A7817"/>
    <w:rsid w:val="518D597C"/>
    <w:rsid w:val="518E212A"/>
    <w:rsid w:val="518E28F8"/>
    <w:rsid w:val="51930A06"/>
    <w:rsid w:val="51943B5E"/>
    <w:rsid w:val="51970AFA"/>
    <w:rsid w:val="51A00184"/>
    <w:rsid w:val="51A431CE"/>
    <w:rsid w:val="51A72D9F"/>
    <w:rsid w:val="51A823A7"/>
    <w:rsid w:val="51A91AF1"/>
    <w:rsid w:val="51B013F6"/>
    <w:rsid w:val="51B0455A"/>
    <w:rsid w:val="51B16C0A"/>
    <w:rsid w:val="51B43112"/>
    <w:rsid w:val="51B47299"/>
    <w:rsid w:val="51B536BA"/>
    <w:rsid w:val="51B73C79"/>
    <w:rsid w:val="51BB569B"/>
    <w:rsid w:val="51BC2FFA"/>
    <w:rsid w:val="51C33638"/>
    <w:rsid w:val="51C404BD"/>
    <w:rsid w:val="51C4282A"/>
    <w:rsid w:val="51D0506A"/>
    <w:rsid w:val="51D51818"/>
    <w:rsid w:val="51D847D4"/>
    <w:rsid w:val="51E45EF7"/>
    <w:rsid w:val="51EB61CF"/>
    <w:rsid w:val="51EC5269"/>
    <w:rsid w:val="51F21806"/>
    <w:rsid w:val="51FA1C90"/>
    <w:rsid w:val="51FC61E9"/>
    <w:rsid w:val="5204092C"/>
    <w:rsid w:val="52160A85"/>
    <w:rsid w:val="521B12B9"/>
    <w:rsid w:val="52211542"/>
    <w:rsid w:val="52211609"/>
    <w:rsid w:val="52215D59"/>
    <w:rsid w:val="5228203C"/>
    <w:rsid w:val="522A5CEA"/>
    <w:rsid w:val="52315081"/>
    <w:rsid w:val="52357396"/>
    <w:rsid w:val="5238383A"/>
    <w:rsid w:val="523B558D"/>
    <w:rsid w:val="523D52E4"/>
    <w:rsid w:val="52412C3A"/>
    <w:rsid w:val="52415CBB"/>
    <w:rsid w:val="52444CB7"/>
    <w:rsid w:val="52454D49"/>
    <w:rsid w:val="52463B7B"/>
    <w:rsid w:val="524647E9"/>
    <w:rsid w:val="524A3C12"/>
    <w:rsid w:val="524D04AD"/>
    <w:rsid w:val="52535162"/>
    <w:rsid w:val="525816C9"/>
    <w:rsid w:val="525C5FE0"/>
    <w:rsid w:val="525F06DC"/>
    <w:rsid w:val="526150B6"/>
    <w:rsid w:val="52621CAE"/>
    <w:rsid w:val="52662726"/>
    <w:rsid w:val="526A568A"/>
    <w:rsid w:val="527A0887"/>
    <w:rsid w:val="528168C7"/>
    <w:rsid w:val="52842727"/>
    <w:rsid w:val="528B417F"/>
    <w:rsid w:val="528C3319"/>
    <w:rsid w:val="528D3AA0"/>
    <w:rsid w:val="528F047B"/>
    <w:rsid w:val="529472A2"/>
    <w:rsid w:val="52951391"/>
    <w:rsid w:val="529945F3"/>
    <w:rsid w:val="529D4895"/>
    <w:rsid w:val="52A45A68"/>
    <w:rsid w:val="52A8752F"/>
    <w:rsid w:val="52AA0A17"/>
    <w:rsid w:val="52AC1DD4"/>
    <w:rsid w:val="52B438EF"/>
    <w:rsid w:val="52B5695A"/>
    <w:rsid w:val="52B730FF"/>
    <w:rsid w:val="52B926C7"/>
    <w:rsid w:val="52C36E10"/>
    <w:rsid w:val="52C73752"/>
    <w:rsid w:val="52D2387C"/>
    <w:rsid w:val="52DD0208"/>
    <w:rsid w:val="52E26721"/>
    <w:rsid w:val="52E848C8"/>
    <w:rsid w:val="52E8684C"/>
    <w:rsid w:val="52EB0F6A"/>
    <w:rsid w:val="52ED71D7"/>
    <w:rsid w:val="52EF1AE3"/>
    <w:rsid w:val="52F0443A"/>
    <w:rsid w:val="52F0631B"/>
    <w:rsid w:val="52F237F7"/>
    <w:rsid w:val="52F73199"/>
    <w:rsid w:val="52FC2720"/>
    <w:rsid w:val="52FC654F"/>
    <w:rsid w:val="53000B16"/>
    <w:rsid w:val="530240F5"/>
    <w:rsid w:val="53224C98"/>
    <w:rsid w:val="53252608"/>
    <w:rsid w:val="53300F98"/>
    <w:rsid w:val="533047F0"/>
    <w:rsid w:val="533435AE"/>
    <w:rsid w:val="53347F52"/>
    <w:rsid w:val="533648ED"/>
    <w:rsid w:val="533B41A1"/>
    <w:rsid w:val="5341173F"/>
    <w:rsid w:val="53426A39"/>
    <w:rsid w:val="53453079"/>
    <w:rsid w:val="534A75CF"/>
    <w:rsid w:val="53507F4F"/>
    <w:rsid w:val="5352583F"/>
    <w:rsid w:val="53544A83"/>
    <w:rsid w:val="535564C0"/>
    <w:rsid w:val="53567B3C"/>
    <w:rsid w:val="535B1C46"/>
    <w:rsid w:val="535F30E5"/>
    <w:rsid w:val="53621EF1"/>
    <w:rsid w:val="536220DE"/>
    <w:rsid w:val="53663362"/>
    <w:rsid w:val="53663A89"/>
    <w:rsid w:val="536C2E4D"/>
    <w:rsid w:val="53755933"/>
    <w:rsid w:val="537567EC"/>
    <w:rsid w:val="53823276"/>
    <w:rsid w:val="53881156"/>
    <w:rsid w:val="538928D5"/>
    <w:rsid w:val="538F2CF9"/>
    <w:rsid w:val="538F7F5D"/>
    <w:rsid w:val="5390069D"/>
    <w:rsid w:val="53922527"/>
    <w:rsid w:val="539372F7"/>
    <w:rsid w:val="53964850"/>
    <w:rsid w:val="53980C53"/>
    <w:rsid w:val="53990218"/>
    <w:rsid w:val="539C478C"/>
    <w:rsid w:val="539F6597"/>
    <w:rsid w:val="53A039CC"/>
    <w:rsid w:val="53A0779C"/>
    <w:rsid w:val="53A1505A"/>
    <w:rsid w:val="53A85869"/>
    <w:rsid w:val="53AC5ECD"/>
    <w:rsid w:val="53AC64F8"/>
    <w:rsid w:val="53C03E02"/>
    <w:rsid w:val="53C33365"/>
    <w:rsid w:val="53C4184B"/>
    <w:rsid w:val="53C44140"/>
    <w:rsid w:val="53CA4C80"/>
    <w:rsid w:val="53CB2ED2"/>
    <w:rsid w:val="53CC6C4A"/>
    <w:rsid w:val="53CF1722"/>
    <w:rsid w:val="53D038FF"/>
    <w:rsid w:val="53DE1FC5"/>
    <w:rsid w:val="53DF3CD6"/>
    <w:rsid w:val="53E604A6"/>
    <w:rsid w:val="53E92117"/>
    <w:rsid w:val="53ED3F40"/>
    <w:rsid w:val="53F66D21"/>
    <w:rsid w:val="53FB1063"/>
    <w:rsid w:val="53FC235F"/>
    <w:rsid w:val="53FC752F"/>
    <w:rsid w:val="54063E08"/>
    <w:rsid w:val="540D5BAD"/>
    <w:rsid w:val="540F7CC5"/>
    <w:rsid w:val="54113596"/>
    <w:rsid w:val="541A446C"/>
    <w:rsid w:val="541B5C25"/>
    <w:rsid w:val="541C382B"/>
    <w:rsid w:val="54224ABC"/>
    <w:rsid w:val="54232431"/>
    <w:rsid w:val="5425525A"/>
    <w:rsid w:val="542B0906"/>
    <w:rsid w:val="542E58AC"/>
    <w:rsid w:val="54301364"/>
    <w:rsid w:val="543437E8"/>
    <w:rsid w:val="54372CD7"/>
    <w:rsid w:val="544874AE"/>
    <w:rsid w:val="5458123A"/>
    <w:rsid w:val="545A54B5"/>
    <w:rsid w:val="545F3873"/>
    <w:rsid w:val="546A0150"/>
    <w:rsid w:val="546B6463"/>
    <w:rsid w:val="546D69AE"/>
    <w:rsid w:val="546F65BC"/>
    <w:rsid w:val="54715F0E"/>
    <w:rsid w:val="54747113"/>
    <w:rsid w:val="54763800"/>
    <w:rsid w:val="547800CC"/>
    <w:rsid w:val="547839AC"/>
    <w:rsid w:val="54794333"/>
    <w:rsid w:val="547A3D14"/>
    <w:rsid w:val="547C41CC"/>
    <w:rsid w:val="54831621"/>
    <w:rsid w:val="54841DFE"/>
    <w:rsid w:val="5491086C"/>
    <w:rsid w:val="54931516"/>
    <w:rsid w:val="54A55CF7"/>
    <w:rsid w:val="54AB273B"/>
    <w:rsid w:val="54AB42CD"/>
    <w:rsid w:val="54B0356A"/>
    <w:rsid w:val="54B604F3"/>
    <w:rsid w:val="54B81675"/>
    <w:rsid w:val="54C04AD3"/>
    <w:rsid w:val="54C16711"/>
    <w:rsid w:val="54CA318A"/>
    <w:rsid w:val="54CA3EE3"/>
    <w:rsid w:val="54CB2F7C"/>
    <w:rsid w:val="54D2203E"/>
    <w:rsid w:val="54D85605"/>
    <w:rsid w:val="54D9161F"/>
    <w:rsid w:val="54DC4539"/>
    <w:rsid w:val="54DD7F3F"/>
    <w:rsid w:val="54DE486E"/>
    <w:rsid w:val="54E77F34"/>
    <w:rsid w:val="54E912D0"/>
    <w:rsid w:val="54F702EF"/>
    <w:rsid w:val="54F73313"/>
    <w:rsid w:val="54F80955"/>
    <w:rsid w:val="54FE6118"/>
    <w:rsid w:val="550029D9"/>
    <w:rsid w:val="55032253"/>
    <w:rsid w:val="55116265"/>
    <w:rsid w:val="55196D09"/>
    <w:rsid w:val="551D3302"/>
    <w:rsid w:val="55224F4E"/>
    <w:rsid w:val="552C46CF"/>
    <w:rsid w:val="552E6413"/>
    <w:rsid w:val="552E7034"/>
    <w:rsid w:val="55346B48"/>
    <w:rsid w:val="553F3CA1"/>
    <w:rsid w:val="554245B9"/>
    <w:rsid w:val="554A5983"/>
    <w:rsid w:val="554A7E27"/>
    <w:rsid w:val="554E2D72"/>
    <w:rsid w:val="555170A7"/>
    <w:rsid w:val="55551634"/>
    <w:rsid w:val="5559450E"/>
    <w:rsid w:val="55607C3C"/>
    <w:rsid w:val="55612A10"/>
    <w:rsid w:val="55636B66"/>
    <w:rsid w:val="55712E67"/>
    <w:rsid w:val="557155AF"/>
    <w:rsid w:val="557324EF"/>
    <w:rsid w:val="55763668"/>
    <w:rsid w:val="5577646D"/>
    <w:rsid w:val="55780E38"/>
    <w:rsid w:val="5578512E"/>
    <w:rsid w:val="55787CE7"/>
    <w:rsid w:val="55791BB1"/>
    <w:rsid w:val="557C1FAA"/>
    <w:rsid w:val="55803879"/>
    <w:rsid w:val="558570B1"/>
    <w:rsid w:val="5587536D"/>
    <w:rsid w:val="558A1354"/>
    <w:rsid w:val="5590686A"/>
    <w:rsid w:val="559534D4"/>
    <w:rsid w:val="55962EC1"/>
    <w:rsid w:val="559B174B"/>
    <w:rsid w:val="559F0850"/>
    <w:rsid w:val="55AB578B"/>
    <w:rsid w:val="55B11FE2"/>
    <w:rsid w:val="55B27B08"/>
    <w:rsid w:val="55B31E70"/>
    <w:rsid w:val="55C35DDE"/>
    <w:rsid w:val="55C66C6C"/>
    <w:rsid w:val="55C91693"/>
    <w:rsid w:val="55CA4F1A"/>
    <w:rsid w:val="55CE0CF4"/>
    <w:rsid w:val="55D50455"/>
    <w:rsid w:val="55DD106F"/>
    <w:rsid w:val="55DE4C46"/>
    <w:rsid w:val="55E16F33"/>
    <w:rsid w:val="55E371DE"/>
    <w:rsid w:val="55EC5382"/>
    <w:rsid w:val="55ED131B"/>
    <w:rsid w:val="55F1063D"/>
    <w:rsid w:val="55FA418B"/>
    <w:rsid w:val="56043314"/>
    <w:rsid w:val="560539DD"/>
    <w:rsid w:val="560A2AD1"/>
    <w:rsid w:val="560A5808"/>
    <w:rsid w:val="561F406F"/>
    <w:rsid w:val="562E43ED"/>
    <w:rsid w:val="56310FE7"/>
    <w:rsid w:val="563B5221"/>
    <w:rsid w:val="563D6A69"/>
    <w:rsid w:val="56404E40"/>
    <w:rsid w:val="56503578"/>
    <w:rsid w:val="56522567"/>
    <w:rsid w:val="566034F5"/>
    <w:rsid w:val="566167A4"/>
    <w:rsid w:val="567E7C3B"/>
    <w:rsid w:val="568371CD"/>
    <w:rsid w:val="56864260"/>
    <w:rsid w:val="56880AFC"/>
    <w:rsid w:val="568F1A9C"/>
    <w:rsid w:val="5691271F"/>
    <w:rsid w:val="569B6998"/>
    <w:rsid w:val="56A1421F"/>
    <w:rsid w:val="56A145FD"/>
    <w:rsid w:val="56A64C92"/>
    <w:rsid w:val="56A67E9B"/>
    <w:rsid w:val="56AB2B47"/>
    <w:rsid w:val="56AC65FB"/>
    <w:rsid w:val="56B22A9C"/>
    <w:rsid w:val="56B24F0B"/>
    <w:rsid w:val="56B5401D"/>
    <w:rsid w:val="56B571C8"/>
    <w:rsid w:val="56BD181E"/>
    <w:rsid w:val="56C11BC7"/>
    <w:rsid w:val="56C150CA"/>
    <w:rsid w:val="56C90310"/>
    <w:rsid w:val="56D27760"/>
    <w:rsid w:val="56D359E1"/>
    <w:rsid w:val="56D5342A"/>
    <w:rsid w:val="56D94568"/>
    <w:rsid w:val="56D96410"/>
    <w:rsid w:val="56E31068"/>
    <w:rsid w:val="56E37C00"/>
    <w:rsid w:val="56E87666"/>
    <w:rsid w:val="56E9554C"/>
    <w:rsid w:val="56EB7E31"/>
    <w:rsid w:val="56F02C50"/>
    <w:rsid w:val="56F049FE"/>
    <w:rsid w:val="56F43321"/>
    <w:rsid w:val="56F9400E"/>
    <w:rsid w:val="5701345D"/>
    <w:rsid w:val="570703B7"/>
    <w:rsid w:val="570A1265"/>
    <w:rsid w:val="570B2C69"/>
    <w:rsid w:val="570F0B50"/>
    <w:rsid w:val="57165DF2"/>
    <w:rsid w:val="571A5804"/>
    <w:rsid w:val="571E2628"/>
    <w:rsid w:val="571F5297"/>
    <w:rsid w:val="57223185"/>
    <w:rsid w:val="57235881"/>
    <w:rsid w:val="57274FEF"/>
    <w:rsid w:val="572D0BA4"/>
    <w:rsid w:val="573B5EBA"/>
    <w:rsid w:val="574373A6"/>
    <w:rsid w:val="574A6E11"/>
    <w:rsid w:val="5752060B"/>
    <w:rsid w:val="57530919"/>
    <w:rsid w:val="575404AA"/>
    <w:rsid w:val="575A330B"/>
    <w:rsid w:val="57635C33"/>
    <w:rsid w:val="576476B3"/>
    <w:rsid w:val="5772029B"/>
    <w:rsid w:val="577216BF"/>
    <w:rsid w:val="577A538A"/>
    <w:rsid w:val="57896F73"/>
    <w:rsid w:val="5789732C"/>
    <w:rsid w:val="57917E9C"/>
    <w:rsid w:val="57954EEE"/>
    <w:rsid w:val="57962C12"/>
    <w:rsid w:val="579B349D"/>
    <w:rsid w:val="579B47C3"/>
    <w:rsid w:val="57A01B5E"/>
    <w:rsid w:val="57A455B4"/>
    <w:rsid w:val="57AF1B0B"/>
    <w:rsid w:val="57B72A76"/>
    <w:rsid w:val="57BA636D"/>
    <w:rsid w:val="57BD1DC1"/>
    <w:rsid w:val="57BD6FD6"/>
    <w:rsid w:val="57C208AB"/>
    <w:rsid w:val="57C3426C"/>
    <w:rsid w:val="57C579C9"/>
    <w:rsid w:val="57CD7731"/>
    <w:rsid w:val="57CE1F93"/>
    <w:rsid w:val="57D60097"/>
    <w:rsid w:val="57D73C91"/>
    <w:rsid w:val="57D75E0B"/>
    <w:rsid w:val="57E2181A"/>
    <w:rsid w:val="57E31E33"/>
    <w:rsid w:val="57EC6536"/>
    <w:rsid w:val="57F10A2D"/>
    <w:rsid w:val="57FA43A7"/>
    <w:rsid w:val="580B41C9"/>
    <w:rsid w:val="580C05EE"/>
    <w:rsid w:val="581131A4"/>
    <w:rsid w:val="5818012A"/>
    <w:rsid w:val="581813E5"/>
    <w:rsid w:val="581B1F4E"/>
    <w:rsid w:val="581C5078"/>
    <w:rsid w:val="581C6454"/>
    <w:rsid w:val="581D5771"/>
    <w:rsid w:val="581E6258"/>
    <w:rsid w:val="58243E21"/>
    <w:rsid w:val="58253F11"/>
    <w:rsid w:val="58265B30"/>
    <w:rsid w:val="58283147"/>
    <w:rsid w:val="58306214"/>
    <w:rsid w:val="58333DF6"/>
    <w:rsid w:val="58390A92"/>
    <w:rsid w:val="5839512D"/>
    <w:rsid w:val="58405511"/>
    <w:rsid w:val="58490869"/>
    <w:rsid w:val="58562F86"/>
    <w:rsid w:val="585B7376"/>
    <w:rsid w:val="586645E1"/>
    <w:rsid w:val="586B0B69"/>
    <w:rsid w:val="587B479B"/>
    <w:rsid w:val="58803707"/>
    <w:rsid w:val="5884116E"/>
    <w:rsid w:val="58864ECF"/>
    <w:rsid w:val="58872DB7"/>
    <w:rsid w:val="588743D1"/>
    <w:rsid w:val="5887701A"/>
    <w:rsid w:val="58916EC2"/>
    <w:rsid w:val="58917764"/>
    <w:rsid w:val="58930D56"/>
    <w:rsid w:val="5895244F"/>
    <w:rsid w:val="58972F43"/>
    <w:rsid w:val="5898177E"/>
    <w:rsid w:val="589979FF"/>
    <w:rsid w:val="58A01D4C"/>
    <w:rsid w:val="58A309DB"/>
    <w:rsid w:val="58A80459"/>
    <w:rsid w:val="58A80ECA"/>
    <w:rsid w:val="58AD4249"/>
    <w:rsid w:val="58AD7ABF"/>
    <w:rsid w:val="58C438F7"/>
    <w:rsid w:val="58D02D39"/>
    <w:rsid w:val="58DA4D04"/>
    <w:rsid w:val="58ED7D0F"/>
    <w:rsid w:val="58FD1446"/>
    <w:rsid w:val="59006FE1"/>
    <w:rsid w:val="590A79B4"/>
    <w:rsid w:val="590B08EF"/>
    <w:rsid w:val="590D5D3B"/>
    <w:rsid w:val="590E4D47"/>
    <w:rsid w:val="590E4EB1"/>
    <w:rsid w:val="59133530"/>
    <w:rsid w:val="59151A70"/>
    <w:rsid w:val="59193B0E"/>
    <w:rsid w:val="59213594"/>
    <w:rsid w:val="592460BD"/>
    <w:rsid w:val="592731C9"/>
    <w:rsid w:val="59291E72"/>
    <w:rsid w:val="59377E08"/>
    <w:rsid w:val="59397AD5"/>
    <w:rsid w:val="593F0091"/>
    <w:rsid w:val="59447AC7"/>
    <w:rsid w:val="594613FE"/>
    <w:rsid w:val="59485CED"/>
    <w:rsid w:val="59492A70"/>
    <w:rsid w:val="594A0DB6"/>
    <w:rsid w:val="594B24D7"/>
    <w:rsid w:val="594C61F3"/>
    <w:rsid w:val="5959262E"/>
    <w:rsid w:val="595A1B48"/>
    <w:rsid w:val="595F2E76"/>
    <w:rsid w:val="59603BC8"/>
    <w:rsid w:val="59625564"/>
    <w:rsid w:val="596278AE"/>
    <w:rsid w:val="59651902"/>
    <w:rsid w:val="597672CE"/>
    <w:rsid w:val="59767F63"/>
    <w:rsid w:val="5980268A"/>
    <w:rsid w:val="59845C18"/>
    <w:rsid w:val="598D29D8"/>
    <w:rsid w:val="599238EB"/>
    <w:rsid w:val="599936B1"/>
    <w:rsid w:val="599B3B9B"/>
    <w:rsid w:val="599B5C26"/>
    <w:rsid w:val="59A40363"/>
    <w:rsid w:val="59A45FD2"/>
    <w:rsid w:val="59A47125"/>
    <w:rsid w:val="59A75B6A"/>
    <w:rsid w:val="59A7784C"/>
    <w:rsid w:val="59A84663"/>
    <w:rsid w:val="59B025FA"/>
    <w:rsid w:val="59B17C15"/>
    <w:rsid w:val="59B20464"/>
    <w:rsid w:val="59B76E0F"/>
    <w:rsid w:val="59B806FC"/>
    <w:rsid w:val="59BF38BB"/>
    <w:rsid w:val="59C0439F"/>
    <w:rsid w:val="59C446E2"/>
    <w:rsid w:val="59C86420"/>
    <w:rsid w:val="59C94951"/>
    <w:rsid w:val="59D30BDC"/>
    <w:rsid w:val="59D65269"/>
    <w:rsid w:val="59DB1995"/>
    <w:rsid w:val="59DC4B49"/>
    <w:rsid w:val="59E20C18"/>
    <w:rsid w:val="59E34A24"/>
    <w:rsid w:val="59E71FA5"/>
    <w:rsid w:val="59EA63C0"/>
    <w:rsid w:val="59F203A0"/>
    <w:rsid w:val="5A0031AA"/>
    <w:rsid w:val="5A0507C0"/>
    <w:rsid w:val="5A082D42"/>
    <w:rsid w:val="5A131248"/>
    <w:rsid w:val="5A151281"/>
    <w:rsid w:val="5A1B17A9"/>
    <w:rsid w:val="5A1E70E6"/>
    <w:rsid w:val="5A2D4A00"/>
    <w:rsid w:val="5A3F79C0"/>
    <w:rsid w:val="5A400383"/>
    <w:rsid w:val="5A446FEB"/>
    <w:rsid w:val="5A4646D6"/>
    <w:rsid w:val="5A5A5B50"/>
    <w:rsid w:val="5A6008B2"/>
    <w:rsid w:val="5A614418"/>
    <w:rsid w:val="5A64198B"/>
    <w:rsid w:val="5A645968"/>
    <w:rsid w:val="5A7160A3"/>
    <w:rsid w:val="5A7871E4"/>
    <w:rsid w:val="5A7B0664"/>
    <w:rsid w:val="5A7D3549"/>
    <w:rsid w:val="5A807797"/>
    <w:rsid w:val="5A8250B3"/>
    <w:rsid w:val="5A8363E3"/>
    <w:rsid w:val="5A861700"/>
    <w:rsid w:val="5A8E1025"/>
    <w:rsid w:val="5A9562BE"/>
    <w:rsid w:val="5AA04554"/>
    <w:rsid w:val="5AA63917"/>
    <w:rsid w:val="5AB000F4"/>
    <w:rsid w:val="5AB566C7"/>
    <w:rsid w:val="5AB570B9"/>
    <w:rsid w:val="5AB82B34"/>
    <w:rsid w:val="5ABB7F7D"/>
    <w:rsid w:val="5ABE2233"/>
    <w:rsid w:val="5AC26FE0"/>
    <w:rsid w:val="5AC33A81"/>
    <w:rsid w:val="5AC70E5A"/>
    <w:rsid w:val="5ADD7AB6"/>
    <w:rsid w:val="5ADF1011"/>
    <w:rsid w:val="5AE00A36"/>
    <w:rsid w:val="5AEC60E8"/>
    <w:rsid w:val="5AF37D86"/>
    <w:rsid w:val="5AF61E72"/>
    <w:rsid w:val="5AF64690"/>
    <w:rsid w:val="5AF82DB6"/>
    <w:rsid w:val="5B003588"/>
    <w:rsid w:val="5B07328E"/>
    <w:rsid w:val="5B0A636A"/>
    <w:rsid w:val="5B0C298F"/>
    <w:rsid w:val="5B1067E6"/>
    <w:rsid w:val="5B141CC4"/>
    <w:rsid w:val="5B16753A"/>
    <w:rsid w:val="5B1B76C9"/>
    <w:rsid w:val="5B2949DE"/>
    <w:rsid w:val="5B2A7A62"/>
    <w:rsid w:val="5B2C3549"/>
    <w:rsid w:val="5B312F73"/>
    <w:rsid w:val="5B3463BC"/>
    <w:rsid w:val="5B351716"/>
    <w:rsid w:val="5B443A41"/>
    <w:rsid w:val="5B472E3C"/>
    <w:rsid w:val="5B47674B"/>
    <w:rsid w:val="5B4B6052"/>
    <w:rsid w:val="5B4B66A7"/>
    <w:rsid w:val="5B527676"/>
    <w:rsid w:val="5B547C51"/>
    <w:rsid w:val="5B594C8D"/>
    <w:rsid w:val="5B614AE2"/>
    <w:rsid w:val="5B65791A"/>
    <w:rsid w:val="5B66434D"/>
    <w:rsid w:val="5B6845F1"/>
    <w:rsid w:val="5B6C2F78"/>
    <w:rsid w:val="5B7139F2"/>
    <w:rsid w:val="5B7B0803"/>
    <w:rsid w:val="5B892594"/>
    <w:rsid w:val="5B8A52FC"/>
    <w:rsid w:val="5B8B1004"/>
    <w:rsid w:val="5B9E3002"/>
    <w:rsid w:val="5BA42858"/>
    <w:rsid w:val="5BA50C63"/>
    <w:rsid w:val="5BA57B34"/>
    <w:rsid w:val="5BAA5AC3"/>
    <w:rsid w:val="5BAC66E4"/>
    <w:rsid w:val="5BAD6BF8"/>
    <w:rsid w:val="5BB16625"/>
    <w:rsid w:val="5BB20198"/>
    <w:rsid w:val="5BB725AD"/>
    <w:rsid w:val="5BBC7CE5"/>
    <w:rsid w:val="5BBD1D57"/>
    <w:rsid w:val="5BC66F6E"/>
    <w:rsid w:val="5BD112A2"/>
    <w:rsid w:val="5BD4110B"/>
    <w:rsid w:val="5BDB09D9"/>
    <w:rsid w:val="5BDF11ED"/>
    <w:rsid w:val="5BDF5D95"/>
    <w:rsid w:val="5BE2700B"/>
    <w:rsid w:val="5BF00CA8"/>
    <w:rsid w:val="5BF03972"/>
    <w:rsid w:val="5BF25B76"/>
    <w:rsid w:val="5BF36DE7"/>
    <w:rsid w:val="5BF40AEC"/>
    <w:rsid w:val="5BFE7528"/>
    <w:rsid w:val="5C0276AD"/>
    <w:rsid w:val="5C191FFB"/>
    <w:rsid w:val="5C1A3007"/>
    <w:rsid w:val="5C1F3542"/>
    <w:rsid w:val="5C270EC2"/>
    <w:rsid w:val="5C276BF0"/>
    <w:rsid w:val="5C2838A9"/>
    <w:rsid w:val="5C2F1592"/>
    <w:rsid w:val="5C3277A3"/>
    <w:rsid w:val="5C36171D"/>
    <w:rsid w:val="5C3624F2"/>
    <w:rsid w:val="5C365A18"/>
    <w:rsid w:val="5C374CD5"/>
    <w:rsid w:val="5C385F57"/>
    <w:rsid w:val="5C3B115F"/>
    <w:rsid w:val="5C3B34D4"/>
    <w:rsid w:val="5C450D66"/>
    <w:rsid w:val="5C462FB2"/>
    <w:rsid w:val="5C4B6CC8"/>
    <w:rsid w:val="5C596662"/>
    <w:rsid w:val="5C5B4465"/>
    <w:rsid w:val="5C621172"/>
    <w:rsid w:val="5C6867AA"/>
    <w:rsid w:val="5C6A1184"/>
    <w:rsid w:val="5C7035EA"/>
    <w:rsid w:val="5C705EED"/>
    <w:rsid w:val="5C7110DD"/>
    <w:rsid w:val="5C7165E1"/>
    <w:rsid w:val="5C7D242D"/>
    <w:rsid w:val="5C7E4ED0"/>
    <w:rsid w:val="5C8005D2"/>
    <w:rsid w:val="5C833B04"/>
    <w:rsid w:val="5C8609EE"/>
    <w:rsid w:val="5C861746"/>
    <w:rsid w:val="5C9354AA"/>
    <w:rsid w:val="5C996919"/>
    <w:rsid w:val="5CA22C3E"/>
    <w:rsid w:val="5CAC5BCD"/>
    <w:rsid w:val="5CAF43DC"/>
    <w:rsid w:val="5CCC1528"/>
    <w:rsid w:val="5CD0356A"/>
    <w:rsid w:val="5CD66444"/>
    <w:rsid w:val="5CD834A8"/>
    <w:rsid w:val="5CD93674"/>
    <w:rsid w:val="5CDD1C83"/>
    <w:rsid w:val="5CDD7A34"/>
    <w:rsid w:val="5CDE6736"/>
    <w:rsid w:val="5CE412CA"/>
    <w:rsid w:val="5CE84B7B"/>
    <w:rsid w:val="5CF4004C"/>
    <w:rsid w:val="5CFA59C8"/>
    <w:rsid w:val="5D0227AB"/>
    <w:rsid w:val="5D041203"/>
    <w:rsid w:val="5D0E2874"/>
    <w:rsid w:val="5D0E5E1E"/>
    <w:rsid w:val="5D144FF2"/>
    <w:rsid w:val="5D147CB6"/>
    <w:rsid w:val="5D1E7766"/>
    <w:rsid w:val="5D286155"/>
    <w:rsid w:val="5D297876"/>
    <w:rsid w:val="5D2B1ADA"/>
    <w:rsid w:val="5D2B62B2"/>
    <w:rsid w:val="5D2F1F40"/>
    <w:rsid w:val="5D323FC2"/>
    <w:rsid w:val="5D330194"/>
    <w:rsid w:val="5D39464A"/>
    <w:rsid w:val="5D3A1F1A"/>
    <w:rsid w:val="5D3C3CAA"/>
    <w:rsid w:val="5D424CB1"/>
    <w:rsid w:val="5D4C7F90"/>
    <w:rsid w:val="5D5061F6"/>
    <w:rsid w:val="5D513AE0"/>
    <w:rsid w:val="5D525FC2"/>
    <w:rsid w:val="5D554DA1"/>
    <w:rsid w:val="5D59154F"/>
    <w:rsid w:val="5D601E68"/>
    <w:rsid w:val="5D633C79"/>
    <w:rsid w:val="5D6B1ACA"/>
    <w:rsid w:val="5D6E0772"/>
    <w:rsid w:val="5D6E695E"/>
    <w:rsid w:val="5D700F2C"/>
    <w:rsid w:val="5D7170E9"/>
    <w:rsid w:val="5D8636B1"/>
    <w:rsid w:val="5D887BBB"/>
    <w:rsid w:val="5D8A71F0"/>
    <w:rsid w:val="5D905688"/>
    <w:rsid w:val="5D93412A"/>
    <w:rsid w:val="5DA27841"/>
    <w:rsid w:val="5DA35FCA"/>
    <w:rsid w:val="5DA40B9F"/>
    <w:rsid w:val="5DAC4857"/>
    <w:rsid w:val="5DAF73C1"/>
    <w:rsid w:val="5DB04EE7"/>
    <w:rsid w:val="5DB237C6"/>
    <w:rsid w:val="5DB9520F"/>
    <w:rsid w:val="5DBE13B2"/>
    <w:rsid w:val="5DBE67E2"/>
    <w:rsid w:val="5DC15547"/>
    <w:rsid w:val="5DC37DBC"/>
    <w:rsid w:val="5DCD45A5"/>
    <w:rsid w:val="5DD30622"/>
    <w:rsid w:val="5DD33F3C"/>
    <w:rsid w:val="5DE137FF"/>
    <w:rsid w:val="5DE169D7"/>
    <w:rsid w:val="5DE50152"/>
    <w:rsid w:val="5DE5496C"/>
    <w:rsid w:val="5DE76330"/>
    <w:rsid w:val="5DEE4200"/>
    <w:rsid w:val="5DFA3590"/>
    <w:rsid w:val="5DFA7A48"/>
    <w:rsid w:val="5E03684C"/>
    <w:rsid w:val="5E0426D9"/>
    <w:rsid w:val="5E0B27AE"/>
    <w:rsid w:val="5E0E36E5"/>
    <w:rsid w:val="5E0F7E5F"/>
    <w:rsid w:val="5E170149"/>
    <w:rsid w:val="5E1C1311"/>
    <w:rsid w:val="5E20337F"/>
    <w:rsid w:val="5E2467F1"/>
    <w:rsid w:val="5E2C6171"/>
    <w:rsid w:val="5E313737"/>
    <w:rsid w:val="5E3679E8"/>
    <w:rsid w:val="5E381969"/>
    <w:rsid w:val="5E3B3BED"/>
    <w:rsid w:val="5E57198E"/>
    <w:rsid w:val="5E5778CB"/>
    <w:rsid w:val="5E650E61"/>
    <w:rsid w:val="5E7F1264"/>
    <w:rsid w:val="5E8A5709"/>
    <w:rsid w:val="5E922109"/>
    <w:rsid w:val="5E926C55"/>
    <w:rsid w:val="5E937907"/>
    <w:rsid w:val="5EA550A2"/>
    <w:rsid w:val="5EA56607"/>
    <w:rsid w:val="5EA97D5E"/>
    <w:rsid w:val="5EA97E1F"/>
    <w:rsid w:val="5EB45455"/>
    <w:rsid w:val="5EB7681F"/>
    <w:rsid w:val="5EBE509B"/>
    <w:rsid w:val="5EC31C56"/>
    <w:rsid w:val="5EC976B6"/>
    <w:rsid w:val="5ECD065D"/>
    <w:rsid w:val="5ECE7D1A"/>
    <w:rsid w:val="5ED06D88"/>
    <w:rsid w:val="5ED137BE"/>
    <w:rsid w:val="5ED14422"/>
    <w:rsid w:val="5ED21A3B"/>
    <w:rsid w:val="5ED40076"/>
    <w:rsid w:val="5EDE2403"/>
    <w:rsid w:val="5EDF5AC0"/>
    <w:rsid w:val="5EE257A6"/>
    <w:rsid w:val="5EED13DC"/>
    <w:rsid w:val="5EF24E54"/>
    <w:rsid w:val="5EF619A4"/>
    <w:rsid w:val="5EF83B0F"/>
    <w:rsid w:val="5EFA7670"/>
    <w:rsid w:val="5EFC2284"/>
    <w:rsid w:val="5F003FA4"/>
    <w:rsid w:val="5F0D0602"/>
    <w:rsid w:val="5F0D44BC"/>
    <w:rsid w:val="5F157ABE"/>
    <w:rsid w:val="5F1A2B43"/>
    <w:rsid w:val="5F1C0A95"/>
    <w:rsid w:val="5F204D6E"/>
    <w:rsid w:val="5F21541E"/>
    <w:rsid w:val="5F271404"/>
    <w:rsid w:val="5F28734F"/>
    <w:rsid w:val="5F2F1531"/>
    <w:rsid w:val="5F340666"/>
    <w:rsid w:val="5F3604F8"/>
    <w:rsid w:val="5F3C7D3F"/>
    <w:rsid w:val="5F3F1D69"/>
    <w:rsid w:val="5F3F215C"/>
    <w:rsid w:val="5F3F3175"/>
    <w:rsid w:val="5F40794E"/>
    <w:rsid w:val="5F49058A"/>
    <w:rsid w:val="5F4962C0"/>
    <w:rsid w:val="5F4D280C"/>
    <w:rsid w:val="5F5711A8"/>
    <w:rsid w:val="5F587425"/>
    <w:rsid w:val="5F5F68F5"/>
    <w:rsid w:val="5F61128C"/>
    <w:rsid w:val="5F6450F5"/>
    <w:rsid w:val="5F677E14"/>
    <w:rsid w:val="5F6819E2"/>
    <w:rsid w:val="5F6F36FD"/>
    <w:rsid w:val="5F701FAB"/>
    <w:rsid w:val="5F7352A7"/>
    <w:rsid w:val="5F740893"/>
    <w:rsid w:val="5F7530CE"/>
    <w:rsid w:val="5F7558A0"/>
    <w:rsid w:val="5F760D96"/>
    <w:rsid w:val="5F7B32D5"/>
    <w:rsid w:val="5F7E5EED"/>
    <w:rsid w:val="5F812C95"/>
    <w:rsid w:val="5F824A5E"/>
    <w:rsid w:val="5F842749"/>
    <w:rsid w:val="5F880B3A"/>
    <w:rsid w:val="5F8878C2"/>
    <w:rsid w:val="5FA16709"/>
    <w:rsid w:val="5FA80EBD"/>
    <w:rsid w:val="5FAD1717"/>
    <w:rsid w:val="5FB01A98"/>
    <w:rsid w:val="5FB75A0E"/>
    <w:rsid w:val="5FB837BB"/>
    <w:rsid w:val="5FB954A9"/>
    <w:rsid w:val="5FC30F01"/>
    <w:rsid w:val="5FC37153"/>
    <w:rsid w:val="5FCA242F"/>
    <w:rsid w:val="5FCB35DE"/>
    <w:rsid w:val="5FCC3C10"/>
    <w:rsid w:val="5FD05BEB"/>
    <w:rsid w:val="5FD37716"/>
    <w:rsid w:val="5FD378F5"/>
    <w:rsid w:val="5FD458B8"/>
    <w:rsid w:val="5FD64479"/>
    <w:rsid w:val="5FE25683"/>
    <w:rsid w:val="5FE570CA"/>
    <w:rsid w:val="5FEE231B"/>
    <w:rsid w:val="5FF006F9"/>
    <w:rsid w:val="5FF71405"/>
    <w:rsid w:val="5FFD75A2"/>
    <w:rsid w:val="60034FCA"/>
    <w:rsid w:val="600E071A"/>
    <w:rsid w:val="6014005F"/>
    <w:rsid w:val="6016117F"/>
    <w:rsid w:val="60170A8F"/>
    <w:rsid w:val="601A7C42"/>
    <w:rsid w:val="601C4963"/>
    <w:rsid w:val="60211D1A"/>
    <w:rsid w:val="60215522"/>
    <w:rsid w:val="60342E35"/>
    <w:rsid w:val="603A573B"/>
    <w:rsid w:val="603D5158"/>
    <w:rsid w:val="604523CD"/>
    <w:rsid w:val="6046265D"/>
    <w:rsid w:val="604F3A08"/>
    <w:rsid w:val="60520618"/>
    <w:rsid w:val="60535074"/>
    <w:rsid w:val="605501D6"/>
    <w:rsid w:val="605A086D"/>
    <w:rsid w:val="605C35FC"/>
    <w:rsid w:val="606677F4"/>
    <w:rsid w:val="60714F92"/>
    <w:rsid w:val="60731BF1"/>
    <w:rsid w:val="607D3FBF"/>
    <w:rsid w:val="607F14A9"/>
    <w:rsid w:val="608219E6"/>
    <w:rsid w:val="608368E3"/>
    <w:rsid w:val="60857CE3"/>
    <w:rsid w:val="608D6CD1"/>
    <w:rsid w:val="608D76BE"/>
    <w:rsid w:val="60905684"/>
    <w:rsid w:val="60936074"/>
    <w:rsid w:val="60940AD4"/>
    <w:rsid w:val="60972D26"/>
    <w:rsid w:val="60A5418B"/>
    <w:rsid w:val="60A9227B"/>
    <w:rsid w:val="60AA7B4F"/>
    <w:rsid w:val="60AF4D4F"/>
    <w:rsid w:val="60AF592A"/>
    <w:rsid w:val="60B62814"/>
    <w:rsid w:val="60B65D96"/>
    <w:rsid w:val="60B977E7"/>
    <w:rsid w:val="60BB64DB"/>
    <w:rsid w:val="60BC1B4C"/>
    <w:rsid w:val="60C22785"/>
    <w:rsid w:val="60C94AAE"/>
    <w:rsid w:val="60CC405A"/>
    <w:rsid w:val="60CE5DB0"/>
    <w:rsid w:val="60CF6A97"/>
    <w:rsid w:val="60E506B2"/>
    <w:rsid w:val="60F021CA"/>
    <w:rsid w:val="60F62056"/>
    <w:rsid w:val="60F63558"/>
    <w:rsid w:val="61043008"/>
    <w:rsid w:val="610473CD"/>
    <w:rsid w:val="61105AC7"/>
    <w:rsid w:val="612473A7"/>
    <w:rsid w:val="612532DC"/>
    <w:rsid w:val="61264194"/>
    <w:rsid w:val="612F6F64"/>
    <w:rsid w:val="61325270"/>
    <w:rsid w:val="61340923"/>
    <w:rsid w:val="6136331F"/>
    <w:rsid w:val="613E7274"/>
    <w:rsid w:val="61471971"/>
    <w:rsid w:val="61491F46"/>
    <w:rsid w:val="614E5424"/>
    <w:rsid w:val="61500779"/>
    <w:rsid w:val="615804F6"/>
    <w:rsid w:val="615E2992"/>
    <w:rsid w:val="616C003C"/>
    <w:rsid w:val="616C3E03"/>
    <w:rsid w:val="616F4F3A"/>
    <w:rsid w:val="616F6A82"/>
    <w:rsid w:val="617B6622"/>
    <w:rsid w:val="617C2334"/>
    <w:rsid w:val="61833D8D"/>
    <w:rsid w:val="618443DC"/>
    <w:rsid w:val="6188783B"/>
    <w:rsid w:val="6189097A"/>
    <w:rsid w:val="619656F2"/>
    <w:rsid w:val="61A21A30"/>
    <w:rsid w:val="61A847E1"/>
    <w:rsid w:val="61A9201F"/>
    <w:rsid w:val="61A962B9"/>
    <w:rsid w:val="61AB021F"/>
    <w:rsid w:val="61AF50B1"/>
    <w:rsid w:val="61B10D57"/>
    <w:rsid w:val="61B46166"/>
    <w:rsid w:val="61B57B29"/>
    <w:rsid w:val="61BF394A"/>
    <w:rsid w:val="61C100F1"/>
    <w:rsid w:val="61C2021E"/>
    <w:rsid w:val="61C87EFF"/>
    <w:rsid w:val="61DB4CE1"/>
    <w:rsid w:val="61E215D8"/>
    <w:rsid w:val="61E3674C"/>
    <w:rsid w:val="61E82559"/>
    <w:rsid w:val="61E86993"/>
    <w:rsid w:val="61E9369F"/>
    <w:rsid w:val="61E973EF"/>
    <w:rsid w:val="620202B3"/>
    <w:rsid w:val="620A7EC1"/>
    <w:rsid w:val="620C23B5"/>
    <w:rsid w:val="620F346F"/>
    <w:rsid w:val="6211064A"/>
    <w:rsid w:val="62116051"/>
    <w:rsid w:val="621363F4"/>
    <w:rsid w:val="621B3775"/>
    <w:rsid w:val="621C0D9D"/>
    <w:rsid w:val="621E4B15"/>
    <w:rsid w:val="62206ADF"/>
    <w:rsid w:val="62255CF8"/>
    <w:rsid w:val="62265161"/>
    <w:rsid w:val="62364782"/>
    <w:rsid w:val="62392966"/>
    <w:rsid w:val="623A4C64"/>
    <w:rsid w:val="6243617D"/>
    <w:rsid w:val="6249119D"/>
    <w:rsid w:val="624D4E6D"/>
    <w:rsid w:val="624F3B8C"/>
    <w:rsid w:val="625C6A8E"/>
    <w:rsid w:val="625F4549"/>
    <w:rsid w:val="626173BD"/>
    <w:rsid w:val="62650996"/>
    <w:rsid w:val="626A7D5A"/>
    <w:rsid w:val="626D6E1E"/>
    <w:rsid w:val="62712E1E"/>
    <w:rsid w:val="62790E06"/>
    <w:rsid w:val="627D5A83"/>
    <w:rsid w:val="628801E0"/>
    <w:rsid w:val="62892EB2"/>
    <w:rsid w:val="628F51AA"/>
    <w:rsid w:val="6290487E"/>
    <w:rsid w:val="62970456"/>
    <w:rsid w:val="62983C14"/>
    <w:rsid w:val="62985055"/>
    <w:rsid w:val="629A0A47"/>
    <w:rsid w:val="629C104A"/>
    <w:rsid w:val="629F486F"/>
    <w:rsid w:val="62A037E6"/>
    <w:rsid w:val="62A658BB"/>
    <w:rsid w:val="62AA63A9"/>
    <w:rsid w:val="62B14095"/>
    <w:rsid w:val="62B24E53"/>
    <w:rsid w:val="62BA2166"/>
    <w:rsid w:val="62D13935"/>
    <w:rsid w:val="62D53E05"/>
    <w:rsid w:val="62DE6052"/>
    <w:rsid w:val="62E418BB"/>
    <w:rsid w:val="62E47B0C"/>
    <w:rsid w:val="62E67189"/>
    <w:rsid w:val="62EC3303"/>
    <w:rsid w:val="62F0153C"/>
    <w:rsid w:val="62F12229"/>
    <w:rsid w:val="62F9348C"/>
    <w:rsid w:val="62FE1040"/>
    <w:rsid w:val="63025116"/>
    <w:rsid w:val="63082F60"/>
    <w:rsid w:val="630C6000"/>
    <w:rsid w:val="630E4B89"/>
    <w:rsid w:val="631101D6"/>
    <w:rsid w:val="63143F01"/>
    <w:rsid w:val="631511BB"/>
    <w:rsid w:val="631D64D3"/>
    <w:rsid w:val="631E4692"/>
    <w:rsid w:val="6320666B"/>
    <w:rsid w:val="632A4236"/>
    <w:rsid w:val="63300ED4"/>
    <w:rsid w:val="63303802"/>
    <w:rsid w:val="63343D2F"/>
    <w:rsid w:val="63372366"/>
    <w:rsid w:val="634149C6"/>
    <w:rsid w:val="63453447"/>
    <w:rsid w:val="6345756B"/>
    <w:rsid w:val="634C7460"/>
    <w:rsid w:val="634D15B1"/>
    <w:rsid w:val="63533494"/>
    <w:rsid w:val="63554566"/>
    <w:rsid w:val="63574455"/>
    <w:rsid w:val="635914A5"/>
    <w:rsid w:val="635C734D"/>
    <w:rsid w:val="635D5022"/>
    <w:rsid w:val="635E3FE3"/>
    <w:rsid w:val="636674AF"/>
    <w:rsid w:val="636C1546"/>
    <w:rsid w:val="636C2ECD"/>
    <w:rsid w:val="63717FD0"/>
    <w:rsid w:val="63780255"/>
    <w:rsid w:val="63794C6B"/>
    <w:rsid w:val="637C2599"/>
    <w:rsid w:val="63852034"/>
    <w:rsid w:val="63890B11"/>
    <w:rsid w:val="638D527C"/>
    <w:rsid w:val="638F4F24"/>
    <w:rsid w:val="63915CB9"/>
    <w:rsid w:val="6391646F"/>
    <w:rsid w:val="6394356A"/>
    <w:rsid w:val="63991E73"/>
    <w:rsid w:val="639C7D05"/>
    <w:rsid w:val="63A8673C"/>
    <w:rsid w:val="63AB0538"/>
    <w:rsid w:val="63B03E93"/>
    <w:rsid w:val="63B636FC"/>
    <w:rsid w:val="63BC455D"/>
    <w:rsid w:val="63BD210C"/>
    <w:rsid w:val="63BE5CA9"/>
    <w:rsid w:val="63C11BFC"/>
    <w:rsid w:val="63C61B2C"/>
    <w:rsid w:val="63D358F4"/>
    <w:rsid w:val="63D40BE9"/>
    <w:rsid w:val="63D7141F"/>
    <w:rsid w:val="63DD094F"/>
    <w:rsid w:val="63EC4278"/>
    <w:rsid w:val="63F02B77"/>
    <w:rsid w:val="63F03AB3"/>
    <w:rsid w:val="63F6533A"/>
    <w:rsid w:val="64102431"/>
    <w:rsid w:val="641424E6"/>
    <w:rsid w:val="641434DC"/>
    <w:rsid w:val="641503E5"/>
    <w:rsid w:val="64153CF6"/>
    <w:rsid w:val="641E2BAA"/>
    <w:rsid w:val="64214B4D"/>
    <w:rsid w:val="642267E3"/>
    <w:rsid w:val="64234664"/>
    <w:rsid w:val="64241D38"/>
    <w:rsid w:val="643C4BBB"/>
    <w:rsid w:val="643C7E7F"/>
    <w:rsid w:val="643E0EA5"/>
    <w:rsid w:val="64400BE3"/>
    <w:rsid w:val="644B597F"/>
    <w:rsid w:val="6450769E"/>
    <w:rsid w:val="6461518D"/>
    <w:rsid w:val="64615994"/>
    <w:rsid w:val="646172A0"/>
    <w:rsid w:val="64630AA9"/>
    <w:rsid w:val="64670DC7"/>
    <w:rsid w:val="646B1B68"/>
    <w:rsid w:val="64730613"/>
    <w:rsid w:val="64733590"/>
    <w:rsid w:val="64767654"/>
    <w:rsid w:val="647723B5"/>
    <w:rsid w:val="64781649"/>
    <w:rsid w:val="647A1DAB"/>
    <w:rsid w:val="647F6AEA"/>
    <w:rsid w:val="6482220A"/>
    <w:rsid w:val="64970B39"/>
    <w:rsid w:val="649A175D"/>
    <w:rsid w:val="64A31301"/>
    <w:rsid w:val="64A5243A"/>
    <w:rsid w:val="64AE1490"/>
    <w:rsid w:val="64B42BD7"/>
    <w:rsid w:val="64CC47CB"/>
    <w:rsid w:val="64D157EB"/>
    <w:rsid w:val="64E3610F"/>
    <w:rsid w:val="64EB64FA"/>
    <w:rsid w:val="64EC25E0"/>
    <w:rsid w:val="64ED558C"/>
    <w:rsid w:val="64F34565"/>
    <w:rsid w:val="64F531DE"/>
    <w:rsid w:val="64FB311F"/>
    <w:rsid w:val="65071890"/>
    <w:rsid w:val="650F0ABA"/>
    <w:rsid w:val="6518604F"/>
    <w:rsid w:val="651B765F"/>
    <w:rsid w:val="651E4F46"/>
    <w:rsid w:val="65204203"/>
    <w:rsid w:val="65232399"/>
    <w:rsid w:val="65286830"/>
    <w:rsid w:val="653213DD"/>
    <w:rsid w:val="6535464F"/>
    <w:rsid w:val="65373578"/>
    <w:rsid w:val="653D3569"/>
    <w:rsid w:val="65401E4F"/>
    <w:rsid w:val="65450759"/>
    <w:rsid w:val="65452C29"/>
    <w:rsid w:val="654B0816"/>
    <w:rsid w:val="654B64F1"/>
    <w:rsid w:val="654D6FCE"/>
    <w:rsid w:val="65513B90"/>
    <w:rsid w:val="6552579D"/>
    <w:rsid w:val="65563AAA"/>
    <w:rsid w:val="65585561"/>
    <w:rsid w:val="655D2EBC"/>
    <w:rsid w:val="655E29C4"/>
    <w:rsid w:val="656C67DA"/>
    <w:rsid w:val="65771DDD"/>
    <w:rsid w:val="65784B5B"/>
    <w:rsid w:val="65794B46"/>
    <w:rsid w:val="657B1AF6"/>
    <w:rsid w:val="657E7C24"/>
    <w:rsid w:val="658522AE"/>
    <w:rsid w:val="658748E7"/>
    <w:rsid w:val="65957436"/>
    <w:rsid w:val="659A2704"/>
    <w:rsid w:val="659E614C"/>
    <w:rsid w:val="65A82691"/>
    <w:rsid w:val="65A8478B"/>
    <w:rsid w:val="65AD105A"/>
    <w:rsid w:val="65B06EDB"/>
    <w:rsid w:val="65B65064"/>
    <w:rsid w:val="65BE6176"/>
    <w:rsid w:val="65C044C6"/>
    <w:rsid w:val="65C36135"/>
    <w:rsid w:val="65D75707"/>
    <w:rsid w:val="65D87970"/>
    <w:rsid w:val="65DF111C"/>
    <w:rsid w:val="65E40675"/>
    <w:rsid w:val="65E63CBD"/>
    <w:rsid w:val="65E73347"/>
    <w:rsid w:val="65E83BF3"/>
    <w:rsid w:val="65EF023A"/>
    <w:rsid w:val="65F11366"/>
    <w:rsid w:val="65FF290F"/>
    <w:rsid w:val="66002DDE"/>
    <w:rsid w:val="660D548D"/>
    <w:rsid w:val="66123BB1"/>
    <w:rsid w:val="66192139"/>
    <w:rsid w:val="661B1126"/>
    <w:rsid w:val="661F02A8"/>
    <w:rsid w:val="661F7B7D"/>
    <w:rsid w:val="66212A21"/>
    <w:rsid w:val="66224DFF"/>
    <w:rsid w:val="6626795D"/>
    <w:rsid w:val="6627010C"/>
    <w:rsid w:val="662A65B8"/>
    <w:rsid w:val="662C4EFF"/>
    <w:rsid w:val="663761A5"/>
    <w:rsid w:val="663847A0"/>
    <w:rsid w:val="663B0166"/>
    <w:rsid w:val="663E35BA"/>
    <w:rsid w:val="664E3244"/>
    <w:rsid w:val="664E40FE"/>
    <w:rsid w:val="66552ACF"/>
    <w:rsid w:val="66562AF4"/>
    <w:rsid w:val="66571864"/>
    <w:rsid w:val="665A7BC3"/>
    <w:rsid w:val="66605225"/>
    <w:rsid w:val="66636F9A"/>
    <w:rsid w:val="66660838"/>
    <w:rsid w:val="666A0329"/>
    <w:rsid w:val="667416A9"/>
    <w:rsid w:val="667A5D36"/>
    <w:rsid w:val="667F0D90"/>
    <w:rsid w:val="667F508F"/>
    <w:rsid w:val="66810BAB"/>
    <w:rsid w:val="66872221"/>
    <w:rsid w:val="66947C23"/>
    <w:rsid w:val="66987923"/>
    <w:rsid w:val="669B5E95"/>
    <w:rsid w:val="669D778A"/>
    <w:rsid w:val="66A223AE"/>
    <w:rsid w:val="66A918D4"/>
    <w:rsid w:val="66AA689D"/>
    <w:rsid w:val="66AA7F6A"/>
    <w:rsid w:val="66B36F80"/>
    <w:rsid w:val="66B83458"/>
    <w:rsid w:val="66BB5296"/>
    <w:rsid w:val="66BE68C6"/>
    <w:rsid w:val="66C61CB2"/>
    <w:rsid w:val="66C744DB"/>
    <w:rsid w:val="66C94FB9"/>
    <w:rsid w:val="66D47DE2"/>
    <w:rsid w:val="66DB7C0B"/>
    <w:rsid w:val="66EC140E"/>
    <w:rsid w:val="66EE259B"/>
    <w:rsid w:val="66F97850"/>
    <w:rsid w:val="66FA0A41"/>
    <w:rsid w:val="66FC093E"/>
    <w:rsid w:val="670571BF"/>
    <w:rsid w:val="670950C7"/>
    <w:rsid w:val="670C7F0B"/>
    <w:rsid w:val="670D5158"/>
    <w:rsid w:val="67167E5C"/>
    <w:rsid w:val="67181974"/>
    <w:rsid w:val="67190A5A"/>
    <w:rsid w:val="671D539B"/>
    <w:rsid w:val="671F124A"/>
    <w:rsid w:val="671F6258"/>
    <w:rsid w:val="67210865"/>
    <w:rsid w:val="67220C03"/>
    <w:rsid w:val="6724486D"/>
    <w:rsid w:val="67297A6B"/>
    <w:rsid w:val="6737423D"/>
    <w:rsid w:val="673B6E17"/>
    <w:rsid w:val="673C0484"/>
    <w:rsid w:val="673F0AC8"/>
    <w:rsid w:val="67420256"/>
    <w:rsid w:val="67453836"/>
    <w:rsid w:val="6754789E"/>
    <w:rsid w:val="675D7E8D"/>
    <w:rsid w:val="676F196F"/>
    <w:rsid w:val="67760F4F"/>
    <w:rsid w:val="67762785"/>
    <w:rsid w:val="67787679"/>
    <w:rsid w:val="677A33C6"/>
    <w:rsid w:val="678C2B65"/>
    <w:rsid w:val="678D6C00"/>
    <w:rsid w:val="678F74B5"/>
    <w:rsid w:val="679179D3"/>
    <w:rsid w:val="679C358C"/>
    <w:rsid w:val="679C78DC"/>
    <w:rsid w:val="679E4721"/>
    <w:rsid w:val="67A27F96"/>
    <w:rsid w:val="67A91325"/>
    <w:rsid w:val="67A92011"/>
    <w:rsid w:val="67B533F7"/>
    <w:rsid w:val="67B72F21"/>
    <w:rsid w:val="67B72FAF"/>
    <w:rsid w:val="67C317B9"/>
    <w:rsid w:val="67C80EED"/>
    <w:rsid w:val="67C827F4"/>
    <w:rsid w:val="67D60132"/>
    <w:rsid w:val="67D61D53"/>
    <w:rsid w:val="67DA3926"/>
    <w:rsid w:val="67E25B0B"/>
    <w:rsid w:val="67E4235D"/>
    <w:rsid w:val="67E4410B"/>
    <w:rsid w:val="67EA7B2A"/>
    <w:rsid w:val="67EE129B"/>
    <w:rsid w:val="680467E8"/>
    <w:rsid w:val="68055318"/>
    <w:rsid w:val="68075DB3"/>
    <w:rsid w:val="68096238"/>
    <w:rsid w:val="680D005F"/>
    <w:rsid w:val="680F79A1"/>
    <w:rsid w:val="6816099B"/>
    <w:rsid w:val="68194FEE"/>
    <w:rsid w:val="681D67D9"/>
    <w:rsid w:val="681F6961"/>
    <w:rsid w:val="68231F2C"/>
    <w:rsid w:val="68237C01"/>
    <w:rsid w:val="68274A0F"/>
    <w:rsid w:val="68293797"/>
    <w:rsid w:val="682A0E77"/>
    <w:rsid w:val="68377E0A"/>
    <w:rsid w:val="683C5CF5"/>
    <w:rsid w:val="68433F8B"/>
    <w:rsid w:val="684C09EC"/>
    <w:rsid w:val="684D2C7E"/>
    <w:rsid w:val="684D7DCE"/>
    <w:rsid w:val="684E2811"/>
    <w:rsid w:val="685D6A39"/>
    <w:rsid w:val="68610A2F"/>
    <w:rsid w:val="686D6C0C"/>
    <w:rsid w:val="68766FE2"/>
    <w:rsid w:val="68786C29"/>
    <w:rsid w:val="687C7CD0"/>
    <w:rsid w:val="687E3E50"/>
    <w:rsid w:val="68805514"/>
    <w:rsid w:val="68853B5B"/>
    <w:rsid w:val="68867A24"/>
    <w:rsid w:val="688C0318"/>
    <w:rsid w:val="68934FD9"/>
    <w:rsid w:val="68A35A87"/>
    <w:rsid w:val="68A619F0"/>
    <w:rsid w:val="68B516F4"/>
    <w:rsid w:val="68B769E7"/>
    <w:rsid w:val="68B775B4"/>
    <w:rsid w:val="68B95D41"/>
    <w:rsid w:val="68BC5968"/>
    <w:rsid w:val="68C006D4"/>
    <w:rsid w:val="68C12F48"/>
    <w:rsid w:val="68CA0853"/>
    <w:rsid w:val="68CF4DBB"/>
    <w:rsid w:val="68CF5E1D"/>
    <w:rsid w:val="68D0679F"/>
    <w:rsid w:val="68D84E0C"/>
    <w:rsid w:val="68D9772D"/>
    <w:rsid w:val="68D9796F"/>
    <w:rsid w:val="68DF0AF3"/>
    <w:rsid w:val="68E2263E"/>
    <w:rsid w:val="68E81099"/>
    <w:rsid w:val="68F61281"/>
    <w:rsid w:val="68F61C7B"/>
    <w:rsid w:val="68F71C1C"/>
    <w:rsid w:val="68FE7820"/>
    <w:rsid w:val="690305C1"/>
    <w:rsid w:val="690C33E7"/>
    <w:rsid w:val="690D60EB"/>
    <w:rsid w:val="691F6BD0"/>
    <w:rsid w:val="69223724"/>
    <w:rsid w:val="692C3CB7"/>
    <w:rsid w:val="69316E2F"/>
    <w:rsid w:val="69336B0E"/>
    <w:rsid w:val="69344EBA"/>
    <w:rsid w:val="693A3B8B"/>
    <w:rsid w:val="693F04D2"/>
    <w:rsid w:val="693F56A1"/>
    <w:rsid w:val="6946737F"/>
    <w:rsid w:val="694967DD"/>
    <w:rsid w:val="694E2071"/>
    <w:rsid w:val="695174FF"/>
    <w:rsid w:val="695645DB"/>
    <w:rsid w:val="69576A1E"/>
    <w:rsid w:val="69594684"/>
    <w:rsid w:val="695B75DC"/>
    <w:rsid w:val="695C6D91"/>
    <w:rsid w:val="696058BF"/>
    <w:rsid w:val="696227B6"/>
    <w:rsid w:val="6969212F"/>
    <w:rsid w:val="696A55BA"/>
    <w:rsid w:val="696C4F38"/>
    <w:rsid w:val="696D3E19"/>
    <w:rsid w:val="697629AA"/>
    <w:rsid w:val="69763488"/>
    <w:rsid w:val="69766163"/>
    <w:rsid w:val="697A3B33"/>
    <w:rsid w:val="69816C61"/>
    <w:rsid w:val="6985637F"/>
    <w:rsid w:val="698B0C1D"/>
    <w:rsid w:val="699054E1"/>
    <w:rsid w:val="69920B38"/>
    <w:rsid w:val="699305EB"/>
    <w:rsid w:val="6994133F"/>
    <w:rsid w:val="6994390F"/>
    <w:rsid w:val="69982619"/>
    <w:rsid w:val="69992CD3"/>
    <w:rsid w:val="699C7BC6"/>
    <w:rsid w:val="69A07A79"/>
    <w:rsid w:val="69A2077F"/>
    <w:rsid w:val="69B3689F"/>
    <w:rsid w:val="69BD5EDA"/>
    <w:rsid w:val="69C30258"/>
    <w:rsid w:val="69C32779"/>
    <w:rsid w:val="69C46B18"/>
    <w:rsid w:val="69C94231"/>
    <w:rsid w:val="69C9662A"/>
    <w:rsid w:val="69D37BD7"/>
    <w:rsid w:val="69D44760"/>
    <w:rsid w:val="69D50933"/>
    <w:rsid w:val="69D66C87"/>
    <w:rsid w:val="69D83B29"/>
    <w:rsid w:val="69E07D0F"/>
    <w:rsid w:val="69E1534A"/>
    <w:rsid w:val="69E738B9"/>
    <w:rsid w:val="69E95A08"/>
    <w:rsid w:val="69E95DAF"/>
    <w:rsid w:val="69F10241"/>
    <w:rsid w:val="69F43FA5"/>
    <w:rsid w:val="69FC398E"/>
    <w:rsid w:val="69FE2415"/>
    <w:rsid w:val="69FF347E"/>
    <w:rsid w:val="6A0A4C39"/>
    <w:rsid w:val="6A0E578D"/>
    <w:rsid w:val="6A170B9B"/>
    <w:rsid w:val="6A1A3E14"/>
    <w:rsid w:val="6A1D3D70"/>
    <w:rsid w:val="6A1E63EA"/>
    <w:rsid w:val="6A285E85"/>
    <w:rsid w:val="6A2F5D0F"/>
    <w:rsid w:val="6A317DE6"/>
    <w:rsid w:val="6A325974"/>
    <w:rsid w:val="6A351F19"/>
    <w:rsid w:val="6A3C233C"/>
    <w:rsid w:val="6A4034DF"/>
    <w:rsid w:val="6A4D2110"/>
    <w:rsid w:val="6A507835"/>
    <w:rsid w:val="6A5159FC"/>
    <w:rsid w:val="6A520EC7"/>
    <w:rsid w:val="6A5D37BE"/>
    <w:rsid w:val="6A641B3C"/>
    <w:rsid w:val="6A6A0586"/>
    <w:rsid w:val="6A721854"/>
    <w:rsid w:val="6A730390"/>
    <w:rsid w:val="6A75729C"/>
    <w:rsid w:val="6A78006C"/>
    <w:rsid w:val="6A821CED"/>
    <w:rsid w:val="6A851149"/>
    <w:rsid w:val="6A8D16F6"/>
    <w:rsid w:val="6A8D7960"/>
    <w:rsid w:val="6A8D7ECE"/>
    <w:rsid w:val="6A8E7208"/>
    <w:rsid w:val="6A8E78E9"/>
    <w:rsid w:val="6A95793E"/>
    <w:rsid w:val="6A972FAC"/>
    <w:rsid w:val="6AA269E4"/>
    <w:rsid w:val="6AAB7162"/>
    <w:rsid w:val="6AB0286A"/>
    <w:rsid w:val="6AB34298"/>
    <w:rsid w:val="6AB956BB"/>
    <w:rsid w:val="6AC146B8"/>
    <w:rsid w:val="6AC20FB2"/>
    <w:rsid w:val="6AC53B7A"/>
    <w:rsid w:val="6AC6248D"/>
    <w:rsid w:val="6AD0578E"/>
    <w:rsid w:val="6AD10AF9"/>
    <w:rsid w:val="6AD855C4"/>
    <w:rsid w:val="6AED367B"/>
    <w:rsid w:val="6AF87E20"/>
    <w:rsid w:val="6AFC3C6D"/>
    <w:rsid w:val="6B004B2C"/>
    <w:rsid w:val="6B046AB3"/>
    <w:rsid w:val="6B1104EF"/>
    <w:rsid w:val="6B146930"/>
    <w:rsid w:val="6B1747F7"/>
    <w:rsid w:val="6B174AAB"/>
    <w:rsid w:val="6B17621E"/>
    <w:rsid w:val="6B18012C"/>
    <w:rsid w:val="6B1A779E"/>
    <w:rsid w:val="6B1B5990"/>
    <w:rsid w:val="6B211777"/>
    <w:rsid w:val="6B2238CE"/>
    <w:rsid w:val="6B223C79"/>
    <w:rsid w:val="6B27124C"/>
    <w:rsid w:val="6B282560"/>
    <w:rsid w:val="6B2A450B"/>
    <w:rsid w:val="6B321C32"/>
    <w:rsid w:val="6B322639"/>
    <w:rsid w:val="6B3455FE"/>
    <w:rsid w:val="6B377782"/>
    <w:rsid w:val="6B3808B4"/>
    <w:rsid w:val="6B381E8F"/>
    <w:rsid w:val="6B384806"/>
    <w:rsid w:val="6B3C3566"/>
    <w:rsid w:val="6B3E2CD6"/>
    <w:rsid w:val="6B4860B1"/>
    <w:rsid w:val="6B510425"/>
    <w:rsid w:val="6B521704"/>
    <w:rsid w:val="6B59156D"/>
    <w:rsid w:val="6B673124"/>
    <w:rsid w:val="6B685D3C"/>
    <w:rsid w:val="6B6A2558"/>
    <w:rsid w:val="6B6C451A"/>
    <w:rsid w:val="6B705547"/>
    <w:rsid w:val="6B742163"/>
    <w:rsid w:val="6B745931"/>
    <w:rsid w:val="6B76266F"/>
    <w:rsid w:val="6B773BDE"/>
    <w:rsid w:val="6B7F68E3"/>
    <w:rsid w:val="6B834FB4"/>
    <w:rsid w:val="6B84050F"/>
    <w:rsid w:val="6B8E1A0E"/>
    <w:rsid w:val="6B9536EF"/>
    <w:rsid w:val="6B981494"/>
    <w:rsid w:val="6BBC6AC9"/>
    <w:rsid w:val="6BBE4C73"/>
    <w:rsid w:val="6BBE7F6A"/>
    <w:rsid w:val="6BBF3704"/>
    <w:rsid w:val="6BCB3E38"/>
    <w:rsid w:val="6BD0376F"/>
    <w:rsid w:val="6BD42554"/>
    <w:rsid w:val="6BD526E8"/>
    <w:rsid w:val="6BD542A7"/>
    <w:rsid w:val="6BDE0A2B"/>
    <w:rsid w:val="6BEA5A68"/>
    <w:rsid w:val="6BED19ED"/>
    <w:rsid w:val="6BFA6BB4"/>
    <w:rsid w:val="6BFD2C96"/>
    <w:rsid w:val="6BFD7496"/>
    <w:rsid w:val="6BFF1828"/>
    <w:rsid w:val="6C021003"/>
    <w:rsid w:val="6C0434C0"/>
    <w:rsid w:val="6C0876F4"/>
    <w:rsid w:val="6C0904A3"/>
    <w:rsid w:val="6C126A27"/>
    <w:rsid w:val="6C296590"/>
    <w:rsid w:val="6C2D74A0"/>
    <w:rsid w:val="6C3370B6"/>
    <w:rsid w:val="6C33740F"/>
    <w:rsid w:val="6C36378A"/>
    <w:rsid w:val="6C425E1B"/>
    <w:rsid w:val="6C453748"/>
    <w:rsid w:val="6C471067"/>
    <w:rsid w:val="6C47110C"/>
    <w:rsid w:val="6C4B2C0F"/>
    <w:rsid w:val="6C4F00BF"/>
    <w:rsid w:val="6C530457"/>
    <w:rsid w:val="6C5C4599"/>
    <w:rsid w:val="6C610CD1"/>
    <w:rsid w:val="6C636C38"/>
    <w:rsid w:val="6C6B58F5"/>
    <w:rsid w:val="6C703DEB"/>
    <w:rsid w:val="6C7526EA"/>
    <w:rsid w:val="6C7C5D4B"/>
    <w:rsid w:val="6C8070C3"/>
    <w:rsid w:val="6C835A2B"/>
    <w:rsid w:val="6C85796A"/>
    <w:rsid w:val="6C88775B"/>
    <w:rsid w:val="6C8A3411"/>
    <w:rsid w:val="6C901DB7"/>
    <w:rsid w:val="6C95290D"/>
    <w:rsid w:val="6C9C3BB7"/>
    <w:rsid w:val="6C9C7D77"/>
    <w:rsid w:val="6CA0158F"/>
    <w:rsid w:val="6CA42514"/>
    <w:rsid w:val="6CA53D86"/>
    <w:rsid w:val="6CAE01BF"/>
    <w:rsid w:val="6CB31A5A"/>
    <w:rsid w:val="6CB66411"/>
    <w:rsid w:val="6CBE071E"/>
    <w:rsid w:val="6CC2136F"/>
    <w:rsid w:val="6CC27FAE"/>
    <w:rsid w:val="6CC83E9E"/>
    <w:rsid w:val="6CC938CF"/>
    <w:rsid w:val="6CD0626B"/>
    <w:rsid w:val="6CD2463E"/>
    <w:rsid w:val="6CD6338A"/>
    <w:rsid w:val="6CD90FAB"/>
    <w:rsid w:val="6CE636DC"/>
    <w:rsid w:val="6CEB658F"/>
    <w:rsid w:val="6CEB67F0"/>
    <w:rsid w:val="6CEC2738"/>
    <w:rsid w:val="6CF360B5"/>
    <w:rsid w:val="6CFD4EDF"/>
    <w:rsid w:val="6D03496E"/>
    <w:rsid w:val="6D042B59"/>
    <w:rsid w:val="6D061926"/>
    <w:rsid w:val="6D065E49"/>
    <w:rsid w:val="6D0C0181"/>
    <w:rsid w:val="6D0F4519"/>
    <w:rsid w:val="6D1026CB"/>
    <w:rsid w:val="6D1041E6"/>
    <w:rsid w:val="6D130C29"/>
    <w:rsid w:val="6D1C0139"/>
    <w:rsid w:val="6D203E37"/>
    <w:rsid w:val="6D2234A2"/>
    <w:rsid w:val="6D232375"/>
    <w:rsid w:val="6D2A7508"/>
    <w:rsid w:val="6D2B102A"/>
    <w:rsid w:val="6D2B4797"/>
    <w:rsid w:val="6D2F4D9F"/>
    <w:rsid w:val="6D334977"/>
    <w:rsid w:val="6D3C5B5A"/>
    <w:rsid w:val="6D411ED6"/>
    <w:rsid w:val="6D430813"/>
    <w:rsid w:val="6D536634"/>
    <w:rsid w:val="6D557338"/>
    <w:rsid w:val="6D567C26"/>
    <w:rsid w:val="6D573D28"/>
    <w:rsid w:val="6D595F2D"/>
    <w:rsid w:val="6D654F1B"/>
    <w:rsid w:val="6D6614DA"/>
    <w:rsid w:val="6D6C629D"/>
    <w:rsid w:val="6D6C66F4"/>
    <w:rsid w:val="6D705AF2"/>
    <w:rsid w:val="6D7777CF"/>
    <w:rsid w:val="6D7B4CC0"/>
    <w:rsid w:val="6D7C55B1"/>
    <w:rsid w:val="6D7D27C7"/>
    <w:rsid w:val="6D7D469F"/>
    <w:rsid w:val="6D810D2C"/>
    <w:rsid w:val="6D877A12"/>
    <w:rsid w:val="6D8D7B48"/>
    <w:rsid w:val="6D926D03"/>
    <w:rsid w:val="6D960559"/>
    <w:rsid w:val="6D985C9D"/>
    <w:rsid w:val="6DA21DE4"/>
    <w:rsid w:val="6DA236D5"/>
    <w:rsid w:val="6DA258BA"/>
    <w:rsid w:val="6DA67CEE"/>
    <w:rsid w:val="6DAA5431"/>
    <w:rsid w:val="6DB26A85"/>
    <w:rsid w:val="6DB31627"/>
    <w:rsid w:val="6DB34098"/>
    <w:rsid w:val="6DB545B6"/>
    <w:rsid w:val="6DBA3DD1"/>
    <w:rsid w:val="6DBD3FAC"/>
    <w:rsid w:val="6DC316CE"/>
    <w:rsid w:val="6DC43A67"/>
    <w:rsid w:val="6DC914E9"/>
    <w:rsid w:val="6DD3535D"/>
    <w:rsid w:val="6DDC7039"/>
    <w:rsid w:val="6DDE47BA"/>
    <w:rsid w:val="6DDF35EC"/>
    <w:rsid w:val="6DE02FB4"/>
    <w:rsid w:val="6DE040A5"/>
    <w:rsid w:val="6DE24C48"/>
    <w:rsid w:val="6DEA4176"/>
    <w:rsid w:val="6DF22994"/>
    <w:rsid w:val="6DF72F75"/>
    <w:rsid w:val="6DF773D0"/>
    <w:rsid w:val="6DF94A8D"/>
    <w:rsid w:val="6DFB0400"/>
    <w:rsid w:val="6E014E3F"/>
    <w:rsid w:val="6E01653D"/>
    <w:rsid w:val="6E054E24"/>
    <w:rsid w:val="6E070FAC"/>
    <w:rsid w:val="6E192634"/>
    <w:rsid w:val="6E255D50"/>
    <w:rsid w:val="6E282E60"/>
    <w:rsid w:val="6E337B9A"/>
    <w:rsid w:val="6E346D08"/>
    <w:rsid w:val="6E384740"/>
    <w:rsid w:val="6E3A0FE2"/>
    <w:rsid w:val="6E3C702D"/>
    <w:rsid w:val="6E42614C"/>
    <w:rsid w:val="6E477D63"/>
    <w:rsid w:val="6E477EC5"/>
    <w:rsid w:val="6E4A6435"/>
    <w:rsid w:val="6E514CED"/>
    <w:rsid w:val="6E520F4B"/>
    <w:rsid w:val="6E551448"/>
    <w:rsid w:val="6E5553E5"/>
    <w:rsid w:val="6E5D3664"/>
    <w:rsid w:val="6E5F0491"/>
    <w:rsid w:val="6E625D89"/>
    <w:rsid w:val="6E634FFA"/>
    <w:rsid w:val="6E656098"/>
    <w:rsid w:val="6E662261"/>
    <w:rsid w:val="6E722615"/>
    <w:rsid w:val="6E74531D"/>
    <w:rsid w:val="6E815C9E"/>
    <w:rsid w:val="6E8631D8"/>
    <w:rsid w:val="6E895696"/>
    <w:rsid w:val="6E922B12"/>
    <w:rsid w:val="6E9F02DD"/>
    <w:rsid w:val="6EA35E18"/>
    <w:rsid w:val="6EA447EE"/>
    <w:rsid w:val="6EA90C3C"/>
    <w:rsid w:val="6EAC29E2"/>
    <w:rsid w:val="6EB02BE9"/>
    <w:rsid w:val="6EB563D5"/>
    <w:rsid w:val="6EB7309D"/>
    <w:rsid w:val="6EB760D5"/>
    <w:rsid w:val="6EB96263"/>
    <w:rsid w:val="6EBC5709"/>
    <w:rsid w:val="6ED02655"/>
    <w:rsid w:val="6ED03CB5"/>
    <w:rsid w:val="6ED15AA2"/>
    <w:rsid w:val="6ED1604F"/>
    <w:rsid w:val="6ED92677"/>
    <w:rsid w:val="6EE92F45"/>
    <w:rsid w:val="6EF15BF4"/>
    <w:rsid w:val="6EF309F4"/>
    <w:rsid w:val="6EF74B3A"/>
    <w:rsid w:val="6EF85151"/>
    <w:rsid w:val="6F011A46"/>
    <w:rsid w:val="6F021BE9"/>
    <w:rsid w:val="6F0246DD"/>
    <w:rsid w:val="6F033FA1"/>
    <w:rsid w:val="6F0A6072"/>
    <w:rsid w:val="6F100606"/>
    <w:rsid w:val="6F1F1ECC"/>
    <w:rsid w:val="6F22253A"/>
    <w:rsid w:val="6F225983"/>
    <w:rsid w:val="6F282B2F"/>
    <w:rsid w:val="6F283B08"/>
    <w:rsid w:val="6F2A4029"/>
    <w:rsid w:val="6F2B5ADA"/>
    <w:rsid w:val="6F3001A9"/>
    <w:rsid w:val="6F487D5E"/>
    <w:rsid w:val="6F4A485F"/>
    <w:rsid w:val="6F4C0D88"/>
    <w:rsid w:val="6F5267F6"/>
    <w:rsid w:val="6F557945"/>
    <w:rsid w:val="6F5C755D"/>
    <w:rsid w:val="6F5E4332"/>
    <w:rsid w:val="6F6104F6"/>
    <w:rsid w:val="6F7452D3"/>
    <w:rsid w:val="6F751E4A"/>
    <w:rsid w:val="6F795A80"/>
    <w:rsid w:val="6F7A7103"/>
    <w:rsid w:val="6F7D73ED"/>
    <w:rsid w:val="6F871F4B"/>
    <w:rsid w:val="6F8D0F17"/>
    <w:rsid w:val="6F983F71"/>
    <w:rsid w:val="6F9A6BA5"/>
    <w:rsid w:val="6F9B31B2"/>
    <w:rsid w:val="6F9C17D9"/>
    <w:rsid w:val="6FA17DB4"/>
    <w:rsid w:val="6FAF2BFC"/>
    <w:rsid w:val="6FB11BBE"/>
    <w:rsid w:val="6FB275DD"/>
    <w:rsid w:val="6FB40867"/>
    <w:rsid w:val="6FBB126C"/>
    <w:rsid w:val="6FBC771B"/>
    <w:rsid w:val="6FC71028"/>
    <w:rsid w:val="6FC728FA"/>
    <w:rsid w:val="6FCF68C6"/>
    <w:rsid w:val="6FD95A93"/>
    <w:rsid w:val="6FE05CC6"/>
    <w:rsid w:val="6FE27E31"/>
    <w:rsid w:val="6FF02180"/>
    <w:rsid w:val="6FF2019A"/>
    <w:rsid w:val="6FF65844"/>
    <w:rsid w:val="6FFC5590"/>
    <w:rsid w:val="6FFF1B37"/>
    <w:rsid w:val="7011528B"/>
    <w:rsid w:val="70136352"/>
    <w:rsid w:val="70161C45"/>
    <w:rsid w:val="70164645"/>
    <w:rsid w:val="70182E03"/>
    <w:rsid w:val="70187047"/>
    <w:rsid w:val="70192E45"/>
    <w:rsid w:val="701B68A4"/>
    <w:rsid w:val="701D01BA"/>
    <w:rsid w:val="701D33A7"/>
    <w:rsid w:val="701E2817"/>
    <w:rsid w:val="7020173B"/>
    <w:rsid w:val="7020742C"/>
    <w:rsid w:val="702230D1"/>
    <w:rsid w:val="70324A93"/>
    <w:rsid w:val="7032691B"/>
    <w:rsid w:val="7034712D"/>
    <w:rsid w:val="70371921"/>
    <w:rsid w:val="703B296D"/>
    <w:rsid w:val="703B2D36"/>
    <w:rsid w:val="7041191D"/>
    <w:rsid w:val="704A1937"/>
    <w:rsid w:val="704A3DF3"/>
    <w:rsid w:val="7052723F"/>
    <w:rsid w:val="705D3394"/>
    <w:rsid w:val="705D39B0"/>
    <w:rsid w:val="70615EC7"/>
    <w:rsid w:val="7069635F"/>
    <w:rsid w:val="706D1DD0"/>
    <w:rsid w:val="70700EFF"/>
    <w:rsid w:val="70735914"/>
    <w:rsid w:val="7079766D"/>
    <w:rsid w:val="70856B87"/>
    <w:rsid w:val="70884C6A"/>
    <w:rsid w:val="70892E4E"/>
    <w:rsid w:val="709166C3"/>
    <w:rsid w:val="709171C3"/>
    <w:rsid w:val="709331CE"/>
    <w:rsid w:val="70A24EDA"/>
    <w:rsid w:val="70A526FC"/>
    <w:rsid w:val="70A6416C"/>
    <w:rsid w:val="70AC7790"/>
    <w:rsid w:val="70AE2FA6"/>
    <w:rsid w:val="70B40682"/>
    <w:rsid w:val="70B578AB"/>
    <w:rsid w:val="70CA103D"/>
    <w:rsid w:val="70CC5758"/>
    <w:rsid w:val="70D12EDA"/>
    <w:rsid w:val="70D13B2D"/>
    <w:rsid w:val="70D258BD"/>
    <w:rsid w:val="70D527EE"/>
    <w:rsid w:val="70D54BC9"/>
    <w:rsid w:val="70DF7B65"/>
    <w:rsid w:val="70DF7C0D"/>
    <w:rsid w:val="70E20B97"/>
    <w:rsid w:val="70EA0D90"/>
    <w:rsid w:val="70F82CCD"/>
    <w:rsid w:val="710C4C70"/>
    <w:rsid w:val="711B3F8E"/>
    <w:rsid w:val="71217AA4"/>
    <w:rsid w:val="712B398A"/>
    <w:rsid w:val="712F28B7"/>
    <w:rsid w:val="713C366E"/>
    <w:rsid w:val="713D143A"/>
    <w:rsid w:val="71454DBF"/>
    <w:rsid w:val="714D626A"/>
    <w:rsid w:val="715A4ACF"/>
    <w:rsid w:val="715B5300"/>
    <w:rsid w:val="716073C2"/>
    <w:rsid w:val="71655907"/>
    <w:rsid w:val="716C308E"/>
    <w:rsid w:val="716E0233"/>
    <w:rsid w:val="71785A89"/>
    <w:rsid w:val="7181633B"/>
    <w:rsid w:val="718557F5"/>
    <w:rsid w:val="71885381"/>
    <w:rsid w:val="718A30E4"/>
    <w:rsid w:val="718B635F"/>
    <w:rsid w:val="718C04C7"/>
    <w:rsid w:val="718C2A38"/>
    <w:rsid w:val="719A3A8C"/>
    <w:rsid w:val="719C176B"/>
    <w:rsid w:val="71A57600"/>
    <w:rsid w:val="71A63C0D"/>
    <w:rsid w:val="71AE2BBA"/>
    <w:rsid w:val="71B23836"/>
    <w:rsid w:val="71B72F57"/>
    <w:rsid w:val="71C01745"/>
    <w:rsid w:val="71C81292"/>
    <w:rsid w:val="71C93821"/>
    <w:rsid w:val="71C94A40"/>
    <w:rsid w:val="71CD58E9"/>
    <w:rsid w:val="71CE0FC3"/>
    <w:rsid w:val="71D27F8A"/>
    <w:rsid w:val="71D86CBC"/>
    <w:rsid w:val="71D930F3"/>
    <w:rsid w:val="71DC4030"/>
    <w:rsid w:val="71DE771F"/>
    <w:rsid w:val="71E84AAC"/>
    <w:rsid w:val="71EB28BE"/>
    <w:rsid w:val="71ED7A82"/>
    <w:rsid w:val="71F31B1A"/>
    <w:rsid w:val="71F94192"/>
    <w:rsid w:val="720430CB"/>
    <w:rsid w:val="72061582"/>
    <w:rsid w:val="720D5D00"/>
    <w:rsid w:val="72266EB2"/>
    <w:rsid w:val="722E11C0"/>
    <w:rsid w:val="72312854"/>
    <w:rsid w:val="72327494"/>
    <w:rsid w:val="723643E3"/>
    <w:rsid w:val="723A6B8B"/>
    <w:rsid w:val="72400126"/>
    <w:rsid w:val="72430A0C"/>
    <w:rsid w:val="72443DF5"/>
    <w:rsid w:val="72451216"/>
    <w:rsid w:val="724D41A0"/>
    <w:rsid w:val="724E5D01"/>
    <w:rsid w:val="7250455C"/>
    <w:rsid w:val="72553024"/>
    <w:rsid w:val="72553C67"/>
    <w:rsid w:val="725E7FD1"/>
    <w:rsid w:val="72641CC3"/>
    <w:rsid w:val="72647194"/>
    <w:rsid w:val="726E6251"/>
    <w:rsid w:val="72722C8A"/>
    <w:rsid w:val="72782B3C"/>
    <w:rsid w:val="727A45F4"/>
    <w:rsid w:val="727C0FDA"/>
    <w:rsid w:val="729C1B76"/>
    <w:rsid w:val="729C7756"/>
    <w:rsid w:val="72A35170"/>
    <w:rsid w:val="72A46970"/>
    <w:rsid w:val="72A746B3"/>
    <w:rsid w:val="72AB5B27"/>
    <w:rsid w:val="72AE3514"/>
    <w:rsid w:val="72AE6CEA"/>
    <w:rsid w:val="72B05A01"/>
    <w:rsid w:val="72B46799"/>
    <w:rsid w:val="72BF25F8"/>
    <w:rsid w:val="72C77C7C"/>
    <w:rsid w:val="72D265CF"/>
    <w:rsid w:val="72DA2E7B"/>
    <w:rsid w:val="72EC4E1B"/>
    <w:rsid w:val="72EE408F"/>
    <w:rsid w:val="72F22791"/>
    <w:rsid w:val="72F35C6F"/>
    <w:rsid w:val="72F51CA7"/>
    <w:rsid w:val="72F971B5"/>
    <w:rsid w:val="72FE6DD2"/>
    <w:rsid w:val="73020B7A"/>
    <w:rsid w:val="7303644A"/>
    <w:rsid w:val="73037A6A"/>
    <w:rsid w:val="73063BF2"/>
    <w:rsid w:val="73074489"/>
    <w:rsid w:val="730848AF"/>
    <w:rsid w:val="730C75DB"/>
    <w:rsid w:val="73122968"/>
    <w:rsid w:val="731E4C7C"/>
    <w:rsid w:val="731F5C17"/>
    <w:rsid w:val="731F5D5E"/>
    <w:rsid w:val="732029BA"/>
    <w:rsid w:val="732465F6"/>
    <w:rsid w:val="7326462C"/>
    <w:rsid w:val="732A6082"/>
    <w:rsid w:val="732B5A4D"/>
    <w:rsid w:val="73322888"/>
    <w:rsid w:val="73352C82"/>
    <w:rsid w:val="7337429F"/>
    <w:rsid w:val="734939BC"/>
    <w:rsid w:val="734F5EF5"/>
    <w:rsid w:val="73530771"/>
    <w:rsid w:val="735347D8"/>
    <w:rsid w:val="73534CA3"/>
    <w:rsid w:val="73537717"/>
    <w:rsid w:val="7358775B"/>
    <w:rsid w:val="73643783"/>
    <w:rsid w:val="736822B8"/>
    <w:rsid w:val="736B4FFE"/>
    <w:rsid w:val="736E3276"/>
    <w:rsid w:val="737C580D"/>
    <w:rsid w:val="737E0B1E"/>
    <w:rsid w:val="73813540"/>
    <w:rsid w:val="738601E5"/>
    <w:rsid w:val="738B27A5"/>
    <w:rsid w:val="739129A1"/>
    <w:rsid w:val="739273C3"/>
    <w:rsid w:val="73965E4D"/>
    <w:rsid w:val="739C1A5E"/>
    <w:rsid w:val="739D3BF1"/>
    <w:rsid w:val="73A17E7D"/>
    <w:rsid w:val="73A20AB8"/>
    <w:rsid w:val="73A87439"/>
    <w:rsid w:val="73A910C6"/>
    <w:rsid w:val="73AD5609"/>
    <w:rsid w:val="73B05A9F"/>
    <w:rsid w:val="73B250BD"/>
    <w:rsid w:val="73C11F91"/>
    <w:rsid w:val="73C51AD5"/>
    <w:rsid w:val="73C8759D"/>
    <w:rsid w:val="73CC0823"/>
    <w:rsid w:val="73CE08D7"/>
    <w:rsid w:val="73D4568C"/>
    <w:rsid w:val="73D478BC"/>
    <w:rsid w:val="73E649FB"/>
    <w:rsid w:val="73EA389E"/>
    <w:rsid w:val="73EB796D"/>
    <w:rsid w:val="73F1516A"/>
    <w:rsid w:val="73F20891"/>
    <w:rsid w:val="73F37565"/>
    <w:rsid w:val="73F465D0"/>
    <w:rsid w:val="73F66939"/>
    <w:rsid w:val="73F756AE"/>
    <w:rsid w:val="73FA6B1E"/>
    <w:rsid w:val="73FC27DC"/>
    <w:rsid w:val="7403523E"/>
    <w:rsid w:val="74077C8F"/>
    <w:rsid w:val="740B2A1F"/>
    <w:rsid w:val="740F7482"/>
    <w:rsid w:val="74125240"/>
    <w:rsid w:val="74132BB0"/>
    <w:rsid w:val="741922FF"/>
    <w:rsid w:val="741E793C"/>
    <w:rsid w:val="74223FA7"/>
    <w:rsid w:val="74274F86"/>
    <w:rsid w:val="74281112"/>
    <w:rsid w:val="74295AFB"/>
    <w:rsid w:val="742F6591"/>
    <w:rsid w:val="74365AB1"/>
    <w:rsid w:val="74374508"/>
    <w:rsid w:val="743B50B2"/>
    <w:rsid w:val="743C7628"/>
    <w:rsid w:val="744168AB"/>
    <w:rsid w:val="7449308A"/>
    <w:rsid w:val="744B7799"/>
    <w:rsid w:val="744D3863"/>
    <w:rsid w:val="745E3944"/>
    <w:rsid w:val="7464185B"/>
    <w:rsid w:val="74661235"/>
    <w:rsid w:val="74686F6D"/>
    <w:rsid w:val="74757E85"/>
    <w:rsid w:val="748652CA"/>
    <w:rsid w:val="7486545D"/>
    <w:rsid w:val="7487108E"/>
    <w:rsid w:val="748E1914"/>
    <w:rsid w:val="749962C4"/>
    <w:rsid w:val="749A4DFF"/>
    <w:rsid w:val="749E0D63"/>
    <w:rsid w:val="74A5768D"/>
    <w:rsid w:val="74AE36F2"/>
    <w:rsid w:val="74B15C02"/>
    <w:rsid w:val="74BA7938"/>
    <w:rsid w:val="74BD1F6B"/>
    <w:rsid w:val="74C80793"/>
    <w:rsid w:val="74CB28DA"/>
    <w:rsid w:val="74CD7B20"/>
    <w:rsid w:val="74D14482"/>
    <w:rsid w:val="74D32DDC"/>
    <w:rsid w:val="74D84540"/>
    <w:rsid w:val="74DA4B95"/>
    <w:rsid w:val="74DD2D16"/>
    <w:rsid w:val="74E11DB7"/>
    <w:rsid w:val="74E36832"/>
    <w:rsid w:val="74EC5BBC"/>
    <w:rsid w:val="74EC62D8"/>
    <w:rsid w:val="74F35D48"/>
    <w:rsid w:val="74F515C5"/>
    <w:rsid w:val="74F850CB"/>
    <w:rsid w:val="74FB2087"/>
    <w:rsid w:val="74FB2A94"/>
    <w:rsid w:val="74FD1921"/>
    <w:rsid w:val="75017D8F"/>
    <w:rsid w:val="750827FA"/>
    <w:rsid w:val="750F0BCB"/>
    <w:rsid w:val="751566C9"/>
    <w:rsid w:val="75171E9F"/>
    <w:rsid w:val="751C2AC6"/>
    <w:rsid w:val="751F6651"/>
    <w:rsid w:val="752444B1"/>
    <w:rsid w:val="752A02D7"/>
    <w:rsid w:val="752B6231"/>
    <w:rsid w:val="75303212"/>
    <w:rsid w:val="7533222E"/>
    <w:rsid w:val="75373932"/>
    <w:rsid w:val="753971D0"/>
    <w:rsid w:val="753B04F4"/>
    <w:rsid w:val="753B7571"/>
    <w:rsid w:val="754066DC"/>
    <w:rsid w:val="75421255"/>
    <w:rsid w:val="754637B9"/>
    <w:rsid w:val="754D44A6"/>
    <w:rsid w:val="754D4F83"/>
    <w:rsid w:val="75524899"/>
    <w:rsid w:val="75572CE3"/>
    <w:rsid w:val="75573F26"/>
    <w:rsid w:val="75653489"/>
    <w:rsid w:val="756A5A59"/>
    <w:rsid w:val="756D5610"/>
    <w:rsid w:val="756E20D2"/>
    <w:rsid w:val="756E59FF"/>
    <w:rsid w:val="757A7E5C"/>
    <w:rsid w:val="757C08FA"/>
    <w:rsid w:val="757F598C"/>
    <w:rsid w:val="75815B42"/>
    <w:rsid w:val="759C7DE2"/>
    <w:rsid w:val="759E2D81"/>
    <w:rsid w:val="759F0F50"/>
    <w:rsid w:val="75A1188D"/>
    <w:rsid w:val="75A8682B"/>
    <w:rsid w:val="75AC74E0"/>
    <w:rsid w:val="75B259F7"/>
    <w:rsid w:val="75B448E0"/>
    <w:rsid w:val="75B45A00"/>
    <w:rsid w:val="75B60411"/>
    <w:rsid w:val="75B66E0C"/>
    <w:rsid w:val="75BF7E3F"/>
    <w:rsid w:val="75C136C2"/>
    <w:rsid w:val="75C31844"/>
    <w:rsid w:val="75C67610"/>
    <w:rsid w:val="75C927BE"/>
    <w:rsid w:val="75CC66DA"/>
    <w:rsid w:val="75CD5278"/>
    <w:rsid w:val="75CF78A3"/>
    <w:rsid w:val="75D33B0B"/>
    <w:rsid w:val="75D40618"/>
    <w:rsid w:val="75D82765"/>
    <w:rsid w:val="75D97C3B"/>
    <w:rsid w:val="75DA08FB"/>
    <w:rsid w:val="75E579CC"/>
    <w:rsid w:val="75E75FB5"/>
    <w:rsid w:val="75EB68A6"/>
    <w:rsid w:val="75EC575B"/>
    <w:rsid w:val="75EF7AF8"/>
    <w:rsid w:val="75F12154"/>
    <w:rsid w:val="75F70D2F"/>
    <w:rsid w:val="75F741CA"/>
    <w:rsid w:val="75FD1DC6"/>
    <w:rsid w:val="760568DC"/>
    <w:rsid w:val="76096867"/>
    <w:rsid w:val="760A7432"/>
    <w:rsid w:val="7610431D"/>
    <w:rsid w:val="76107E08"/>
    <w:rsid w:val="7615086F"/>
    <w:rsid w:val="76155DAF"/>
    <w:rsid w:val="761F0BD1"/>
    <w:rsid w:val="761F584A"/>
    <w:rsid w:val="7625426C"/>
    <w:rsid w:val="7628008E"/>
    <w:rsid w:val="76280319"/>
    <w:rsid w:val="76292246"/>
    <w:rsid w:val="76293C0F"/>
    <w:rsid w:val="762D1373"/>
    <w:rsid w:val="762D70BD"/>
    <w:rsid w:val="7635099D"/>
    <w:rsid w:val="7638258F"/>
    <w:rsid w:val="763E453E"/>
    <w:rsid w:val="764743CA"/>
    <w:rsid w:val="765246E5"/>
    <w:rsid w:val="7652635D"/>
    <w:rsid w:val="76536A0C"/>
    <w:rsid w:val="76557E3A"/>
    <w:rsid w:val="76563735"/>
    <w:rsid w:val="76572507"/>
    <w:rsid w:val="765D32BA"/>
    <w:rsid w:val="765F7BE9"/>
    <w:rsid w:val="76692B88"/>
    <w:rsid w:val="766D7156"/>
    <w:rsid w:val="766E117D"/>
    <w:rsid w:val="766E6E26"/>
    <w:rsid w:val="766F54E7"/>
    <w:rsid w:val="76704029"/>
    <w:rsid w:val="767D7B17"/>
    <w:rsid w:val="767E43CC"/>
    <w:rsid w:val="76815FE4"/>
    <w:rsid w:val="76823EF7"/>
    <w:rsid w:val="768B5EF2"/>
    <w:rsid w:val="769154E2"/>
    <w:rsid w:val="769342A7"/>
    <w:rsid w:val="769E3285"/>
    <w:rsid w:val="769E4BE6"/>
    <w:rsid w:val="76A2740F"/>
    <w:rsid w:val="76A7498B"/>
    <w:rsid w:val="76AA1F16"/>
    <w:rsid w:val="76AA53F8"/>
    <w:rsid w:val="76AB1327"/>
    <w:rsid w:val="76B30ACF"/>
    <w:rsid w:val="76B5092D"/>
    <w:rsid w:val="76B5536A"/>
    <w:rsid w:val="76BB1CE2"/>
    <w:rsid w:val="76C0206E"/>
    <w:rsid w:val="76C44B15"/>
    <w:rsid w:val="76C9191B"/>
    <w:rsid w:val="76CC171D"/>
    <w:rsid w:val="76CD4B1D"/>
    <w:rsid w:val="76D01850"/>
    <w:rsid w:val="76E30071"/>
    <w:rsid w:val="76E63A8D"/>
    <w:rsid w:val="76E6473A"/>
    <w:rsid w:val="76E718B3"/>
    <w:rsid w:val="76E73B7E"/>
    <w:rsid w:val="76F244CD"/>
    <w:rsid w:val="76FA2350"/>
    <w:rsid w:val="76FA6D63"/>
    <w:rsid w:val="76FB7216"/>
    <w:rsid w:val="77185B7F"/>
    <w:rsid w:val="771F0014"/>
    <w:rsid w:val="7721463A"/>
    <w:rsid w:val="77455FCC"/>
    <w:rsid w:val="77461933"/>
    <w:rsid w:val="774703A0"/>
    <w:rsid w:val="774A78A8"/>
    <w:rsid w:val="774D0F49"/>
    <w:rsid w:val="775246A8"/>
    <w:rsid w:val="77537E29"/>
    <w:rsid w:val="77554934"/>
    <w:rsid w:val="77591713"/>
    <w:rsid w:val="776032EC"/>
    <w:rsid w:val="77615187"/>
    <w:rsid w:val="77741C45"/>
    <w:rsid w:val="77756E76"/>
    <w:rsid w:val="77762421"/>
    <w:rsid w:val="777708A1"/>
    <w:rsid w:val="777754E5"/>
    <w:rsid w:val="77786A38"/>
    <w:rsid w:val="77791D74"/>
    <w:rsid w:val="77800E6F"/>
    <w:rsid w:val="778344AA"/>
    <w:rsid w:val="7787785D"/>
    <w:rsid w:val="77884AB8"/>
    <w:rsid w:val="77904CC1"/>
    <w:rsid w:val="77907B4A"/>
    <w:rsid w:val="77957BA6"/>
    <w:rsid w:val="77A52326"/>
    <w:rsid w:val="77A7118E"/>
    <w:rsid w:val="77A971F8"/>
    <w:rsid w:val="77AA3A5F"/>
    <w:rsid w:val="77AB69F3"/>
    <w:rsid w:val="77AE564D"/>
    <w:rsid w:val="77B04BBB"/>
    <w:rsid w:val="77B32B86"/>
    <w:rsid w:val="77B56B1F"/>
    <w:rsid w:val="77B945B0"/>
    <w:rsid w:val="77BD5E50"/>
    <w:rsid w:val="77BF33A2"/>
    <w:rsid w:val="77CB3374"/>
    <w:rsid w:val="77CD768F"/>
    <w:rsid w:val="77E01BA9"/>
    <w:rsid w:val="77EE2E3D"/>
    <w:rsid w:val="77F02EC3"/>
    <w:rsid w:val="77F66BDF"/>
    <w:rsid w:val="77FB783A"/>
    <w:rsid w:val="780675A1"/>
    <w:rsid w:val="78087B97"/>
    <w:rsid w:val="780A469C"/>
    <w:rsid w:val="780A5923"/>
    <w:rsid w:val="780B26C7"/>
    <w:rsid w:val="780F09F4"/>
    <w:rsid w:val="78114B90"/>
    <w:rsid w:val="78134B4E"/>
    <w:rsid w:val="78174088"/>
    <w:rsid w:val="781A0B21"/>
    <w:rsid w:val="781B05F6"/>
    <w:rsid w:val="781F7BBC"/>
    <w:rsid w:val="7820118F"/>
    <w:rsid w:val="782112A6"/>
    <w:rsid w:val="7824516F"/>
    <w:rsid w:val="782A76AA"/>
    <w:rsid w:val="7831202C"/>
    <w:rsid w:val="78341B97"/>
    <w:rsid w:val="78401531"/>
    <w:rsid w:val="78505992"/>
    <w:rsid w:val="7854343D"/>
    <w:rsid w:val="7856156C"/>
    <w:rsid w:val="7858005C"/>
    <w:rsid w:val="78677BDB"/>
    <w:rsid w:val="786C220B"/>
    <w:rsid w:val="78712B84"/>
    <w:rsid w:val="787943FB"/>
    <w:rsid w:val="787B1E31"/>
    <w:rsid w:val="787D038F"/>
    <w:rsid w:val="788A1962"/>
    <w:rsid w:val="788B412F"/>
    <w:rsid w:val="788F1E5F"/>
    <w:rsid w:val="78900CF9"/>
    <w:rsid w:val="789A2A49"/>
    <w:rsid w:val="789F1040"/>
    <w:rsid w:val="78A90480"/>
    <w:rsid w:val="78A932D1"/>
    <w:rsid w:val="78A94B11"/>
    <w:rsid w:val="78AC5EAD"/>
    <w:rsid w:val="78AD40C3"/>
    <w:rsid w:val="78B320BC"/>
    <w:rsid w:val="78B50DB2"/>
    <w:rsid w:val="78B638A1"/>
    <w:rsid w:val="78B87DD5"/>
    <w:rsid w:val="78BB0C18"/>
    <w:rsid w:val="78C62FED"/>
    <w:rsid w:val="78C6494E"/>
    <w:rsid w:val="78C86F45"/>
    <w:rsid w:val="78D227C6"/>
    <w:rsid w:val="78DD20CE"/>
    <w:rsid w:val="78EF7F5B"/>
    <w:rsid w:val="78F455A1"/>
    <w:rsid w:val="78F60137"/>
    <w:rsid w:val="78F9378E"/>
    <w:rsid w:val="78FF246E"/>
    <w:rsid w:val="79015CED"/>
    <w:rsid w:val="790F5B33"/>
    <w:rsid w:val="79143088"/>
    <w:rsid w:val="791701E2"/>
    <w:rsid w:val="79207AC3"/>
    <w:rsid w:val="79212D49"/>
    <w:rsid w:val="7922572B"/>
    <w:rsid w:val="792403B3"/>
    <w:rsid w:val="79374B74"/>
    <w:rsid w:val="793842BB"/>
    <w:rsid w:val="79396660"/>
    <w:rsid w:val="79440488"/>
    <w:rsid w:val="794A2600"/>
    <w:rsid w:val="79541C55"/>
    <w:rsid w:val="795767C2"/>
    <w:rsid w:val="79586141"/>
    <w:rsid w:val="795904E3"/>
    <w:rsid w:val="796B0E14"/>
    <w:rsid w:val="796D219D"/>
    <w:rsid w:val="796D6EA2"/>
    <w:rsid w:val="796E7CD8"/>
    <w:rsid w:val="79784660"/>
    <w:rsid w:val="797F59A6"/>
    <w:rsid w:val="79893415"/>
    <w:rsid w:val="798E3E50"/>
    <w:rsid w:val="79903044"/>
    <w:rsid w:val="79965990"/>
    <w:rsid w:val="79A329CC"/>
    <w:rsid w:val="79A56187"/>
    <w:rsid w:val="79A83718"/>
    <w:rsid w:val="79A951B4"/>
    <w:rsid w:val="79AA69FA"/>
    <w:rsid w:val="79B424DA"/>
    <w:rsid w:val="79B4395D"/>
    <w:rsid w:val="79BA7DB8"/>
    <w:rsid w:val="79CA3586"/>
    <w:rsid w:val="79CD2CC1"/>
    <w:rsid w:val="79CE0EC4"/>
    <w:rsid w:val="79D322CC"/>
    <w:rsid w:val="79D36CCC"/>
    <w:rsid w:val="79D7266F"/>
    <w:rsid w:val="79D86F18"/>
    <w:rsid w:val="79E562B5"/>
    <w:rsid w:val="79E92743"/>
    <w:rsid w:val="79EB1329"/>
    <w:rsid w:val="79EE1B4A"/>
    <w:rsid w:val="79EE2177"/>
    <w:rsid w:val="79F06C4B"/>
    <w:rsid w:val="79F23167"/>
    <w:rsid w:val="79F83D80"/>
    <w:rsid w:val="79FE72AE"/>
    <w:rsid w:val="7A017365"/>
    <w:rsid w:val="7A13419F"/>
    <w:rsid w:val="7A144338"/>
    <w:rsid w:val="7A1566F8"/>
    <w:rsid w:val="7A1E6B24"/>
    <w:rsid w:val="7A210161"/>
    <w:rsid w:val="7A2211AF"/>
    <w:rsid w:val="7A223AD1"/>
    <w:rsid w:val="7A233A18"/>
    <w:rsid w:val="7A2867A2"/>
    <w:rsid w:val="7A302BB3"/>
    <w:rsid w:val="7A34520D"/>
    <w:rsid w:val="7A364017"/>
    <w:rsid w:val="7A374116"/>
    <w:rsid w:val="7A396538"/>
    <w:rsid w:val="7A396D8D"/>
    <w:rsid w:val="7A4232CB"/>
    <w:rsid w:val="7A461991"/>
    <w:rsid w:val="7A534CAD"/>
    <w:rsid w:val="7A537B7B"/>
    <w:rsid w:val="7A5B798F"/>
    <w:rsid w:val="7A5E50CF"/>
    <w:rsid w:val="7A69210E"/>
    <w:rsid w:val="7A6C3CB5"/>
    <w:rsid w:val="7A70628E"/>
    <w:rsid w:val="7A7A048D"/>
    <w:rsid w:val="7A7E4100"/>
    <w:rsid w:val="7A7F2E0A"/>
    <w:rsid w:val="7A8049C5"/>
    <w:rsid w:val="7A8265E1"/>
    <w:rsid w:val="7A876B30"/>
    <w:rsid w:val="7A887C7F"/>
    <w:rsid w:val="7A8A3573"/>
    <w:rsid w:val="7A8D0632"/>
    <w:rsid w:val="7A9575CC"/>
    <w:rsid w:val="7A9E2578"/>
    <w:rsid w:val="7A9F0C54"/>
    <w:rsid w:val="7AA0466B"/>
    <w:rsid w:val="7AA81DFB"/>
    <w:rsid w:val="7AAB07EB"/>
    <w:rsid w:val="7AB22671"/>
    <w:rsid w:val="7AB80B86"/>
    <w:rsid w:val="7ABC209C"/>
    <w:rsid w:val="7ABC2232"/>
    <w:rsid w:val="7AC066C7"/>
    <w:rsid w:val="7AC21234"/>
    <w:rsid w:val="7AC4002C"/>
    <w:rsid w:val="7AC51C3D"/>
    <w:rsid w:val="7ACE23D1"/>
    <w:rsid w:val="7AD43056"/>
    <w:rsid w:val="7AD6541C"/>
    <w:rsid w:val="7AE02200"/>
    <w:rsid w:val="7AE02E80"/>
    <w:rsid w:val="7AE35816"/>
    <w:rsid w:val="7AE53FCA"/>
    <w:rsid w:val="7AE54BB9"/>
    <w:rsid w:val="7AE961A8"/>
    <w:rsid w:val="7AEA3AA7"/>
    <w:rsid w:val="7AED2E7F"/>
    <w:rsid w:val="7AEE1129"/>
    <w:rsid w:val="7B0910F3"/>
    <w:rsid w:val="7B09415C"/>
    <w:rsid w:val="7B094295"/>
    <w:rsid w:val="7B0A3A31"/>
    <w:rsid w:val="7B0B3FF8"/>
    <w:rsid w:val="7B0D2DC8"/>
    <w:rsid w:val="7B1638E6"/>
    <w:rsid w:val="7B1A12F0"/>
    <w:rsid w:val="7B1C210D"/>
    <w:rsid w:val="7B1E6C0F"/>
    <w:rsid w:val="7B237F3B"/>
    <w:rsid w:val="7B2C4462"/>
    <w:rsid w:val="7B30776C"/>
    <w:rsid w:val="7B307D7B"/>
    <w:rsid w:val="7B334EFB"/>
    <w:rsid w:val="7B336646"/>
    <w:rsid w:val="7B353B7F"/>
    <w:rsid w:val="7B364BD4"/>
    <w:rsid w:val="7B3A5524"/>
    <w:rsid w:val="7B3B483F"/>
    <w:rsid w:val="7B4E0B2F"/>
    <w:rsid w:val="7B513347"/>
    <w:rsid w:val="7B5573A2"/>
    <w:rsid w:val="7B562435"/>
    <w:rsid w:val="7B5C0771"/>
    <w:rsid w:val="7B5D1C3A"/>
    <w:rsid w:val="7B644C9A"/>
    <w:rsid w:val="7B686D42"/>
    <w:rsid w:val="7B696CAE"/>
    <w:rsid w:val="7B6B07CC"/>
    <w:rsid w:val="7B710368"/>
    <w:rsid w:val="7B73224E"/>
    <w:rsid w:val="7B7D0B06"/>
    <w:rsid w:val="7B841746"/>
    <w:rsid w:val="7B870427"/>
    <w:rsid w:val="7B910AB9"/>
    <w:rsid w:val="7B98062C"/>
    <w:rsid w:val="7B9A2F80"/>
    <w:rsid w:val="7B9A2F84"/>
    <w:rsid w:val="7B9E0763"/>
    <w:rsid w:val="7BA3715F"/>
    <w:rsid w:val="7BAC2E86"/>
    <w:rsid w:val="7BAD242F"/>
    <w:rsid w:val="7BAD3F2B"/>
    <w:rsid w:val="7BB23E2A"/>
    <w:rsid w:val="7BBA3565"/>
    <w:rsid w:val="7BBB7B50"/>
    <w:rsid w:val="7BC048BE"/>
    <w:rsid w:val="7BC35710"/>
    <w:rsid w:val="7BC56B87"/>
    <w:rsid w:val="7BD246B7"/>
    <w:rsid w:val="7BD34249"/>
    <w:rsid w:val="7BE16CCD"/>
    <w:rsid w:val="7BE5760C"/>
    <w:rsid w:val="7BEC1388"/>
    <w:rsid w:val="7BF85F7F"/>
    <w:rsid w:val="7BFB5C2E"/>
    <w:rsid w:val="7C0C7189"/>
    <w:rsid w:val="7C145706"/>
    <w:rsid w:val="7C1643ED"/>
    <w:rsid w:val="7C196F88"/>
    <w:rsid w:val="7C1B6BD3"/>
    <w:rsid w:val="7C2804B0"/>
    <w:rsid w:val="7C2C5706"/>
    <w:rsid w:val="7C2E0D41"/>
    <w:rsid w:val="7C326C8D"/>
    <w:rsid w:val="7C387502"/>
    <w:rsid w:val="7C3D4523"/>
    <w:rsid w:val="7C3F23B0"/>
    <w:rsid w:val="7C426B83"/>
    <w:rsid w:val="7C4D0329"/>
    <w:rsid w:val="7C4D248B"/>
    <w:rsid w:val="7C5341AE"/>
    <w:rsid w:val="7C537663"/>
    <w:rsid w:val="7C554E9E"/>
    <w:rsid w:val="7C5642E2"/>
    <w:rsid w:val="7C5A375F"/>
    <w:rsid w:val="7C5D0C3E"/>
    <w:rsid w:val="7C5E5DE2"/>
    <w:rsid w:val="7C6444EA"/>
    <w:rsid w:val="7C6453C2"/>
    <w:rsid w:val="7C6C5AC7"/>
    <w:rsid w:val="7C7213F8"/>
    <w:rsid w:val="7C75137E"/>
    <w:rsid w:val="7C76386B"/>
    <w:rsid w:val="7C774645"/>
    <w:rsid w:val="7C7A0A00"/>
    <w:rsid w:val="7C874101"/>
    <w:rsid w:val="7C88056D"/>
    <w:rsid w:val="7C8A739F"/>
    <w:rsid w:val="7C8B3FD4"/>
    <w:rsid w:val="7C8E40CF"/>
    <w:rsid w:val="7C963E9D"/>
    <w:rsid w:val="7C9F63FA"/>
    <w:rsid w:val="7CA04393"/>
    <w:rsid w:val="7CA051CB"/>
    <w:rsid w:val="7CA809D9"/>
    <w:rsid w:val="7CA83661"/>
    <w:rsid w:val="7CAA6789"/>
    <w:rsid w:val="7CB2612E"/>
    <w:rsid w:val="7CB971A9"/>
    <w:rsid w:val="7CBB154B"/>
    <w:rsid w:val="7CBC74A4"/>
    <w:rsid w:val="7CBE4AD3"/>
    <w:rsid w:val="7CC209DE"/>
    <w:rsid w:val="7CC63B2B"/>
    <w:rsid w:val="7CC6544B"/>
    <w:rsid w:val="7CC903B9"/>
    <w:rsid w:val="7CCE0BA3"/>
    <w:rsid w:val="7CD045DA"/>
    <w:rsid w:val="7CD9190C"/>
    <w:rsid w:val="7CE11C23"/>
    <w:rsid w:val="7CEA1FD3"/>
    <w:rsid w:val="7CEB4CB2"/>
    <w:rsid w:val="7CEF684E"/>
    <w:rsid w:val="7CF00F08"/>
    <w:rsid w:val="7CF2267F"/>
    <w:rsid w:val="7CF47B41"/>
    <w:rsid w:val="7CF522C8"/>
    <w:rsid w:val="7D005D22"/>
    <w:rsid w:val="7D0239FF"/>
    <w:rsid w:val="7D0D3A94"/>
    <w:rsid w:val="7D1514C0"/>
    <w:rsid w:val="7D2015F8"/>
    <w:rsid w:val="7D23236C"/>
    <w:rsid w:val="7D2E34BD"/>
    <w:rsid w:val="7D351722"/>
    <w:rsid w:val="7D390CE1"/>
    <w:rsid w:val="7D3C7FC6"/>
    <w:rsid w:val="7D3E0C8C"/>
    <w:rsid w:val="7D403E22"/>
    <w:rsid w:val="7D471EC9"/>
    <w:rsid w:val="7D48747A"/>
    <w:rsid w:val="7D4B74C7"/>
    <w:rsid w:val="7D4E5EE3"/>
    <w:rsid w:val="7D4F318D"/>
    <w:rsid w:val="7D501861"/>
    <w:rsid w:val="7D5A328F"/>
    <w:rsid w:val="7D5A4DC7"/>
    <w:rsid w:val="7D5A7548"/>
    <w:rsid w:val="7D5B1F7D"/>
    <w:rsid w:val="7D5E310E"/>
    <w:rsid w:val="7D5E40CD"/>
    <w:rsid w:val="7D610013"/>
    <w:rsid w:val="7D61253A"/>
    <w:rsid w:val="7D6429A0"/>
    <w:rsid w:val="7D673CBA"/>
    <w:rsid w:val="7D6B1521"/>
    <w:rsid w:val="7D71789E"/>
    <w:rsid w:val="7D772E7B"/>
    <w:rsid w:val="7D833E88"/>
    <w:rsid w:val="7D8C5E89"/>
    <w:rsid w:val="7D907401"/>
    <w:rsid w:val="7D926ACB"/>
    <w:rsid w:val="7D950714"/>
    <w:rsid w:val="7D981FC4"/>
    <w:rsid w:val="7D98448A"/>
    <w:rsid w:val="7DA40C38"/>
    <w:rsid w:val="7DA91864"/>
    <w:rsid w:val="7DAA3E88"/>
    <w:rsid w:val="7DAF3933"/>
    <w:rsid w:val="7DB30186"/>
    <w:rsid w:val="7DC8499B"/>
    <w:rsid w:val="7DCA2C79"/>
    <w:rsid w:val="7DCA7BD2"/>
    <w:rsid w:val="7DCC33E9"/>
    <w:rsid w:val="7DCD56F2"/>
    <w:rsid w:val="7DD30A52"/>
    <w:rsid w:val="7DFA4230"/>
    <w:rsid w:val="7DFC2297"/>
    <w:rsid w:val="7E0123C6"/>
    <w:rsid w:val="7E042444"/>
    <w:rsid w:val="7E0551C2"/>
    <w:rsid w:val="7E081AFB"/>
    <w:rsid w:val="7E0A2E1F"/>
    <w:rsid w:val="7E0C705E"/>
    <w:rsid w:val="7E0E74F4"/>
    <w:rsid w:val="7E0F4FB4"/>
    <w:rsid w:val="7E105488"/>
    <w:rsid w:val="7E143CB6"/>
    <w:rsid w:val="7E3755A3"/>
    <w:rsid w:val="7E3855D0"/>
    <w:rsid w:val="7E3C50AA"/>
    <w:rsid w:val="7E4704EA"/>
    <w:rsid w:val="7E476D01"/>
    <w:rsid w:val="7E4E1E86"/>
    <w:rsid w:val="7E4F15B9"/>
    <w:rsid w:val="7E5418F4"/>
    <w:rsid w:val="7E594545"/>
    <w:rsid w:val="7E6B23A3"/>
    <w:rsid w:val="7E707BCA"/>
    <w:rsid w:val="7E736D56"/>
    <w:rsid w:val="7E7D340A"/>
    <w:rsid w:val="7E882203"/>
    <w:rsid w:val="7E8D3E89"/>
    <w:rsid w:val="7E8F1BE0"/>
    <w:rsid w:val="7E905D13"/>
    <w:rsid w:val="7E910C5A"/>
    <w:rsid w:val="7E935E33"/>
    <w:rsid w:val="7EA321D2"/>
    <w:rsid w:val="7EA90957"/>
    <w:rsid w:val="7EA96DFF"/>
    <w:rsid w:val="7EB123BD"/>
    <w:rsid w:val="7EB663A9"/>
    <w:rsid w:val="7EB919F5"/>
    <w:rsid w:val="7EBA6922"/>
    <w:rsid w:val="7EBF2C5C"/>
    <w:rsid w:val="7EC1683B"/>
    <w:rsid w:val="7EC61EA4"/>
    <w:rsid w:val="7EC675CE"/>
    <w:rsid w:val="7EC82C12"/>
    <w:rsid w:val="7ECE7E40"/>
    <w:rsid w:val="7ED700CE"/>
    <w:rsid w:val="7ED8065C"/>
    <w:rsid w:val="7ED87E8E"/>
    <w:rsid w:val="7EE24A83"/>
    <w:rsid w:val="7EE27E4F"/>
    <w:rsid w:val="7EEA5E62"/>
    <w:rsid w:val="7EF00C20"/>
    <w:rsid w:val="7F001CE7"/>
    <w:rsid w:val="7F08297D"/>
    <w:rsid w:val="7F0F7867"/>
    <w:rsid w:val="7F14563E"/>
    <w:rsid w:val="7F186CA9"/>
    <w:rsid w:val="7F1C4B53"/>
    <w:rsid w:val="7F1F6EA4"/>
    <w:rsid w:val="7F201BA9"/>
    <w:rsid w:val="7F2614E5"/>
    <w:rsid w:val="7F295B90"/>
    <w:rsid w:val="7F2C25BB"/>
    <w:rsid w:val="7F302421"/>
    <w:rsid w:val="7F323ADA"/>
    <w:rsid w:val="7F335B7F"/>
    <w:rsid w:val="7F363594"/>
    <w:rsid w:val="7F393928"/>
    <w:rsid w:val="7F3A698B"/>
    <w:rsid w:val="7F407C61"/>
    <w:rsid w:val="7F4371AF"/>
    <w:rsid w:val="7F45049A"/>
    <w:rsid w:val="7F460599"/>
    <w:rsid w:val="7F4D71ED"/>
    <w:rsid w:val="7F4E77CB"/>
    <w:rsid w:val="7F5060C3"/>
    <w:rsid w:val="7F51681B"/>
    <w:rsid w:val="7F5A0613"/>
    <w:rsid w:val="7F6004AE"/>
    <w:rsid w:val="7F62423F"/>
    <w:rsid w:val="7F665805"/>
    <w:rsid w:val="7F6B21B7"/>
    <w:rsid w:val="7F6C1835"/>
    <w:rsid w:val="7F6E0C30"/>
    <w:rsid w:val="7F7B3ADA"/>
    <w:rsid w:val="7F7C13BE"/>
    <w:rsid w:val="7F7E3A7D"/>
    <w:rsid w:val="7F7E49ED"/>
    <w:rsid w:val="7F830F73"/>
    <w:rsid w:val="7F8368E2"/>
    <w:rsid w:val="7F865AD9"/>
    <w:rsid w:val="7F8674DC"/>
    <w:rsid w:val="7F885A2F"/>
    <w:rsid w:val="7F8C685E"/>
    <w:rsid w:val="7F8D5D73"/>
    <w:rsid w:val="7F8D60D7"/>
    <w:rsid w:val="7F8F09A8"/>
    <w:rsid w:val="7F9A100B"/>
    <w:rsid w:val="7FAA5FC3"/>
    <w:rsid w:val="7FAB22A2"/>
    <w:rsid w:val="7FAF316D"/>
    <w:rsid w:val="7FB00DE8"/>
    <w:rsid w:val="7FB4040F"/>
    <w:rsid w:val="7FB57557"/>
    <w:rsid w:val="7FB72063"/>
    <w:rsid w:val="7FBC094E"/>
    <w:rsid w:val="7FBC2F93"/>
    <w:rsid w:val="7FBD72C3"/>
    <w:rsid w:val="7FC00AAF"/>
    <w:rsid w:val="7FC072E5"/>
    <w:rsid w:val="7FC864E2"/>
    <w:rsid w:val="7FCC0610"/>
    <w:rsid w:val="7FCF750C"/>
    <w:rsid w:val="7FD03DBB"/>
    <w:rsid w:val="7FD10FC1"/>
    <w:rsid w:val="7FD2114B"/>
    <w:rsid w:val="7FD333C8"/>
    <w:rsid w:val="7FD44EFD"/>
    <w:rsid w:val="7FE47E50"/>
    <w:rsid w:val="7FE76578"/>
    <w:rsid w:val="7FEB3965"/>
    <w:rsid w:val="7FED5E18"/>
    <w:rsid w:val="7FF151BF"/>
    <w:rsid w:val="7FF84CC3"/>
    <w:rsid w:val="7FF87414"/>
    <w:rsid w:val="7FFA454B"/>
    <w:rsid w:val="7FFC56F2"/>
    <w:rsid w:val="7FFD3D1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qFormat="1"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center"/>
    </w:pPr>
    <w:rPr>
      <w:rFonts w:ascii="Times New Roman" w:hAnsi="Times New Roman" w:eastAsia="宋体" w:cs="Times New Roman"/>
      <w:sz w:val="24"/>
      <w:szCs w:val="24"/>
      <w:lang w:val="en-US" w:eastAsia="zh-CN" w:bidi="ar-SA"/>
    </w:rPr>
  </w:style>
  <w:style w:type="paragraph" w:styleId="2">
    <w:name w:val="heading 1"/>
    <w:basedOn w:val="3"/>
    <w:next w:val="1"/>
    <w:link w:val="53"/>
    <w:autoRedefine/>
    <w:qFormat/>
    <w:locked/>
    <w:uiPriority w:val="0"/>
    <w:pPr>
      <w:keepNext/>
      <w:overflowPunct w:val="0"/>
      <w:snapToGrid w:val="0"/>
      <w:spacing w:before="120" w:after="160" w:line="259" w:lineRule="auto"/>
      <w:ind w:left="432" w:hanging="432"/>
      <w:outlineLvl w:val="0"/>
    </w:pPr>
    <w:rPr>
      <w:rFonts w:ascii="Times New Roman" w:hAnsi="Times New Roman" w:eastAsia="黑体"/>
      <w:bCs/>
      <w:color w:val="000000"/>
      <w:kern w:val="44"/>
      <w:sz w:val="30"/>
      <w:szCs w:val="30"/>
    </w:rPr>
  </w:style>
  <w:style w:type="paragraph" w:styleId="4">
    <w:name w:val="heading 2"/>
    <w:basedOn w:val="1"/>
    <w:next w:val="1"/>
    <w:link w:val="54"/>
    <w:autoRedefine/>
    <w:qFormat/>
    <w:locked/>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autoRedefine/>
    <w:qFormat/>
    <w:locked/>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paragraph" w:styleId="6">
    <w:name w:val="heading 4"/>
    <w:basedOn w:val="1"/>
    <w:next w:val="1"/>
    <w:autoRedefine/>
    <w:qFormat/>
    <w:locked/>
    <w:uiPriority w:val="0"/>
    <w:pPr>
      <w:keepNext/>
      <w:keepLines/>
      <w:outlineLvl w:val="3"/>
    </w:pPr>
    <w:rPr>
      <w:rFonts w:ascii="Arial" w:hAnsi="Arial"/>
      <w:b/>
      <w:bCs/>
      <w:szCs w:val="28"/>
    </w:rPr>
  </w:style>
  <w:style w:type="character" w:default="1" w:styleId="37">
    <w:name w:val="Default Paragraph Font"/>
    <w:autoRedefine/>
    <w:semiHidden/>
    <w:qFormat/>
    <w:uiPriority w:val="0"/>
  </w:style>
  <w:style w:type="table" w:default="1" w:styleId="34">
    <w:name w:val="Normal Table"/>
    <w:autoRedefine/>
    <w:semiHidden/>
    <w:qFormat/>
    <w:uiPriority w:val="0"/>
    <w:tblPr>
      <w:tblCellMar>
        <w:top w:w="0" w:type="dxa"/>
        <w:left w:w="108" w:type="dxa"/>
        <w:bottom w:w="0" w:type="dxa"/>
        <w:right w:w="108" w:type="dxa"/>
      </w:tblCellMar>
    </w:tblPr>
  </w:style>
  <w:style w:type="paragraph" w:styleId="3">
    <w:name w:val="Title"/>
    <w:basedOn w:val="1"/>
    <w:next w:val="1"/>
    <w:autoRedefine/>
    <w:qFormat/>
    <w:locked/>
    <w:uiPriority w:val="0"/>
    <w:pPr>
      <w:spacing w:before="240" w:after="60"/>
      <w:jc w:val="left"/>
      <w:outlineLvl w:val="0"/>
    </w:pPr>
    <w:rPr>
      <w:rFonts w:ascii="Arial" w:hAnsi="Arial"/>
      <w:b/>
      <w:sz w:val="32"/>
    </w:rPr>
  </w:style>
  <w:style w:type="paragraph" w:styleId="7">
    <w:name w:val="Normal Indent"/>
    <w:basedOn w:val="1"/>
    <w:next w:val="1"/>
    <w:autoRedefine/>
    <w:qFormat/>
    <w:locked/>
    <w:uiPriority w:val="0"/>
    <w:pPr>
      <w:ind w:firstLine="420"/>
    </w:pPr>
    <w:rPr>
      <w:szCs w:val="20"/>
    </w:rPr>
  </w:style>
  <w:style w:type="paragraph" w:styleId="8">
    <w:name w:val="caption"/>
    <w:basedOn w:val="1"/>
    <w:next w:val="1"/>
    <w:autoRedefine/>
    <w:qFormat/>
    <w:locked/>
    <w:uiPriority w:val="35"/>
    <w:pPr>
      <w:spacing w:line="360" w:lineRule="auto"/>
    </w:pPr>
    <w:rPr>
      <w:b/>
      <w:sz w:val="21"/>
      <w:szCs w:val="21"/>
    </w:rPr>
  </w:style>
  <w:style w:type="paragraph" w:styleId="9">
    <w:name w:val="Document Map"/>
    <w:basedOn w:val="1"/>
    <w:autoRedefine/>
    <w:semiHidden/>
    <w:qFormat/>
    <w:locked/>
    <w:uiPriority w:val="0"/>
    <w:pPr>
      <w:shd w:val="clear" w:color="auto" w:fill="000080"/>
    </w:pPr>
  </w:style>
  <w:style w:type="paragraph" w:styleId="10">
    <w:name w:val="annotation text"/>
    <w:basedOn w:val="1"/>
    <w:next w:val="11"/>
    <w:link w:val="55"/>
    <w:autoRedefine/>
    <w:semiHidden/>
    <w:qFormat/>
    <w:uiPriority w:val="0"/>
    <w:pPr>
      <w:jc w:val="left"/>
    </w:pPr>
    <w:rPr>
      <w:szCs w:val="20"/>
    </w:rPr>
  </w:style>
  <w:style w:type="paragraph" w:styleId="11">
    <w:name w:val="toc 5"/>
    <w:basedOn w:val="1"/>
    <w:next w:val="1"/>
    <w:autoRedefine/>
    <w:qFormat/>
    <w:locked/>
    <w:uiPriority w:val="0"/>
    <w:pPr>
      <w:ind w:left="840"/>
      <w:jc w:val="left"/>
    </w:pPr>
    <w:rPr>
      <w:sz w:val="18"/>
      <w:szCs w:val="18"/>
    </w:rPr>
  </w:style>
  <w:style w:type="paragraph" w:styleId="12">
    <w:name w:val="Salutation"/>
    <w:basedOn w:val="1"/>
    <w:next w:val="1"/>
    <w:autoRedefine/>
    <w:qFormat/>
    <w:locked/>
    <w:uiPriority w:val="0"/>
  </w:style>
  <w:style w:type="paragraph" w:styleId="13">
    <w:name w:val="Body Text"/>
    <w:basedOn w:val="1"/>
    <w:next w:val="14"/>
    <w:link w:val="56"/>
    <w:autoRedefine/>
    <w:qFormat/>
    <w:uiPriority w:val="0"/>
    <w:pPr>
      <w:widowControl/>
      <w:snapToGrid w:val="0"/>
      <w:spacing w:before="60" w:after="160" w:line="259" w:lineRule="auto"/>
      <w:ind w:right="113"/>
    </w:pPr>
    <w:rPr>
      <w:sz w:val="18"/>
      <w:szCs w:val="20"/>
    </w:rPr>
  </w:style>
  <w:style w:type="paragraph" w:customStyle="1" w:styleId="14">
    <w:name w:val="xl27"/>
    <w:basedOn w:val="1"/>
    <w:next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5">
    <w:name w:val="Body Text Indent"/>
    <w:basedOn w:val="1"/>
    <w:next w:val="16"/>
    <w:link w:val="57"/>
    <w:autoRedefine/>
    <w:qFormat/>
    <w:uiPriority w:val="0"/>
    <w:pPr>
      <w:spacing w:after="120"/>
      <w:ind w:left="420" w:leftChars="200"/>
    </w:pPr>
    <w:rPr>
      <w:szCs w:val="20"/>
    </w:rPr>
  </w:style>
  <w:style w:type="paragraph" w:styleId="16">
    <w:name w:val="Body Text Indent 2"/>
    <w:basedOn w:val="1"/>
    <w:autoRedefine/>
    <w:qFormat/>
    <w:locked/>
    <w:uiPriority w:val="0"/>
    <w:pPr>
      <w:spacing w:after="120" w:afterLines="0" w:line="480" w:lineRule="auto"/>
      <w:ind w:left="420" w:leftChars="200"/>
    </w:pPr>
  </w:style>
  <w:style w:type="paragraph" w:styleId="17">
    <w:name w:val="Plain Text"/>
    <w:basedOn w:val="1"/>
    <w:next w:val="1"/>
    <w:autoRedefine/>
    <w:qFormat/>
    <w:locked/>
    <w:uiPriority w:val="0"/>
    <w:rPr>
      <w:rFonts w:ascii="宋体" w:hAnsi="Courier New"/>
      <w:szCs w:val="21"/>
    </w:rPr>
  </w:style>
  <w:style w:type="paragraph" w:styleId="18">
    <w:name w:val="Date"/>
    <w:basedOn w:val="1"/>
    <w:next w:val="1"/>
    <w:link w:val="58"/>
    <w:autoRedefine/>
    <w:qFormat/>
    <w:uiPriority w:val="0"/>
    <w:pPr>
      <w:ind w:left="100" w:leftChars="2500"/>
    </w:pPr>
    <w:rPr>
      <w:szCs w:val="20"/>
    </w:rPr>
  </w:style>
  <w:style w:type="paragraph" w:styleId="19">
    <w:name w:val="Balloon Text"/>
    <w:basedOn w:val="1"/>
    <w:link w:val="59"/>
    <w:autoRedefine/>
    <w:semiHidden/>
    <w:qFormat/>
    <w:uiPriority w:val="0"/>
    <w:rPr>
      <w:sz w:val="18"/>
      <w:szCs w:val="20"/>
    </w:rPr>
  </w:style>
  <w:style w:type="paragraph" w:styleId="20">
    <w:name w:val="footer"/>
    <w:basedOn w:val="1"/>
    <w:link w:val="60"/>
    <w:autoRedefine/>
    <w:qFormat/>
    <w:uiPriority w:val="99"/>
    <w:pPr>
      <w:tabs>
        <w:tab w:val="center" w:pos="4153"/>
        <w:tab w:val="right" w:pos="8306"/>
      </w:tabs>
      <w:snapToGrid w:val="0"/>
      <w:jc w:val="left"/>
    </w:pPr>
    <w:rPr>
      <w:sz w:val="18"/>
      <w:szCs w:val="20"/>
    </w:rPr>
  </w:style>
  <w:style w:type="paragraph" w:styleId="21">
    <w:name w:val="header"/>
    <w:basedOn w:val="1"/>
    <w:next w:val="1"/>
    <w:link w:val="61"/>
    <w:autoRedefine/>
    <w:qFormat/>
    <w:uiPriority w:val="0"/>
    <w:pPr>
      <w:pBdr>
        <w:bottom w:val="single" w:color="auto" w:sz="6" w:space="1"/>
      </w:pBdr>
      <w:tabs>
        <w:tab w:val="center" w:pos="4153"/>
        <w:tab w:val="right" w:pos="8306"/>
      </w:tabs>
      <w:snapToGrid w:val="0"/>
      <w:jc w:val="center"/>
    </w:pPr>
    <w:rPr>
      <w:rFonts w:ascii="Calibri" w:hAnsi="Calibri"/>
      <w:sz w:val="20"/>
      <w:szCs w:val="20"/>
    </w:rPr>
  </w:style>
  <w:style w:type="paragraph" w:styleId="22">
    <w:name w:val="toc 1"/>
    <w:basedOn w:val="1"/>
    <w:next w:val="1"/>
    <w:autoRedefine/>
    <w:qFormat/>
    <w:locked/>
    <w:uiPriority w:val="39"/>
  </w:style>
  <w:style w:type="paragraph" w:styleId="23">
    <w:name w:val="index heading"/>
    <w:basedOn w:val="1"/>
    <w:next w:val="24"/>
    <w:autoRedefine/>
    <w:qFormat/>
    <w:locked/>
    <w:uiPriority w:val="99"/>
    <w:rPr>
      <w:szCs w:val="20"/>
    </w:rPr>
  </w:style>
  <w:style w:type="paragraph" w:styleId="24">
    <w:name w:val="index 1"/>
    <w:basedOn w:val="1"/>
    <w:next w:val="1"/>
    <w:autoRedefine/>
    <w:unhideWhenUsed/>
    <w:qFormat/>
    <w:locked/>
    <w:uiPriority w:val="0"/>
  </w:style>
  <w:style w:type="paragraph" w:styleId="25">
    <w:name w:val="Subtitle"/>
    <w:basedOn w:val="1"/>
    <w:next w:val="1"/>
    <w:link w:val="62"/>
    <w:autoRedefine/>
    <w:qFormat/>
    <w:locked/>
    <w:uiPriority w:val="0"/>
    <w:pPr>
      <w:spacing w:before="240" w:after="60" w:line="312" w:lineRule="auto"/>
      <w:outlineLvl w:val="0"/>
    </w:pPr>
    <w:rPr>
      <w:rFonts w:ascii="等线 Light" w:hAnsi="等线 Light"/>
      <w:b/>
      <w:bCs/>
      <w:kern w:val="28"/>
      <w:sz w:val="32"/>
      <w:szCs w:val="32"/>
    </w:rPr>
  </w:style>
  <w:style w:type="paragraph" w:styleId="26">
    <w:name w:val="List"/>
    <w:basedOn w:val="1"/>
    <w:next w:val="1"/>
    <w:autoRedefine/>
    <w:unhideWhenUsed/>
    <w:qFormat/>
    <w:locked/>
    <w:uiPriority w:val="99"/>
    <w:pPr>
      <w:ind w:left="200" w:hanging="200" w:hangingChars="200"/>
      <w:contextualSpacing/>
    </w:pPr>
  </w:style>
  <w:style w:type="paragraph" w:styleId="27">
    <w:name w:val="Body Text Indent 3"/>
    <w:basedOn w:val="1"/>
    <w:autoRedefine/>
    <w:qFormat/>
    <w:locked/>
    <w:uiPriority w:val="0"/>
    <w:pPr>
      <w:spacing w:line="560" w:lineRule="exact"/>
      <w:ind w:firstLine="560" w:firstLineChars="200"/>
    </w:pPr>
    <w:rPr>
      <w:sz w:val="28"/>
    </w:rPr>
  </w:style>
  <w:style w:type="paragraph" w:styleId="28">
    <w:name w:val="toc 2"/>
    <w:basedOn w:val="1"/>
    <w:next w:val="1"/>
    <w:autoRedefine/>
    <w:qFormat/>
    <w:locked/>
    <w:uiPriority w:val="39"/>
    <w:pPr>
      <w:tabs>
        <w:tab w:val="right" w:leader="dot" w:pos="8302"/>
      </w:tabs>
      <w:ind w:left="420" w:leftChars="200"/>
    </w:pPr>
    <w:rPr>
      <w:rFonts w:ascii="新宋体" w:hAnsi="新宋体" w:eastAsia="新宋体"/>
      <w:b/>
    </w:rPr>
  </w:style>
  <w:style w:type="paragraph" w:styleId="29">
    <w:name w:val="Body Text 2"/>
    <w:basedOn w:val="1"/>
    <w:next w:val="1"/>
    <w:autoRedefine/>
    <w:qFormat/>
    <w:locked/>
    <w:uiPriority w:val="0"/>
    <w:pPr>
      <w:spacing w:after="120" w:line="480" w:lineRule="auto"/>
    </w:pPr>
    <w:rPr>
      <w:szCs w:val="24"/>
    </w:rPr>
  </w:style>
  <w:style w:type="paragraph" w:styleId="30">
    <w:name w:val="Normal (Web)"/>
    <w:basedOn w:val="1"/>
    <w:link w:val="63"/>
    <w:autoRedefine/>
    <w:qFormat/>
    <w:uiPriority w:val="0"/>
    <w:pPr>
      <w:widowControl/>
      <w:spacing w:before="100" w:beforeAutospacing="1" w:after="100" w:afterAutospacing="1"/>
      <w:jc w:val="left"/>
    </w:pPr>
    <w:rPr>
      <w:rFonts w:ascii="宋体" w:hAnsi="宋体"/>
      <w:szCs w:val="20"/>
    </w:rPr>
  </w:style>
  <w:style w:type="paragraph" w:styleId="31">
    <w:name w:val="annotation subject"/>
    <w:basedOn w:val="10"/>
    <w:next w:val="10"/>
    <w:link w:val="64"/>
    <w:autoRedefine/>
    <w:semiHidden/>
    <w:qFormat/>
    <w:uiPriority w:val="0"/>
    <w:rPr>
      <w:b/>
      <w:kern w:val="2"/>
    </w:rPr>
  </w:style>
  <w:style w:type="paragraph" w:styleId="32">
    <w:name w:val="Body Text First Indent"/>
    <w:basedOn w:val="13"/>
    <w:next w:val="1"/>
    <w:autoRedefine/>
    <w:qFormat/>
    <w:locked/>
    <w:uiPriority w:val="0"/>
    <w:pPr>
      <w:overflowPunct w:val="0"/>
      <w:autoSpaceDE w:val="0"/>
      <w:autoSpaceDN w:val="0"/>
      <w:adjustRightInd w:val="0"/>
      <w:spacing w:line="360" w:lineRule="auto"/>
      <w:ind w:firstLine="539"/>
    </w:pPr>
  </w:style>
  <w:style w:type="paragraph" w:styleId="33">
    <w:name w:val="Body Text First Indent 2"/>
    <w:basedOn w:val="15"/>
    <w:next w:val="1"/>
    <w:autoRedefine/>
    <w:qFormat/>
    <w:locked/>
    <w:uiPriority w:val="99"/>
    <w:pPr>
      <w:ind w:firstLine="420"/>
    </w:pPr>
  </w:style>
  <w:style w:type="table" w:styleId="35">
    <w:name w:val="Table Grid"/>
    <w:basedOn w:val="34"/>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Theme"/>
    <w:basedOn w:val="34"/>
    <w:autoRedefine/>
    <w:qFormat/>
    <w:locked/>
    <w:uiPriority w:val="0"/>
    <w:pPr>
      <w:widowControl w:val="0"/>
      <w:jc w:val="center"/>
      <w:textAlignment w:val="center"/>
    </w:pPr>
    <w:rPr>
      <w:sz w:val="18"/>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wordWrap/>
        <w:jc w:val="center"/>
        <w:textAlignment w:val="center"/>
      </w:pPr>
      <w:rPr>
        <w:rFonts w:eastAsia="Courier New"/>
        <w:b/>
        <w:sz w:val="18"/>
      </w:rPr>
    </w:tblStylePr>
  </w:style>
  <w:style w:type="character" w:styleId="38">
    <w:name w:val="Strong"/>
    <w:autoRedefine/>
    <w:qFormat/>
    <w:locked/>
    <w:uiPriority w:val="0"/>
    <w:rPr>
      <w:b/>
      <w:bCs/>
    </w:rPr>
  </w:style>
  <w:style w:type="character" w:styleId="39">
    <w:name w:val="page number"/>
    <w:autoRedefine/>
    <w:qFormat/>
    <w:locked/>
    <w:uiPriority w:val="0"/>
    <w:rPr>
      <w:rFonts w:hint="default" w:ascii="Times New Roman" w:hAnsi="Times New Roman" w:cs="Times New Roman"/>
    </w:rPr>
  </w:style>
  <w:style w:type="character" w:styleId="40">
    <w:name w:val="FollowedHyperlink"/>
    <w:autoRedefine/>
    <w:qFormat/>
    <w:locked/>
    <w:uiPriority w:val="0"/>
    <w:rPr>
      <w:color w:val="333333"/>
      <w:u w:val="none"/>
    </w:rPr>
  </w:style>
  <w:style w:type="character" w:styleId="41">
    <w:name w:val="Emphasis"/>
    <w:autoRedefine/>
    <w:qFormat/>
    <w:locked/>
    <w:uiPriority w:val="0"/>
  </w:style>
  <w:style w:type="character" w:styleId="42">
    <w:name w:val="HTML Definition"/>
    <w:autoRedefine/>
    <w:qFormat/>
    <w:locked/>
    <w:uiPriority w:val="0"/>
  </w:style>
  <w:style w:type="character" w:styleId="43">
    <w:name w:val="HTML Acronym"/>
    <w:autoRedefine/>
    <w:qFormat/>
    <w:locked/>
    <w:uiPriority w:val="0"/>
  </w:style>
  <w:style w:type="character" w:styleId="44">
    <w:name w:val="HTML Variable"/>
    <w:autoRedefine/>
    <w:qFormat/>
    <w:locked/>
    <w:uiPriority w:val="0"/>
  </w:style>
  <w:style w:type="character" w:styleId="45">
    <w:name w:val="Hyperlink"/>
    <w:autoRedefine/>
    <w:qFormat/>
    <w:locked/>
    <w:uiPriority w:val="99"/>
    <w:rPr>
      <w:color w:val="333333"/>
      <w:u w:val="none"/>
    </w:rPr>
  </w:style>
  <w:style w:type="character" w:styleId="46">
    <w:name w:val="HTML Code"/>
    <w:autoRedefine/>
    <w:qFormat/>
    <w:locked/>
    <w:uiPriority w:val="0"/>
    <w:rPr>
      <w:rFonts w:ascii="Consolas" w:hAnsi="Consolas" w:eastAsia="Consolas" w:cs="Consolas"/>
      <w:color w:val="E83E8C"/>
      <w:sz w:val="21"/>
      <w:szCs w:val="21"/>
    </w:rPr>
  </w:style>
  <w:style w:type="character" w:styleId="47">
    <w:name w:val="annotation reference"/>
    <w:autoRedefine/>
    <w:semiHidden/>
    <w:qFormat/>
    <w:uiPriority w:val="0"/>
    <w:rPr>
      <w:sz w:val="21"/>
    </w:rPr>
  </w:style>
  <w:style w:type="character" w:styleId="48">
    <w:name w:val="HTML Cite"/>
    <w:autoRedefine/>
    <w:qFormat/>
    <w:locked/>
    <w:uiPriority w:val="0"/>
    <w:rPr>
      <w:color w:val="008000"/>
    </w:rPr>
  </w:style>
  <w:style w:type="character" w:styleId="49">
    <w:name w:val="HTML Keyboard"/>
    <w:autoRedefine/>
    <w:qFormat/>
    <w:locked/>
    <w:uiPriority w:val="0"/>
    <w:rPr>
      <w:rFonts w:hint="default" w:ascii="Consolas" w:hAnsi="Consolas" w:eastAsia="Consolas" w:cs="Consolas"/>
      <w:color w:val="FFFFFF"/>
      <w:sz w:val="21"/>
      <w:szCs w:val="21"/>
      <w:shd w:val="clear" w:color="auto" w:fill="212529"/>
    </w:rPr>
  </w:style>
  <w:style w:type="character" w:styleId="50">
    <w:name w:val="HTML Sample"/>
    <w:autoRedefine/>
    <w:qFormat/>
    <w:locked/>
    <w:uiPriority w:val="0"/>
    <w:rPr>
      <w:rFonts w:hint="default" w:ascii="Consolas" w:hAnsi="Consolas" w:eastAsia="Consolas" w:cs="Consolas"/>
      <w:sz w:val="21"/>
      <w:szCs w:val="21"/>
    </w:rPr>
  </w:style>
  <w:style w:type="paragraph" w:customStyle="1" w:styleId="51">
    <w:name w:val="Default"/>
    <w:basedOn w:val="52"/>
    <w:next w:val="1"/>
    <w:autoRedefine/>
    <w:unhideWhenUsed/>
    <w:qFormat/>
    <w:uiPriority w:val="99"/>
    <w:pPr>
      <w:widowControl w:val="0"/>
      <w:autoSpaceDE w:val="0"/>
      <w:autoSpaceDN w:val="0"/>
    </w:pPr>
    <w:rPr>
      <w:rFonts w:hint="eastAsia" w:ascii="黑体" w:hAnsi="黑体" w:eastAsia="黑体" w:cs="Times New Roman"/>
      <w:color w:val="000000"/>
      <w:sz w:val="24"/>
      <w:lang w:val="en-US" w:eastAsia="zh-CN" w:bidi="ar-SA"/>
    </w:rPr>
  </w:style>
  <w:style w:type="paragraph" w:customStyle="1" w:styleId="52">
    <w:name w:val="文本"/>
    <w:basedOn w:val="1"/>
    <w:next w:val="1"/>
    <w:autoRedefine/>
    <w:qFormat/>
    <w:uiPriority w:val="0"/>
    <w:pPr>
      <w:autoSpaceDE w:val="0"/>
      <w:autoSpaceDN w:val="0"/>
      <w:ind w:firstLine="480"/>
    </w:pPr>
    <w:rPr>
      <w:lang w:val="zh-CN"/>
    </w:rPr>
  </w:style>
  <w:style w:type="character" w:customStyle="1" w:styleId="53">
    <w:name w:val="标题 1 Char"/>
    <w:link w:val="2"/>
    <w:autoRedefine/>
    <w:qFormat/>
    <w:uiPriority w:val="0"/>
    <w:rPr>
      <w:rFonts w:eastAsia="黑体"/>
      <w:b/>
      <w:bCs/>
      <w:color w:val="000000"/>
      <w:kern w:val="44"/>
      <w:sz w:val="30"/>
      <w:szCs w:val="30"/>
    </w:rPr>
  </w:style>
  <w:style w:type="character" w:customStyle="1" w:styleId="54">
    <w:name w:val="标题 2 Char"/>
    <w:link w:val="4"/>
    <w:autoRedefine/>
    <w:qFormat/>
    <w:uiPriority w:val="0"/>
    <w:rPr>
      <w:rFonts w:ascii="Cambria" w:hAnsi="Cambria" w:eastAsia="宋体" w:cs="Times New Roman"/>
      <w:b/>
      <w:bCs/>
      <w:sz w:val="32"/>
      <w:szCs w:val="32"/>
    </w:rPr>
  </w:style>
  <w:style w:type="character" w:customStyle="1" w:styleId="55">
    <w:name w:val="批注文字 Char"/>
    <w:link w:val="10"/>
    <w:autoRedefine/>
    <w:qFormat/>
    <w:locked/>
    <w:uiPriority w:val="0"/>
    <w:rPr>
      <w:rFonts w:ascii="Times New Roman" w:hAnsi="Times New Roman" w:eastAsia="宋体"/>
      <w:sz w:val="24"/>
    </w:rPr>
  </w:style>
  <w:style w:type="character" w:customStyle="1" w:styleId="56">
    <w:name w:val="正文文本 Char"/>
    <w:link w:val="13"/>
    <w:autoRedefine/>
    <w:qFormat/>
    <w:locked/>
    <w:uiPriority w:val="0"/>
    <w:rPr>
      <w:sz w:val="18"/>
    </w:rPr>
  </w:style>
  <w:style w:type="character" w:customStyle="1" w:styleId="57">
    <w:name w:val="正文文本缩进 Char"/>
    <w:link w:val="15"/>
    <w:autoRedefine/>
    <w:semiHidden/>
    <w:qFormat/>
    <w:locked/>
    <w:uiPriority w:val="0"/>
    <w:rPr>
      <w:rFonts w:ascii="Times New Roman" w:hAnsi="Times New Roman" w:eastAsia="宋体"/>
      <w:sz w:val="24"/>
    </w:rPr>
  </w:style>
  <w:style w:type="character" w:customStyle="1" w:styleId="58">
    <w:name w:val="日期 Char"/>
    <w:link w:val="18"/>
    <w:autoRedefine/>
    <w:qFormat/>
    <w:locked/>
    <w:uiPriority w:val="0"/>
    <w:rPr>
      <w:rFonts w:ascii="Times New Roman" w:hAnsi="Times New Roman" w:eastAsia="宋体"/>
      <w:sz w:val="24"/>
    </w:rPr>
  </w:style>
  <w:style w:type="character" w:customStyle="1" w:styleId="59">
    <w:name w:val="批注框文本 Char"/>
    <w:link w:val="19"/>
    <w:autoRedefine/>
    <w:semiHidden/>
    <w:qFormat/>
    <w:locked/>
    <w:uiPriority w:val="0"/>
    <w:rPr>
      <w:rFonts w:ascii="Times New Roman" w:hAnsi="Times New Roman" w:eastAsia="宋体"/>
      <w:sz w:val="18"/>
    </w:rPr>
  </w:style>
  <w:style w:type="character" w:customStyle="1" w:styleId="60">
    <w:name w:val="页脚 Char"/>
    <w:link w:val="20"/>
    <w:autoRedefine/>
    <w:qFormat/>
    <w:locked/>
    <w:uiPriority w:val="99"/>
    <w:rPr>
      <w:sz w:val="18"/>
    </w:rPr>
  </w:style>
  <w:style w:type="character" w:customStyle="1" w:styleId="61">
    <w:name w:val="页眉 Char1"/>
    <w:link w:val="21"/>
    <w:autoRedefine/>
    <w:qFormat/>
    <w:uiPriority w:val="0"/>
    <w:rPr>
      <w:rFonts w:hint="default" w:ascii="Calibri" w:hAnsi="Calibri" w:cs="Calibri"/>
    </w:rPr>
  </w:style>
  <w:style w:type="character" w:customStyle="1" w:styleId="62">
    <w:name w:val="副标题 Char"/>
    <w:link w:val="25"/>
    <w:autoRedefine/>
    <w:qFormat/>
    <w:uiPriority w:val="0"/>
    <w:rPr>
      <w:rFonts w:ascii="等线 Light" w:hAnsi="等线 Light" w:cs="Times New Roman"/>
      <w:b/>
      <w:bCs/>
      <w:kern w:val="28"/>
      <w:sz w:val="32"/>
      <w:szCs w:val="32"/>
    </w:rPr>
  </w:style>
  <w:style w:type="character" w:customStyle="1" w:styleId="63">
    <w:name w:val="普通(网站) Char"/>
    <w:link w:val="30"/>
    <w:autoRedefine/>
    <w:qFormat/>
    <w:locked/>
    <w:uiPriority w:val="0"/>
    <w:rPr>
      <w:rFonts w:ascii="宋体" w:hAnsi="宋体" w:eastAsia="宋体"/>
      <w:sz w:val="24"/>
    </w:rPr>
  </w:style>
  <w:style w:type="character" w:customStyle="1" w:styleId="64">
    <w:name w:val="批注主题 Char"/>
    <w:link w:val="31"/>
    <w:autoRedefine/>
    <w:semiHidden/>
    <w:qFormat/>
    <w:locked/>
    <w:uiPriority w:val="0"/>
    <w:rPr>
      <w:rFonts w:ascii="Times New Roman" w:hAnsi="Times New Roman" w:eastAsia="宋体"/>
      <w:b/>
      <w:kern w:val="2"/>
      <w:sz w:val="24"/>
    </w:rPr>
  </w:style>
  <w:style w:type="paragraph" w:customStyle="1" w:styleId="65">
    <w:name w:val="纯文本1"/>
    <w:basedOn w:val="1"/>
    <w:autoRedefine/>
    <w:qFormat/>
    <w:uiPriority w:val="0"/>
    <w:pPr>
      <w:adjustRightInd w:val="0"/>
      <w:textAlignment w:val="baseline"/>
    </w:pPr>
    <w:rPr>
      <w:rFonts w:ascii="宋体" w:hAnsi="Courier New"/>
      <w:szCs w:val="20"/>
    </w:rPr>
  </w:style>
  <w:style w:type="paragraph" w:customStyle="1" w:styleId="66">
    <w:name w:val="样式 正文文本缩进 + 行距: 1.5 倍行距"/>
    <w:basedOn w:val="15"/>
    <w:autoRedefine/>
    <w:qFormat/>
    <w:uiPriority w:val="0"/>
    <w:pPr>
      <w:spacing w:before="0" w:after="120"/>
      <w:ind w:left="90" w:leftChars="32" w:firstLine="560" w:firstLineChars="200"/>
    </w:pPr>
    <w:rPr>
      <w:rFonts w:ascii="Times New Roman" w:cs="宋体"/>
    </w:rPr>
  </w:style>
  <w:style w:type="paragraph" w:customStyle="1" w:styleId="67">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样式35"/>
    <w:next w:val="69"/>
    <w:autoRedefine/>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69">
    <w:name w:val="font6"/>
    <w:next w:val="28"/>
    <w:autoRedefine/>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customStyle="1" w:styleId="70">
    <w:name w:val="批注文字1"/>
    <w:autoRedefine/>
    <w:qFormat/>
    <w:uiPriority w:val="0"/>
    <w:pPr>
      <w:widowControl w:val="0"/>
      <w:jc w:val="center"/>
    </w:pPr>
    <w:rPr>
      <w:rFonts w:ascii="Times New Roman" w:hAnsi="Times New Roman" w:eastAsia="宋体" w:cs="Times New Roman"/>
      <w:color w:val="000000"/>
      <w:kern w:val="2"/>
      <w:sz w:val="21"/>
      <w:szCs w:val="24"/>
      <w:lang w:val="en-US" w:eastAsia="zh-CN" w:bidi="ar-SA"/>
    </w:rPr>
  </w:style>
  <w:style w:type="character" w:customStyle="1" w:styleId="71">
    <w:name w:val="fontstrikethrough"/>
    <w:autoRedefine/>
    <w:qFormat/>
    <w:uiPriority w:val="0"/>
    <w:rPr>
      <w:strike/>
    </w:rPr>
  </w:style>
  <w:style w:type="character" w:customStyle="1" w:styleId="72">
    <w:name w:val="hover18"/>
    <w:autoRedefine/>
    <w:qFormat/>
    <w:uiPriority w:val="0"/>
  </w:style>
  <w:style w:type="character" w:customStyle="1" w:styleId="73">
    <w:name w:val="unnamed11"/>
    <w:autoRedefine/>
    <w:qFormat/>
    <w:uiPriority w:val="0"/>
    <w:rPr>
      <w:sz w:val="21"/>
    </w:rPr>
  </w:style>
  <w:style w:type="character" w:customStyle="1" w:styleId="74">
    <w:name w:val="c-icon32"/>
    <w:autoRedefine/>
    <w:qFormat/>
    <w:uiPriority w:val="0"/>
  </w:style>
  <w:style w:type="character" w:customStyle="1" w:styleId="75">
    <w:name w:val="hover19"/>
    <w:autoRedefine/>
    <w:qFormat/>
    <w:uiPriority w:val="0"/>
    <w:rPr>
      <w:color w:val="315EFB"/>
    </w:rPr>
  </w:style>
  <w:style w:type="character" w:customStyle="1" w:styleId="76">
    <w:name w:val="hover28"/>
    <w:autoRedefine/>
    <w:qFormat/>
    <w:uiPriority w:val="0"/>
    <w:rPr>
      <w:color w:val="315EFB"/>
    </w:rPr>
  </w:style>
  <w:style w:type="character" w:customStyle="1" w:styleId="77">
    <w:name w:val="正文文本 字符1"/>
    <w:autoRedefine/>
    <w:semiHidden/>
    <w:qFormat/>
    <w:uiPriority w:val="0"/>
    <w:rPr>
      <w:rFonts w:ascii="Times New Roman" w:hAnsi="Times New Roman" w:eastAsia="宋体"/>
      <w:sz w:val="24"/>
    </w:rPr>
  </w:style>
  <w:style w:type="character" w:customStyle="1" w:styleId="78">
    <w:name w:val="页脚 字符"/>
    <w:autoRedefine/>
    <w:qFormat/>
    <w:uiPriority w:val="99"/>
  </w:style>
  <w:style w:type="character" w:customStyle="1" w:styleId="79">
    <w:name w:val="share"/>
    <w:autoRedefine/>
    <w:qFormat/>
    <w:uiPriority w:val="0"/>
  </w:style>
  <w:style w:type="character" w:customStyle="1" w:styleId="80">
    <w:name w:val="fontborder"/>
    <w:autoRedefine/>
    <w:qFormat/>
    <w:uiPriority w:val="0"/>
    <w:rPr>
      <w:bdr w:val="single" w:color="000000" w:sz="6" w:space="0"/>
    </w:rPr>
  </w:style>
  <w:style w:type="character" w:customStyle="1" w:styleId="81">
    <w:name w:val="样式 正文首行缩进 + 小四 左 段后: 0 磅 行距: 1.5 倍行距 Char"/>
    <w:link w:val="82"/>
    <w:autoRedefine/>
    <w:qFormat/>
    <w:uiPriority w:val="0"/>
    <w:rPr>
      <w:rFonts w:ascii="宋体" w:hAnsi="Verdana"/>
      <w:kern w:val="0"/>
      <w:sz w:val="24"/>
      <w:szCs w:val="30"/>
    </w:rPr>
  </w:style>
  <w:style w:type="paragraph" w:customStyle="1" w:styleId="82">
    <w:name w:val="样式 正文首行缩进 + 小四 左 段后: 0 磅 行距: 1.5 倍行距"/>
    <w:basedOn w:val="32"/>
    <w:link w:val="81"/>
    <w:autoRedefine/>
    <w:qFormat/>
    <w:uiPriority w:val="0"/>
    <w:pPr>
      <w:spacing w:after="0" w:line="360" w:lineRule="auto"/>
      <w:ind w:firstLine="480" w:firstLineChars="200"/>
      <w:jc w:val="left"/>
    </w:pPr>
    <w:rPr>
      <w:rFonts w:ascii="宋体" w:hAnsi="Verdana"/>
      <w:sz w:val="24"/>
      <w:szCs w:val="30"/>
    </w:rPr>
  </w:style>
  <w:style w:type="character" w:customStyle="1" w:styleId="83">
    <w:name w:val="ec_d20_recomm_link3"/>
    <w:autoRedefine/>
    <w:qFormat/>
    <w:uiPriority w:val="0"/>
  </w:style>
  <w:style w:type="character" w:customStyle="1" w:styleId="84">
    <w:name w:val="apple-converted-space"/>
    <w:autoRedefine/>
    <w:qFormat/>
    <w:uiPriority w:val="0"/>
    <w:rPr>
      <w:rFonts w:hint="default" w:ascii="Times New Roman" w:hAnsi="Times New Roman" w:cs="Times New Roman"/>
    </w:rPr>
  </w:style>
  <w:style w:type="character" w:customStyle="1" w:styleId="85">
    <w:name w:val="wx-space1"/>
    <w:autoRedefine/>
    <w:qFormat/>
    <w:uiPriority w:val="0"/>
  </w:style>
  <w:style w:type="character" w:customStyle="1" w:styleId="86">
    <w:name w:val="wx-space"/>
    <w:autoRedefine/>
    <w:qFormat/>
    <w:uiPriority w:val="0"/>
  </w:style>
  <w:style w:type="character" w:customStyle="1" w:styleId="87">
    <w:name w:val="日期 字符"/>
    <w:autoRedefine/>
    <w:semiHidden/>
    <w:qFormat/>
    <w:uiPriority w:val="0"/>
    <w:rPr>
      <w:rFonts w:ascii="Times New Roman" w:hAnsi="Times New Roman" w:eastAsia="宋体"/>
      <w:sz w:val="24"/>
    </w:rPr>
  </w:style>
  <w:style w:type="character" w:customStyle="1" w:styleId="88">
    <w:name w:val="hover20"/>
    <w:autoRedefine/>
    <w:qFormat/>
    <w:uiPriority w:val="0"/>
    <w:rPr>
      <w:color w:val="000000"/>
      <w:shd w:val="clear" w:color="auto" w:fill="FFFFFF"/>
    </w:rPr>
  </w:style>
  <w:style w:type="character" w:customStyle="1" w:styleId="89">
    <w:name w:val="表格 Char"/>
    <w:link w:val="90"/>
    <w:autoRedefine/>
    <w:qFormat/>
    <w:locked/>
    <w:uiPriority w:val="0"/>
    <w:rPr>
      <w:rFonts w:ascii="宋体"/>
      <w:sz w:val="21"/>
    </w:rPr>
  </w:style>
  <w:style w:type="paragraph" w:customStyle="1" w:styleId="90">
    <w:name w:val="表格"/>
    <w:basedOn w:val="91"/>
    <w:next w:val="1"/>
    <w:link w:val="89"/>
    <w:autoRedefine/>
    <w:qFormat/>
    <w:uiPriority w:val="0"/>
    <w:pPr>
      <w:tabs>
        <w:tab w:val="left" w:pos="940"/>
      </w:tabs>
      <w:adjustRightInd w:val="0"/>
      <w:snapToGrid w:val="0"/>
      <w:spacing w:beforeLines="10" w:afterLines="10" w:line="259" w:lineRule="auto"/>
      <w:jc w:val="center"/>
    </w:pPr>
    <w:rPr>
      <w:rFonts w:ascii="宋体"/>
      <w:sz w:val="21"/>
    </w:rPr>
  </w:style>
  <w:style w:type="paragraph" w:customStyle="1" w:styleId="91">
    <w:name w:val="表题"/>
    <w:basedOn w:val="1"/>
    <w:autoRedefine/>
    <w:qFormat/>
    <w:uiPriority w:val="0"/>
    <w:pPr>
      <w:tabs>
        <w:tab w:val="left" w:pos="940"/>
      </w:tabs>
      <w:snapToGrid w:val="0"/>
      <w:spacing w:line="240" w:lineRule="auto"/>
      <w:jc w:val="center"/>
    </w:pPr>
    <w:rPr>
      <w:rFonts w:eastAsia="黑体"/>
      <w:sz w:val="21"/>
      <w:szCs w:val="20"/>
    </w:rPr>
  </w:style>
  <w:style w:type="character" w:customStyle="1" w:styleId="92">
    <w:name w:val="bsharetext"/>
    <w:autoRedefine/>
    <w:qFormat/>
    <w:uiPriority w:val="0"/>
  </w:style>
  <w:style w:type="character" w:customStyle="1" w:styleId="93">
    <w:name w:val="jxz"/>
    <w:autoRedefine/>
    <w:qFormat/>
    <w:uiPriority w:val="0"/>
    <w:rPr>
      <w:shd w:val="clear" w:color="auto" w:fill="71A0D3"/>
    </w:rPr>
  </w:style>
  <w:style w:type="character" w:customStyle="1" w:styleId="94">
    <w:name w:val="c-icon30"/>
    <w:autoRedefine/>
    <w:qFormat/>
    <w:uiPriority w:val="0"/>
  </w:style>
  <w:style w:type="character" w:customStyle="1" w:styleId="95">
    <w:name w:val="hover29"/>
    <w:autoRedefine/>
    <w:qFormat/>
    <w:uiPriority w:val="0"/>
  </w:style>
  <w:style w:type="character" w:customStyle="1" w:styleId="96">
    <w:name w:val="页眉 Char"/>
    <w:autoRedefine/>
    <w:qFormat/>
    <w:locked/>
    <w:uiPriority w:val="0"/>
    <w:rPr>
      <w:sz w:val="18"/>
    </w:rPr>
  </w:style>
  <w:style w:type="character" w:customStyle="1" w:styleId="97">
    <w:name w:val="批注文字 字符1"/>
    <w:autoRedefine/>
    <w:semiHidden/>
    <w:qFormat/>
    <w:uiPriority w:val="0"/>
    <w:rPr>
      <w:rFonts w:ascii="Times New Roman" w:hAnsi="Times New Roman" w:eastAsia="宋体"/>
      <w:sz w:val="24"/>
    </w:rPr>
  </w:style>
  <w:style w:type="paragraph" w:customStyle="1" w:styleId="98">
    <w:name w:val="正文2"/>
    <w:link w:val="99"/>
    <w:autoRedefine/>
    <w:qFormat/>
    <w:uiPriority w:val="0"/>
    <w:pPr>
      <w:spacing w:line="360" w:lineRule="auto"/>
      <w:ind w:firstLine="200" w:firstLineChars="200"/>
      <w:jc w:val="both"/>
    </w:pPr>
    <w:rPr>
      <w:rFonts w:ascii="Times New Roman" w:hAnsi="Times New Roman" w:eastAsia="宋体" w:cs="Times New Roman"/>
      <w:kern w:val="2"/>
      <w:lang w:val="en-US" w:eastAsia="zh-CN" w:bidi="ar-SA"/>
    </w:rPr>
  </w:style>
  <w:style w:type="character" w:customStyle="1" w:styleId="99">
    <w:name w:val="正文2 字符"/>
    <w:link w:val="98"/>
    <w:autoRedefine/>
    <w:qFormat/>
    <w:uiPriority w:val="0"/>
    <w:rPr>
      <w:kern w:val="2"/>
      <w:lang w:bidi="ar-SA"/>
    </w:rPr>
  </w:style>
  <w:style w:type="paragraph" w:customStyle="1" w:styleId="100">
    <w:name w:val="段"/>
    <w:autoRedefine/>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101">
    <w:name w:val="表头样式1"/>
    <w:basedOn w:val="1"/>
    <w:autoRedefine/>
    <w:qFormat/>
    <w:uiPriority w:val="0"/>
    <w:pPr>
      <w:spacing w:after="80" w:afterLines="0" w:line="480" w:lineRule="atLeast"/>
      <w:jc w:val="center"/>
    </w:pPr>
    <w:rPr>
      <w:rFonts w:eastAsia="黑体"/>
      <w:b/>
      <w:sz w:val="24"/>
      <w:szCs w:val="20"/>
    </w:rPr>
  </w:style>
  <w:style w:type="paragraph" w:customStyle="1" w:styleId="102">
    <w:name w:val="A0正文"/>
    <w:basedOn w:val="1"/>
    <w:autoRedefine/>
    <w:qFormat/>
    <w:uiPriority w:val="0"/>
    <w:pPr>
      <w:spacing w:line="360" w:lineRule="auto"/>
      <w:ind w:firstLine="200" w:firstLineChars="200"/>
    </w:pPr>
    <w:rPr>
      <w:rFonts w:cs="宋体"/>
      <w:sz w:val="24"/>
      <w:szCs w:val="20"/>
      <w:lang w:val="zh-CN"/>
    </w:rPr>
  </w:style>
  <w:style w:type="paragraph" w:customStyle="1" w:styleId="103">
    <w:name w:val="表1表2"/>
    <w:basedOn w:val="1"/>
    <w:autoRedefine/>
    <w:qFormat/>
    <w:uiPriority w:val="0"/>
    <w:pPr>
      <w:autoSpaceDE w:val="0"/>
      <w:autoSpaceDN w:val="0"/>
      <w:adjustRightInd w:val="0"/>
      <w:spacing w:line="360" w:lineRule="auto"/>
      <w:jc w:val="center"/>
      <w:textAlignment w:val="center"/>
    </w:pPr>
    <w:rPr>
      <w:rFonts w:eastAsia="仿宋_GB2312"/>
      <w:kern w:val="0"/>
      <w:sz w:val="24"/>
      <w:szCs w:val="21"/>
    </w:rPr>
  </w:style>
  <w:style w:type="paragraph" w:customStyle="1" w:styleId="104">
    <w:name w:val="Table Paragraph"/>
    <w:basedOn w:val="1"/>
    <w:autoRedefine/>
    <w:qFormat/>
    <w:uiPriority w:val="1"/>
    <w:pPr>
      <w:spacing w:before="171"/>
      <w:ind w:left="40"/>
    </w:pPr>
    <w:rPr>
      <w:rFonts w:ascii="宋体" w:hAnsi="宋体" w:eastAsia="宋体" w:cs="宋体"/>
      <w:lang w:val="zh-CN" w:eastAsia="zh-CN" w:bidi="zh-CN"/>
    </w:rPr>
  </w:style>
  <w:style w:type="paragraph" w:customStyle="1" w:styleId="105">
    <w:name w:val="章标题"/>
    <w:next w:val="100"/>
    <w:autoRedefine/>
    <w:qFormat/>
    <w:uiPriority w:val="0"/>
    <w:pPr>
      <w:spacing w:beforeLines="50" w:afterLines="50"/>
      <w:jc w:val="both"/>
      <w:outlineLvl w:val="1"/>
    </w:pPr>
    <w:rPr>
      <w:rFonts w:ascii="黑体" w:hAnsi="Times New Roman" w:eastAsia="黑体" w:cs="Times New Roman"/>
      <w:sz w:val="21"/>
      <w:szCs w:val="22"/>
      <w:lang w:val="en-US" w:eastAsia="zh-CN" w:bidi="ar-SA"/>
    </w:rPr>
  </w:style>
  <w:style w:type="paragraph" w:customStyle="1" w:styleId="106">
    <w:name w:val="一级条标题"/>
    <w:basedOn w:val="105"/>
    <w:next w:val="100"/>
    <w:autoRedefine/>
    <w:qFormat/>
    <w:uiPriority w:val="0"/>
    <w:pPr>
      <w:numPr>
        <w:ilvl w:val="2"/>
        <w:numId w:val="1"/>
      </w:numPr>
      <w:spacing w:beforeLines="0" w:afterLines="0"/>
      <w:outlineLvl w:val="2"/>
    </w:pPr>
  </w:style>
  <w:style w:type="paragraph" w:customStyle="1" w:styleId="107">
    <w:name w:val="xl30"/>
    <w:basedOn w:val="1"/>
    <w:autoRedefine/>
    <w:qFormat/>
    <w:uiPriority w:val="0"/>
    <w:pPr>
      <w:widowControl/>
      <w:pBdr>
        <w:left w:val="single" w:color="auto" w:sz="12" w:space="0"/>
        <w:right w:val="single" w:color="auto" w:sz="4" w:space="0"/>
      </w:pBdr>
      <w:spacing w:before="100" w:after="100"/>
      <w:jc w:val="center"/>
    </w:pPr>
    <w:rPr>
      <w:rFonts w:ascii="宋体" w:hAnsi="宋体"/>
      <w:kern w:val="0"/>
      <w:sz w:val="24"/>
      <w:szCs w:val="20"/>
    </w:rPr>
  </w:style>
  <w:style w:type="paragraph" w:customStyle="1" w:styleId="108">
    <w:name w:val="lh-正文-报告表"/>
    <w:basedOn w:val="1"/>
    <w:autoRedefine/>
    <w:qFormat/>
    <w:uiPriority w:val="0"/>
    <w:pPr>
      <w:autoSpaceDE w:val="0"/>
      <w:autoSpaceDN w:val="0"/>
      <w:spacing w:line="360" w:lineRule="auto"/>
      <w:ind w:firstLine="480" w:firstLineChars="200"/>
      <w:jc w:val="left"/>
    </w:pPr>
    <w:rPr>
      <w:rFonts w:ascii="宋体" w:hAnsi="宋体" w:cs="宋体"/>
      <w:kern w:val="0"/>
      <w:sz w:val="24"/>
      <w:szCs w:val="21"/>
      <w:lang w:val="zh-CN" w:bidi="zh-CN"/>
    </w:rPr>
  </w:style>
  <w:style w:type="paragraph" w:customStyle="1" w:styleId="109">
    <w:name w:val="表字体"/>
    <w:next w:val="1"/>
    <w:autoRedefine/>
    <w:unhideWhenUsed/>
    <w:qFormat/>
    <w:uiPriority w:val="0"/>
    <w:pPr>
      <w:jc w:val="center"/>
    </w:pPr>
    <w:rPr>
      <w:rFonts w:ascii="Times New Roman" w:hAnsi="Times New Roman" w:eastAsia="宋体" w:cs="Times New Roman"/>
      <w:sz w:val="21"/>
      <w:szCs w:val="24"/>
      <w:lang w:val="en-US" w:eastAsia="zh-CN" w:bidi="ar-SA"/>
    </w:rPr>
  </w:style>
  <w:style w:type="paragraph" w:customStyle="1" w:styleId="110">
    <w:name w:val="lh-0级标题-报告表"/>
    <w:basedOn w:val="1"/>
    <w:next w:val="108"/>
    <w:autoRedefine/>
    <w:qFormat/>
    <w:uiPriority w:val="0"/>
    <w:pPr>
      <w:tabs>
        <w:tab w:val="left" w:pos="0"/>
      </w:tabs>
      <w:spacing w:line="360" w:lineRule="auto"/>
      <w:jc w:val="left"/>
      <w:outlineLvl w:val="0"/>
    </w:pPr>
    <w:rPr>
      <w:rFonts w:cs="Times New Roman"/>
      <w:b/>
      <w:bCs/>
      <w:kern w:val="0"/>
      <w:sz w:val="28"/>
      <w:szCs w:val="44"/>
    </w:rPr>
  </w:style>
  <w:style w:type="paragraph" w:customStyle="1" w:styleId="111">
    <w:name w:val="表格字体"/>
    <w:basedOn w:val="1"/>
    <w:autoRedefine/>
    <w:qFormat/>
    <w:uiPriority w:val="0"/>
    <w:pPr>
      <w:jc w:val="center"/>
    </w:pPr>
    <w:rPr>
      <w:rFonts w:ascii="Arial" w:hAnsi="Arial" w:eastAsia="宋体" w:cs="Times New Roman"/>
      <w:szCs w:val="20"/>
    </w:rPr>
  </w:style>
  <w:style w:type="paragraph" w:customStyle="1" w:styleId="112">
    <w:name w:val="二级条标题"/>
    <w:basedOn w:val="106"/>
    <w:next w:val="100"/>
    <w:autoRedefine/>
    <w:qFormat/>
    <w:uiPriority w:val="0"/>
    <w:pPr>
      <w:numPr>
        <w:ilvl w:val="3"/>
      </w:numPr>
      <w:outlineLvl w:val="3"/>
    </w:pPr>
  </w:style>
  <w:style w:type="paragraph" w:customStyle="1" w:styleId="113">
    <w:name w:val="表格文字"/>
    <w:basedOn w:val="114"/>
    <w:next w:val="1"/>
    <w:autoRedefine/>
    <w:qFormat/>
    <w:uiPriority w:val="0"/>
    <w:pPr>
      <w:adjustRightInd w:val="0"/>
      <w:snapToGrid w:val="0"/>
      <w:jc w:val="center"/>
    </w:pPr>
    <w:rPr>
      <w:rFonts w:ascii="宋体" w:hAnsi="宋体"/>
      <w:szCs w:val="18"/>
    </w:rPr>
  </w:style>
  <w:style w:type="paragraph" w:customStyle="1" w:styleId="114">
    <w:name w:val="正文格式"/>
    <w:basedOn w:val="1"/>
    <w:autoRedefine/>
    <w:qFormat/>
    <w:uiPriority w:val="0"/>
    <w:pPr>
      <w:jc w:val="left"/>
    </w:pPr>
    <w:rPr>
      <w:rFonts w:eastAsia="仿宋"/>
      <w:kern w:val="0"/>
      <w:szCs w:val="20"/>
    </w:rPr>
  </w:style>
  <w:style w:type="paragraph" w:customStyle="1" w:styleId="115">
    <w:name w:val="报告正文"/>
    <w:basedOn w:val="1"/>
    <w:autoRedefine/>
    <w:qFormat/>
    <w:uiPriority w:val="0"/>
    <w:pPr>
      <w:adjustRightInd w:val="0"/>
      <w:snapToGrid w:val="0"/>
      <w:ind w:firstLine="200" w:firstLineChars="200"/>
    </w:pPr>
    <w:rPr>
      <w:rFonts w:ascii="宋体"/>
      <w:sz w:val="24"/>
      <w:szCs w:val="20"/>
    </w:rPr>
  </w:style>
  <w:style w:type="paragraph" w:customStyle="1" w:styleId="116">
    <w:name w:val="九晟表格"/>
    <w:basedOn w:val="1"/>
    <w:autoRedefine/>
    <w:qFormat/>
    <w:uiPriority w:val="0"/>
    <w:pPr>
      <w:jc w:val="center"/>
    </w:pPr>
    <w:rPr>
      <w:rFonts w:hAnsi="宋体"/>
      <w:szCs w:val="21"/>
    </w:rPr>
  </w:style>
  <w:style w:type="paragraph" w:customStyle="1" w:styleId="117">
    <w:name w:val="三级条标题"/>
    <w:basedOn w:val="112"/>
    <w:next w:val="100"/>
    <w:autoRedefine/>
    <w:qFormat/>
    <w:uiPriority w:val="0"/>
    <w:pPr>
      <w:numPr>
        <w:ilvl w:val="0"/>
        <w:numId w:val="0"/>
      </w:numPr>
      <w:outlineLvl w:val="4"/>
    </w:pPr>
  </w:style>
  <w:style w:type="paragraph" w:customStyle="1" w:styleId="118">
    <w:name w:val="0正文"/>
    <w:autoRedefine/>
    <w:unhideWhenUsed/>
    <w:qFormat/>
    <w:uiPriority w:val="0"/>
    <w:pPr>
      <w:widowControl w:val="0"/>
      <w:spacing w:line="360" w:lineRule="auto"/>
      <w:ind w:firstLine="720" w:firstLineChars="200"/>
      <w:jc w:val="center"/>
    </w:pPr>
    <w:rPr>
      <w:rFonts w:ascii="Calibri" w:hAnsi="Calibri" w:eastAsia="宋体" w:cs="Times New Roman"/>
      <w:sz w:val="24"/>
      <w:szCs w:val="22"/>
      <w:lang w:val="en-US" w:eastAsia="zh-CN" w:bidi="ar-SA"/>
    </w:rPr>
  </w:style>
  <w:style w:type="paragraph" w:customStyle="1" w:styleId="119">
    <w:name w:val="正文5"/>
    <w:basedOn w:val="1"/>
    <w:autoRedefine/>
    <w:qFormat/>
    <w:uiPriority w:val="99"/>
    <w:pPr>
      <w:widowControl/>
      <w:spacing w:line="360" w:lineRule="auto"/>
      <w:ind w:firstLine="200" w:firstLineChars="200"/>
      <w:jc w:val="left"/>
    </w:pPr>
    <w:rPr>
      <w:rFonts w:cs="宋体"/>
      <w:kern w:val="0"/>
      <w:sz w:val="24"/>
    </w:rPr>
  </w:style>
  <w:style w:type="paragraph" w:customStyle="1" w:styleId="12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121">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2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3">
    <w:name w:val="表文字"/>
    <w:basedOn w:val="13"/>
    <w:next w:val="124"/>
    <w:autoRedefine/>
    <w:qFormat/>
    <w:uiPriority w:val="0"/>
    <w:pPr>
      <w:overflowPunct w:val="0"/>
      <w:autoSpaceDE w:val="0"/>
      <w:autoSpaceDN w:val="0"/>
      <w:adjustRightInd w:val="0"/>
      <w:spacing w:line="240" w:lineRule="atLeast"/>
      <w:textAlignment w:val="baseline"/>
    </w:pPr>
    <w:rPr>
      <w:kern w:val="0"/>
      <w:sz w:val="24"/>
      <w:szCs w:val="20"/>
    </w:rPr>
  </w:style>
  <w:style w:type="paragraph" w:customStyle="1" w:styleId="124">
    <w:name w:val="表字居中"/>
    <w:basedOn w:val="123"/>
    <w:next w:val="13"/>
    <w:autoRedefine/>
    <w:qFormat/>
    <w:uiPriority w:val="0"/>
    <w:pPr>
      <w:overflowPunct w:val="0"/>
      <w:autoSpaceDE w:val="0"/>
      <w:autoSpaceDN w:val="0"/>
      <w:adjustRightInd w:val="0"/>
      <w:jc w:val="center"/>
      <w:textAlignment w:val="baseline"/>
    </w:pPr>
    <w:rPr>
      <w:rFonts w:cs="宋体"/>
      <w:kern w:val="0"/>
      <w:sz w:val="24"/>
    </w:rPr>
  </w:style>
  <w:style w:type="paragraph" w:customStyle="1" w:styleId="125">
    <w:name w:val="四级条标题"/>
    <w:basedOn w:val="117"/>
    <w:next w:val="1"/>
    <w:autoRedefine/>
    <w:qFormat/>
    <w:uiPriority w:val="0"/>
    <w:pPr>
      <w:outlineLvl w:val="5"/>
    </w:pPr>
    <w:rPr>
      <w:szCs w:val="20"/>
    </w:rPr>
  </w:style>
  <w:style w:type="paragraph" w:customStyle="1" w:styleId="126">
    <w:name w:val="表格内容自定"/>
    <w:basedOn w:val="1"/>
    <w:autoRedefine/>
    <w:qFormat/>
    <w:uiPriority w:val="0"/>
    <w:pPr>
      <w:spacing w:line="280" w:lineRule="exact"/>
      <w:jc w:val="center"/>
    </w:pPr>
    <w:rPr>
      <w:kern w:val="0"/>
      <w:sz w:val="18"/>
      <w:szCs w:val="21"/>
    </w:rPr>
  </w:style>
  <w:style w:type="paragraph" w:customStyle="1" w:styleId="127">
    <w:name w:val="样式1"/>
    <w:basedOn w:val="23"/>
    <w:next w:val="1"/>
    <w:autoRedefine/>
    <w:qFormat/>
    <w:uiPriority w:val="0"/>
    <w:pPr>
      <w:spacing w:beforeLines="50" w:line="440" w:lineRule="exact"/>
      <w:ind w:left="100" w:leftChars="100"/>
    </w:pPr>
    <w:rPr>
      <w:rFonts w:ascii="宋体" w:hAnsi="宋体"/>
    </w:rPr>
  </w:style>
  <w:style w:type="paragraph" w:customStyle="1" w:styleId="128">
    <w:name w:val="正文_14"/>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9">
    <w:name w:val="文章正文样式"/>
    <w:basedOn w:val="1"/>
    <w:autoRedefine/>
    <w:qFormat/>
    <w:uiPriority w:val="0"/>
    <w:pPr>
      <w:spacing w:line="520" w:lineRule="exact"/>
      <w:ind w:firstLine="480" w:firstLineChars="200"/>
      <w:jc w:val="left"/>
    </w:pPr>
    <w:rPr>
      <w:rFonts w:ascii="宋体" w:hAnsi="宋体" w:cs="宋体"/>
      <w:sz w:val="24"/>
      <w:szCs w:val="20"/>
    </w:rPr>
  </w:style>
  <w:style w:type="paragraph" w:customStyle="1" w:styleId="130">
    <w:name w:val="表头"/>
    <w:basedOn w:val="1"/>
    <w:autoRedefine/>
    <w:qFormat/>
    <w:uiPriority w:val="0"/>
    <w:pPr>
      <w:tabs>
        <w:tab w:val="left" w:pos="1021"/>
      </w:tabs>
      <w:spacing w:before="60" w:beforeLines="0"/>
      <w:jc w:val="center"/>
    </w:pPr>
    <w:rPr>
      <w:rFonts w:ascii="Arial" w:hAnsi="Arial" w:eastAsia="黑体" w:cs="Arial"/>
      <w:kern w:val="24"/>
      <w:sz w:val="24"/>
    </w:rPr>
  </w:style>
  <w:style w:type="paragraph" w:customStyle="1" w:styleId="131">
    <w:name w:val="p0"/>
    <w:basedOn w:val="1"/>
    <w:autoRedefine/>
    <w:qFormat/>
    <w:uiPriority w:val="0"/>
    <w:pPr>
      <w:widowControl/>
    </w:pPr>
    <w:rPr>
      <w:kern w:val="0"/>
      <w:szCs w:val="21"/>
    </w:rPr>
  </w:style>
  <w:style w:type="paragraph" w:customStyle="1" w:styleId="132">
    <w:name w:val="样式 黑体 小三 加粗 居中1"/>
    <w:basedOn w:val="1"/>
    <w:autoRedefine/>
    <w:qFormat/>
    <w:uiPriority w:val="0"/>
    <w:pPr>
      <w:spacing w:before="156" w:beforeLines="50"/>
      <w:jc w:val="center"/>
    </w:pPr>
    <w:rPr>
      <w:rFonts w:ascii="黑体" w:eastAsia="黑体" w:cs="宋体"/>
      <w:bCs/>
      <w:sz w:val="24"/>
      <w:szCs w:val="20"/>
    </w:rPr>
  </w:style>
  <w:style w:type="paragraph" w:customStyle="1" w:styleId="133">
    <w:name w:val="正文1"/>
    <w:basedOn w:val="1"/>
    <w:autoRedefine/>
    <w:unhideWhenUsed/>
    <w:qFormat/>
    <w:uiPriority w:val="0"/>
    <w:pPr>
      <w:spacing w:beforeLines="0" w:afterLines="0"/>
      <w:ind w:firstLine="723" w:firstLineChars="200"/>
    </w:pPr>
    <w:rPr>
      <w:rFonts w:hint="eastAsia" w:eastAsia="Times New Roman"/>
      <w:kern w:val="0"/>
      <w:szCs w:val="20"/>
    </w:rPr>
  </w:style>
  <w:style w:type="character" w:customStyle="1" w:styleId="134">
    <w:name w:val="标题 2 字符"/>
    <w:autoRedefine/>
    <w:qFormat/>
    <w:uiPriority w:val="99"/>
    <w:rPr>
      <w:rFonts w:hint="default" w:ascii="Times New Roman" w:hAnsi="Times New Roman" w:eastAsia="黑体" w:cs="Times New Roman"/>
      <w:b/>
      <w:bCs/>
      <w:sz w:val="28"/>
      <w:szCs w:val="32"/>
    </w:rPr>
  </w:style>
  <w:style w:type="paragraph" w:customStyle="1" w:styleId="135">
    <w:name w:val="正文修改"/>
    <w:basedOn w:val="1"/>
    <w:autoRedefine/>
    <w:qFormat/>
    <w:uiPriority w:val="0"/>
    <w:pPr>
      <w:spacing w:line="360" w:lineRule="auto"/>
      <w:ind w:firstLine="200" w:firstLineChars="200"/>
    </w:pPr>
    <w:rPr>
      <w:rFonts w:ascii="宋体" w:hAnsi="宋体"/>
      <w:kern w:val="0"/>
      <w:sz w:val="24"/>
      <w:szCs w:val="20"/>
    </w:rPr>
  </w:style>
  <w:style w:type="paragraph" w:customStyle="1" w:styleId="136">
    <w:name w:val="图表标题"/>
    <w:basedOn w:val="137"/>
    <w:next w:val="7"/>
    <w:autoRedefine/>
    <w:qFormat/>
    <w:uiPriority w:val="0"/>
    <w:pPr>
      <w:widowControl/>
      <w:jc w:val="center"/>
    </w:pPr>
    <w:rPr>
      <w:rFonts w:ascii="Arial" w:hAnsi="Arial" w:eastAsia="仿宋_GB2312"/>
      <w:color w:val="000000"/>
      <w:sz w:val="28"/>
      <w:szCs w:val="28"/>
    </w:rPr>
  </w:style>
  <w:style w:type="paragraph" w:customStyle="1" w:styleId="137">
    <w:name w:val="表内文字"/>
    <w:autoRedefine/>
    <w:qFormat/>
    <w:uiPriority w:val="99"/>
    <w:pPr>
      <w:wordWrap w:val="0"/>
      <w:adjustRightInd w:val="0"/>
      <w:snapToGrid w:val="0"/>
      <w:jc w:val="center"/>
    </w:pPr>
    <w:rPr>
      <w:rFonts w:ascii="Times New Roman" w:hAnsi="Times New Roman" w:eastAsia="宋体" w:cs="Times New Roman"/>
      <w:kern w:val="0"/>
      <w:sz w:val="21"/>
      <w:szCs w:val="21"/>
    </w:rPr>
  </w:style>
  <w:style w:type="paragraph" w:customStyle="1" w:styleId="138">
    <w:name w:val="表格文字啊啊"/>
    <w:basedOn w:val="113"/>
    <w:autoRedefine/>
    <w:qFormat/>
    <w:uiPriority w:val="0"/>
    <w:pPr>
      <w:tabs>
        <w:tab w:val="left" w:pos="1960"/>
      </w:tabs>
    </w:pPr>
  </w:style>
  <w:style w:type="paragraph" w:customStyle="1" w:styleId="139">
    <w:name w:val="Char Char Char"/>
    <w:basedOn w:val="1"/>
    <w:autoRedefine/>
    <w:qFormat/>
    <w:uiPriority w:val="0"/>
    <w:rPr>
      <w:szCs w:val="20"/>
    </w:rPr>
  </w:style>
  <w:style w:type="paragraph" w:customStyle="1" w:styleId="140">
    <w:name w:val="D表内1磅"/>
    <w:basedOn w:val="1"/>
    <w:autoRedefine/>
    <w:qFormat/>
    <w:uiPriority w:val="0"/>
    <w:pPr>
      <w:spacing w:before="20" w:after="20"/>
      <w:jc w:val="center"/>
    </w:pPr>
    <w:rPr>
      <w:szCs w:val="21"/>
    </w:rPr>
  </w:style>
  <w:style w:type="paragraph" w:customStyle="1" w:styleId="141">
    <w:name w:val="样式 (符号) 宋体 小四 行距: 1.5 倍行距"/>
    <w:basedOn w:val="1"/>
    <w:autoRedefine/>
    <w:qFormat/>
    <w:uiPriority w:val="0"/>
    <w:pPr>
      <w:spacing w:line="360" w:lineRule="auto"/>
      <w:ind w:firstLine="480" w:firstLineChars="200"/>
    </w:pPr>
    <w:rPr>
      <w:rFonts w:ascii="Calibri" w:hAnsi="宋体" w:cs="宋体"/>
      <w:sz w:val="24"/>
      <w:szCs w:val="21"/>
    </w:rPr>
  </w:style>
  <w:style w:type="paragraph" w:customStyle="1" w:styleId="142">
    <w:name w:val="表格题注"/>
    <w:autoRedefine/>
    <w:qFormat/>
    <w:uiPriority w:val="0"/>
    <w:pPr>
      <w:jc w:val="center"/>
    </w:pPr>
    <w:rPr>
      <w:rFonts w:ascii="Calibri" w:hAnsi="Calibri" w:eastAsia="宋体" w:cs="Times New Roman"/>
      <w:b/>
      <w:sz w:val="21"/>
      <w:szCs w:val="22"/>
      <w:lang w:val="en-US" w:eastAsia="zh-CN" w:bidi="ar-SA"/>
    </w:rPr>
  </w:style>
  <w:style w:type="paragraph" w:customStyle="1" w:styleId="143">
    <w:name w:val="环评表格正文"/>
    <w:basedOn w:val="1"/>
    <w:next w:val="1"/>
    <w:autoRedefine/>
    <w:qFormat/>
    <w:uiPriority w:val="0"/>
    <w:pPr>
      <w:jc w:val="center"/>
    </w:pPr>
    <w:rPr>
      <w:rFonts w:ascii="Calibri" w:hAnsi="Calibri"/>
      <w:kern w:val="0"/>
      <w:szCs w:val="21"/>
    </w:rPr>
  </w:style>
  <w:style w:type="paragraph" w:customStyle="1" w:styleId="144">
    <w:name w:val="D正文"/>
    <w:basedOn w:val="1"/>
    <w:autoRedefine/>
    <w:qFormat/>
    <w:uiPriority w:val="0"/>
    <w:pPr>
      <w:ind w:firstLine="200" w:firstLineChars="200"/>
    </w:pPr>
    <w:rPr>
      <w:rFonts w:ascii="宋体" w:hAnsi="宋体"/>
      <w:sz w:val="24"/>
    </w:rPr>
  </w:style>
  <w:style w:type="paragraph" w:customStyle="1" w:styleId="145">
    <w:name w:val="A表头"/>
    <w:basedOn w:val="1"/>
    <w:next w:val="1"/>
    <w:autoRedefine/>
    <w:qFormat/>
    <w:uiPriority w:val="0"/>
    <w:pPr>
      <w:ind w:firstLine="0" w:firstLineChars="0"/>
      <w:jc w:val="center"/>
    </w:pPr>
    <w:rPr>
      <w:rFonts w:cs="宋体"/>
      <w:b/>
      <w:szCs w:val="20"/>
    </w:rPr>
  </w:style>
  <w:style w:type="table" w:customStyle="1" w:styleId="146">
    <w:name w:val="表格样式1"/>
    <w:basedOn w:val="34"/>
    <w:autoRedefine/>
    <w:qFormat/>
    <w:uiPriority w:val="0"/>
    <w:pPr>
      <w:jc w:val="center"/>
    </w:pPr>
    <w:rPr>
      <w:sz w:val="21"/>
    </w:rPr>
    <w:tblPr>
      <w:jc w:val="center"/>
      <w:tblBorders>
        <w:top w:val="single" w:color="auto" w:sz="12" w:space="0"/>
        <w:bottom w:val="single" w:color="auto" w:sz="12" w:space="0"/>
        <w:insideH w:val="single" w:color="auto" w:sz="6" w:space="0"/>
        <w:insideV w:val="single" w:color="auto" w:sz="6" w:space="0"/>
      </w:tblBorders>
      <w:tblCellMar>
        <w:top w:w="0" w:type="dxa"/>
        <w:left w:w="57" w:type="dxa"/>
        <w:bottom w:w="0" w:type="dxa"/>
        <w:right w:w="57" w:type="dxa"/>
      </w:tblCellMar>
    </w:tblPr>
    <w:trPr>
      <w:cantSplit/>
      <w:jc w:val="center"/>
    </w:trPr>
    <w:tcPr>
      <w:vAlign w:val="center"/>
    </w:tcPr>
  </w:style>
  <w:style w:type="paragraph" w:customStyle="1" w:styleId="147">
    <w:name w:val="5、正文"/>
    <w:basedOn w:val="17"/>
    <w:autoRedefine/>
    <w:qFormat/>
    <w:uiPriority w:val="0"/>
    <w:rPr>
      <w:rFonts w:hAnsi="Courier New"/>
      <w:szCs w:val="21"/>
    </w:rPr>
  </w:style>
  <w:style w:type="paragraph" w:customStyle="1" w:styleId="148">
    <w:name w:val="样式9"/>
    <w:basedOn w:val="1"/>
    <w:autoRedefine/>
    <w:qFormat/>
    <w:uiPriority w:val="0"/>
    <w:pPr>
      <w:adjustRightInd w:val="0"/>
      <w:snapToGrid w:val="0"/>
      <w:spacing w:line="460" w:lineRule="exact"/>
      <w:ind w:firstLine="520" w:firstLineChars="200"/>
    </w:pPr>
    <w:rPr>
      <w:sz w:val="26"/>
      <w:szCs w:val="26"/>
    </w:rPr>
  </w:style>
  <w:style w:type="table" w:customStyle="1" w:styleId="149">
    <w:name w:val="Table Normal"/>
    <w:autoRedefine/>
    <w:unhideWhenUsed/>
    <w:qFormat/>
    <w:uiPriority w:val="0"/>
    <w:pPr>
      <w:jc w:val="center"/>
    </w:pPr>
    <w:rPr>
      <w:sz w:val="24"/>
      <w:szCs w:val="24"/>
      <w:lang w:val="en-US" w:eastAsia="zh-CN" w:bidi="ar-SA"/>
    </w:rPr>
    <w:tblPr>
      <w:tblCellMar>
        <w:top w:w="0" w:type="dxa"/>
        <w:left w:w="0" w:type="dxa"/>
        <w:bottom w:w="0" w:type="dxa"/>
        <w:right w:w="0" w:type="dxa"/>
      </w:tblCellMar>
    </w:tblPr>
  </w:style>
  <w:style w:type="paragraph" w:customStyle="1" w:styleId="150">
    <w:name w:val="！正文 Alt+0"/>
    <w:basedOn w:val="1"/>
    <w:autoRedefine/>
    <w:qFormat/>
    <w:uiPriority w:val="0"/>
    <w:pPr>
      <w:ind w:firstLine="200"/>
    </w:pPr>
    <w:rPr>
      <w:szCs w:val="28"/>
    </w:rPr>
  </w:style>
  <w:style w:type="character" w:customStyle="1" w:styleId="151">
    <w:name w:val="font41"/>
    <w:autoRedefine/>
    <w:qFormat/>
    <w:uiPriority w:val="0"/>
    <w:rPr>
      <w:rFonts w:hint="default" w:ascii="Times New Roman" w:hAnsi="Times New Roman" w:cs="Times New Roman"/>
      <w:color w:val="000000"/>
      <w:sz w:val="21"/>
      <w:szCs w:val="21"/>
      <w:u w:val="none"/>
      <w:vertAlign w:val="subscript"/>
    </w:rPr>
  </w:style>
  <w:style w:type="character" w:customStyle="1" w:styleId="152">
    <w:name w:val="font11"/>
    <w:autoRedefine/>
    <w:qFormat/>
    <w:uiPriority w:val="0"/>
    <w:rPr>
      <w:rFonts w:hint="default" w:ascii="Times New Roman" w:hAnsi="Times New Roman" w:cs="Times New Roman"/>
      <w:color w:val="000000"/>
      <w:sz w:val="21"/>
      <w:szCs w:val="21"/>
      <w:u w:val="none"/>
    </w:rPr>
  </w:style>
  <w:style w:type="paragraph" w:customStyle="1" w:styleId="153">
    <w:name w:val="WPSOffice手动目录 1"/>
    <w:autoRedefine/>
    <w:qFormat/>
    <w:uiPriority w:val="0"/>
    <w:pPr>
      <w:jc w:val="center"/>
    </w:pPr>
    <w:rPr>
      <w:rFonts w:ascii="Times New Roman" w:hAnsi="Times New Roman" w:eastAsia="宋体" w:cs="Times New Roman"/>
      <w:sz w:val="24"/>
      <w:szCs w:val="24"/>
      <w:lang w:val="en-US" w:eastAsia="zh-CN" w:bidi="ar-SA"/>
    </w:rPr>
  </w:style>
  <w:style w:type="paragraph" w:customStyle="1" w:styleId="154">
    <w:name w:val="表格表头"/>
    <w:basedOn w:val="155"/>
    <w:autoRedefine/>
    <w:qFormat/>
    <w:uiPriority w:val="0"/>
    <w:pPr>
      <w:spacing w:beforeLines="50" w:line="240" w:lineRule="auto"/>
      <w:ind w:firstLine="0"/>
      <w:jc w:val="center"/>
    </w:pPr>
    <w:rPr>
      <w:rFonts w:eastAsia="黑体"/>
    </w:rPr>
  </w:style>
  <w:style w:type="paragraph" w:customStyle="1" w:styleId="155">
    <w:name w:val="zhang正文"/>
    <w:basedOn w:val="15"/>
    <w:next w:val="1"/>
    <w:autoRedefine/>
    <w:qFormat/>
    <w:uiPriority w:val="0"/>
    <w:pPr>
      <w:autoSpaceDE w:val="0"/>
      <w:autoSpaceDN w:val="0"/>
      <w:adjustRightInd w:val="0"/>
      <w:snapToGrid w:val="0"/>
      <w:spacing w:line="360" w:lineRule="auto"/>
      <w:ind w:left="0" w:leftChars="0" w:firstLine="539"/>
      <w:textAlignment w:val="baseline"/>
    </w:pPr>
    <w:rPr>
      <w:sz w:val="20"/>
    </w:rPr>
  </w:style>
  <w:style w:type="paragraph" w:customStyle="1" w:styleId="156">
    <w:name w:val="表 图 内容"/>
    <w:autoRedefine/>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157">
    <w:name w:val="表格内容"/>
    <w:basedOn w:val="156"/>
    <w:autoRedefine/>
    <w:qFormat/>
    <w:uiPriority w:val="99"/>
    <w:pPr>
      <w:spacing w:line="240" w:lineRule="auto"/>
      <w:ind w:firstLine="0" w:firstLineChars="0"/>
      <w:jc w:val="center"/>
      <w:textAlignment w:val="center"/>
    </w:pPr>
    <w:rPr>
      <w:sz w:val="21"/>
    </w:rPr>
  </w:style>
  <w:style w:type="table" w:customStyle="1" w:styleId="158">
    <w:name w:val="样式2"/>
    <w:basedOn w:val="34"/>
    <w:autoRedefine/>
    <w:qFormat/>
    <w:uiPriority w:val="0"/>
    <w:pPr>
      <w:jc w:val="center"/>
      <w:textAlignment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b/>
      </w:rPr>
    </w:tblStylePr>
  </w:style>
  <w:style w:type="paragraph" w:customStyle="1" w:styleId="159">
    <w:name w:val="表格正文"/>
    <w:basedOn w:val="13"/>
    <w:next w:val="1"/>
    <w:link w:val="160"/>
    <w:autoRedefine/>
    <w:qFormat/>
    <w:uiPriority w:val="0"/>
    <w:pPr>
      <w:widowControl/>
      <w:jc w:val="center"/>
    </w:pPr>
    <w:rPr>
      <w:sz w:val="18"/>
    </w:rPr>
  </w:style>
  <w:style w:type="character" w:customStyle="1" w:styleId="160">
    <w:name w:val="表格正文 字符"/>
    <w:link w:val="159"/>
    <w:autoRedefine/>
    <w:qFormat/>
    <w:uiPriority w:val="0"/>
    <w:rPr>
      <w:rFonts w:cs="宋体"/>
      <w:sz w:val="18"/>
      <w:szCs w:val="24"/>
    </w:rPr>
  </w:style>
  <w:style w:type="paragraph" w:customStyle="1" w:styleId="161">
    <w:name w:val="表格内标题"/>
    <w:basedOn w:val="98"/>
    <w:link w:val="162"/>
    <w:autoRedefine/>
    <w:qFormat/>
    <w:uiPriority w:val="0"/>
    <w:pPr>
      <w:ind w:firstLine="482"/>
      <w:jc w:val="both"/>
    </w:pPr>
    <w:rPr>
      <w:rFonts w:ascii="宋体" w:hAnsi="宋体"/>
      <w:b/>
      <w:kern w:val="0"/>
      <w:sz w:val="24"/>
      <w:szCs w:val="24"/>
    </w:rPr>
  </w:style>
  <w:style w:type="character" w:customStyle="1" w:styleId="162">
    <w:name w:val="表格内标题 Char"/>
    <w:link w:val="161"/>
    <w:autoRedefine/>
    <w:qFormat/>
    <w:uiPriority w:val="0"/>
    <w:rPr>
      <w:rFonts w:ascii="宋体" w:hAnsi="宋体" w:cs="宋体"/>
      <w:b/>
      <w:sz w:val="24"/>
      <w:szCs w:val="24"/>
    </w:rPr>
  </w:style>
  <w:style w:type="paragraph" w:customStyle="1" w:styleId="163">
    <w:name w:val="_Style 162"/>
    <w:basedOn w:val="2"/>
    <w:next w:val="1"/>
    <w:autoRedefine/>
    <w:qFormat/>
    <w:uiPriority w:val="39"/>
    <w:pPr>
      <w:keepLines/>
      <w:overflowPunct/>
      <w:snapToGrid/>
      <w:spacing w:before="240" w:after="0"/>
      <w:ind w:left="0" w:firstLine="0"/>
      <w:outlineLvl w:val="9"/>
    </w:pPr>
    <w:rPr>
      <w:rFonts w:ascii="等线 Light" w:hAnsi="等线 Light" w:eastAsia="等线 Light" w:cs="Times New Roman"/>
      <w:b w:val="0"/>
      <w:bCs w:val="0"/>
      <w:color w:val="2F5496"/>
      <w:kern w:val="0"/>
      <w:sz w:val="32"/>
      <w:szCs w:val="32"/>
    </w:rPr>
  </w:style>
  <w:style w:type="paragraph" w:customStyle="1" w:styleId="164">
    <w:name w:val="Table Text"/>
    <w:basedOn w:val="1"/>
    <w:autoRedefine/>
    <w:semiHidden/>
    <w:qFormat/>
    <w:uiPriority w:val="0"/>
    <w:rPr>
      <w:rFonts w:ascii="宋体" w:hAnsi="宋体" w:eastAsia="宋体" w:cs="宋体"/>
      <w:sz w:val="24"/>
      <w:szCs w:val="24"/>
      <w:lang w:val="en-US" w:eastAsia="en-US" w:bidi="ar-SA"/>
    </w:rPr>
  </w:style>
  <w:style w:type="paragraph" w:customStyle="1" w:styleId="165">
    <w:name w:val="表格文字   5号"/>
    <w:autoRedefine/>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166">
    <w:name w:val="表中文字"/>
    <w:basedOn w:val="1"/>
    <w:autoRedefine/>
    <w:qFormat/>
    <w:uiPriority w:val="0"/>
    <w:pPr>
      <w:wordWrap w:val="0"/>
      <w:adjustRightInd w:val="0"/>
      <w:spacing w:line="240" w:lineRule="auto"/>
      <w:ind w:firstLine="0" w:firstLineChars="0"/>
      <w:jc w:val="center"/>
      <w:textAlignment w:val="baseline"/>
    </w:pPr>
    <w:rPr>
      <w:kern w:val="0"/>
      <w:sz w:val="21"/>
      <w:szCs w:val="20"/>
    </w:rPr>
  </w:style>
  <w:style w:type="paragraph" w:customStyle="1" w:styleId="167">
    <w:name w:val="正文LD"/>
    <w:basedOn w:val="1"/>
    <w:autoRedefine/>
    <w:qFormat/>
    <w:uiPriority w:val="0"/>
    <w:pPr>
      <w:tabs>
        <w:tab w:val="left" w:pos="0"/>
      </w:tabs>
      <w:spacing w:line="360" w:lineRule="auto"/>
      <w:ind w:firstLine="480" w:firstLineChars="200"/>
    </w:pPr>
    <w:rPr>
      <w:rFonts w:ascii="Century Gothic" w:hAnsi="Century Gothic"/>
      <w:szCs w:val="20"/>
    </w:rPr>
  </w:style>
  <w:style w:type="paragraph" w:customStyle="1" w:styleId="168">
    <w:name w:val="正文内容"/>
    <w:basedOn w:val="1"/>
    <w:autoRedefine/>
    <w:qFormat/>
    <w:uiPriority w:val="0"/>
    <w:pPr>
      <w:spacing w:line="360" w:lineRule="auto"/>
      <w:ind w:firstLine="200" w:firstLineChars="200"/>
    </w:pPr>
    <w:rPr>
      <w:rFonts w:cs="宋体"/>
      <w:kern w:val="0"/>
      <w:sz w:val="24"/>
      <w:szCs w:val="20"/>
    </w:rPr>
  </w:style>
  <w:style w:type="paragraph" w:customStyle="1" w:styleId="169">
    <w:name w:val="黄酒表格标题"/>
    <w:autoRedefine/>
    <w:qFormat/>
    <w:uiPriority w:val="0"/>
    <w:pPr>
      <w:tabs>
        <w:tab w:val="left" w:pos="-2848"/>
      </w:tabs>
      <w:jc w:val="center"/>
    </w:pPr>
    <w:rPr>
      <w:rFonts w:ascii="Times New Roman" w:hAnsi="Times New Roman" w:eastAsia="宋体" w:cs="宋体"/>
      <w:b/>
      <w:sz w:val="21"/>
      <w:szCs w:val="21"/>
      <w:lang w:val="en-US" w:eastAsia="zh-CN" w:bidi="ar-SA"/>
    </w:rPr>
  </w:style>
  <w:style w:type="paragraph" w:customStyle="1" w:styleId="170">
    <w:name w:val="表格1"/>
    <w:basedOn w:val="1"/>
    <w:autoRedefine/>
    <w:qFormat/>
    <w:uiPriority w:val="0"/>
    <w:pPr>
      <w:adjustRightInd w:val="0"/>
      <w:spacing w:line="360" w:lineRule="atLeast"/>
      <w:jc w:val="center"/>
      <w:textAlignment w:val="baseline"/>
    </w:pPr>
    <w:rPr>
      <w:rFonts w:ascii="CG Times (WN)" w:hAnsi="宋体"/>
      <w:kern w:val="0"/>
      <w:sz w:val="24"/>
      <w:szCs w:val="20"/>
    </w:rPr>
  </w:style>
  <w:style w:type="paragraph" w:customStyle="1" w:styleId="171">
    <w:name w:val="A常用文字"/>
    <w:basedOn w:val="1"/>
    <w:autoRedefine/>
    <w:qFormat/>
    <w:uiPriority w:val="0"/>
    <w:pPr>
      <w:adjustRightInd w:val="0"/>
      <w:snapToGrid w:val="0"/>
      <w:spacing w:line="440" w:lineRule="exact"/>
      <w:ind w:firstLine="567"/>
    </w:pPr>
  </w:style>
  <w:style w:type="paragraph" w:customStyle="1" w:styleId="172">
    <w:name w:val="sheet"/>
    <w:basedOn w:val="1"/>
    <w:next w:val="173"/>
    <w:autoRedefine/>
    <w:qFormat/>
    <w:uiPriority w:val="0"/>
    <w:pPr>
      <w:suppressAutoHyphens/>
      <w:jc w:val="center"/>
    </w:pPr>
    <w:rPr>
      <w:rFonts w:eastAsia="宋体"/>
      <w:sz w:val="21"/>
    </w:rPr>
  </w:style>
  <w:style w:type="paragraph" w:customStyle="1" w:styleId="173">
    <w:name w:val="1表格"/>
    <w:basedOn w:val="1"/>
    <w:autoRedefine/>
    <w:qFormat/>
    <w:uiPriority w:val="0"/>
    <w:pPr>
      <w:snapToGrid w:val="0"/>
      <w:spacing w:line="160" w:lineRule="atLeast"/>
      <w:jc w:val="center"/>
    </w:pPr>
    <w:rPr>
      <w:rFonts w:eastAsia="仿宋_GB2312"/>
      <w:sz w:val="21"/>
      <w:szCs w:val="20"/>
    </w:rPr>
  </w:style>
  <w:style w:type="paragraph" w:customStyle="1" w:styleId="174">
    <w:name w:val="图表格式"/>
    <w:basedOn w:val="1"/>
    <w:autoRedefine/>
    <w:qFormat/>
    <w:uiPriority w:val="0"/>
    <w:pPr>
      <w:snapToGrid w:val="0"/>
      <w:spacing w:line="240" w:lineRule="auto"/>
      <w:ind w:firstLine="0" w:firstLineChars="0"/>
      <w:jc w:val="center"/>
    </w:pPr>
    <w:rPr>
      <w:bCs/>
      <w:sz w:val="21"/>
      <w:szCs w:val="22"/>
    </w:rPr>
  </w:style>
  <w:style w:type="paragraph" w:customStyle="1" w:styleId="175">
    <w:name w:val="Char11"/>
    <w:basedOn w:val="1"/>
    <w:autoRedefine/>
    <w:qFormat/>
    <w:uiPriority w:val="0"/>
    <w:pPr>
      <w:spacing w:line="360" w:lineRule="auto"/>
      <w:ind w:firstLine="200" w:firstLineChars="200"/>
    </w:pPr>
    <w:rPr>
      <w:kern w:val="0"/>
      <w:sz w:val="24"/>
      <w:szCs w:val="20"/>
    </w:rPr>
  </w:style>
  <w:style w:type="paragraph" w:customStyle="1" w:styleId="176">
    <w:name w:val="_cyj_正文"/>
    <w:basedOn w:val="1"/>
    <w:autoRedefine/>
    <w:qFormat/>
    <w:uiPriority w:val="0"/>
    <w:pPr>
      <w:spacing w:line="480" w:lineRule="exact"/>
      <w:ind w:firstLine="200" w:firstLineChars="200"/>
    </w:pPr>
    <w:rPr>
      <w:rFonts w:hAnsi="宋体"/>
      <w:sz w:val="24"/>
    </w:rPr>
  </w:style>
  <w:style w:type="paragraph" w:customStyle="1" w:styleId="177">
    <w:name w:val="表格 32"/>
    <w:basedOn w:val="1"/>
    <w:autoRedefine/>
    <w:qFormat/>
    <w:uiPriority w:val="0"/>
    <w:pPr>
      <w:autoSpaceDE w:val="0"/>
      <w:autoSpaceDN w:val="0"/>
      <w:adjustRightInd w:val="0"/>
      <w:jc w:val="center"/>
      <w:textAlignment w:val="baseline"/>
    </w:pPr>
    <w:rPr>
      <w:rFonts w:ascii="宋体" w:hAnsi="Impact"/>
      <w:kern w:val="24"/>
      <w:sz w:val="24"/>
      <w:szCs w:val="20"/>
    </w:rPr>
  </w:style>
  <w:style w:type="paragraph" w:customStyle="1" w:styleId="178">
    <w:name w:val="Normal Indent1"/>
    <w:basedOn w:val="1"/>
    <w:autoRedefine/>
    <w:qFormat/>
    <w:uiPriority w:val="0"/>
    <w:pPr>
      <w:ind w:firstLine="420" w:firstLineChars="200"/>
    </w:pPr>
    <w:rPr>
      <w:rFonts w:eastAsia="宋体"/>
      <w:kern w:val="2"/>
      <w:sz w:val="21"/>
      <w:szCs w:val="24"/>
      <w:lang w:val="en-US" w:eastAsia="zh-CN" w:bidi="ar-SA"/>
    </w:rPr>
  </w:style>
  <w:style w:type="paragraph" w:customStyle="1" w:styleId="179">
    <w:name w:val="样式 行距: 固定值 24 磅 首行缩进:  2 字符"/>
    <w:basedOn w:val="1"/>
    <w:autoRedefine/>
    <w:qFormat/>
    <w:uiPriority w:val="99"/>
    <w:pPr>
      <w:spacing w:line="480" w:lineRule="exact"/>
      <w:ind w:firstLine="480" w:firstLineChars="200"/>
    </w:pPr>
    <w:rPr>
      <w:rFonts w:ascii="Times New Roman" w:hAnsi="Times New Roman" w:cs="宋体"/>
      <w:sz w:val="24"/>
    </w:rPr>
  </w:style>
  <w:style w:type="paragraph" w:customStyle="1" w:styleId="180">
    <w:name w:val="表格正文1"/>
    <w:basedOn w:val="1"/>
    <w:next w:val="1"/>
    <w:autoRedefine/>
    <w:qFormat/>
    <w:uiPriority w:val="0"/>
    <w:pPr>
      <w:widowControl w:val="0"/>
      <w:tabs>
        <w:tab w:val="left" w:pos="2976"/>
        <w:tab w:val="left" w:pos="8820"/>
        <w:tab w:val="left" w:pos="9000"/>
      </w:tabs>
      <w:adjustRightInd w:val="0"/>
      <w:snapToGrid w:val="0"/>
      <w:spacing w:line="240" w:lineRule="auto"/>
      <w:ind w:firstLine="0" w:firstLineChars="0"/>
      <w:jc w:val="center"/>
      <w:outlineLvl w:val="4"/>
    </w:pPr>
    <w:rPr>
      <w:color w:val="000000"/>
      <w:kern w:val="0"/>
      <w:sz w:val="21"/>
      <w:szCs w:val="20"/>
    </w:rPr>
  </w:style>
  <w:style w:type="paragraph" w:customStyle="1" w:styleId="181">
    <w:name w:val="table caption"/>
    <w:next w:val="172"/>
    <w:autoRedefine/>
    <w:qFormat/>
    <w:uiPriority w:val="0"/>
    <w:pPr>
      <w:widowControl w:val="0"/>
      <w:jc w:val="center"/>
    </w:pPr>
    <w:rPr>
      <w:rFonts w:ascii="Times New Roman" w:hAnsi="Times New Roman" w:eastAsia="宋体" w:cs="Times New Roman"/>
      <w:b/>
      <w:sz w:val="21"/>
      <w:szCs w:val="24"/>
      <w:lang w:val="en-US" w:eastAsia="zh-CN" w:bidi="ar-SA"/>
    </w:rPr>
  </w:style>
  <w:style w:type="paragraph" w:customStyle="1" w:styleId="182">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183">
    <w:name w:val="1文章"/>
    <w:basedOn w:val="1"/>
    <w:autoRedefine/>
    <w:qFormat/>
    <w:uiPriority w:val="0"/>
    <w:pPr>
      <w:snapToGrid w:val="0"/>
      <w:spacing w:line="360" w:lineRule="auto"/>
      <w:ind w:firstLine="573"/>
    </w:pPr>
    <w:rPr>
      <w:rFonts w:eastAsia="仿宋_GB2312"/>
      <w:sz w:val="28"/>
    </w:rPr>
  </w:style>
  <w:style w:type="paragraph" w:customStyle="1" w:styleId="184">
    <w:name w:val="图标标题卢仁杰"/>
    <w:basedOn w:val="1"/>
    <w:autoRedefine/>
    <w:qFormat/>
    <w:uiPriority w:val="0"/>
    <w:pPr>
      <w:adjustRightInd w:val="0"/>
      <w:snapToGrid w:val="0"/>
      <w:jc w:val="center"/>
    </w:pPr>
    <w:rPr>
      <w:b/>
      <w:kern w:val="0"/>
      <w:sz w:val="24"/>
      <w:szCs w:val="28"/>
    </w:rPr>
  </w:style>
  <w:style w:type="paragraph" w:customStyle="1" w:styleId="185">
    <w:name w:val="鑫裕表文字"/>
    <w:basedOn w:val="1"/>
    <w:autoRedefine/>
    <w:qFormat/>
    <w:uiPriority w:val="0"/>
    <w:pPr>
      <w:overflowPunct w:val="0"/>
      <w:autoSpaceDE w:val="0"/>
      <w:autoSpaceDN w:val="0"/>
      <w:adjustRightInd w:val="0"/>
      <w:spacing w:line="240" w:lineRule="atLeast"/>
      <w:jc w:val="center"/>
      <w:textAlignment w:val="baseline"/>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58</Pages>
  <Words>33284</Words>
  <Characters>38196</Characters>
  <Lines>334</Lines>
  <Paragraphs>94</Paragraphs>
  <TotalTime>4</TotalTime>
  <ScaleCrop>false</ScaleCrop>
  <LinksUpToDate>false</LinksUpToDate>
  <CharactersWithSpaces>38496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2023-08-15T01:52:00Z</dcterms:created>
  <dc:creator>lhj</dc:creator>
  <cp:lastModifiedBy>罗紫烟</cp:lastModifiedBy>
  <cp:lastPrinted>2023-08-16T07:27:00Z</cp:lastPrinted>
  <dcterms:modified xsi:type="dcterms:W3CDTF">2024-05-09T03:53:18Z</dcterms:modified>
  <dc:title>附件2</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0A05558D73F442C29C6C357B9BBEBEC5_13</vt:lpwstr>
  </property>
</Properties>
</file>