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hint="eastAsia" w:ascii="仿宋" w:hAnsi="仿宋" w:eastAsia="仿宋" w:cs="仿宋"/>
          <w:color w:val="auto"/>
          <w:sz w:val="32"/>
        </w:rPr>
      </w:pPr>
    </w:p>
    <w:p>
      <w:pPr>
        <w:keepNext w:val="0"/>
        <w:keepLines w:val="0"/>
        <w:pageBreakBefore w:val="0"/>
        <w:kinsoku/>
        <w:wordWrap/>
        <w:overflowPunct/>
        <w:topLinePunct w:val="0"/>
        <w:bidi w:val="0"/>
        <w:snapToGrid/>
        <w:spacing w:line="560" w:lineRule="exact"/>
        <w:jc w:val="right"/>
        <w:rPr>
          <w:rFonts w:ascii="仿宋" w:hAnsi="仿宋" w:eastAsia="仿宋" w:cs="仿宋"/>
          <w:color w:val="auto"/>
          <w:sz w:val="32"/>
          <w:szCs w:val="32"/>
        </w:rPr>
      </w:pPr>
      <w:r>
        <w:rPr>
          <w:rFonts w:hint="eastAsia" w:ascii="仿宋" w:hAnsi="仿宋" w:eastAsia="仿宋" w:cs="仿宋"/>
          <w:color w:val="auto"/>
          <w:sz w:val="32"/>
        </w:rPr>
        <w:t>州环评（花垣）〔202</w:t>
      </w:r>
      <w:r>
        <w:rPr>
          <w:rFonts w:hint="eastAsia" w:ascii="仿宋" w:hAnsi="仿宋" w:eastAsia="仿宋" w:cs="仿宋"/>
          <w:color w:val="auto"/>
          <w:sz w:val="32"/>
          <w:lang w:val="en-US" w:eastAsia="zh-CN"/>
        </w:rPr>
        <w:t>4</w:t>
      </w:r>
      <w:r>
        <w:rPr>
          <w:rFonts w:hint="eastAsia" w:ascii="仿宋" w:hAnsi="仿宋" w:eastAsia="仿宋" w:cs="仿宋"/>
          <w:color w:val="auto"/>
          <w:sz w:val="32"/>
        </w:rPr>
        <w:t>〕</w:t>
      </w:r>
      <w:r>
        <w:rPr>
          <w:rFonts w:hint="eastAsia" w:ascii="仿宋" w:hAnsi="仿宋" w:eastAsia="仿宋" w:cs="仿宋"/>
          <w:color w:val="auto"/>
          <w:sz w:val="32"/>
          <w:lang w:val="en-US" w:eastAsia="zh-CN"/>
        </w:rPr>
        <w:t>4</w:t>
      </w:r>
      <w:r>
        <w:rPr>
          <w:rFonts w:hint="eastAsia" w:ascii="仿宋" w:hAnsi="仿宋" w:eastAsia="仿宋" w:cs="仿宋"/>
          <w:color w:val="auto"/>
          <w:sz w:val="32"/>
        </w:rPr>
        <w:t>号</w:t>
      </w:r>
    </w:p>
    <w:p>
      <w:pPr>
        <w:keepNext w:val="0"/>
        <w:keepLines w:val="0"/>
        <w:pageBreakBefore w:val="0"/>
        <w:widowControl/>
        <w:kinsoku/>
        <w:wordWrap/>
        <w:overflowPunct/>
        <w:topLinePunct w:val="0"/>
        <w:bidi w:val="0"/>
        <w:snapToGrid/>
        <w:spacing w:line="560" w:lineRule="exact"/>
        <w:jc w:val="center"/>
        <w:rPr>
          <w:rFonts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bidi w:val="0"/>
        <w:snapToGrid/>
        <w:spacing w:line="56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湘西自治州生态环境局关于</w:t>
      </w:r>
    </w:p>
    <w:p>
      <w:pPr>
        <w:keepNext w:val="0"/>
        <w:keepLines w:val="0"/>
        <w:pageBreakBefore w:val="0"/>
        <w:widowControl/>
        <w:kinsoku/>
        <w:wordWrap/>
        <w:overflowPunct/>
        <w:topLinePunct w:val="0"/>
        <w:bidi w:val="0"/>
        <w:snapToGrid/>
        <w:spacing w:line="56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lang w:val="en-US" w:eastAsia="zh-CN"/>
        </w:rPr>
        <w:t>花垣县人民医院精神科项目环境影响报告表</w:t>
      </w:r>
      <w:r>
        <w:rPr>
          <w:rFonts w:hint="eastAsia" w:ascii="方正小标宋简体" w:hAnsi="方正小标宋简体" w:eastAsia="方正小标宋简体" w:cs="方正小标宋简体"/>
          <w:color w:val="auto"/>
          <w:spacing w:val="-20"/>
          <w:sz w:val="44"/>
          <w:szCs w:val="44"/>
        </w:rPr>
        <w:t>的批</w:t>
      </w:r>
      <w:r>
        <w:rPr>
          <w:rFonts w:hint="eastAsia" w:ascii="方正小标宋简体" w:hAnsi="方正小标宋简体" w:eastAsia="方正小标宋简体" w:cs="方正小标宋简体"/>
          <w:color w:val="auto"/>
          <w:spacing w:val="-20"/>
          <w:sz w:val="44"/>
          <w:szCs w:val="44"/>
          <w:lang w:val="en-US" w:eastAsia="zh-CN"/>
        </w:rPr>
        <w:t xml:space="preserve">  </w:t>
      </w:r>
      <w:r>
        <w:rPr>
          <w:rFonts w:hint="eastAsia" w:ascii="方正小标宋简体" w:hAnsi="方正小标宋简体" w:eastAsia="方正小标宋简体" w:cs="方正小标宋简体"/>
          <w:color w:val="auto"/>
          <w:spacing w:val="-20"/>
          <w:sz w:val="44"/>
          <w:szCs w:val="44"/>
        </w:rPr>
        <w:t>复</w:t>
      </w:r>
    </w:p>
    <w:p>
      <w:pPr>
        <w:keepNext w:val="0"/>
        <w:keepLines w:val="0"/>
        <w:pageBreakBefore w:val="0"/>
        <w:widowControl/>
        <w:kinsoku/>
        <w:wordWrap/>
        <w:overflowPunct/>
        <w:topLinePunct w:val="0"/>
        <w:bidi w:val="0"/>
        <w:snapToGrid/>
        <w:spacing w:line="560" w:lineRule="exact"/>
        <w:jc w:val="center"/>
        <w:rPr>
          <w:rFonts w:hint="eastAsia"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pacing w:val="-20"/>
          <w:sz w:val="44"/>
          <w:szCs w:val="4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花垣县人民医院：</w:t>
      </w:r>
    </w:p>
    <w:p>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你单位报来的《关于花垣县人民医院精神科项目环境影响报告表的申请报告》及相关材料已收悉。经研究，现批复如下：</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花垣县人民医院位于花垣县建设中路79号，始建于1950年，环保手续齐全，现有院区已基本饱和。为了补充完善花垣县人民医院医疗设施体系，花垣县人民医院决定撤销院内精神科，利用湘西自治州花垣县花垣镇城北政务中心北侧旁的原花垣县妇幼保健计划生育服务中心综合楼（已搬迁，闲置）建设“花垣县人民医院精神科项目”。项目已在湖南省投资项目在线审批监管平台备案，拟投资100万元，占地面积1355.9</w:t>
      </w:r>
      <w:r>
        <w:rPr>
          <w:rFonts w:hint="default" w:ascii="仿宋" w:hAnsi="仿宋" w:eastAsia="仿宋" w:cs="仿宋"/>
          <w:color w:val="auto"/>
          <w:sz w:val="32"/>
          <w:szCs w:val="32"/>
          <w:lang w:val="en-US" w:eastAsia="zh-CN"/>
        </w:rPr>
        <w:t>m</w:t>
      </w:r>
      <w:r>
        <w:rPr>
          <w:rFonts w:hint="default"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，总建筑面积3500m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val="en-US" w:eastAsia="zh-CN"/>
        </w:rPr>
        <w:t>。项目为异地建设，主要医疗设备为新建，医护人员为新增，设有病房、诊疗室、药房等，共设置床位60张。主要建设内容包括精神卫生楼5F、室外活动场等，同时配套建设厂区绿化和环保工程，不设食堂、锅炉及洗衣房。</w:t>
      </w:r>
    </w:p>
    <w:p>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w:t>
      </w:r>
      <w:r>
        <w:rPr>
          <w:rFonts w:hint="default" w:ascii="仿宋" w:hAnsi="仿宋" w:eastAsia="仿宋" w:cs="仿宋"/>
          <w:color w:val="auto"/>
          <w:sz w:val="32"/>
          <w:szCs w:val="32"/>
          <w:lang w:val="en-US" w:eastAsia="zh-CN"/>
        </w:rPr>
        <w:t>劳动定员</w:t>
      </w:r>
      <w:r>
        <w:rPr>
          <w:rFonts w:hint="eastAsia" w:ascii="仿宋" w:hAnsi="仿宋" w:eastAsia="仿宋" w:cs="仿宋"/>
          <w:color w:val="auto"/>
          <w:sz w:val="32"/>
          <w:szCs w:val="32"/>
          <w:lang w:val="en-US" w:eastAsia="zh-CN"/>
        </w:rPr>
        <w:t>15</w:t>
      </w:r>
      <w:r>
        <w:rPr>
          <w:rFonts w:hint="default" w:ascii="仿宋" w:hAnsi="仿宋" w:eastAsia="仿宋" w:cs="仿宋"/>
          <w:color w:val="auto"/>
          <w:sz w:val="32"/>
          <w:szCs w:val="32"/>
          <w:lang w:val="en-US" w:eastAsia="zh-CN"/>
        </w:rPr>
        <w:t>人</w:t>
      </w:r>
      <w:r>
        <w:rPr>
          <w:rFonts w:hint="eastAsia" w:ascii="仿宋" w:hAnsi="仿宋" w:eastAsia="仿宋" w:cs="仿宋"/>
          <w:color w:val="auto"/>
          <w:sz w:val="32"/>
          <w:szCs w:val="32"/>
          <w:lang w:val="en-US" w:eastAsia="zh-CN"/>
        </w:rPr>
        <w:t>，每日三班制、</w:t>
      </w:r>
      <w:r>
        <w:rPr>
          <w:rFonts w:hint="default" w:ascii="仿宋" w:hAnsi="仿宋" w:eastAsia="仿宋" w:cs="仿宋"/>
          <w:color w:val="auto"/>
          <w:sz w:val="32"/>
          <w:szCs w:val="32"/>
          <w:lang w:val="en-US" w:eastAsia="zh-CN"/>
        </w:rPr>
        <w:t>年工作时间</w:t>
      </w:r>
      <w:r>
        <w:rPr>
          <w:rFonts w:hint="eastAsia" w:ascii="仿宋" w:hAnsi="仿宋" w:eastAsia="仿宋" w:cs="仿宋"/>
          <w:color w:val="auto"/>
          <w:sz w:val="32"/>
          <w:szCs w:val="32"/>
          <w:lang w:val="en-US" w:eastAsia="zh-CN"/>
        </w:rPr>
        <w:t>365天。</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符合国家产业政策及行业相关规划，选址符合相关要求，根据湖南湘尚环境服务有限公司编制的环评报告表分析结论及专家评审意见，在建设单位认真落实环评报告表提出的各项污染防治和风险防控措施的前提下，项目建设对生态环境不利影响可得到有效缓解和控制。我局原则同意环评报告表所列建设项目性质、地点、规模、工艺和拟采取的各项生态环境保护措施。</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lang w:eastAsia="zh-CN"/>
        </w:rPr>
        <w:t>项目建设期环境管理要求</w:t>
      </w:r>
      <w:r>
        <w:rPr>
          <w:rFonts w:hint="eastAsia" w:ascii="仿宋" w:hAnsi="仿宋" w:eastAsia="仿宋" w:cs="仿宋"/>
          <w:color w:val="auto"/>
          <w:sz w:val="32"/>
          <w:szCs w:val="32"/>
          <w:lang w:eastAsia="zh-CN"/>
        </w:rPr>
        <w:t xml:space="preserve"> </w:t>
      </w:r>
    </w:p>
    <w:p>
      <w:pPr>
        <w:keepNext w:val="0"/>
        <w:keepLines w:val="0"/>
        <w:pageBreakBefore w:val="0"/>
        <w:widowControl/>
        <w:kinsoku/>
        <w:wordWrap/>
        <w:overflowPunct/>
        <w:topLinePunct w:val="0"/>
        <w:autoSpaceDE/>
        <w:autoSpaceDN/>
        <w:bidi w:val="0"/>
        <w:snapToGrid/>
        <w:spacing w:line="560" w:lineRule="exact"/>
        <w:ind w:left="0" w:firstLine="616" w:firstLineChars="200"/>
        <w:textAlignment w:val="baseline"/>
        <w:rPr>
          <w:rFonts w:hint="eastAsia" w:ascii="仿宋_GB2312" w:hAnsi="仿宋_GB2312" w:eastAsia="仿宋_GB2312" w:cs="仿宋_GB2312"/>
          <w:sz w:val="32"/>
          <w:lang w:val="en-US" w:eastAsia="zh-CN"/>
        </w:rPr>
      </w:pPr>
      <w:r>
        <w:rPr>
          <w:rFonts w:hint="eastAsia" w:ascii="仿宋" w:hAnsi="仿宋" w:eastAsia="仿宋" w:cs="仿宋"/>
          <w:color w:val="auto"/>
          <w:spacing w:val="-6"/>
          <w:sz w:val="32"/>
          <w:szCs w:val="32"/>
          <w:lang w:val="en-US" w:eastAsia="zh-CN"/>
        </w:rPr>
        <w:t>该</w:t>
      </w:r>
      <w:r>
        <w:rPr>
          <w:rFonts w:hint="eastAsia" w:ascii="仿宋_GB2312" w:hAnsi="仿宋_GB2312" w:eastAsia="仿宋_GB2312" w:cs="仿宋_GB2312"/>
          <w:spacing w:val="-6"/>
          <w:sz w:val="32"/>
          <w:lang w:val="en-US" w:eastAsia="zh-CN"/>
        </w:rPr>
        <w:t>项目</w:t>
      </w:r>
      <w:r>
        <w:rPr>
          <w:rFonts w:hint="eastAsia" w:ascii="仿宋" w:hAnsi="仿宋" w:eastAsia="仿宋" w:cs="仿宋"/>
          <w:color w:val="auto"/>
          <w:sz w:val="32"/>
          <w:szCs w:val="32"/>
          <w:lang w:val="en-US" w:eastAsia="zh-CN"/>
        </w:rPr>
        <w:t>利用闲置的原花垣县妇幼保健计划生育服务中心综合楼</w:t>
      </w:r>
      <w:r>
        <w:rPr>
          <w:rFonts w:hint="eastAsia" w:ascii="仿宋_GB2312" w:hAnsi="仿宋_GB2312" w:eastAsia="仿宋_GB2312" w:cs="仿宋_GB2312"/>
          <w:spacing w:val="-6"/>
          <w:sz w:val="32"/>
          <w:lang w:val="en-US" w:eastAsia="zh-CN"/>
        </w:rPr>
        <w:t>，无需动土开挖，建设单位应按照环评文件及批复要求细化环境保护措施，落实相应环保投资。</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二、项目营运期环境管理要求</w:t>
      </w:r>
    </w:p>
    <w:p>
      <w:pPr>
        <w:keepNext w:val="0"/>
        <w:keepLines w:val="0"/>
        <w:pageBreakBefore w:val="0"/>
        <w:kinsoku/>
        <w:wordWrap/>
        <w:overflowPunct/>
        <w:topLinePunct w:val="0"/>
        <w:bidi w:val="0"/>
        <w:snapToGrid/>
        <w:spacing w:line="560" w:lineRule="exact"/>
        <w:ind w:firstLine="616" w:firstLineChars="200"/>
        <w:rPr>
          <w:rFonts w:hint="default"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（一）大气污染防治。加强无组织废气管理，医疗废物暂存间</w:t>
      </w:r>
      <w:r>
        <w:rPr>
          <w:rFonts w:hint="default" w:ascii="仿宋_GB2312" w:hAnsi="仿宋_GB2312" w:eastAsia="仿宋_GB2312" w:cs="仿宋_GB2312"/>
          <w:spacing w:val="-6"/>
          <w:sz w:val="32"/>
          <w:lang w:val="en-US" w:eastAsia="zh-CN"/>
        </w:rPr>
        <w:t>喷洒除臭剂</w:t>
      </w:r>
      <w:r>
        <w:rPr>
          <w:rFonts w:hint="eastAsia" w:ascii="仿宋_GB2312" w:hAnsi="仿宋_GB2312" w:eastAsia="仿宋_GB2312" w:cs="仿宋_GB2312"/>
          <w:spacing w:val="-6"/>
          <w:sz w:val="32"/>
          <w:lang w:val="en-US" w:eastAsia="zh-CN"/>
        </w:rPr>
        <w:t>、</w:t>
      </w:r>
      <w:r>
        <w:rPr>
          <w:rFonts w:hint="default" w:ascii="仿宋_GB2312" w:hAnsi="仿宋_GB2312" w:eastAsia="仿宋_GB2312" w:cs="仿宋_GB2312"/>
          <w:spacing w:val="-6"/>
          <w:sz w:val="32"/>
          <w:lang w:val="en-US" w:eastAsia="zh-CN"/>
        </w:rPr>
        <w:t>及时转运、清洁消毒</w:t>
      </w:r>
      <w:r>
        <w:rPr>
          <w:rFonts w:hint="eastAsia" w:ascii="仿宋_GB2312" w:hAnsi="仿宋_GB2312" w:eastAsia="仿宋_GB2312" w:cs="仿宋_GB2312"/>
          <w:spacing w:val="-6"/>
          <w:sz w:val="32"/>
          <w:lang w:val="en-US" w:eastAsia="zh-CN"/>
        </w:rPr>
        <w:t>；</w:t>
      </w:r>
      <w:r>
        <w:rPr>
          <w:rFonts w:hint="default" w:ascii="仿宋_GB2312" w:hAnsi="仿宋_GB2312" w:eastAsia="仿宋_GB2312" w:cs="仿宋_GB2312"/>
          <w:spacing w:val="-6"/>
          <w:sz w:val="32"/>
          <w:lang w:val="en-US" w:eastAsia="zh-CN"/>
        </w:rPr>
        <w:t>一体化污水处理设施密闭，定期喷洒除臭剂，同时加强周边绿化</w:t>
      </w:r>
      <w:r>
        <w:rPr>
          <w:rFonts w:hint="eastAsia" w:ascii="仿宋_GB2312" w:hAnsi="仿宋_GB2312" w:eastAsia="仿宋_GB2312" w:cs="仿宋_GB2312"/>
          <w:spacing w:val="-6"/>
          <w:sz w:val="32"/>
          <w:lang w:val="en-US" w:eastAsia="zh-CN"/>
        </w:rPr>
        <w:t>。</w:t>
      </w:r>
    </w:p>
    <w:p>
      <w:pPr>
        <w:keepNext w:val="0"/>
        <w:keepLines w:val="0"/>
        <w:pageBreakBefore w:val="0"/>
        <w:kinsoku/>
        <w:wordWrap/>
        <w:overflowPunct/>
        <w:topLinePunct w:val="0"/>
        <w:bidi w:val="0"/>
        <w:snapToGrid/>
        <w:spacing w:line="560" w:lineRule="exact"/>
        <w:ind w:firstLine="616" w:firstLineChars="200"/>
        <w:rPr>
          <w:rFonts w:hint="default"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（二）水污染防治。按照“清污分流、雨污分流、污污分流”原则规范建设给排水管网，各种管线应标识清晰，落实分区防渗措施。病房废水、生活污水进入</w:t>
      </w:r>
      <w:r>
        <w:rPr>
          <w:rFonts w:hint="default" w:ascii="仿宋_GB2312" w:hAnsi="仿宋_GB2312" w:eastAsia="仿宋_GB2312" w:cs="仿宋_GB2312"/>
          <w:spacing w:val="-6"/>
          <w:sz w:val="32"/>
          <w:lang w:val="en-US" w:eastAsia="zh-CN"/>
        </w:rPr>
        <w:t>化粪池处理后</w:t>
      </w:r>
      <w:r>
        <w:rPr>
          <w:rFonts w:hint="eastAsia" w:ascii="仿宋_GB2312" w:hAnsi="仿宋_GB2312" w:eastAsia="仿宋_GB2312" w:cs="仿宋_GB2312"/>
          <w:spacing w:val="-6"/>
          <w:sz w:val="32"/>
          <w:lang w:val="en-US" w:eastAsia="zh-CN"/>
        </w:rPr>
        <w:t>泵入院区自建一体化</w:t>
      </w:r>
      <w:r>
        <w:rPr>
          <w:rFonts w:hint="default" w:ascii="仿宋_GB2312" w:hAnsi="仿宋_GB2312" w:eastAsia="仿宋_GB2312" w:cs="仿宋_GB2312"/>
          <w:spacing w:val="-6"/>
          <w:sz w:val="32"/>
          <w:lang w:val="en-US" w:eastAsia="zh-CN"/>
        </w:rPr>
        <w:t>污水处理</w:t>
      </w:r>
      <w:r>
        <w:rPr>
          <w:rFonts w:hint="eastAsia" w:ascii="仿宋_GB2312" w:hAnsi="仿宋_GB2312" w:eastAsia="仿宋_GB2312" w:cs="仿宋_GB2312"/>
          <w:spacing w:val="-6"/>
          <w:sz w:val="32"/>
          <w:lang w:val="en-US" w:eastAsia="zh-CN"/>
        </w:rPr>
        <w:t>设施，</w:t>
      </w:r>
      <w:r>
        <w:rPr>
          <w:rFonts w:hint="default" w:ascii="仿宋_GB2312" w:hAnsi="仿宋_GB2312" w:eastAsia="仿宋_GB2312" w:cs="仿宋_GB2312"/>
          <w:spacing w:val="-6"/>
          <w:sz w:val="32"/>
          <w:lang w:val="en-US" w:eastAsia="zh-CN"/>
        </w:rPr>
        <w:t>处理</w:t>
      </w:r>
      <w:r>
        <w:rPr>
          <w:rFonts w:hint="eastAsia" w:ascii="仿宋_GB2312" w:hAnsi="仿宋_GB2312" w:eastAsia="仿宋_GB2312" w:cs="仿宋_GB2312"/>
          <w:spacing w:val="-6"/>
          <w:sz w:val="32"/>
          <w:lang w:val="en-US" w:eastAsia="zh-CN"/>
        </w:rPr>
        <w:t>达到《医疗机构水污染物排放标准》(GB18466-2005)预处理标准后</w:t>
      </w:r>
      <w:r>
        <w:rPr>
          <w:rFonts w:hint="default" w:ascii="仿宋_GB2312" w:hAnsi="仿宋_GB2312" w:eastAsia="仿宋_GB2312" w:cs="仿宋_GB2312"/>
          <w:spacing w:val="-6"/>
          <w:sz w:val="32"/>
          <w:lang w:val="en-US" w:eastAsia="zh-CN"/>
        </w:rPr>
        <w:t>进入花垣县污水处理厂，最终排入花垣河</w:t>
      </w:r>
      <w:r>
        <w:rPr>
          <w:rFonts w:hint="eastAsia" w:ascii="仿宋_GB2312" w:hAnsi="仿宋_GB2312" w:eastAsia="仿宋_GB2312" w:cs="仿宋_GB2312"/>
          <w:spacing w:val="-6"/>
          <w:sz w:val="32"/>
          <w:lang w:val="en-US" w:eastAsia="zh-CN"/>
        </w:rPr>
        <w:t>。</w:t>
      </w:r>
    </w:p>
    <w:p>
      <w:pPr>
        <w:keepNext w:val="0"/>
        <w:keepLines w:val="0"/>
        <w:pageBreakBefore w:val="0"/>
        <w:kinsoku/>
        <w:wordWrap/>
        <w:overflowPunct/>
        <w:topLinePunct w:val="0"/>
        <w:bidi w:val="0"/>
        <w:snapToGrid/>
        <w:spacing w:line="560" w:lineRule="exact"/>
        <w:ind w:firstLine="616" w:firstLineChars="200"/>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三）固体废物污染防治。按照“资源化、减量化、无害化”的原则，做好项目固体废物分类收集、处理和综合利用，建立固废管理台账，并确保不造成二次污染。建设单位应严格执行《一般工业固体废物贮存和填埋污染控制标准》(GB18599-2020)和《危险废物贮存污染控制标准》（GB18597-2023）中相关要求。危险废物的转移须严格按照《危险废物转移联单管理办法》填写危险废物转移联单，并做好危险废物管理台账</w:t>
      </w:r>
      <w:r>
        <w:rPr>
          <w:rFonts w:hint="eastAsia" w:ascii="仿宋_GB2312" w:hAnsi="仿宋_GB2312" w:eastAsia="仿宋_GB2312" w:cs="仿宋_GB2312"/>
          <w:spacing w:val="-6"/>
          <w:sz w:val="32"/>
          <w:lang w:val="en" w:eastAsia="zh-CN"/>
        </w:rPr>
        <w:t>。</w:t>
      </w:r>
      <w:r>
        <w:rPr>
          <w:rFonts w:hint="eastAsia" w:ascii="仿宋_GB2312" w:hAnsi="仿宋_GB2312" w:eastAsia="仿宋_GB2312" w:cs="仿宋_GB2312"/>
          <w:spacing w:val="-6"/>
          <w:sz w:val="32"/>
          <w:lang w:val="en-US" w:eastAsia="zh-CN"/>
        </w:rPr>
        <w:t>生活垃圾、废一次性塑料餐盒、消毒粉包装袋经垃圾桶分类收集后</w:t>
      </w:r>
      <w:r>
        <w:rPr>
          <w:rFonts w:hint="default" w:ascii="仿宋_GB2312" w:hAnsi="仿宋_GB2312" w:eastAsia="仿宋_GB2312" w:cs="仿宋_GB2312"/>
          <w:spacing w:val="-6"/>
          <w:sz w:val="32"/>
          <w:lang w:val="en-US" w:eastAsia="zh-CN"/>
        </w:rPr>
        <w:t>委托</w:t>
      </w:r>
      <w:r>
        <w:rPr>
          <w:rFonts w:hint="eastAsia" w:ascii="仿宋_GB2312" w:hAnsi="仿宋_GB2312" w:eastAsia="仿宋_GB2312" w:cs="仿宋_GB2312"/>
          <w:spacing w:val="-6"/>
          <w:sz w:val="32"/>
          <w:lang w:val="en-US" w:eastAsia="zh-CN"/>
        </w:rPr>
        <w:t>环卫部门</w:t>
      </w:r>
      <w:r>
        <w:rPr>
          <w:rFonts w:hint="default" w:ascii="仿宋_GB2312" w:hAnsi="仿宋_GB2312" w:eastAsia="仿宋_GB2312" w:cs="仿宋_GB2312"/>
          <w:spacing w:val="-6"/>
          <w:sz w:val="32"/>
          <w:lang w:val="en-US" w:eastAsia="zh-CN"/>
        </w:rPr>
        <w:t>统一</w:t>
      </w:r>
      <w:r>
        <w:rPr>
          <w:rFonts w:hint="eastAsia" w:ascii="仿宋_GB2312" w:hAnsi="仿宋_GB2312" w:eastAsia="仿宋_GB2312" w:cs="仿宋_GB2312"/>
          <w:spacing w:val="-6"/>
          <w:sz w:val="32"/>
          <w:lang w:val="en-US" w:eastAsia="zh-CN"/>
        </w:rPr>
        <w:t>清运处理。</w:t>
      </w:r>
      <w:r>
        <w:rPr>
          <w:rFonts w:hint="default" w:ascii="仿宋_GB2312" w:hAnsi="仿宋_GB2312" w:eastAsia="仿宋_GB2312" w:cs="仿宋_GB2312"/>
          <w:spacing w:val="-6"/>
          <w:sz w:val="32"/>
          <w:lang w:val="en-US" w:eastAsia="zh-CN"/>
        </w:rPr>
        <w:t>医疗废物</w:t>
      </w:r>
      <w:r>
        <w:rPr>
          <w:rFonts w:hint="eastAsia" w:ascii="仿宋_GB2312" w:hAnsi="仿宋_GB2312" w:eastAsia="仿宋_GB2312" w:cs="仿宋_GB2312"/>
          <w:spacing w:val="-6"/>
          <w:sz w:val="32"/>
          <w:lang w:val="en-US" w:eastAsia="zh-CN"/>
        </w:rPr>
        <w:t>、废药物药品</w:t>
      </w:r>
      <w:r>
        <w:rPr>
          <w:rFonts w:hint="default" w:ascii="仿宋_GB2312" w:hAnsi="仿宋_GB2312" w:eastAsia="仿宋_GB2312" w:cs="仿宋_GB2312"/>
          <w:spacing w:val="-6"/>
          <w:sz w:val="32"/>
          <w:lang w:val="en-US" w:eastAsia="zh-CN"/>
        </w:rPr>
        <w:t>分类收集，暂存于</w:t>
      </w:r>
      <w:r>
        <w:rPr>
          <w:rFonts w:hint="eastAsia" w:ascii="仿宋_GB2312" w:hAnsi="仿宋_GB2312" w:eastAsia="仿宋_GB2312" w:cs="仿宋_GB2312"/>
          <w:spacing w:val="-6"/>
          <w:sz w:val="32"/>
          <w:lang w:val="en-US" w:eastAsia="zh-CN"/>
        </w:rPr>
        <w:t>医疗废物</w:t>
      </w:r>
      <w:r>
        <w:rPr>
          <w:rFonts w:hint="default" w:ascii="仿宋_GB2312" w:hAnsi="仿宋_GB2312" w:eastAsia="仿宋_GB2312" w:cs="仿宋_GB2312"/>
          <w:spacing w:val="-6"/>
          <w:sz w:val="32"/>
          <w:lang w:val="en-US" w:eastAsia="zh-CN"/>
        </w:rPr>
        <w:t>暂存间内，</w:t>
      </w:r>
      <w:r>
        <w:rPr>
          <w:rFonts w:hint="eastAsia" w:ascii="仿宋_GB2312" w:hAnsi="仿宋_GB2312" w:eastAsia="仿宋_GB2312" w:cs="仿宋_GB2312"/>
          <w:spacing w:val="-6"/>
          <w:sz w:val="32"/>
          <w:lang w:val="en-US" w:eastAsia="zh-CN"/>
        </w:rPr>
        <w:t>定期</w:t>
      </w:r>
      <w:r>
        <w:rPr>
          <w:rFonts w:hint="default" w:ascii="仿宋_GB2312" w:hAnsi="仿宋_GB2312" w:eastAsia="仿宋_GB2312" w:cs="仿宋_GB2312"/>
          <w:spacing w:val="-6"/>
          <w:sz w:val="32"/>
          <w:lang w:val="en-US" w:eastAsia="zh-CN"/>
        </w:rPr>
        <w:t>委托有危险废物资质单位处</w:t>
      </w:r>
      <w:r>
        <w:rPr>
          <w:rFonts w:hint="eastAsia" w:ascii="仿宋_GB2312" w:hAnsi="仿宋_GB2312" w:eastAsia="仿宋_GB2312" w:cs="仿宋_GB2312"/>
          <w:spacing w:val="-6"/>
          <w:sz w:val="32"/>
          <w:lang w:val="en-US" w:eastAsia="zh-CN"/>
        </w:rPr>
        <w:t>置。化粪池污泥、一体化污水处理设施栅渣及污泥经</w:t>
      </w:r>
      <w:r>
        <w:rPr>
          <w:rFonts w:hint="default" w:ascii="仿宋_GB2312" w:hAnsi="仿宋_GB2312" w:eastAsia="仿宋_GB2312" w:cs="仿宋_GB2312"/>
          <w:spacing w:val="-6"/>
          <w:sz w:val="32"/>
          <w:lang w:val="en-US" w:eastAsia="zh-CN"/>
        </w:rPr>
        <w:t>消毒干化后暂存</w:t>
      </w:r>
      <w:r>
        <w:rPr>
          <w:rFonts w:hint="eastAsia" w:ascii="仿宋_GB2312" w:hAnsi="仿宋_GB2312" w:eastAsia="仿宋_GB2312" w:cs="仿宋_GB2312"/>
          <w:spacing w:val="-6"/>
          <w:sz w:val="32"/>
          <w:lang w:val="en-US" w:eastAsia="zh-CN"/>
        </w:rPr>
        <w:t>于医疗废物</w:t>
      </w:r>
      <w:r>
        <w:rPr>
          <w:rFonts w:hint="default" w:ascii="仿宋_GB2312" w:hAnsi="仿宋_GB2312" w:eastAsia="仿宋_GB2312" w:cs="仿宋_GB2312"/>
          <w:spacing w:val="-6"/>
          <w:sz w:val="32"/>
          <w:lang w:val="en-US" w:eastAsia="zh-CN"/>
        </w:rPr>
        <w:t>暂存间内，</w:t>
      </w:r>
      <w:r>
        <w:rPr>
          <w:rFonts w:hint="eastAsia" w:ascii="仿宋_GB2312" w:hAnsi="仿宋_GB2312" w:eastAsia="仿宋_GB2312" w:cs="仿宋_GB2312"/>
          <w:spacing w:val="-6"/>
          <w:sz w:val="32"/>
          <w:lang w:val="en-US" w:eastAsia="zh-CN"/>
        </w:rPr>
        <w:t>定期</w:t>
      </w:r>
      <w:r>
        <w:rPr>
          <w:rFonts w:hint="default" w:ascii="仿宋_GB2312" w:hAnsi="仿宋_GB2312" w:eastAsia="仿宋_GB2312" w:cs="仿宋_GB2312"/>
          <w:spacing w:val="-6"/>
          <w:sz w:val="32"/>
          <w:lang w:val="en-US" w:eastAsia="zh-CN"/>
        </w:rPr>
        <w:t>委托有危险废物资质</w:t>
      </w:r>
      <w:r>
        <w:rPr>
          <w:rFonts w:hint="eastAsia" w:ascii="仿宋_GB2312" w:hAnsi="仿宋_GB2312" w:eastAsia="仿宋_GB2312" w:cs="仿宋_GB2312"/>
          <w:spacing w:val="-6"/>
          <w:sz w:val="32"/>
          <w:lang w:val="en-US" w:eastAsia="zh-CN"/>
        </w:rPr>
        <w:t>的</w:t>
      </w:r>
      <w:r>
        <w:rPr>
          <w:rFonts w:hint="default" w:ascii="仿宋_GB2312" w:hAnsi="仿宋_GB2312" w:eastAsia="仿宋_GB2312" w:cs="仿宋_GB2312"/>
          <w:spacing w:val="-6"/>
          <w:sz w:val="32"/>
          <w:lang w:val="en-US" w:eastAsia="zh-CN"/>
        </w:rPr>
        <w:t>单位</w:t>
      </w:r>
      <w:r>
        <w:rPr>
          <w:rFonts w:hint="eastAsia" w:ascii="仿宋_GB2312" w:hAnsi="仿宋_GB2312" w:eastAsia="仿宋_GB2312" w:cs="仿宋_GB2312"/>
          <w:spacing w:val="-6"/>
          <w:sz w:val="32"/>
          <w:lang w:val="en-US" w:eastAsia="zh-CN"/>
        </w:rPr>
        <w:t>进行处置。废紫外灯管</w:t>
      </w:r>
      <w:r>
        <w:rPr>
          <w:rFonts w:hint="default" w:ascii="仿宋_GB2312" w:hAnsi="仿宋_GB2312" w:eastAsia="仿宋_GB2312" w:cs="仿宋_GB2312"/>
          <w:spacing w:val="-6"/>
          <w:sz w:val="32"/>
          <w:lang w:val="en-US" w:eastAsia="zh-CN"/>
        </w:rPr>
        <w:t>暂存于</w:t>
      </w:r>
      <w:r>
        <w:rPr>
          <w:rFonts w:hint="eastAsia" w:ascii="仿宋_GB2312" w:hAnsi="仿宋_GB2312" w:eastAsia="仿宋_GB2312" w:cs="仿宋_GB2312"/>
          <w:spacing w:val="-6"/>
          <w:sz w:val="32"/>
          <w:lang w:val="en-US" w:eastAsia="zh-CN"/>
        </w:rPr>
        <w:t>医疗废物</w:t>
      </w:r>
      <w:r>
        <w:rPr>
          <w:rFonts w:hint="default" w:ascii="仿宋_GB2312" w:hAnsi="仿宋_GB2312" w:eastAsia="仿宋_GB2312" w:cs="仿宋_GB2312"/>
          <w:spacing w:val="-6"/>
          <w:sz w:val="32"/>
          <w:lang w:val="en-US" w:eastAsia="zh-CN"/>
        </w:rPr>
        <w:t>暂存间内，</w:t>
      </w:r>
      <w:r>
        <w:rPr>
          <w:rFonts w:hint="eastAsia" w:ascii="仿宋_GB2312" w:hAnsi="仿宋_GB2312" w:eastAsia="仿宋_GB2312" w:cs="仿宋_GB2312"/>
          <w:spacing w:val="-6"/>
          <w:sz w:val="32"/>
          <w:lang w:val="en-US" w:eastAsia="zh-CN"/>
        </w:rPr>
        <w:t>定期</w:t>
      </w:r>
      <w:r>
        <w:rPr>
          <w:rFonts w:hint="default" w:ascii="仿宋_GB2312" w:hAnsi="仿宋_GB2312" w:eastAsia="仿宋_GB2312" w:cs="仿宋_GB2312"/>
          <w:spacing w:val="-6"/>
          <w:sz w:val="32"/>
          <w:lang w:val="en-US" w:eastAsia="zh-CN"/>
        </w:rPr>
        <w:t>委托有危险废物资质单位处</w:t>
      </w:r>
      <w:r>
        <w:rPr>
          <w:rFonts w:hint="eastAsia" w:ascii="仿宋_GB2312" w:hAnsi="仿宋_GB2312" w:eastAsia="仿宋_GB2312" w:cs="仿宋_GB2312"/>
          <w:spacing w:val="-6"/>
          <w:sz w:val="32"/>
          <w:lang w:val="en-US" w:eastAsia="zh-CN"/>
        </w:rPr>
        <w:t>置。</w:t>
      </w:r>
    </w:p>
    <w:p>
      <w:pPr>
        <w:keepNext w:val="0"/>
        <w:keepLines w:val="0"/>
        <w:pageBreakBefore w:val="0"/>
        <w:kinsoku/>
        <w:wordWrap/>
        <w:overflowPunct/>
        <w:topLinePunct w:val="0"/>
        <w:bidi w:val="0"/>
        <w:snapToGrid/>
        <w:spacing w:line="560" w:lineRule="exact"/>
        <w:ind w:firstLine="616" w:firstLineChars="200"/>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（四）噪声污染防治。通过选用</w:t>
      </w:r>
      <w:r>
        <w:rPr>
          <w:rFonts w:hint="default" w:ascii="仿宋_GB2312" w:hAnsi="仿宋_GB2312" w:eastAsia="仿宋_GB2312" w:cs="仿宋_GB2312"/>
          <w:spacing w:val="-6"/>
          <w:sz w:val="32"/>
          <w:lang w:val="en-US" w:eastAsia="zh-CN"/>
        </w:rPr>
        <w:t>低噪声设备，合理布局，</w:t>
      </w:r>
      <w:r>
        <w:rPr>
          <w:rFonts w:hint="eastAsia" w:ascii="仿宋_GB2312" w:hAnsi="仿宋_GB2312" w:eastAsia="仿宋_GB2312" w:cs="仿宋_GB2312"/>
          <w:spacing w:val="-6"/>
          <w:sz w:val="32"/>
          <w:lang w:val="en-US" w:eastAsia="zh-CN"/>
        </w:rPr>
        <w:t>通过</w:t>
      </w:r>
      <w:bookmarkStart w:id="0" w:name="_GoBack"/>
      <w:bookmarkEnd w:id="0"/>
      <w:r>
        <w:rPr>
          <w:rFonts w:hint="default" w:ascii="仿宋_GB2312" w:hAnsi="仿宋_GB2312" w:eastAsia="仿宋_GB2312" w:cs="仿宋_GB2312"/>
          <w:spacing w:val="-6"/>
          <w:sz w:val="32"/>
          <w:lang w:val="en-US" w:eastAsia="zh-CN"/>
        </w:rPr>
        <w:t>隔声、距离衰减等措施</w:t>
      </w:r>
      <w:r>
        <w:rPr>
          <w:rFonts w:hint="eastAsia" w:ascii="仿宋_GB2312" w:hAnsi="仿宋_GB2312" w:eastAsia="仿宋_GB2312" w:cs="仿宋_GB2312"/>
          <w:spacing w:val="-6"/>
          <w:sz w:val="32"/>
          <w:lang w:val="en-US" w:eastAsia="zh-CN"/>
        </w:rPr>
        <w:t>，确保厂界噪声达标。</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（五）土壤及地下水污染防治。</w:t>
      </w:r>
      <w:r>
        <w:rPr>
          <w:rFonts w:hint="eastAsia" w:ascii="仿宋" w:hAnsi="仿宋" w:eastAsia="仿宋" w:cs="仿宋"/>
          <w:color w:val="auto"/>
          <w:sz w:val="32"/>
          <w:szCs w:val="32"/>
          <w:lang w:val="en-US" w:eastAsia="zh-CN"/>
        </w:rPr>
        <w:t>按照“源头控制、分区防治、污染监控、应急响应”的原则进行地下水污染防治。对项目地面实施分区防渗处理，做到防雨、防渗、防漏处理，防止污染物随雨水流入水体而污染水体。加强现有防渗设施的日常维护，确保防渗设施安全，一旦发现泄漏，应立即采取补救措施，防止污染地下水和土壤。</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三、其他环境管理要求</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 w:eastAsia="zh-CN"/>
        </w:rPr>
      </w:pP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val="en" w:eastAsia="zh-CN"/>
        </w:rPr>
        <w:t>)排污许可证管理</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按照《排污许可管理条例》在全国排污许可证管理信息平台上填报排污登记表。填报内容包括基本信息、污染物排放去向、执行的污染物排放标准以及采取的污染防治措施等信息；填报的信息如发生变动的，应当自发生变动之日起20日内进行变更填报。</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环境影响评价管理。建设项目环境影响报告表经批准后，该项目的性质、规模、地点、生产工艺和环境保护措施发生重大变动的，应按程序重新报批环境影响评价文件。</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(三)竣工环境保护验收管理。</w:t>
      </w:r>
      <w:r>
        <w:rPr>
          <w:rFonts w:hint="eastAsia" w:ascii="仿宋" w:hAnsi="仿宋" w:eastAsia="仿宋" w:cs="仿宋"/>
          <w:color w:val="auto"/>
          <w:sz w:val="32"/>
          <w:szCs w:val="32"/>
          <w:lang w:val="en-US" w:eastAsia="zh-CN"/>
        </w:rPr>
        <w:t>严格执行建设项目环境保护“三同时”管理规定，项目竣工后，应按规定程序自行组织竣工环境保护验收，在生态环境部管理平台备案。</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环境应急管理。按规定编制突发环境事件应急预案，并报有管理权限的生态环境部门备案。按应急预案要求配备应急物资，定期开展应急演练。</w:t>
      </w: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bidi w:val="0"/>
        <w:snapToGrid/>
        <w:spacing w:line="560" w:lineRule="exact"/>
        <w:ind w:firstLine="640" w:firstLineChars="200"/>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湘西自治州生态环境局</w:t>
      </w:r>
    </w:p>
    <w:p>
      <w:pPr>
        <w:keepNext w:val="0"/>
        <w:keepLines w:val="0"/>
        <w:pageBreakBefore w:val="0"/>
        <w:kinsoku/>
        <w:wordWrap/>
        <w:overflowPunct/>
        <w:topLinePunct w:val="0"/>
        <w:bidi w:val="0"/>
        <w:snapToGrid/>
        <w:spacing w:line="560" w:lineRule="exact"/>
        <w:ind w:firstLine="640" w:firstLineChars="20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2024年5月 日</w:t>
      </w:r>
    </w:p>
    <w:p>
      <w:pPr>
        <w:keepNext w:val="0"/>
        <w:keepLines w:val="0"/>
        <w:pageBreakBefore w:val="0"/>
        <w:kinsoku/>
        <w:wordWrap/>
        <w:overflowPunct/>
        <w:topLinePunct w:val="0"/>
        <w:bidi w:val="0"/>
        <w:snapToGrid/>
        <w:spacing w:line="560" w:lineRule="exact"/>
        <w:ind w:firstLine="640" w:firstLineChars="200"/>
        <w:rPr>
          <w:rFonts w:hint="default" w:ascii="仿宋" w:hAnsi="仿宋" w:eastAsia="仿宋" w:cs="仿宋"/>
          <w:color w:val="auto"/>
          <w:sz w:val="32"/>
          <w:szCs w:val="32"/>
          <w:lang w:val="en-US" w:eastAsia="zh-CN"/>
        </w:rPr>
      </w:pPr>
    </w:p>
    <w:p>
      <w:pPr>
        <w:keepNext w:val="0"/>
        <w:keepLines w:val="0"/>
        <w:pageBreakBefore w:val="0"/>
        <w:kinsoku/>
        <w:wordWrap/>
        <w:overflowPunct/>
        <w:topLinePunct w:val="0"/>
        <w:bidi w:val="0"/>
        <w:snapToGrid/>
        <w:spacing w:line="560" w:lineRule="exact"/>
        <w:rPr>
          <w:rFonts w:hint="default" w:ascii="仿宋" w:hAnsi="仿宋" w:eastAsia="仿宋" w:cs="仿宋"/>
          <w:color w:val="FF0000"/>
          <w:sz w:val="32"/>
          <w:szCs w:val="32"/>
          <w:lang w:val="en-US" w:eastAsia="zh-CN"/>
        </w:rPr>
      </w:pPr>
    </w:p>
    <w:p>
      <w:pPr>
        <w:keepNext w:val="0"/>
        <w:keepLines w:val="0"/>
        <w:pageBreakBefore w:val="0"/>
        <w:kinsoku/>
        <w:wordWrap/>
        <w:overflowPunct/>
        <w:topLinePunct w:val="0"/>
        <w:bidi w:val="0"/>
        <w:snapToGri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749935</wp:posOffset>
                </wp:positionV>
                <wp:extent cx="53054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1146810" y="9843135"/>
                          <a:ext cx="530542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7pt;margin-top:59.05pt;height:0.75pt;width:417.75pt;z-index:251660288;mso-width-relative:page;mso-height-relative:page;" filled="f" stroked="t" coordsize="21600,21600"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qf11wAAAAsBAAAPAAAAAAAAAAEAIAAAACIAAABkcnMvZG93bnJl&#10;di54bWxQSwECFAAUAAAACACHTuJAExA1cf4BAADZAwAADgAAAAAAAAABACAAAAAmAQAAZHJzL2Uy&#10;b0RvYy54bWxQSwUGAAAAAAYABgBZAQAAlgU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26035</wp:posOffset>
                </wp:positionV>
                <wp:extent cx="5238750" cy="9525"/>
                <wp:effectExtent l="0" t="6350" r="0" b="12700"/>
                <wp:wrapNone/>
                <wp:docPr id="2" name="直接连接符 2"/>
                <wp:cNvGraphicFramePr/>
                <a:graphic xmlns:a="http://schemas.openxmlformats.org/drawingml/2006/main">
                  <a:graphicData uri="http://schemas.microsoft.com/office/word/2010/wordprocessingShape">
                    <wps:wsp>
                      <wps:cNvCnPr/>
                      <wps:spPr>
                        <a:xfrm flipV="1">
                          <a:off x="1156335" y="9119235"/>
                          <a:ext cx="5238750"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5pt;margin-top:2.05pt;height:0.75pt;width:412.5pt;z-index:251659264;mso-width-relative:page;mso-height-relative:page;" filled="f" stroked="t" coordsize="21600,21600"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11PK0wAAAAUBAAAPAAAAAAAAAAEAIAAAACIAAABkcnMvZG93bnJldi54&#10;bWxQSwECFAAUAAAACACHTuJATAzie/8BAADZAwAADgAAAAAAAAABACAAAAAiAQAAZHJzL2Uyb0Rv&#10;Yy54bWxQSwUGAAAAAAYABgBZAQAAkwU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2"/>
          <w:szCs w:val="32"/>
          <w:lang w:val="en-US" w:eastAsia="zh-CN"/>
        </w:rPr>
        <w:t>抄送：湘西土家族苗族自治州花垣生态环境保护综合行政执法大队，湖南湘尚环境服务有限公司。</w:t>
      </w:r>
    </w:p>
    <w:sectPr>
      <w:footerReference r:id="rId3" w:type="default"/>
      <w:pgSz w:w="11906" w:h="16838"/>
      <w:pgMar w:top="1440" w:right="1973" w:bottom="1327" w:left="191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NijiljlAQAA&#10;0gMAAA4AAAAAAAAAAQAgAAAAIgEAAGRycy9lMm9Eb2MueG1sUEsFBgAAAAAGAAYAWQEAAHkFAAAA&#10;AA==&#10;">
              <v:fill on="f" focussize="0,0"/>
              <v:stroke on="f" weight="1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mQwZGJlNmMyMjJhOWQ0ZWNhZTA3MzJlYjZlOTEifQ=="/>
  </w:docVars>
  <w:rsids>
    <w:rsidRoot w:val="08205435"/>
    <w:rsid w:val="005B3FF8"/>
    <w:rsid w:val="00F23118"/>
    <w:rsid w:val="02204B8A"/>
    <w:rsid w:val="02BE2384"/>
    <w:rsid w:val="02C10E79"/>
    <w:rsid w:val="05631463"/>
    <w:rsid w:val="066E39E1"/>
    <w:rsid w:val="06AD23DA"/>
    <w:rsid w:val="06FB18AF"/>
    <w:rsid w:val="08205435"/>
    <w:rsid w:val="08940DDD"/>
    <w:rsid w:val="0A9F1D68"/>
    <w:rsid w:val="0B506F8C"/>
    <w:rsid w:val="0C3E638D"/>
    <w:rsid w:val="0C6D0CE9"/>
    <w:rsid w:val="0F2C1D70"/>
    <w:rsid w:val="10F6231F"/>
    <w:rsid w:val="16ED2EA1"/>
    <w:rsid w:val="186B4D09"/>
    <w:rsid w:val="1BA73847"/>
    <w:rsid w:val="1F6271E9"/>
    <w:rsid w:val="20836DC4"/>
    <w:rsid w:val="20AC4F3F"/>
    <w:rsid w:val="212847B3"/>
    <w:rsid w:val="22716B63"/>
    <w:rsid w:val="25F30CBD"/>
    <w:rsid w:val="262B2469"/>
    <w:rsid w:val="28E52521"/>
    <w:rsid w:val="2B162E33"/>
    <w:rsid w:val="2B7B7EAF"/>
    <w:rsid w:val="2C241D0B"/>
    <w:rsid w:val="2E9A2736"/>
    <w:rsid w:val="2FA86C8B"/>
    <w:rsid w:val="318A38A2"/>
    <w:rsid w:val="3198031D"/>
    <w:rsid w:val="35A2452B"/>
    <w:rsid w:val="38123949"/>
    <w:rsid w:val="39116EA3"/>
    <w:rsid w:val="3C9C4D89"/>
    <w:rsid w:val="405E164A"/>
    <w:rsid w:val="413A1265"/>
    <w:rsid w:val="42AC562C"/>
    <w:rsid w:val="43446568"/>
    <w:rsid w:val="43B96484"/>
    <w:rsid w:val="449D65EC"/>
    <w:rsid w:val="44EB64CD"/>
    <w:rsid w:val="467B5420"/>
    <w:rsid w:val="46966FCB"/>
    <w:rsid w:val="488C6C15"/>
    <w:rsid w:val="48AC374F"/>
    <w:rsid w:val="49DB6A13"/>
    <w:rsid w:val="4C5E0485"/>
    <w:rsid w:val="4D4450FB"/>
    <w:rsid w:val="4ED07B6B"/>
    <w:rsid w:val="52F61A46"/>
    <w:rsid w:val="5A4128E3"/>
    <w:rsid w:val="613A0925"/>
    <w:rsid w:val="62C32E04"/>
    <w:rsid w:val="62D31A4C"/>
    <w:rsid w:val="64433DBB"/>
    <w:rsid w:val="656B0BB8"/>
    <w:rsid w:val="67710FDF"/>
    <w:rsid w:val="67723343"/>
    <w:rsid w:val="68297969"/>
    <w:rsid w:val="683B7691"/>
    <w:rsid w:val="68A128B9"/>
    <w:rsid w:val="6C2E3BA6"/>
    <w:rsid w:val="6DC22A25"/>
    <w:rsid w:val="742C6A1A"/>
    <w:rsid w:val="7782124A"/>
    <w:rsid w:val="7B797D42"/>
    <w:rsid w:val="7EA4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adjustRightInd w:val="0"/>
      <w:snapToGrid w:val="0"/>
      <w:spacing w:before="60" w:after="60" w:line="460" w:lineRule="exact"/>
      <w:outlineLvl w:val="2"/>
    </w:pPr>
    <w:rPr>
      <w:rFonts w:ascii="Times New Roman" w:hAnsi="Times New Roman" w:eastAsia="黑体"/>
      <w:snapToGrid w:val="0"/>
      <w:kern w:val="0"/>
      <w:sz w:val="24"/>
      <w:szCs w:val="2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style>
  <w:style w:type="paragraph" w:styleId="5">
    <w:name w:val="Body Text Indent"/>
    <w:basedOn w:val="1"/>
    <w:autoRedefine/>
    <w:semiHidden/>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0"/>
    <w:pPr>
      <w:ind w:left="420" w:leftChars="200"/>
    </w:pPr>
  </w:style>
  <w:style w:type="paragraph" w:styleId="9">
    <w:name w:val="Body Text First Indent 2"/>
    <w:basedOn w:val="5"/>
    <w:autoRedefine/>
    <w:semiHidden/>
    <w:unhideWhenUsed/>
    <w:qFormat/>
    <w:uiPriority w:val="99"/>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xl27"/>
    <w:basedOn w:val="1"/>
    <w:next w:val="1"/>
    <w:autoRedefine/>
    <w:qFormat/>
    <w:uiPriority w:val="0"/>
    <w:pPr>
      <w:widowControl/>
      <w:spacing w:before="100" w:beforeLines="0" w:after="100" w:afterLines="0"/>
      <w:jc w:val="center"/>
      <w:textAlignment w:val="center"/>
    </w:pPr>
    <w:rPr>
      <w:rFonts w:ascii="宋体" w:hAnsi="宋体"/>
      <w:kern w:val="0"/>
      <w:sz w:val="24"/>
      <w:szCs w:val="20"/>
    </w:rPr>
  </w:style>
  <w:style w:type="paragraph" w:customStyle="1" w:styleId="14">
    <w:name w:val="Default"/>
    <w:basedOn w:val="15"/>
    <w:next w:val="16"/>
    <w:autoRedefine/>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5">
    <w:name w:val="纯文本1"/>
    <w:basedOn w:val="1"/>
    <w:autoRedefine/>
    <w:qFormat/>
    <w:uiPriority w:val="0"/>
    <w:pPr>
      <w:adjustRightInd w:val="0"/>
    </w:pPr>
    <w:rPr>
      <w:rFonts w:ascii="宋体" w:hAnsi="Courier New"/>
      <w:szCs w:val="20"/>
    </w:rPr>
  </w:style>
  <w:style w:type="paragraph" w:customStyle="1" w:styleId="16">
    <w:name w:val="样式35"/>
    <w:next w:val="17"/>
    <w:autoRedefine/>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7">
    <w:name w:val="font6"/>
    <w:next w:val="8"/>
    <w:autoRedefine/>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18">
    <w:name w:val="首行缩进正文"/>
    <w:basedOn w:val="1"/>
    <w:autoRedefine/>
    <w:qFormat/>
    <w:uiPriority w:val="0"/>
    <w:pPr>
      <w:ind w:firstLine="480" w:firstLineChars="200"/>
    </w:pPr>
  </w:style>
  <w:style w:type="paragraph" w:customStyle="1" w:styleId="19">
    <w:name w:val="表格正文"/>
    <w:next w:val="1"/>
    <w:autoRedefine/>
    <w:semiHidden/>
    <w:qFormat/>
    <w:uiPriority w:val="0"/>
    <w:pPr>
      <w:jc w:val="center"/>
    </w:pPr>
    <w:rPr>
      <w:rFonts w:ascii="Times New Roman" w:hAnsi="Times New Roman" w:eastAsia="宋体" w:cs="Times New Roman"/>
      <w:sz w:val="21"/>
      <w:lang w:val="en-US" w:eastAsia="zh-CN" w:bidi="ar-SA"/>
    </w:rPr>
  </w:style>
  <w:style w:type="paragraph" w:customStyle="1" w:styleId="20">
    <w:name w:val="正文2"/>
    <w:autoRedefine/>
    <w:qFormat/>
    <w:uiPriority w:val="0"/>
    <w:pPr>
      <w:spacing w:line="360" w:lineRule="auto"/>
      <w:ind w:firstLine="200" w:firstLineChars="200"/>
      <w:jc w:val="both"/>
    </w:pPr>
    <w:rPr>
      <w:rFonts w:ascii="Times New Roman"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1828</Words>
  <Characters>1895</Characters>
  <Lines>0</Lines>
  <Paragraphs>0</Paragraphs>
  <TotalTime>16</TotalTime>
  <ScaleCrop>false</ScaleCrop>
  <LinksUpToDate>false</LinksUpToDate>
  <CharactersWithSpaces>1907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2024-01-05T04:36:00Z</dcterms:created>
  <dc:creator>芳</dc:creator>
  <cp:lastModifiedBy>芳</cp:lastModifiedBy>
  <cp:lastPrinted>2024-06-04T01:55:00Z</cp:lastPrinted>
  <dcterms:modified xsi:type="dcterms:W3CDTF">2024-06-04T02:47:02Z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68F67E58DADC4EF18B99AAA3400059D1_13</vt:lpwstr>
  </property>
</Properties>
</file>