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目</w:t>
      </w:r>
      <w:r>
        <w:rPr>
          <w:rFonts w:ascii="黑体" w:hAnsi="黑体" w:eastAsia="黑体"/>
          <w:b/>
          <w:sz w:val="32"/>
          <w:szCs w:val="32"/>
        </w:rPr>
        <w:t xml:space="preserve">     录</w:t>
      </w:r>
    </w:p>
    <w:p>
      <w:pPr>
        <w:spacing w:line="360" w:lineRule="auto"/>
        <w:rPr>
          <w:rFonts w:ascii="仿宋" w:hAnsi="仿宋" w:eastAsia="仿宋"/>
          <w:szCs w:val="21"/>
        </w:rPr>
      </w:pPr>
    </w:p>
    <w:p>
      <w:pPr>
        <w:spacing w:line="360" w:lineRule="auto"/>
        <w:rPr>
          <w:rFonts w:ascii="华文楷体" w:hAnsi="华文楷体" w:eastAsia="华文楷体"/>
          <w:sz w:val="22"/>
        </w:rPr>
      </w:pPr>
      <w:r>
        <w:rPr>
          <w:rFonts w:hint="eastAsia" w:ascii="华文楷体" w:hAnsi="华文楷体" w:eastAsia="华文楷体"/>
          <w:sz w:val="22"/>
        </w:rPr>
        <w:t xml:space="preserve">简报 </w:t>
      </w:r>
      <w:r>
        <w:rPr>
          <w:rFonts w:ascii="华文楷体" w:hAnsi="华文楷体" w:eastAsia="华文楷体"/>
          <w:sz w:val="22"/>
        </w:rPr>
        <w:t xml:space="preserve"> </w:t>
      </w:r>
      <w:r>
        <w:rPr>
          <w:rFonts w:hint="eastAsia" w:ascii="华文楷体" w:hAnsi="华文楷体" w:eastAsia="华文楷体"/>
          <w:sz w:val="22"/>
        </w:rPr>
        <w:t>………………………………………………</w:t>
      </w:r>
      <w:r>
        <w:rPr>
          <w:rFonts w:ascii="华文楷体" w:hAnsi="华文楷体" w:eastAsia="华文楷体"/>
          <w:sz w:val="22"/>
        </w:rPr>
        <w:t>1</w:t>
      </w:r>
    </w:p>
    <w:p>
      <w:pPr>
        <w:spacing w:line="360" w:lineRule="auto"/>
        <w:rPr>
          <w:rFonts w:ascii="华文楷体" w:hAnsi="华文楷体" w:eastAsia="华文楷体"/>
          <w:sz w:val="22"/>
        </w:rPr>
      </w:pPr>
      <w:r>
        <w:rPr>
          <w:rFonts w:hint="eastAsia" w:ascii="华文楷体" w:hAnsi="华文楷体" w:eastAsia="华文楷体"/>
          <w:sz w:val="22"/>
        </w:rPr>
        <w:t>规模工业增加值 ………………………………… 2</w:t>
      </w:r>
    </w:p>
    <w:p>
      <w:pPr>
        <w:spacing w:line="360" w:lineRule="auto"/>
        <w:rPr>
          <w:rFonts w:ascii="华文楷体" w:hAnsi="华文楷体" w:eastAsia="华文楷体"/>
          <w:sz w:val="22"/>
        </w:rPr>
      </w:pPr>
      <w:r>
        <w:rPr>
          <w:rFonts w:hint="eastAsia" w:ascii="华文楷体" w:hAnsi="华文楷体" w:eastAsia="华文楷体"/>
          <w:sz w:val="22"/>
        </w:rPr>
        <w:t>规模工业产值及主要产品产量 ………………… 3</w:t>
      </w:r>
    </w:p>
    <w:p>
      <w:pPr>
        <w:spacing w:line="360" w:lineRule="auto"/>
        <w:rPr>
          <w:rFonts w:ascii="华文楷体" w:hAnsi="华文楷体" w:eastAsia="华文楷体"/>
          <w:sz w:val="22"/>
        </w:rPr>
      </w:pPr>
      <w:r>
        <w:rPr>
          <w:rFonts w:ascii="华文楷体" w:hAnsi="华文楷体" w:eastAsia="华文楷体"/>
          <w:sz w:val="22"/>
        </w:rPr>
        <w:t>固定资产投资（一）……</w:t>
      </w:r>
      <w:r>
        <w:rPr>
          <w:rFonts w:hint="eastAsia" w:ascii="华文楷体" w:hAnsi="华文楷体" w:eastAsia="华文楷体"/>
          <w:sz w:val="22"/>
        </w:rPr>
        <w:t>…………………………4</w:t>
      </w:r>
    </w:p>
    <w:p>
      <w:pPr>
        <w:spacing w:line="360" w:lineRule="auto"/>
        <w:rPr>
          <w:rFonts w:ascii="华文楷体" w:hAnsi="华文楷体" w:eastAsia="华文楷体"/>
          <w:sz w:val="22"/>
        </w:rPr>
      </w:pPr>
      <w:r>
        <w:rPr>
          <w:rFonts w:ascii="华文楷体" w:hAnsi="华文楷体" w:eastAsia="华文楷体"/>
          <w:sz w:val="22"/>
        </w:rPr>
        <w:t>固定资产投资（</w:t>
      </w:r>
      <w:r>
        <w:rPr>
          <w:rFonts w:hint="eastAsia" w:ascii="华文楷体" w:hAnsi="华文楷体" w:eastAsia="华文楷体"/>
          <w:sz w:val="22"/>
        </w:rPr>
        <w:t>二</w:t>
      </w:r>
      <w:r>
        <w:rPr>
          <w:rFonts w:ascii="华文楷体" w:hAnsi="华文楷体" w:eastAsia="华文楷体"/>
          <w:sz w:val="22"/>
        </w:rPr>
        <w:t>）………</w:t>
      </w:r>
      <w:r>
        <w:rPr>
          <w:rFonts w:hint="eastAsia" w:ascii="华文楷体" w:hAnsi="华文楷体" w:eastAsia="华文楷体"/>
          <w:sz w:val="22"/>
        </w:rPr>
        <w:t>………………………5</w:t>
      </w:r>
    </w:p>
    <w:p>
      <w:pPr>
        <w:spacing w:line="360" w:lineRule="auto"/>
        <w:rPr>
          <w:rFonts w:ascii="华文楷体" w:hAnsi="华文楷体" w:eastAsia="华文楷体"/>
          <w:sz w:val="22"/>
        </w:rPr>
      </w:pPr>
      <w:r>
        <w:rPr>
          <w:rFonts w:hint="eastAsia" w:ascii="华文楷体" w:hAnsi="华文楷体" w:eastAsia="华文楷体"/>
          <w:sz w:val="22"/>
        </w:rPr>
        <w:t>消费</w:t>
      </w:r>
      <w:r>
        <w:rPr>
          <w:rFonts w:ascii="华文楷体" w:hAnsi="华文楷体" w:eastAsia="华文楷体"/>
          <w:sz w:val="22"/>
        </w:rPr>
        <w:t xml:space="preserve"> …………</w:t>
      </w:r>
      <w:r>
        <w:rPr>
          <w:rFonts w:hint="eastAsia" w:ascii="华文楷体" w:hAnsi="华文楷体" w:eastAsia="华文楷体"/>
          <w:sz w:val="22"/>
        </w:rPr>
        <w:t>…………………………………… 6</w:t>
      </w:r>
    </w:p>
    <w:p>
      <w:pPr>
        <w:spacing w:line="360" w:lineRule="auto"/>
        <w:rPr>
          <w:rFonts w:eastAsia="华文楷体"/>
          <w:sz w:val="22"/>
        </w:rPr>
      </w:pPr>
      <w:r>
        <w:rPr>
          <w:rFonts w:ascii="华文楷体" w:hAnsi="华文楷体" w:eastAsia="华文楷体"/>
          <w:sz w:val="22"/>
        </w:rPr>
        <w:t>财政及金融 …………</w:t>
      </w:r>
      <w:r>
        <w:rPr>
          <w:rFonts w:hint="eastAsia" w:ascii="华文楷体" w:hAnsi="华文楷体" w:eastAsia="华文楷体"/>
          <w:sz w:val="22"/>
        </w:rPr>
        <w:t>…………………………… 7</w:t>
      </w:r>
      <w:r>
        <w:rPr>
          <w:rFonts w:ascii="华文仿宋" w:hAnsi="华文仿宋" w:eastAsia="华文仿宋"/>
          <w:sz w:val="22"/>
        </w:rPr>
        <w:t xml:space="preserve"> </w:t>
      </w:r>
      <w:r>
        <w:rPr>
          <w:sz w:val="22"/>
        </w:rPr>
        <w:t xml:space="preserve">            </w:t>
      </w:r>
      <w:r>
        <w:rPr>
          <w:rFonts w:hint="eastAsia" w:ascii="华文楷体" w:hAnsi="华文楷体" w:eastAsia="华文楷体"/>
          <w:sz w:val="22"/>
        </w:rPr>
        <w:t xml:space="preserve">“四上”企业统计标准 </w:t>
      </w:r>
      <w:r>
        <w:rPr>
          <w:rFonts w:ascii="华文楷体" w:hAnsi="华文楷体" w:eastAsia="华文楷体"/>
          <w:sz w:val="22"/>
        </w:rPr>
        <w:t xml:space="preserve"> </w:t>
      </w:r>
      <w:r>
        <w:rPr>
          <w:rFonts w:hint="eastAsia" w:ascii="华文楷体" w:hAnsi="华文楷体" w:eastAsia="华文楷体"/>
          <w:sz w:val="22"/>
        </w:rPr>
        <w:t>………………………… 8</w:t>
      </w:r>
    </w:p>
    <w:p>
      <w:pPr>
        <w:widowControl/>
        <w:jc w:val="left"/>
        <w:rPr>
          <w:rFonts w:ascii="黑体" w:hAnsi="黑体" w:eastAsia="黑体"/>
          <w:b/>
          <w:sz w:val="15"/>
          <w:szCs w:val="15"/>
        </w:rPr>
      </w:pPr>
      <w:r>
        <w:rPr>
          <w:rFonts w:hint="eastAsia"/>
          <w:sz w:val="15"/>
          <w:szCs w:val="15"/>
        </w:rPr>
        <w:t xml:space="preserve"> </w:t>
      </w:r>
      <w:r>
        <w:rPr>
          <w:rFonts w:hint="eastAsia" w:ascii="黑体" w:hAnsi="黑体" w:eastAsia="黑体"/>
          <w:b/>
          <w:sz w:val="15"/>
          <w:szCs w:val="15"/>
        </w:rPr>
        <w:t xml:space="preserve">  </w:t>
      </w:r>
    </w:p>
    <w:p>
      <w:pPr>
        <w:widowControl/>
        <w:ind w:firstLine="561" w:firstLineChars="200"/>
        <w:jc w:val="center"/>
        <w:rPr>
          <w:rFonts w:ascii="华文楷体" w:hAnsi="华文楷体" w:eastAsia="华文楷体"/>
          <w:b/>
          <w:bCs/>
          <w:color w:val="000000"/>
          <w:sz w:val="28"/>
          <w:szCs w:val="28"/>
          <w:shd w:val="clear" w:color="auto" w:fill="FFFFFF"/>
        </w:rPr>
      </w:pPr>
    </w:p>
    <w:p>
      <w:pPr>
        <w:widowControl/>
        <w:ind w:firstLine="561" w:firstLineChars="200"/>
        <w:jc w:val="center"/>
        <w:rPr>
          <w:rFonts w:ascii="华文楷体" w:hAnsi="华文楷体" w:eastAsia="华文楷体"/>
          <w:b/>
          <w:bCs/>
          <w:color w:val="000000"/>
          <w:sz w:val="28"/>
          <w:szCs w:val="28"/>
          <w:shd w:val="clear" w:color="auto" w:fill="FFFFFF"/>
        </w:rPr>
      </w:pPr>
    </w:p>
    <w:p>
      <w:pPr>
        <w:widowControl/>
        <w:ind w:firstLine="561" w:firstLineChars="200"/>
        <w:jc w:val="center"/>
        <w:rPr>
          <w:rFonts w:ascii="华文楷体" w:hAnsi="华文楷体" w:eastAsia="华文楷体"/>
          <w:b/>
          <w:bCs/>
          <w:color w:val="000000"/>
          <w:sz w:val="28"/>
          <w:szCs w:val="28"/>
          <w:shd w:val="clear" w:color="auto" w:fill="FFFFFF"/>
        </w:rPr>
      </w:pPr>
    </w:p>
    <w:p>
      <w:pPr>
        <w:widowControl/>
        <w:ind w:firstLine="561" w:firstLineChars="200"/>
        <w:jc w:val="center"/>
        <w:rPr>
          <w:rFonts w:ascii="华文楷体" w:hAnsi="华文楷体" w:eastAsia="华文楷体"/>
          <w:b/>
          <w:bCs/>
          <w:color w:val="000000"/>
          <w:sz w:val="28"/>
          <w:szCs w:val="28"/>
          <w:shd w:val="clear" w:color="auto" w:fill="FFFFFF"/>
        </w:rPr>
      </w:pPr>
    </w:p>
    <w:p>
      <w:pPr>
        <w:widowControl/>
        <w:ind w:firstLine="561" w:firstLineChars="200"/>
        <w:rPr>
          <w:rFonts w:ascii="华文楷体" w:hAnsi="华文楷体" w:eastAsia="华文楷体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hint="eastAsia" w:ascii="华文楷体" w:hAnsi="华文楷体" w:eastAsia="华文楷体"/>
          <w:b/>
          <w:bCs/>
          <w:color w:val="000000"/>
          <w:sz w:val="28"/>
          <w:szCs w:val="28"/>
          <w:shd w:val="clear" w:color="auto" w:fill="FFFFFF"/>
        </w:rPr>
        <w:t xml:space="preserve">  </w:t>
      </w:r>
    </w:p>
    <w:p>
      <w:pPr>
        <w:widowControl/>
        <w:jc w:val="center"/>
        <w:rPr>
          <w:rFonts w:ascii="华文楷体" w:hAnsi="华文楷体" w:eastAsia="华文楷体"/>
          <w:b/>
          <w:sz w:val="28"/>
          <w:szCs w:val="28"/>
        </w:rPr>
      </w:pPr>
      <w:r>
        <w:rPr>
          <w:rFonts w:hint="eastAsia" w:ascii="华文楷体" w:hAnsi="华文楷体" w:eastAsia="华文楷体"/>
          <w:b/>
          <w:bCs/>
          <w:color w:val="000000"/>
          <w:sz w:val="28"/>
          <w:szCs w:val="28"/>
          <w:shd w:val="clear" w:color="auto" w:fill="FFFFFF"/>
        </w:rPr>
        <w:t>1-</w:t>
      </w:r>
      <w:r>
        <w:rPr>
          <w:rFonts w:hint="eastAsia" w:ascii="华文楷体" w:hAnsi="华文楷体" w:eastAsia="华文楷体"/>
          <w:b/>
          <w:bCs/>
          <w:color w:val="000000"/>
          <w:sz w:val="28"/>
          <w:szCs w:val="28"/>
          <w:shd w:val="clear" w:color="auto" w:fill="FFFFFF"/>
          <w:lang w:val="en-US" w:eastAsia="zh-CN"/>
        </w:rPr>
        <w:t>2</w:t>
      </w:r>
      <w:r>
        <w:rPr>
          <w:rFonts w:hint="eastAsia" w:ascii="华文楷体" w:hAnsi="华文楷体" w:eastAsia="华文楷体"/>
          <w:b/>
          <w:bCs/>
          <w:color w:val="000000"/>
          <w:sz w:val="28"/>
          <w:szCs w:val="28"/>
          <w:shd w:val="clear" w:color="auto" w:fill="FFFFFF"/>
        </w:rPr>
        <w:t>月经济运行情况简析</w:t>
      </w:r>
    </w:p>
    <w:p>
      <w:pPr>
        <w:widowControl/>
        <w:ind w:firstLine="420" w:firstLineChars="200"/>
        <w:rPr>
          <w:rFonts w:ascii="华文楷体" w:hAnsi="华文楷体" w:eastAsia="华文楷体"/>
          <w:b/>
          <w:szCs w:val="21"/>
        </w:rPr>
      </w:pPr>
      <w:r>
        <w:rPr>
          <w:rFonts w:hint="eastAsia" w:ascii="华文楷体" w:hAnsi="华文楷体" w:eastAsia="华文楷体"/>
          <w:b/>
          <w:szCs w:val="21"/>
        </w:rPr>
        <w:t>规模工业：</w:t>
      </w:r>
      <w:r>
        <w:rPr>
          <w:rFonts w:ascii="华文楷体" w:hAnsi="华文楷体" w:eastAsia="华文楷体"/>
          <w:szCs w:val="21"/>
        </w:rPr>
        <w:t>1-</w:t>
      </w:r>
      <w:r>
        <w:rPr>
          <w:rFonts w:hint="eastAsia" w:ascii="华文楷体" w:hAnsi="华文楷体" w:eastAsia="华文楷体"/>
          <w:szCs w:val="21"/>
          <w:lang w:val="en-US" w:eastAsia="zh-CN"/>
        </w:rPr>
        <w:t>2</w:t>
      </w:r>
      <w:r>
        <w:rPr>
          <w:rFonts w:ascii="华文楷体" w:hAnsi="华文楷体" w:eastAsia="华文楷体"/>
          <w:szCs w:val="21"/>
        </w:rPr>
        <w:t>月规模工业产值为</w:t>
      </w:r>
      <w:r>
        <w:rPr>
          <w:rFonts w:hint="eastAsia" w:ascii="华文楷体" w:hAnsi="华文楷体" w:eastAsia="华文楷体"/>
          <w:szCs w:val="21"/>
          <w:lang w:val="en-US" w:eastAsia="zh-CN"/>
        </w:rPr>
        <w:t>35267.5</w:t>
      </w:r>
      <w:r>
        <w:rPr>
          <w:rFonts w:ascii="华文楷体" w:hAnsi="华文楷体" w:eastAsia="华文楷体"/>
          <w:szCs w:val="21"/>
        </w:rPr>
        <w:t>万元，同比</w:t>
      </w:r>
      <w:r>
        <w:rPr>
          <w:rFonts w:hint="eastAsia" w:ascii="华文楷体" w:hAnsi="华文楷体" w:eastAsia="华文楷体"/>
          <w:szCs w:val="21"/>
          <w:lang w:val="en-US" w:eastAsia="zh-CN"/>
        </w:rPr>
        <w:t>下降26.4</w:t>
      </w:r>
      <w:r>
        <w:rPr>
          <w:rFonts w:ascii="华文楷体" w:hAnsi="华文楷体" w:eastAsia="华文楷体"/>
          <w:szCs w:val="21"/>
        </w:rPr>
        <w:t>%；规模工业增加值同比下降</w:t>
      </w:r>
      <w:r>
        <w:rPr>
          <w:rFonts w:hint="eastAsia" w:ascii="华文楷体" w:hAnsi="华文楷体" w:eastAsia="华文楷体"/>
          <w:szCs w:val="21"/>
          <w:lang w:val="en-US" w:eastAsia="zh-CN"/>
        </w:rPr>
        <w:t>27.2</w:t>
      </w:r>
      <w:r>
        <w:rPr>
          <w:rFonts w:ascii="华文楷体" w:hAnsi="华文楷体" w:eastAsia="华文楷体"/>
          <w:szCs w:val="21"/>
        </w:rPr>
        <w:t>%，增速位列全州9县市区第</w:t>
      </w:r>
      <w:r>
        <w:rPr>
          <w:rFonts w:hint="eastAsia" w:ascii="华文楷体" w:hAnsi="华文楷体" w:eastAsia="华文楷体"/>
          <w:szCs w:val="21"/>
          <w:lang w:val="en-US" w:eastAsia="zh-CN"/>
        </w:rPr>
        <w:t>9</w:t>
      </w:r>
      <w:r>
        <w:rPr>
          <w:rFonts w:ascii="华文楷体" w:hAnsi="华文楷体" w:eastAsia="华文楷体"/>
          <w:szCs w:val="21"/>
        </w:rPr>
        <w:t>位。</w:t>
      </w:r>
    </w:p>
    <w:p>
      <w:pPr>
        <w:widowControl/>
        <w:ind w:firstLine="420" w:firstLineChars="200"/>
        <w:rPr>
          <w:rFonts w:ascii="华文楷体" w:hAnsi="华文楷体" w:eastAsia="华文楷体"/>
          <w:b/>
          <w:szCs w:val="21"/>
        </w:rPr>
      </w:pPr>
      <w:r>
        <w:rPr>
          <w:rFonts w:hint="eastAsia" w:ascii="华文楷体" w:hAnsi="华文楷体" w:eastAsia="华文楷体"/>
          <w:b/>
          <w:szCs w:val="21"/>
        </w:rPr>
        <w:t>投资：</w:t>
      </w:r>
      <w:r>
        <w:rPr>
          <w:rFonts w:ascii="华文楷体" w:hAnsi="华文楷体" w:eastAsia="华文楷体"/>
          <w:szCs w:val="21"/>
        </w:rPr>
        <w:t>1-</w:t>
      </w:r>
      <w:r>
        <w:rPr>
          <w:rFonts w:hint="eastAsia" w:ascii="华文楷体" w:hAnsi="华文楷体" w:eastAsia="华文楷体"/>
          <w:szCs w:val="21"/>
          <w:lang w:val="en-US" w:eastAsia="zh-CN"/>
        </w:rPr>
        <w:t>2</w:t>
      </w:r>
      <w:r>
        <w:rPr>
          <w:rFonts w:ascii="华文楷体" w:hAnsi="华文楷体" w:eastAsia="华文楷体"/>
          <w:szCs w:val="21"/>
        </w:rPr>
        <w:t>月固定资产投资同比增长</w:t>
      </w:r>
      <w:r>
        <w:rPr>
          <w:rFonts w:hint="eastAsia" w:ascii="华文楷体" w:hAnsi="华文楷体" w:eastAsia="华文楷体"/>
          <w:szCs w:val="21"/>
          <w:lang w:val="en-US" w:eastAsia="zh-CN"/>
        </w:rPr>
        <w:t>14.2</w:t>
      </w:r>
      <w:r>
        <w:rPr>
          <w:rFonts w:ascii="华文楷体" w:hAnsi="华文楷体" w:eastAsia="华文楷体"/>
          <w:szCs w:val="21"/>
        </w:rPr>
        <w:t>%，增速位列全州9县市区第</w:t>
      </w:r>
      <w:r>
        <w:rPr>
          <w:rFonts w:hint="eastAsia" w:ascii="华文楷体" w:hAnsi="华文楷体" w:eastAsia="华文楷体"/>
          <w:szCs w:val="21"/>
          <w:lang w:val="en-US" w:eastAsia="zh-CN"/>
        </w:rPr>
        <w:t>2</w:t>
      </w:r>
      <w:r>
        <w:rPr>
          <w:rFonts w:ascii="华文楷体" w:hAnsi="华文楷体" w:eastAsia="华文楷体"/>
          <w:szCs w:val="21"/>
        </w:rPr>
        <w:t>位。</w:t>
      </w:r>
    </w:p>
    <w:p>
      <w:pPr>
        <w:widowControl/>
        <w:ind w:firstLine="420" w:firstLineChars="200"/>
        <w:rPr>
          <w:rFonts w:ascii="华文楷体" w:hAnsi="华文楷体" w:eastAsia="华文楷体"/>
          <w:szCs w:val="21"/>
        </w:rPr>
      </w:pPr>
      <w:r>
        <w:rPr>
          <w:rFonts w:hint="eastAsia" w:ascii="华文楷体" w:hAnsi="华文楷体" w:eastAsia="华文楷体"/>
          <w:b/>
          <w:szCs w:val="21"/>
        </w:rPr>
        <w:t>消费</w:t>
      </w:r>
      <w:r>
        <w:rPr>
          <w:rFonts w:hint="eastAsia" w:ascii="华文楷体" w:hAnsi="华文楷体" w:eastAsia="华文楷体"/>
          <w:szCs w:val="21"/>
        </w:rPr>
        <w:t>：</w:t>
      </w:r>
      <w:r>
        <w:rPr>
          <w:rFonts w:ascii="华文楷体" w:hAnsi="华文楷体" w:eastAsia="华文楷体"/>
          <w:szCs w:val="21"/>
        </w:rPr>
        <w:t>1-</w:t>
      </w:r>
      <w:r>
        <w:rPr>
          <w:rFonts w:hint="eastAsia" w:ascii="华文楷体" w:hAnsi="华文楷体" w:eastAsia="华文楷体"/>
          <w:szCs w:val="21"/>
          <w:lang w:val="en-US" w:eastAsia="zh-CN"/>
        </w:rPr>
        <w:t>2</w:t>
      </w:r>
      <w:r>
        <w:rPr>
          <w:rFonts w:ascii="华文楷体" w:hAnsi="华文楷体" w:eastAsia="华文楷体"/>
          <w:szCs w:val="21"/>
        </w:rPr>
        <w:t>月社会消费品零售总额为</w:t>
      </w:r>
      <w:r>
        <w:rPr>
          <w:rFonts w:hint="eastAsia" w:ascii="华文楷体" w:hAnsi="华文楷体" w:eastAsia="华文楷体"/>
          <w:szCs w:val="21"/>
          <w:lang w:val="en-US" w:eastAsia="zh-CN"/>
        </w:rPr>
        <w:t>24378</w:t>
      </w:r>
      <w:r>
        <w:rPr>
          <w:rFonts w:ascii="华文楷体" w:hAnsi="华文楷体" w:eastAsia="华文楷体"/>
          <w:szCs w:val="21"/>
        </w:rPr>
        <w:t>万元，</w:t>
      </w:r>
      <w:r>
        <w:rPr>
          <w:rFonts w:hint="eastAsia" w:ascii="华文楷体" w:hAnsi="华文楷体" w:eastAsia="华文楷体"/>
          <w:szCs w:val="21"/>
          <w:lang w:val="en-US" w:eastAsia="zh-CN"/>
        </w:rPr>
        <w:t>同比增长2.6%</w:t>
      </w:r>
      <w:r>
        <w:rPr>
          <w:rFonts w:ascii="华文楷体" w:hAnsi="华文楷体" w:eastAsia="华文楷体"/>
          <w:szCs w:val="21"/>
        </w:rPr>
        <w:t>，增速位列全州8县市第</w:t>
      </w:r>
      <w:r>
        <w:rPr>
          <w:rFonts w:hint="eastAsia" w:ascii="华文楷体" w:hAnsi="华文楷体" w:eastAsia="华文楷体"/>
          <w:szCs w:val="21"/>
          <w:lang w:val="en-US" w:eastAsia="zh-CN"/>
        </w:rPr>
        <w:t>3</w:t>
      </w:r>
      <w:r>
        <w:rPr>
          <w:rFonts w:ascii="华文楷体" w:hAnsi="华文楷体" w:eastAsia="华文楷体"/>
          <w:szCs w:val="21"/>
        </w:rPr>
        <w:t>位。</w:t>
      </w:r>
    </w:p>
    <w:p>
      <w:pPr>
        <w:widowControl/>
        <w:ind w:firstLine="420" w:firstLineChars="200"/>
        <w:rPr>
          <w:rFonts w:ascii="华文楷体" w:hAnsi="华文楷体" w:eastAsia="华文楷体"/>
          <w:szCs w:val="21"/>
        </w:rPr>
      </w:pPr>
      <w:r>
        <w:rPr>
          <w:rFonts w:hint="eastAsia" w:ascii="华文楷体" w:hAnsi="华文楷体" w:eastAsia="华文楷体"/>
          <w:b/>
          <w:szCs w:val="21"/>
        </w:rPr>
        <w:t>财政：</w:t>
      </w:r>
      <w:r>
        <w:rPr>
          <w:rFonts w:ascii="华文楷体" w:hAnsi="华文楷体" w:eastAsia="华文楷体"/>
          <w:szCs w:val="21"/>
        </w:rPr>
        <w:t>1-</w:t>
      </w:r>
      <w:r>
        <w:rPr>
          <w:rFonts w:hint="eastAsia" w:ascii="华文楷体" w:hAnsi="华文楷体" w:eastAsia="华文楷体"/>
          <w:szCs w:val="21"/>
          <w:lang w:val="en-US" w:eastAsia="zh-CN"/>
        </w:rPr>
        <w:t>2</w:t>
      </w:r>
      <w:r>
        <w:rPr>
          <w:rFonts w:ascii="华文楷体" w:hAnsi="华文楷体" w:eastAsia="华文楷体"/>
          <w:szCs w:val="21"/>
        </w:rPr>
        <w:t>月</w:t>
      </w:r>
      <w:r>
        <w:rPr>
          <w:rFonts w:hint="eastAsia" w:ascii="华文楷体" w:hAnsi="华文楷体" w:eastAsia="华文楷体"/>
          <w:szCs w:val="21"/>
          <w:lang w:val="en-US" w:eastAsia="zh-CN"/>
        </w:rPr>
        <w:t>地方</w:t>
      </w:r>
      <w:r>
        <w:rPr>
          <w:rFonts w:ascii="华文楷体" w:hAnsi="华文楷体" w:eastAsia="华文楷体"/>
          <w:szCs w:val="21"/>
        </w:rPr>
        <w:t>财政收入为</w:t>
      </w:r>
      <w:r>
        <w:rPr>
          <w:rFonts w:hint="eastAsia" w:ascii="华文楷体" w:hAnsi="华文楷体" w:eastAsia="华文楷体"/>
          <w:szCs w:val="21"/>
          <w:lang w:val="en-US" w:eastAsia="zh-CN"/>
        </w:rPr>
        <w:t>7638</w:t>
      </w:r>
      <w:r>
        <w:rPr>
          <w:rFonts w:ascii="华文楷体" w:hAnsi="华文楷体" w:eastAsia="华文楷体"/>
          <w:szCs w:val="21"/>
        </w:rPr>
        <w:t>万元，同比</w:t>
      </w:r>
      <w:r>
        <w:rPr>
          <w:rFonts w:hint="eastAsia" w:ascii="华文楷体" w:hAnsi="华文楷体" w:eastAsia="华文楷体"/>
          <w:szCs w:val="21"/>
          <w:lang w:val="en-US" w:eastAsia="zh-CN"/>
        </w:rPr>
        <w:t>增长75.4</w:t>
      </w:r>
      <w:r>
        <w:rPr>
          <w:rFonts w:ascii="华文楷体" w:hAnsi="华文楷体" w:eastAsia="华文楷体"/>
          <w:szCs w:val="21"/>
        </w:rPr>
        <w:t>%，增速位列全州9县市区第</w:t>
      </w:r>
      <w:r>
        <w:rPr>
          <w:rFonts w:hint="eastAsia" w:ascii="华文楷体" w:hAnsi="华文楷体" w:eastAsia="华文楷体"/>
          <w:szCs w:val="21"/>
          <w:lang w:val="en-US" w:eastAsia="zh-CN"/>
        </w:rPr>
        <w:t>2</w:t>
      </w:r>
      <w:r>
        <w:rPr>
          <w:rFonts w:ascii="华文楷体" w:hAnsi="华文楷体" w:eastAsia="华文楷体"/>
          <w:szCs w:val="21"/>
        </w:rPr>
        <w:t>位；财政总支出为</w:t>
      </w:r>
      <w:r>
        <w:rPr>
          <w:rFonts w:hint="eastAsia" w:ascii="华文楷体" w:hAnsi="华文楷体" w:eastAsia="华文楷体"/>
          <w:szCs w:val="21"/>
          <w:lang w:val="en-US" w:eastAsia="zh-CN"/>
        </w:rPr>
        <w:t>79160</w:t>
      </w:r>
      <w:r>
        <w:rPr>
          <w:rFonts w:ascii="华文楷体" w:hAnsi="华文楷体" w:eastAsia="华文楷体"/>
          <w:szCs w:val="21"/>
        </w:rPr>
        <w:t>万元，同比</w:t>
      </w:r>
      <w:r>
        <w:rPr>
          <w:rFonts w:hint="eastAsia" w:ascii="华文楷体" w:hAnsi="华文楷体" w:eastAsia="华文楷体"/>
          <w:szCs w:val="21"/>
          <w:lang w:val="en-US" w:eastAsia="zh-CN"/>
        </w:rPr>
        <w:t>增长5.9</w:t>
      </w:r>
      <w:r>
        <w:rPr>
          <w:rFonts w:ascii="华文楷体" w:hAnsi="华文楷体" w:eastAsia="华文楷体"/>
          <w:szCs w:val="21"/>
        </w:rPr>
        <w:t>%，增速位列全州9县市区第</w:t>
      </w:r>
      <w:r>
        <w:rPr>
          <w:rFonts w:hint="eastAsia" w:ascii="华文楷体" w:hAnsi="华文楷体" w:eastAsia="华文楷体"/>
          <w:szCs w:val="21"/>
          <w:lang w:val="en-US" w:eastAsia="zh-CN"/>
        </w:rPr>
        <w:t>7</w:t>
      </w:r>
      <w:r>
        <w:rPr>
          <w:rFonts w:ascii="华文楷体" w:hAnsi="华文楷体" w:eastAsia="华文楷体"/>
          <w:szCs w:val="21"/>
        </w:rPr>
        <w:t>位。</w:t>
      </w:r>
    </w:p>
    <w:p>
      <w:pPr>
        <w:widowControl/>
        <w:ind w:firstLine="420" w:firstLineChars="200"/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b/>
          <w:szCs w:val="21"/>
        </w:rPr>
        <w:t>金融：</w:t>
      </w:r>
      <w:r>
        <w:rPr>
          <w:rFonts w:ascii="华文楷体" w:hAnsi="华文楷体" w:eastAsia="华文楷体"/>
          <w:szCs w:val="21"/>
        </w:rPr>
        <w:t>1-</w:t>
      </w:r>
      <w:r>
        <w:rPr>
          <w:rFonts w:hint="eastAsia" w:ascii="华文楷体" w:hAnsi="华文楷体" w:eastAsia="华文楷体"/>
          <w:szCs w:val="21"/>
          <w:lang w:val="en-US" w:eastAsia="zh-CN"/>
        </w:rPr>
        <w:t>2</w:t>
      </w:r>
      <w:r>
        <w:rPr>
          <w:rFonts w:ascii="华文楷体" w:hAnsi="华文楷体" w:eastAsia="华文楷体"/>
          <w:szCs w:val="21"/>
        </w:rPr>
        <w:t>月金融机构本外币各项存款余额为</w:t>
      </w:r>
      <w:r>
        <w:rPr>
          <w:rFonts w:hint="eastAsia" w:ascii="华文楷体" w:hAnsi="华文楷体" w:eastAsia="华文楷体"/>
          <w:szCs w:val="21"/>
          <w:lang w:val="en-US" w:eastAsia="zh-CN"/>
        </w:rPr>
        <w:t>1354966</w:t>
      </w:r>
      <w:r>
        <w:rPr>
          <w:rFonts w:ascii="华文楷体" w:hAnsi="华文楷体" w:eastAsia="华文楷体"/>
          <w:szCs w:val="21"/>
        </w:rPr>
        <w:t>万元，同比增长</w:t>
      </w:r>
      <w:r>
        <w:rPr>
          <w:rFonts w:hint="eastAsia" w:ascii="华文楷体" w:hAnsi="华文楷体" w:eastAsia="华文楷体"/>
          <w:szCs w:val="21"/>
          <w:lang w:val="en-US" w:eastAsia="zh-CN"/>
        </w:rPr>
        <w:t>3.2</w:t>
      </w:r>
      <w:r>
        <w:rPr>
          <w:rFonts w:ascii="华文楷体" w:hAnsi="华文楷体" w:eastAsia="华文楷体"/>
          <w:szCs w:val="21"/>
        </w:rPr>
        <w:t>%，增速位列全州8县市第</w:t>
      </w:r>
      <w:r>
        <w:rPr>
          <w:rFonts w:hint="eastAsia" w:ascii="华文楷体" w:hAnsi="华文楷体" w:eastAsia="华文楷体"/>
          <w:szCs w:val="21"/>
          <w:lang w:val="en-US" w:eastAsia="zh-CN"/>
        </w:rPr>
        <w:t>8</w:t>
      </w:r>
      <w:r>
        <w:rPr>
          <w:rFonts w:ascii="华文楷体" w:hAnsi="华文楷体" w:eastAsia="华文楷体"/>
          <w:szCs w:val="21"/>
        </w:rPr>
        <w:t>位；金融机构本外币各项贷款余额为</w:t>
      </w:r>
      <w:r>
        <w:rPr>
          <w:rFonts w:hint="eastAsia" w:ascii="华文楷体" w:hAnsi="华文楷体" w:eastAsia="华文楷体"/>
          <w:szCs w:val="21"/>
          <w:lang w:val="en-US" w:eastAsia="zh-CN"/>
        </w:rPr>
        <w:t>1379188</w:t>
      </w:r>
      <w:r>
        <w:rPr>
          <w:rFonts w:ascii="华文楷体" w:hAnsi="华文楷体" w:eastAsia="华文楷体"/>
          <w:szCs w:val="21"/>
        </w:rPr>
        <w:t>万元，同比增长</w:t>
      </w:r>
      <w:r>
        <w:rPr>
          <w:rFonts w:hint="eastAsia" w:ascii="华文楷体" w:hAnsi="华文楷体" w:eastAsia="华文楷体"/>
          <w:szCs w:val="21"/>
          <w:lang w:val="en-US" w:eastAsia="zh-CN"/>
        </w:rPr>
        <w:t>2.6</w:t>
      </w:r>
      <w:r>
        <w:rPr>
          <w:rFonts w:ascii="华文楷体" w:hAnsi="华文楷体" w:eastAsia="华文楷体"/>
          <w:szCs w:val="21"/>
        </w:rPr>
        <w:t>%，增速位列全州8县市第</w:t>
      </w:r>
      <w:r>
        <w:rPr>
          <w:rFonts w:hint="eastAsia" w:ascii="华文楷体" w:hAnsi="华文楷体" w:eastAsia="华文楷体"/>
          <w:szCs w:val="21"/>
          <w:lang w:val="en-US" w:eastAsia="zh-CN"/>
        </w:rPr>
        <w:t>8</w:t>
      </w:r>
      <w:r>
        <w:rPr>
          <w:rFonts w:ascii="华文楷体" w:hAnsi="华文楷体" w:eastAsia="华文楷体"/>
          <w:szCs w:val="21"/>
        </w:rPr>
        <w:t>位。</w:t>
      </w:r>
    </w:p>
    <w:p>
      <w:pPr>
        <w:widowControl/>
        <w:jc w:val="center"/>
        <w:rPr>
          <w:rFonts w:ascii="华文楷体" w:hAnsi="华文楷体" w:eastAsia="华文楷体"/>
          <w:b/>
          <w:sz w:val="28"/>
          <w:szCs w:val="28"/>
        </w:rPr>
      </w:pPr>
    </w:p>
    <w:p>
      <w:pPr>
        <w:widowControl/>
        <w:jc w:val="center"/>
        <w:rPr>
          <w:rFonts w:ascii="华文楷体" w:hAnsi="华文楷体" w:eastAsia="华文楷体"/>
          <w:b/>
          <w:sz w:val="28"/>
          <w:szCs w:val="28"/>
        </w:rPr>
      </w:pPr>
    </w:p>
    <w:p>
      <w:pPr>
        <w:widowControl/>
        <w:jc w:val="center"/>
        <w:rPr>
          <w:rFonts w:ascii="华文楷体" w:hAnsi="华文楷体" w:eastAsia="华文楷体"/>
          <w:b/>
          <w:sz w:val="28"/>
          <w:szCs w:val="28"/>
        </w:rPr>
      </w:pPr>
    </w:p>
    <w:p>
      <w:pPr>
        <w:widowControl/>
        <w:jc w:val="center"/>
        <w:rPr>
          <w:rFonts w:ascii="华文楷体" w:hAnsi="华文楷体" w:eastAsia="华文楷体"/>
          <w:b/>
          <w:sz w:val="28"/>
          <w:szCs w:val="28"/>
        </w:rPr>
      </w:pPr>
    </w:p>
    <w:p>
      <w:pPr>
        <w:widowControl/>
        <w:jc w:val="center"/>
        <w:rPr>
          <w:rFonts w:ascii="华文楷体" w:hAnsi="华文楷体" w:eastAsia="华文楷体"/>
          <w:b/>
          <w:sz w:val="28"/>
          <w:szCs w:val="28"/>
        </w:rPr>
      </w:pPr>
    </w:p>
    <w:p>
      <w:pPr>
        <w:widowControl/>
        <w:jc w:val="center"/>
        <w:rPr>
          <w:rFonts w:hint="eastAsia" w:ascii="华文楷体" w:hAnsi="华文楷体" w:eastAsia="华文楷体"/>
          <w:b/>
          <w:sz w:val="28"/>
          <w:szCs w:val="28"/>
        </w:rPr>
      </w:pPr>
    </w:p>
    <w:p>
      <w:pPr>
        <w:widowControl/>
        <w:jc w:val="center"/>
        <w:rPr>
          <w:rFonts w:ascii="华文楷体" w:hAnsi="华文楷体" w:eastAsia="华文楷体"/>
          <w:b/>
          <w:sz w:val="28"/>
          <w:szCs w:val="28"/>
        </w:rPr>
      </w:pPr>
      <w:r>
        <w:rPr>
          <w:rFonts w:hint="eastAsia" w:ascii="华文楷体" w:hAnsi="华文楷体" w:eastAsia="华文楷体"/>
          <w:b/>
          <w:sz w:val="28"/>
          <w:szCs w:val="28"/>
        </w:rPr>
        <w:t>规模工业增加值</w:t>
      </w:r>
    </w:p>
    <w:tbl>
      <w:tblPr>
        <w:tblStyle w:val="9"/>
        <w:tblW w:w="5246" w:type="dxa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8"/>
        <w:gridCol w:w="817"/>
        <w:gridCol w:w="995"/>
        <w:gridCol w:w="896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2538" w:type="dxa"/>
            <w:vMerge w:val="restart"/>
            <w:tcBorders>
              <w:top w:val="single" w:color="auto" w:sz="12" w:space="0"/>
            </w:tcBorders>
          </w:tcPr>
          <w:p>
            <w:pPr>
              <w:widowControl/>
              <w:jc w:val="left"/>
              <w:rPr>
                <w:rFonts w:ascii="华文楷体" w:hAnsi="华文楷体" w:eastAsia="华文楷体" w:cs="Times New Roman"/>
                <w:b/>
                <w:kern w:val="0"/>
                <w:szCs w:val="21"/>
              </w:rPr>
            </w:pPr>
          </w:p>
        </w:tc>
        <w:tc>
          <w:tcPr>
            <w:tcW w:w="1812" w:type="dxa"/>
            <w:gridSpan w:val="2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Times New Roman"/>
                <w:b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b/>
                <w:kern w:val="0"/>
                <w:szCs w:val="21"/>
              </w:rPr>
              <w:t>绝对额（万元）</w:t>
            </w:r>
          </w:p>
        </w:tc>
        <w:tc>
          <w:tcPr>
            <w:tcW w:w="896" w:type="dxa"/>
            <w:vMerge w:val="restar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Times New Roman"/>
                <w:b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b/>
                <w:kern w:val="0"/>
                <w:szCs w:val="21"/>
              </w:rPr>
              <w:t>累计</w:t>
            </w:r>
          </w:p>
          <w:p>
            <w:pPr>
              <w:widowControl/>
              <w:jc w:val="left"/>
              <w:rPr>
                <w:rFonts w:ascii="华文楷体" w:hAnsi="华文楷体" w:eastAsia="华文楷体" w:cs="Times New Roman"/>
                <w:b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b/>
                <w:kern w:val="0"/>
                <w:szCs w:val="21"/>
              </w:rPr>
              <w:t>增速（%）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2538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rPr>
                <w:rFonts w:ascii="华文楷体" w:hAnsi="华文楷体" w:eastAsia="华文楷体" w:cs="Times New Roman"/>
                <w:b/>
                <w:kern w:val="0"/>
                <w:szCs w:val="21"/>
              </w:rPr>
            </w:pPr>
          </w:p>
        </w:tc>
        <w:tc>
          <w:tcPr>
            <w:tcW w:w="8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Times New Roman"/>
                <w:b/>
                <w:spacing w:val="-10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b/>
                <w:spacing w:val="-1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华文楷体" w:hAnsi="华文楷体" w:eastAsia="华文楷体" w:cs="Times New Roman"/>
                <w:b/>
                <w:spacing w:val="-10"/>
                <w:kern w:val="0"/>
                <w:szCs w:val="21"/>
              </w:rPr>
              <w:t>月</w:t>
            </w:r>
          </w:p>
        </w:tc>
        <w:tc>
          <w:tcPr>
            <w:tcW w:w="99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Times New Roman"/>
                <w:b/>
                <w:spacing w:val="-10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b/>
                <w:spacing w:val="-10"/>
                <w:kern w:val="0"/>
                <w:szCs w:val="21"/>
              </w:rPr>
              <w:t>1—</w:t>
            </w:r>
            <w:r>
              <w:rPr>
                <w:rFonts w:hint="eastAsia" w:ascii="华文楷体" w:hAnsi="华文楷体" w:eastAsia="华文楷体" w:cs="Times New Roman"/>
                <w:b/>
                <w:spacing w:val="-1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华文楷体" w:hAnsi="华文楷体" w:eastAsia="华文楷体" w:cs="Times New Roman"/>
                <w:b/>
                <w:spacing w:val="-10"/>
                <w:kern w:val="0"/>
                <w:szCs w:val="21"/>
              </w:rPr>
              <w:t>月</w:t>
            </w:r>
          </w:p>
        </w:tc>
        <w:tc>
          <w:tcPr>
            <w:tcW w:w="896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rFonts w:ascii="华文楷体" w:hAnsi="华文楷体" w:eastAsia="华文楷体" w:cs="Times New Roman"/>
                <w:b/>
                <w:spacing w:val="-1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538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Times New Roman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kern w:val="0"/>
                <w:szCs w:val="21"/>
              </w:rPr>
              <w:t>全县规模工业增加值</w:t>
            </w:r>
          </w:p>
        </w:tc>
        <w:tc>
          <w:tcPr>
            <w:tcW w:w="817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—</w:t>
            </w:r>
          </w:p>
        </w:tc>
        <w:tc>
          <w:tcPr>
            <w:tcW w:w="995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—</w:t>
            </w:r>
          </w:p>
        </w:tc>
        <w:tc>
          <w:tcPr>
            <w:tcW w:w="896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-27.2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2538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Times New Roman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kern w:val="0"/>
                <w:szCs w:val="21"/>
              </w:rPr>
              <w:t>按经济类型分：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995" w:type="dxa"/>
            <w:vAlign w:val="center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8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538" w:type="dxa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华文楷体" w:hAnsi="华文楷体" w:eastAsia="华文楷体" w:cs="Times New Roman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kern w:val="0"/>
                <w:szCs w:val="21"/>
              </w:rPr>
              <w:t>国有企业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—</w:t>
            </w:r>
          </w:p>
        </w:tc>
        <w:tc>
          <w:tcPr>
            <w:tcW w:w="995" w:type="dxa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—</w:t>
            </w:r>
          </w:p>
        </w:tc>
        <w:tc>
          <w:tcPr>
            <w:tcW w:w="8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-39.5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2538" w:type="dxa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华文楷体" w:hAnsi="华文楷体" w:eastAsia="华文楷体" w:cs="Times New Roman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kern w:val="0"/>
                <w:szCs w:val="21"/>
              </w:rPr>
              <w:t>非公有制企业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—</w:t>
            </w:r>
          </w:p>
        </w:tc>
        <w:tc>
          <w:tcPr>
            <w:tcW w:w="995" w:type="dxa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—</w:t>
            </w:r>
          </w:p>
        </w:tc>
        <w:tc>
          <w:tcPr>
            <w:tcW w:w="8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-26.2 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538" w:type="dxa"/>
            <w:vAlign w:val="center"/>
          </w:tcPr>
          <w:p>
            <w:pPr>
              <w:widowControl/>
              <w:jc w:val="left"/>
              <w:rPr>
                <w:rFonts w:ascii="黑体" w:hAnsi="黑体" w:eastAsia="黑体" w:cs="Times New Roman"/>
                <w:spacing w:val="-14"/>
                <w:w w:val="90"/>
                <w:kern w:val="0"/>
                <w:sz w:val="15"/>
                <w:szCs w:val="15"/>
              </w:rPr>
            </w:pPr>
            <w:r>
              <w:rPr>
                <w:rFonts w:hint="eastAsia" w:ascii="华文楷体" w:hAnsi="华文楷体" w:eastAsia="华文楷体" w:cs="Times New Roman"/>
                <w:spacing w:val="-14"/>
                <w:kern w:val="0"/>
                <w:szCs w:val="21"/>
              </w:rPr>
              <w:t>其他县市规模工业：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jc w:val="right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995" w:type="dxa"/>
            <w:vAlign w:val="center"/>
          </w:tcPr>
          <w:p>
            <w:pPr>
              <w:widowControl/>
              <w:jc w:val="right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896" w:type="dxa"/>
            <w:vAlign w:val="center"/>
          </w:tcPr>
          <w:p>
            <w:pPr>
              <w:widowControl/>
              <w:jc w:val="right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2538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Times New Roman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kern w:val="0"/>
                <w:szCs w:val="21"/>
              </w:rPr>
              <w:t xml:space="preserve">  湘西州（不含烟）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jc w:val="right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995" w:type="dxa"/>
            <w:vAlign w:val="center"/>
          </w:tcPr>
          <w:p>
            <w:pPr>
              <w:widowControl/>
              <w:jc w:val="right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8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6.9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538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Times New Roman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kern w:val="0"/>
                <w:szCs w:val="21"/>
              </w:rPr>
              <w:t xml:space="preserve">  吉首市（不含烟）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jc w:val="right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995" w:type="dxa"/>
            <w:vAlign w:val="center"/>
          </w:tcPr>
          <w:p>
            <w:pPr>
              <w:widowControl/>
              <w:jc w:val="right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8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2538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Times New Roman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kern w:val="0"/>
                <w:szCs w:val="21"/>
              </w:rPr>
              <w:t xml:space="preserve">  泸溪县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jc w:val="right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995" w:type="dxa"/>
            <w:vAlign w:val="center"/>
          </w:tcPr>
          <w:p>
            <w:pPr>
              <w:widowControl/>
              <w:ind w:firstLine="105" w:firstLineChars="50"/>
              <w:jc w:val="right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8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32.8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538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Times New Roman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kern w:val="0"/>
                <w:szCs w:val="21"/>
              </w:rPr>
              <w:t xml:space="preserve">  凤凰县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jc w:val="right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995" w:type="dxa"/>
            <w:vAlign w:val="center"/>
          </w:tcPr>
          <w:p>
            <w:pPr>
              <w:widowControl/>
              <w:jc w:val="right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8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20.6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538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Times New Roman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kern w:val="0"/>
                <w:szCs w:val="21"/>
              </w:rPr>
              <w:t xml:space="preserve">  保靖县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jc w:val="right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995" w:type="dxa"/>
            <w:vAlign w:val="center"/>
          </w:tcPr>
          <w:p>
            <w:pPr>
              <w:widowControl/>
              <w:jc w:val="right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8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-7.0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2538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Times New Roman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kern w:val="0"/>
                <w:szCs w:val="21"/>
              </w:rPr>
              <w:t xml:space="preserve">  古丈县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jc w:val="right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995" w:type="dxa"/>
            <w:vAlign w:val="center"/>
          </w:tcPr>
          <w:p>
            <w:pPr>
              <w:widowControl/>
              <w:jc w:val="right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8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538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Times New Roman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kern w:val="0"/>
                <w:szCs w:val="21"/>
              </w:rPr>
              <w:t xml:space="preserve">  永顺县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jc w:val="right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995" w:type="dxa"/>
            <w:vAlign w:val="center"/>
          </w:tcPr>
          <w:p>
            <w:pPr>
              <w:widowControl/>
              <w:jc w:val="right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8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-3.7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2538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Times New Roman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kern w:val="0"/>
                <w:szCs w:val="21"/>
              </w:rPr>
              <w:t xml:space="preserve">  龙山县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jc w:val="right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995" w:type="dxa"/>
            <w:vAlign w:val="center"/>
          </w:tcPr>
          <w:p>
            <w:pPr>
              <w:widowControl/>
              <w:jc w:val="right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8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8.9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538" w:type="dxa"/>
            <w:vAlign w:val="center"/>
          </w:tcPr>
          <w:p>
            <w:pPr>
              <w:widowControl/>
              <w:ind w:firstLine="190" w:firstLineChars="100"/>
              <w:rPr>
                <w:rFonts w:ascii="华文楷体" w:hAnsi="华文楷体" w:eastAsia="华文楷体" w:cs="Times New Roman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spacing w:val="-10"/>
                <w:kern w:val="0"/>
                <w:szCs w:val="21"/>
              </w:rPr>
              <w:t>湘西经开区（不含烟）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jc w:val="right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995" w:type="dxa"/>
            <w:vAlign w:val="center"/>
          </w:tcPr>
          <w:p>
            <w:pPr>
              <w:widowControl/>
              <w:jc w:val="right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8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8.8 </w:t>
            </w:r>
          </w:p>
        </w:tc>
      </w:tr>
    </w:tbl>
    <w:p>
      <w:pPr>
        <w:widowControl/>
        <w:jc w:val="center"/>
        <w:rPr>
          <w:rFonts w:ascii="华文楷体" w:hAnsi="华文楷体" w:eastAsia="华文楷体"/>
          <w:b/>
          <w:sz w:val="28"/>
          <w:szCs w:val="28"/>
        </w:rPr>
      </w:pPr>
      <w:r>
        <w:rPr>
          <w:rFonts w:hint="eastAsia" w:ascii="华文楷体" w:hAnsi="华文楷体" w:eastAsia="华文楷体"/>
          <w:b/>
          <w:sz w:val="28"/>
          <w:szCs w:val="28"/>
        </w:rPr>
        <w:t>规模工业产值及主要产品产量</w:t>
      </w:r>
    </w:p>
    <w:tbl>
      <w:tblPr>
        <w:tblStyle w:val="9"/>
        <w:tblW w:w="5698" w:type="dxa"/>
        <w:tblInd w:w="-147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7"/>
        <w:gridCol w:w="1190"/>
        <w:gridCol w:w="1072"/>
        <w:gridCol w:w="1079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357" w:type="dxa"/>
            <w:vMerge w:val="restart"/>
            <w:tcBorders>
              <w:top w:val="single" w:color="auto" w:sz="12" w:space="0"/>
            </w:tcBorders>
          </w:tcPr>
          <w:p>
            <w:pPr>
              <w:widowControl/>
              <w:jc w:val="left"/>
              <w:rPr>
                <w:rFonts w:ascii="华文楷体" w:hAnsi="华文楷体" w:eastAsia="华文楷体" w:cs="Times New Roman"/>
                <w:b/>
                <w:kern w:val="0"/>
                <w:szCs w:val="21"/>
              </w:rPr>
            </w:pPr>
          </w:p>
        </w:tc>
        <w:tc>
          <w:tcPr>
            <w:tcW w:w="2262" w:type="dxa"/>
            <w:gridSpan w:val="2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Times New Roman"/>
                <w:b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b/>
                <w:kern w:val="0"/>
                <w:szCs w:val="21"/>
              </w:rPr>
              <w:t>绝对额</w:t>
            </w:r>
          </w:p>
        </w:tc>
        <w:tc>
          <w:tcPr>
            <w:tcW w:w="1079" w:type="dxa"/>
            <w:vMerge w:val="restar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Times New Roman"/>
                <w:b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b/>
                <w:kern w:val="0"/>
                <w:szCs w:val="21"/>
              </w:rPr>
              <w:t>累计</w:t>
            </w:r>
          </w:p>
          <w:p>
            <w:pPr>
              <w:widowControl/>
              <w:jc w:val="left"/>
              <w:rPr>
                <w:rFonts w:ascii="华文楷体" w:hAnsi="华文楷体" w:eastAsia="华文楷体" w:cs="Times New Roman"/>
                <w:b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b/>
                <w:kern w:val="0"/>
                <w:szCs w:val="21"/>
              </w:rPr>
              <w:t>增速（%）</w:t>
            </w:r>
          </w:p>
          <w:p>
            <w:pPr>
              <w:widowControl/>
              <w:jc w:val="center"/>
              <w:rPr>
                <w:rFonts w:ascii="华文楷体" w:hAnsi="华文楷体" w:eastAsia="华文楷体" w:cs="Times New Roman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357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rPr>
                <w:rFonts w:ascii="华文楷体" w:hAnsi="华文楷体" w:eastAsia="华文楷体" w:cs="Times New Roman"/>
                <w:b/>
                <w:kern w:val="0"/>
                <w:szCs w:val="21"/>
              </w:rPr>
            </w:pPr>
          </w:p>
        </w:tc>
        <w:tc>
          <w:tcPr>
            <w:tcW w:w="119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Times New Roman"/>
                <w:b/>
                <w:spacing w:val="-10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b/>
                <w:spacing w:val="-1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华文楷体" w:hAnsi="华文楷体" w:eastAsia="华文楷体" w:cs="Times New Roman"/>
                <w:b/>
                <w:spacing w:val="-10"/>
                <w:kern w:val="0"/>
                <w:szCs w:val="21"/>
              </w:rPr>
              <w:t>月</w:t>
            </w:r>
          </w:p>
        </w:tc>
        <w:tc>
          <w:tcPr>
            <w:tcW w:w="107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Times New Roman"/>
                <w:b/>
                <w:spacing w:val="-10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b/>
                <w:spacing w:val="-10"/>
                <w:kern w:val="0"/>
                <w:szCs w:val="21"/>
              </w:rPr>
              <w:t>1—</w:t>
            </w:r>
            <w:r>
              <w:rPr>
                <w:rFonts w:hint="eastAsia" w:ascii="华文楷体" w:hAnsi="华文楷体" w:eastAsia="华文楷体" w:cs="Times New Roman"/>
                <w:b/>
                <w:spacing w:val="-1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华文楷体" w:hAnsi="华文楷体" w:eastAsia="华文楷体" w:cs="Times New Roman"/>
                <w:b/>
                <w:spacing w:val="-10"/>
                <w:kern w:val="0"/>
                <w:szCs w:val="21"/>
              </w:rPr>
              <w:t>月</w:t>
            </w:r>
          </w:p>
        </w:tc>
        <w:tc>
          <w:tcPr>
            <w:tcW w:w="1079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rFonts w:ascii="华文楷体" w:hAnsi="华文楷体" w:eastAsia="华文楷体" w:cs="Times New Roman"/>
                <w:b/>
                <w:spacing w:val="-1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2357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rPr>
                <w:rFonts w:ascii="华文楷体" w:hAnsi="华文楷体" w:eastAsia="华文楷体" w:cs="Times New Roman"/>
                <w:kern w:val="0"/>
                <w:sz w:val="20"/>
                <w:szCs w:val="21"/>
              </w:rPr>
            </w:pPr>
            <w:bookmarkStart w:id="0" w:name="_Hlk54275423"/>
            <w:r>
              <w:rPr>
                <w:rFonts w:hint="eastAsia" w:ascii="华文楷体" w:hAnsi="华文楷体" w:eastAsia="华文楷体" w:cs="Times New Roman"/>
                <w:kern w:val="0"/>
                <w:szCs w:val="21"/>
              </w:rPr>
              <w:t>规模工业产值（万元）</w:t>
            </w:r>
          </w:p>
        </w:tc>
        <w:tc>
          <w:tcPr>
            <w:tcW w:w="1190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17257</w:t>
            </w:r>
          </w:p>
        </w:tc>
        <w:tc>
          <w:tcPr>
            <w:tcW w:w="1071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35268 </w:t>
            </w:r>
          </w:p>
        </w:tc>
        <w:tc>
          <w:tcPr>
            <w:tcW w:w="1079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-26.4 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235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Times New Roman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w w:val="90"/>
                <w:kern w:val="0"/>
                <w:szCs w:val="21"/>
              </w:rPr>
              <w:t>规模工业主要产品产量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071" w:type="dxa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2357" w:type="dxa"/>
            <w:vAlign w:val="center"/>
          </w:tcPr>
          <w:p>
            <w:pPr>
              <w:widowControl/>
              <w:jc w:val="left"/>
              <w:rPr>
                <w:rFonts w:hint="default" w:ascii="华文楷体" w:hAnsi="华文楷体" w:eastAsia="华文楷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 w:cs="Times New Roman"/>
                <w:kern w:val="0"/>
                <w:szCs w:val="21"/>
                <w:lang w:val="en-US" w:eastAsia="zh-CN"/>
              </w:rPr>
              <w:t xml:space="preserve">  锌金属含量（吨）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632.5</w:t>
            </w:r>
          </w:p>
        </w:tc>
        <w:tc>
          <w:tcPr>
            <w:tcW w:w="1071" w:type="dxa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1332.6</w:t>
            </w:r>
          </w:p>
        </w:tc>
        <w:tc>
          <w:tcPr>
            <w:tcW w:w="1079" w:type="dxa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20.7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2357" w:type="dxa"/>
            <w:vAlign w:val="center"/>
          </w:tcPr>
          <w:p>
            <w:pPr>
              <w:widowControl/>
              <w:jc w:val="left"/>
              <w:rPr>
                <w:rFonts w:hint="default" w:ascii="华文楷体" w:hAnsi="华文楷体" w:eastAsia="华文楷体" w:cs="Times New Roman"/>
                <w:w w:val="90"/>
                <w:kern w:val="0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 w:cs="Times New Roman"/>
                <w:w w:val="90"/>
                <w:kern w:val="0"/>
                <w:szCs w:val="21"/>
                <w:lang w:val="en-US" w:eastAsia="zh-CN"/>
              </w:rPr>
              <w:t xml:space="preserve">  锂离子电池（只）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674645</w:t>
            </w:r>
          </w:p>
        </w:tc>
        <w:tc>
          <w:tcPr>
            <w:tcW w:w="1071" w:type="dxa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3147726</w:t>
            </w:r>
          </w:p>
        </w:tc>
        <w:tc>
          <w:tcPr>
            <w:tcW w:w="1079" w:type="dxa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-36.1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2357" w:type="dxa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华文楷体" w:hAnsi="华文楷体" w:eastAsia="华文楷体" w:cs="Times New Roman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kern w:val="0"/>
                <w:szCs w:val="21"/>
              </w:rPr>
              <w:t xml:space="preserve">硫 </w:t>
            </w:r>
            <w:r>
              <w:rPr>
                <w:rFonts w:ascii="华文楷体" w:hAnsi="华文楷体" w:eastAsia="华文楷体" w:cs="Times New Roman"/>
                <w:kern w:val="0"/>
                <w:szCs w:val="21"/>
              </w:rPr>
              <w:t xml:space="preserve"> </w:t>
            </w:r>
            <w:r>
              <w:rPr>
                <w:rFonts w:hint="eastAsia" w:ascii="华文楷体" w:hAnsi="华文楷体" w:eastAsia="华文楷体" w:cs="Times New Roman"/>
                <w:kern w:val="0"/>
                <w:szCs w:val="21"/>
              </w:rPr>
              <w:t>酸（吨）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10933.8</w:t>
            </w:r>
          </w:p>
        </w:tc>
        <w:tc>
          <w:tcPr>
            <w:tcW w:w="1071" w:type="dxa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15069</w:t>
            </w:r>
          </w:p>
        </w:tc>
        <w:tc>
          <w:tcPr>
            <w:tcW w:w="1079" w:type="dxa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-46.5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2357" w:type="dxa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华文楷体" w:hAnsi="华文楷体" w:eastAsia="华文楷体" w:cs="Times New Roman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kern w:val="0"/>
                <w:szCs w:val="21"/>
              </w:rPr>
              <w:t>电解锰（吨）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—</w:t>
            </w:r>
          </w:p>
        </w:tc>
        <w:tc>
          <w:tcPr>
            <w:tcW w:w="1071" w:type="dxa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8</w:t>
            </w:r>
          </w:p>
        </w:tc>
        <w:tc>
          <w:tcPr>
            <w:tcW w:w="1079" w:type="dxa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-4.9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235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Times New Roman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kern w:val="0"/>
                <w:szCs w:val="21"/>
              </w:rPr>
              <w:t xml:space="preserve">  电解锌（吨）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6263.6</w:t>
            </w:r>
          </w:p>
        </w:tc>
        <w:tc>
          <w:tcPr>
            <w:tcW w:w="1071" w:type="dxa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12325.9</w:t>
            </w:r>
          </w:p>
        </w:tc>
        <w:tc>
          <w:tcPr>
            <w:tcW w:w="1079" w:type="dxa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46.2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2357" w:type="dxa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Times New Roman"/>
                <w:spacing w:val="-4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kern w:val="0"/>
                <w:szCs w:val="21"/>
              </w:rPr>
              <w:t xml:space="preserve"> </w:t>
            </w:r>
            <w:r>
              <w:rPr>
                <w:rFonts w:hint="eastAsia" w:ascii="华文楷体" w:hAnsi="华文楷体" w:eastAsia="华文楷体" w:cs="Times New Roman"/>
                <w:spacing w:val="-4"/>
                <w:kern w:val="0"/>
                <w:szCs w:val="21"/>
              </w:rPr>
              <w:t xml:space="preserve"> </w:t>
            </w:r>
            <w:r>
              <w:rPr>
                <w:rFonts w:hint="eastAsia" w:ascii="华文楷体" w:hAnsi="华文楷体" w:eastAsia="华文楷体" w:cs="Times New Roman"/>
                <w:kern w:val="0"/>
                <w:szCs w:val="21"/>
              </w:rPr>
              <w:t>锰矿石（吨）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—</w:t>
            </w:r>
          </w:p>
        </w:tc>
        <w:tc>
          <w:tcPr>
            <w:tcW w:w="1071" w:type="dxa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—</w:t>
            </w:r>
          </w:p>
        </w:tc>
        <w:tc>
          <w:tcPr>
            <w:tcW w:w="1079" w:type="dxa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—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2357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w w:val="80"/>
                <w:kern w:val="0"/>
                <w:sz w:val="20"/>
                <w:szCs w:val="20"/>
              </w:rPr>
            </w:pPr>
            <w:r>
              <w:rPr>
                <w:rFonts w:hint="eastAsia" w:ascii="华文楷体" w:hAnsi="华文楷体" w:eastAsia="华文楷体" w:cs="Times New Roman"/>
                <w:w w:val="80"/>
                <w:kern w:val="0"/>
                <w:szCs w:val="21"/>
              </w:rPr>
              <w:t>规模工业销售产值</w:t>
            </w:r>
            <w:r>
              <w:rPr>
                <w:rFonts w:ascii="华文楷体" w:hAnsi="华文楷体" w:eastAsia="华文楷体" w:cs="Times New Roman"/>
                <w:w w:val="80"/>
                <w:kern w:val="0"/>
                <w:szCs w:val="21"/>
              </w:rPr>
              <w:t xml:space="preserve"> (万元)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16029</w:t>
            </w:r>
          </w:p>
        </w:tc>
        <w:tc>
          <w:tcPr>
            <w:tcW w:w="1071" w:type="dxa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33469 </w:t>
            </w:r>
          </w:p>
        </w:tc>
        <w:tc>
          <w:tcPr>
            <w:tcW w:w="1079" w:type="dxa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-29.2 </w:t>
            </w:r>
          </w:p>
        </w:tc>
      </w:tr>
      <w:bookmarkEnd w:id="0"/>
    </w:tbl>
    <w:p>
      <w:pPr>
        <w:widowControl/>
        <w:jc w:val="center"/>
        <w:rPr>
          <w:rFonts w:ascii="华文楷体" w:hAnsi="华文楷体" w:eastAsia="华文楷体"/>
          <w:b/>
          <w:sz w:val="28"/>
          <w:szCs w:val="28"/>
        </w:rPr>
      </w:pPr>
      <w:r>
        <w:rPr>
          <w:rFonts w:hint="eastAsia" w:ascii="华文楷体" w:hAnsi="华文楷体" w:eastAsia="华文楷体"/>
          <w:b/>
          <w:sz w:val="28"/>
          <w:szCs w:val="28"/>
        </w:rPr>
        <w:t>固定资产投资（一）</w:t>
      </w:r>
    </w:p>
    <w:tbl>
      <w:tblPr>
        <w:tblStyle w:val="20"/>
        <w:tblW w:w="4913" w:type="dxa"/>
        <w:tblInd w:w="-142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8"/>
        <w:gridCol w:w="1228"/>
        <w:gridCol w:w="1217"/>
        <w:gridCol w:w="20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2448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/>
                <w:b/>
                <w:szCs w:val="21"/>
              </w:rPr>
            </w:pPr>
          </w:p>
        </w:tc>
        <w:tc>
          <w:tcPr>
            <w:tcW w:w="2465" w:type="dxa"/>
            <w:gridSpan w:val="3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/>
                <w:b/>
                <w:szCs w:val="21"/>
              </w:rPr>
            </w:pPr>
            <w:r>
              <w:rPr>
                <w:rFonts w:hint="eastAsia" w:ascii="华文楷体" w:hAnsi="华文楷体" w:eastAsia="华文楷体"/>
                <w:b/>
                <w:szCs w:val="21"/>
              </w:rPr>
              <w:t>1—</w:t>
            </w:r>
            <w:r>
              <w:rPr>
                <w:rFonts w:hint="eastAsia" w:ascii="华文楷体" w:hAnsi="华文楷体" w:eastAsia="华文楷体"/>
                <w:b/>
                <w:szCs w:val="21"/>
                <w:lang w:val="en-US" w:eastAsia="zh-CN"/>
              </w:rPr>
              <w:t>2</w:t>
            </w:r>
            <w:r>
              <w:rPr>
                <w:rFonts w:hint="eastAsia" w:ascii="华文楷体" w:hAnsi="华文楷体" w:eastAsia="华文楷体"/>
                <w:b/>
                <w:szCs w:val="21"/>
              </w:rPr>
              <w:t>月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244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/>
                <w:b/>
                <w:szCs w:val="21"/>
              </w:rPr>
            </w:pPr>
          </w:p>
        </w:tc>
        <w:tc>
          <w:tcPr>
            <w:tcW w:w="122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ind w:firstLine="210" w:firstLineChars="100"/>
              <w:rPr>
                <w:rFonts w:ascii="华文楷体" w:hAnsi="华文楷体" w:eastAsia="华文楷体"/>
                <w:b/>
                <w:szCs w:val="21"/>
              </w:rPr>
            </w:pPr>
            <w:r>
              <w:rPr>
                <w:rFonts w:hint="eastAsia" w:ascii="华文楷体" w:hAnsi="华文楷体" w:eastAsia="华文楷体"/>
                <w:b/>
                <w:szCs w:val="21"/>
              </w:rPr>
              <w:t>绝对额</w:t>
            </w:r>
          </w:p>
        </w:tc>
        <w:tc>
          <w:tcPr>
            <w:tcW w:w="123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/>
                <w:b/>
                <w:szCs w:val="21"/>
              </w:rPr>
            </w:pPr>
            <w:r>
              <w:rPr>
                <w:rFonts w:hint="eastAsia" w:ascii="华文楷体" w:hAnsi="华文楷体" w:eastAsia="华文楷体"/>
                <w:b/>
                <w:szCs w:val="21"/>
              </w:rPr>
              <w:t>增速(%)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415" w:hRule="atLeast"/>
        </w:trPr>
        <w:tc>
          <w:tcPr>
            <w:tcW w:w="2448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固定资产投资(万元)</w:t>
            </w:r>
          </w:p>
        </w:tc>
        <w:tc>
          <w:tcPr>
            <w:tcW w:w="1228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ind w:right="270"/>
              <w:jc w:val="right"/>
              <w:rPr>
                <w:rFonts w:hint="default" w:ascii="宋体" w:hAnsi="宋体" w:eastAsia="宋体" w:cs="宋体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—</w:t>
            </w:r>
          </w:p>
        </w:tc>
        <w:tc>
          <w:tcPr>
            <w:tcW w:w="1217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ind w:right="270"/>
              <w:jc w:val="right"/>
              <w:rPr>
                <w:rFonts w:hint="default" w:ascii="宋体" w:hAnsi="宋体" w:eastAsia="宋体" w:cs="宋体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14.2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401" w:hRule="atLeast"/>
        </w:trPr>
        <w:tc>
          <w:tcPr>
            <w:tcW w:w="2448" w:type="dxa"/>
            <w:vAlign w:val="center"/>
          </w:tcPr>
          <w:p>
            <w:pPr>
              <w:widowControl/>
              <w:ind w:firstLine="210" w:firstLineChars="100"/>
              <w:rPr>
                <w:rFonts w:ascii="华文楷体" w:hAnsi="华文楷体" w:eastAsia="华文楷体"/>
                <w:szCs w:val="21"/>
              </w:rPr>
            </w:pPr>
            <w:r>
              <w:rPr>
                <w:rFonts w:hint="eastAsia" w:ascii="华文楷体" w:hAnsi="华文楷体" w:eastAsia="华文楷体"/>
                <w:szCs w:val="21"/>
              </w:rPr>
              <w:t>按经济类型分：</w:t>
            </w:r>
          </w:p>
        </w:tc>
        <w:tc>
          <w:tcPr>
            <w:tcW w:w="1228" w:type="dxa"/>
            <w:shd w:val="clear" w:color="auto" w:fill="auto"/>
            <w:vAlign w:val="center"/>
          </w:tcPr>
          <w:p>
            <w:pPr>
              <w:ind w:right="270"/>
              <w:jc w:val="right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ind w:right="270"/>
              <w:jc w:val="right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415" w:hRule="atLeast"/>
        </w:trPr>
        <w:tc>
          <w:tcPr>
            <w:tcW w:w="2448" w:type="dxa"/>
            <w:vAlign w:val="center"/>
          </w:tcPr>
          <w:p>
            <w:pPr>
              <w:widowControl/>
              <w:ind w:firstLine="420" w:firstLineChars="200"/>
              <w:rPr>
                <w:rFonts w:ascii="华文楷体" w:hAnsi="华文楷体" w:eastAsia="华文楷体"/>
                <w:szCs w:val="21"/>
              </w:rPr>
            </w:pPr>
            <w:r>
              <w:rPr>
                <w:rFonts w:hint="eastAsia" w:ascii="华文楷体" w:hAnsi="华文楷体" w:eastAsia="华文楷体"/>
                <w:szCs w:val="21"/>
              </w:rPr>
              <w:t>国有投资</w:t>
            </w:r>
          </w:p>
        </w:tc>
        <w:tc>
          <w:tcPr>
            <w:tcW w:w="1228" w:type="dxa"/>
            <w:shd w:val="clear" w:color="auto" w:fill="auto"/>
            <w:vAlign w:val="center"/>
          </w:tcPr>
          <w:p>
            <w:pPr>
              <w:ind w:right="270"/>
              <w:jc w:val="right"/>
              <w:rPr>
                <w:rFonts w:hint="default" w:ascii="宋体" w:hAnsi="宋体" w:eastAsia="宋体" w:cs="宋体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—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ind w:right="270"/>
              <w:jc w:val="right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-29.4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415" w:hRule="atLeast"/>
        </w:trPr>
        <w:tc>
          <w:tcPr>
            <w:tcW w:w="2448" w:type="dxa"/>
            <w:vAlign w:val="center"/>
          </w:tcPr>
          <w:p>
            <w:pPr>
              <w:widowControl/>
              <w:ind w:firstLine="420" w:firstLineChars="200"/>
              <w:rPr>
                <w:rFonts w:ascii="华文楷体" w:hAnsi="华文楷体" w:eastAsia="华文楷体"/>
                <w:szCs w:val="21"/>
              </w:rPr>
            </w:pPr>
            <w:r>
              <w:rPr>
                <w:rFonts w:hint="eastAsia" w:ascii="华文楷体" w:hAnsi="华文楷体" w:eastAsia="华文楷体"/>
                <w:szCs w:val="21"/>
              </w:rPr>
              <w:t>非国有投资</w:t>
            </w:r>
          </w:p>
        </w:tc>
        <w:tc>
          <w:tcPr>
            <w:tcW w:w="1228" w:type="dxa"/>
            <w:shd w:val="clear" w:color="auto" w:fill="auto"/>
            <w:vAlign w:val="center"/>
          </w:tcPr>
          <w:p>
            <w:pPr>
              <w:ind w:right="270"/>
              <w:jc w:val="right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—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ind w:right="270"/>
              <w:jc w:val="right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59.6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401" w:hRule="atLeast"/>
        </w:trPr>
        <w:tc>
          <w:tcPr>
            <w:tcW w:w="2448" w:type="dxa"/>
            <w:vAlign w:val="center"/>
          </w:tcPr>
          <w:p>
            <w:pPr>
              <w:widowControl/>
              <w:ind w:firstLine="840" w:firstLineChars="400"/>
              <w:rPr>
                <w:rFonts w:ascii="华文楷体" w:hAnsi="华文楷体" w:eastAsia="华文楷体"/>
                <w:szCs w:val="21"/>
              </w:rPr>
            </w:pPr>
            <w:r>
              <w:rPr>
                <w:rFonts w:hint="eastAsia" w:ascii="华文楷体" w:hAnsi="华文楷体" w:eastAsia="华文楷体"/>
                <w:szCs w:val="21"/>
              </w:rPr>
              <w:t>其中：民间投资</w:t>
            </w:r>
          </w:p>
        </w:tc>
        <w:tc>
          <w:tcPr>
            <w:tcW w:w="1228" w:type="dxa"/>
            <w:shd w:val="clear" w:color="auto" w:fill="auto"/>
            <w:vAlign w:val="center"/>
          </w:tcPr>
          <w:p>
            <w:pPr>
              <w:ind w:right="270"/>
              <w:jc w:val="right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—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ind w:right="270"/>
              <w:jc w:val="right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20.6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415" w:hRule="atLeast"/>
        </w:trPr>
        <w:tc>
          <w:tcPr>
            <w:tcW w:w="2448" w:type="dxa"/>
            <w:vAlign w:val="center"/>
          </w:tcPr>
          <w:p>
            <w:pPr>
              <w:widowControl/>
              <w:ind w:firstLine="210" w:firstLineChars="100"/>
              <w:rPr>
                <w:rFonts w:ascii="华文楷体" w:hAnsi="华文楷体" w:eastAsia="华文楷体"/>
                <w:szCs w:val="21"/>
              </w:rPr>
            </w:pPr>
            <w:r>
              <w:rPr>
                <w:rFonts w:hint="eastAsia" w:ascii="华文楷体" w:hAnsi="华文楷体" w:eastAsia="华文楷体"/>
                <w:szCs w:val="21"/>
              </w:rPr>
              <w:t>按产业分：</w:t>
            </w:r>
          </w:p>
        </w:tc>
        <w:tc>
          <w:tcPr>
            <w:tcW w:w="1228" w:type="dxa"/>
            <w:shd w:val="clear" w:color="auto" w:fill="auto"/>
            <w:vAlign w:val="center"/>
          </w:tcPr>
          <w:p>
            <w:pPr>
              <w:ind w:right="270"/>
              <w:jc w:val="right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ind w:right="270"/>
              <w:jc w:val="right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401" w:hRule="atLeast"/>
        </w:trPr>
        <w:tc>
          <w:tcPr>
            <w:tcW w:w="2448" w:type="dxa"/>
            <w:vAlign w:val="center"/>
          </w:tcPr>
          <w:p>
            <w:pPr>
              <w:widowControl/>
              <w:ind w:firstLine="420" w:firstLineChars="200"/>
              <w:rPr>
                <w:rFonts w:ascii="华文楷体" w:hAnsi="华文楷体" w:eastAsia="华文楷体"/>
                <w:szCs w:val="21"/>
              </w:rPr>
            </w:pPr>
            <w:r>
              <w:rPr>
                <w:rFonts w:hint="eastAsia" w:ascii="华文楷体" w:hAnsi="华文楷体" w:eastAsia="华文楷体"/>
                <w:szCs w:val="21"/>
              </w:rPr>
              <w:t>第一产业</w:t>
            </w:r>
          </w:p>
        </w:tc>
        <w:tc>
          <w:tcPr>
            <w:tcW w:w="1228" w:type="dxa"/>
            <w:shd w:val="clear" w:color="auto" w:fill="auto"/>
            <w:vAlign w:val="center"/>
          </w:tcPr>
          <w:p>
            <w:pPr>
              <w:ind w:right="270"/>
              <w:jc w:val="right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—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ind w:right="270"/>
              <w:jc w:val="right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-38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415" w:hRule="atLeast"/>
        </w:trPr>
        <w:tc>
          <w:tcPr>
            <w:tcW w:w="2448" w:type="dxa"/>
            <w:vAlign w:val="center"/>
          </w:tcPr>
          <w:p>
            <w:pPr>
              <w:widowControl/>
              <w:ind w:firstLine="420" w:firstLineChars="200"/>
              <w:rPr>
                <w:rFonts w:ascii="华文楷体" w:hAnsi="华文楷体" w:eastAsia="华文楷体"/>
                <w:szCs w:val="21"/>
              </w:rPr>
            </w:pPr>
            <w:r>
              <w:rPr>
                <w:rFonts w:hint="eastAsia" w:ascii="华文楷体" w:hAnsi="华文楷体" w:eastAsia="华文楷体"/>
                <w:szCs w:val="21"/>
              </w:rPr>
              <w:t>第二产业</w:t>
            </w:r>
          </w:p>
        </w:tc>
        <w:tc>
          <w:tcPr>
            <w:tcW w:w="1228" w:type="dxa"/>
            <w:shd w:val="clear" w:color="auto" w:fill="auto"/>
            <w:vAlign w:val="center"/>
          </w:tcPr>
          <w:p>
            <w:pPr>
              <w:ind w:right="270"/>
              <w:jc w:val="right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—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ind w:right="270"/>
              <w:jc w:val="right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26.9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415" w:hRule="atLeast"/>
        </w:trPr>
        <w:tc>
          <w:tcPr>
            <w:tcW w:w="2448" w:type="dxa"/>
            <w:vAlign w:val="center"/>
          </w:tcPr>
          <w:p>
            <w:pPr>
              <w:widowControl/>
              <w:ind w:firstLine="420" w:firstLineChars="200"/>
              <w:rPr>
                <w:rFonts w:ascii="华文楷体" w:hAnsi="华文楷体" w:eastAsia="华文楷体"/>
                <w:szCs w:val="21"/>
              </w:rPr>
            </w:pPr>
            <w:r>
              <w:rPr>
                <w:rFonts w:hint="eastAsia" w:ascii="华文楷体" w:hAnsi="华文楷体" w:eastAsia="华文楷体"/>
                <w:szCs w:val="21"/>
              </w:rPr>
              <w:t>第三产业</w:t>
            </w:r>
          </w:p>
        </w:tc>
        <w:tc>
          <w:tcPr>
            <w:tcW w:w="1228" w:type="dxa"/>
            <w:shd w:val="clear" w:color="auto" w:fill="auto"/>
            <w:vAlign w:val="center"/>
          </w:tcPr>
          <w:p>
            <w:pPr>
              <w:ind w:right="270"/>
              <w:jc w:val="right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—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ind w:right="270"/>
              <w:jc w:val="right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15.3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415" w:hRule="atLeast"/>
        </w:trPr>
        <w:tc>
          <w:tcPr>
            <w:tcW w:w="2448" w:type="dxa"/>
            <w:vAlign w:val="center"/>
          </w:tcPr>
          <w:p>
            <w:pPr>
              <w:widowControl/>
              <w:ind w:firstLine="210" w:firstLineChars="100"/>
              <w:rPr>
                <w:rFonts w:ascii="华文楷体" w:hAnsi="华文楷体" w:eastAsia="华文楷体"/>
                <w:szCs w:val="21"/>
              </w:rPr>
            </w:pPr>
            <w:r>
              <w:rPr>
                <w:rFonts w:hint="eastAsia" w:ascii="华文楷体" w:hAnsi="华文楷体" w:eastAsia="华文楷体"/>
                <w:szCs w:val="21"/>
              </w:rPr>
              <w:t>按投资方向分：</w:t>
            </w:r>
          </w:p>
        </w:tc>
        <w:tc>
          <w:tcPr>
            <w:tcW w:w="1228" w:type="dxa"/>
            <w:shd w:val="clear" w:color="auto" w:fill="auto"/>
            <w:vAlign w:val="center"/>
          </w:tcPr>
          <w:p>
            <w:pPr>
              <w:ind w:right="270"/>
              <w:jc w:val="right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ind w:right="270"/>
              <w:jc w:val="right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401" w:hRule="atLeast"/>
        </w:trPr>
        <w:tc>
          <w:tcPr>
            <w:tcW w:w="2448" w:type="dxa"/>
            <w:vAlign w:val="center"/>
          </w:tcPr>
          <w:p>
            <w:pPr>
              <w:widowControl/>
              <w:ind w:firstLine="420" w:firstLineChars="200"/>
              <w:rPr>
                <w:rFonts w:ascii="华文楷体" w:hAnsi="华文楷体" w:eastAsia="华文楷体"/>
                <w:szCs w:val="21"/>
              </w:rPr>
            </w:pPr>
            <w:r>
              <w:rPr>
                <w:rFonts w:hint="eastAsia" w:ascii="华文楷体" w:hAnsi="华文楷体" w:eastAsia="华文楷体"/>
                <w:szCs w:val="21"/>
              </w:rPr>
              <w:t>涉农投资</w:t>
            </w:r>
          </w:p>
        </w:tc>
        <w:tc>
          <w:tcPr>
            <w:tcW w:w="1228" w:type="dxa"/>
            <w:shd w:val="clear" w:color="auto" w:fill="auto"/>
            <w:vAlign w:val="center"/>
          </w:tcPr>
          <w:p>
            <w:pPr>
              <w:ind w:right="270"/>
              <w:jc w:val="right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—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ind w:right="270"/>
              <w:jc w:val="right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-23.5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415" w:hRule="atLeast"/>
        </w:trPr>
        <w:tc>
          <w:tcPr>
            <w:tcW w:w="2448" w:type="dxa"/>
            <w:vAlign w:val="center"/>
          </w:tcPr>
          <w:p>
            <w:pPr>
              <w:widowControl/>
              <w:ind w:firstLine="420" w:firstLineChars="200"/>
              <w:rPr>
                <w:rFonts w:ascii="华文楷体" w:hAnsi="华文楷体" w:eastAsia="华文楷体"/>
                <w:szCs w:val="21"/>
              </w:rPr>
            </w:pPr>
            <w:r>
              <w:rPr>
                <w:rFonts w:hint="eastAsia" w:ascii="华文楷体" w:hAnsi="华文楷体" w:eastAsia="华文楷体"/>
                <w:szCs w:val="21"/>
              </w:rPr>
              <w:t>工业投资</w:t>
            </w:r>
          </w:p>
        </w:tc>
        <w:tc>
          <w:tcPr>
            <w:tcW w:w="1228" w:type="dxa"/>
            <w:shd w:val="clear" w:color="auto" w:fill="auto"/>
            <w:vAlign w:val="center"/>
          </w:tcPr>
          <w:p>
            <w:pPr>
              <w:ind w:right="270"/>
              <w:jc w:val="right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—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ind w:right="270"/>
              <w:jc w:val="right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26.9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415" w:hRule="atLeast"/>
        </w:trPr>
        <w:tc>
          <w:tcPr>
            <w:tcW w:w="2448" w:type="dxa"/>
            <w:vAlign w:val="center"/>
          </w:tcPr>
          <w:p>
            <w:pPr>
              <w:widowControl/>
              <w:ind w:firstLine="630" w:firstLineChars="300"/>
              <w:rPr>
                <w:rFonts w:ascii="华文楷体" w:hAnsi="华文楷体" w:eastAsia="华文楷体"/>
                <w:szCs w:val="21"/>
              </w:rPr>
            </w:pPr>
            <w:r>
              <w:rPr>
                <w:rFonts w:hint="eastAsia" w:ascii="华文楷体" w:hAnsi="华文楷体" w:eastAsia="华文楷体"/>
                <w:szCs w:val="21"/>
              </w:rPr>
              <w:t>其中：技改投资</w:t>
            </w:r>
          </w:p>
        </w:tc>
        <w:tc>
          <w:tcPr>
            <w:tcW w:w="1228" w:type="dxa"/>
            <w:shd w:val="clear" w:color="auto" w:fill="auto"/>
            <w:vAlign w:val="center"/>
          </w:tcPr>
          <w:p>
            <w:pPr>
              <w:ind w:right="270"/>
              <w:jc w:val="right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—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ind w:right="270"/>
              <w:jc w:val="right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415" w:hRule="atLeast"/>
        </w:trPr>
        <w:tc>
          <w:tcPr>
            <w:tcW w:w="2448" w:type="dxa"/>
            <w:vAlign w:val="center"/>
          </w:tcPr>
          <w:p>
            <w:pPr>
              <w:widowControl/>
              <w:ind w:firstLine="420" w:firstLineChars="200"/>
              <w:rPr>
                <w:rFonts w:ascii="华文楷体" w:hAnsi="华文楷体" w:eastAsia="华文楷体"/>
                <w:szCs w:val="21"/>
              </w:rPr>
            </w:pPr>
            <w:r>
              <w:rPr>
                <w:rFonts w:hint="eastAsia" w:ascii="华文楷体" w:hAnsi="华文楷体" w:eastAsia="华文楷体"/>
                <w:szCs w:val="21"/>
              </w:rPr>
              <w:t>高新技术产业投资</w:t>
            </w:r>
          </w:p>
        </w:tc>
        <w:tc>
          <w:tcPr>
            <w:tcW w:w="1228" w:type="dxa"/>
            <w:shd w:val="clear" w:color="auto" w:fill="auto"/>
            <w:vAlign w:val="center"/>
          </w:tcPr>
          <w:p>
            <w:pPr>
              <w:ind w:right="270"/>
              <w:jc w:val="right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—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ind w:right="270"/>
              <w:jc w:val="right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272.6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415" w:hRule="atLeast"/>
        </w:trPr>
        <w:tc>
          <w:tcPr>
            <w:tcW w:w="2448" w:type="dxa"/>
            <w:vAlign w:val="center"/>
          </w:tcPr>
          <w:p>
            <w:pPr>
              <w:widowControl/>
              <w:ind w:firstLine="420" w:firstLineChars="200"/>
              <w:rPr>
                <w:rFonts w:ascii="华文楷体" w:hAnsi="华文楷体" w:eastAsia="华文楷体"/>
                <w:szCs w:val="21"/>
              </w:rPr>
            </w:pPr>
            <w:r>
              <w:rPr>
                <w:rFonts w:hint="eastAsia" w:ascii="华文楷体" w:hAnsi="华文楷体" w:eastAsia="华文楷体"/>
                <w:szCs w:val="21"/>
              </w:rPr>
              <w:t>民生投资</w:t>
            </w:r>
          </w:p>
        </w:tc>
        <w:tc>
          <w:tcPr>
            <w:tcW w:w="1228" w:type="dxa"/>
            <w:shd w:val="clear" w:color="auto" w:fill="auto"/>
            <w:vAlign w:val="center"/>
          </w:tcPr>
          <w:p>
            <w:pPr>
              <w:ind w:right="270"/>
              <w:jc w:val="right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—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ind w:right="270"/>
              <w:jc w:val="right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13.8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415" w:hRule="atLeast"/>
        </w:trPr>
        <w:tc>
          <w:tcPr>
            <w:tcW w:w="2448" w:type="dxa"/>
            <w:tcBorders>
              <w:bottom w:val="nil"/>
            </w:tcBorders>
            <w:vAlign w:val="center"/>
          </w:tcPr>
          <w:p>
            <w:pPr>
              <w:widowControl/>
              <w:rPr>
                <w:rFonts w:ascii="华文楷体" w:hAnsi="华文楷体" w:eastAsia="华文楷体"/>
                <w:szCs w:val="21"/>
              </w:rPr>
            </w:pPr>
            <w:r>
              <w:rPr>
                <w:rFonts w:hint="eastAsia" w:ascii="华文楷体" w:hAnsi="华文楷体" w:eastAsia="华文楷体"/>
                <w:szCs w:val="21"/>
              </w:rPr>
              <w:t xml:space="preserve"> </w:t>
            </w:r>
            <w:r>
              <w:rPr>
                <w:rFonts w:ascii="华文楷体" w:hAnsi="华文楷体" w:eastAsia="华文楷体"/>
                <w:szCs w:val="21"/>
              </w:rPr>
              <w:t xml:space="preserve">   </w:t>
            </w:r>
            <w:r>
              <w:rPr>
                <w:rFonts w:hint="eastAsia" w:ascii="华文楷体" w:hAnsi="华文楷体" w:eastAsia="华文楷体"/>
                <w:szCs w:val="21"/>
              </w:rPr>
              <w:t>生态投资</w:t>
            </w:r>
          </w:p>
        </w:tc>
        <w:tc>
          <w:tcPr>
            <w:tcW w:w="1228" w:type="dxa"/>
            <w:shd w:val="clear" w:color="auto" w:fill="auto"/>
            <w:vAlign w:val="center"/>
          </w:tcPr>
          <w:p>
            <w:pPr>
              <w:ind w:right="270"/>
              <w:jc w:val="right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—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ind w:right="270"/>
              <w:jc w:val="right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310.4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401" w:hRule="atLeast"/>
        </w:trPr>
        <w:tc>
          <w:tcPr>
            <w:tcW w:w="2448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rPr>
                <w:rFonts w:ascii="华文楷体" w:hAnsi="华文楷体" w:eastAsia="华文楷体"/>
                <w:szCs w:val="21"/>
              </w:rPr>
            </w:pPr>
            <w:r>
              <w:rPr>
                <w:rFonts w:hint="eastAsia" w:ascii="华文楷体" w:hAnsi="华文楷体" w:eastAsia="华文楷体"/>
                <w:szCs w:val="21"/>
              </w:rPr>
              <w:t xml:space="preserve"> </w:t>
            </w:r>
            <w:r>
              <w:rPr>
                <w:rFonts w:ascii="华文楷体" w:hAnsi="华文楷体" w:eastAsia="华文楷体"/>
                <w:szCs w:val="21"/>
              </w:rPr>
              <w:t xml:space="preserve">   </w:t>
            </w:r>
            <w:r>
              <w:rPr>
                <w:rFonts w:hint="eastAsia" w:ascii="华文楷体" w:hAnsi="华文楷体" w:eastAsia="华文楷体"/>
                <w:szCs w:val="21"/>
              </w:rPr>
              <w:t>基础设施</w:t>
            </w:r>
          </w:p>
        </w:tc>
        <w:tc>
          <w:tcPr>
            <w:tcW w:w="1228" w:type="dxa"/>
            <w:tcBorders>
              <w:bottom w:val="nil"/>
            </w:tcBorders>
            <w:shd w:val="clear" w:color="auto" w:fill="auto"/>
            <w:vAlign w:val="center"/>
          </w:tcPr>
          <w:p>
            <w:pPr>
              <w:ind w:right="270"/>
              <w:jc w:val="right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—</w:t>
            </w:r>
          </w:p>
        </w:tc>
        <w:tc>
          <w:tcPr>
            <w:tcW w:w="1217" w:type="dxa"/>
            <w:tcBorders>
              <w:bottom w:val="nil"/>
            </w:tcBorders>
            <w:shd w:val="clear" w:color="auto" w:fill="auto"/>
            <w:vAlign w:val="center"/>
          </w:tcPr>
          <w:p>
            <w:pPr>
              <w:ind w:right="270"/>
              <w:jc w:val="right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20.5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415" w:hRule="atLeast"/>
        </w:trPr>
        <w:tc>
          <w:tcPr>
            <w:tcW w:w="2448" w:type="dxa"/>
            <w:tcBorders>
              <w:top w:val="nil"/>
              <w:bottom w:val="single" w:color="auto" w:sz="12" w:space="0"/>
            </w:tcBorders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华文楷体" w:hAnsi="华文楷体" w:eastAsia="华文楷体"/>
                <w:szCs w:val="21"/>
              </w:rPr>
            </w:pPr>
            <w:r>
              <w:rPr>
                <w:rFonts w:hint="eastAsia" w:ascii="华文楷体" w:hAnsi="华文楷体" w:eastAsia="华文楷体"/>
                <w:szCs w:val="21"/>
              </w:rPr>
              <w:t>房地产开发投资</w:t>
            </w:r>
          </w:p>
        </w:tc>
        <w:tc>
          <w:tcPr>
            <w:tcW w:w="1228" w:type="dxa"/>
            <w:tcBorders>
              <w:top w:val="nil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ind w:right="270"/>
              <w:jc w:val="right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—</w:t>
            </w:r>
          </w:p>
        </w:tc>
        <w:tc>
          <w:tcPr>
            <w:tcW w:w="1217" w:type="dxa"/>
            <w:tcBorders>
              <w:top w:val="nil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ind w:right="270"/>
              <w:jc w:val="right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43.6</w:t>
            </w:r>
          </w:p>
        </w:tc>
      </w:tr>
    </w:tbl>
    <w:p>
      <w:pPr>
        <w:widowControl/>
        <w:jc w:val="center"/>
        <w:rPr>
          <w:rFonts w:ascii="华文楷体" w:hAnsi="华文楷体" w:eastAsia="华文楷体"/>
          <w:b/>
          <w:sz w:val="28"/>
          <w:szCs w:val="28"/>
        </w:rPr>
      </w:pPr>
      <w:r>
        <w:rPr>
          <w:rFonts w:hint="eastAsia" w:ascii="华文楷体" w:hAnsi="华文楷体" w:eastAsia="华文楷体"/>
          <w:b/>
          <w:sz w:val="28"/>
          <w:szCs w:val="28"/>
        </w:rPr>
        <w:t>固定资产投资（二）</w:t>
      </w:r>
    </w:p>
    <w:tbl>
      <w:tblPr>
        <w:tblStyle w:val="9"/>
        <w:tblW w:w="5429" w:type="dxa"/>
        <w:tblInd w:w="-142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7"/>
        <w:gridCol w:w="1342"/>
        <w:gridCol w:w="1389"/>
        <w:gridCol w:w="11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2687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Times New Roman"/>
                <w:b/>
                <w:kern w:val="0"/>
                <w:szCs w:val="21"/>
              </w:rPr>
            </w:pPr>
          </w:p>
        </w:tc>
        <w:tc>
          <w:tcPr>
            <w:tcW w:w="2742" w:type="dxa"/>
            <w:gridSpan w:val="3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Times New Roman"/>
                <w:b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b/>
                <w:kern w:val="0"/>
                <w:szCs w:val="21"/>
              </w:rPr>
              <w:t>1—</w:t>
            </w:r>
            <w:r>
              <w:rPr>
                <w:rFonts w:hint="eastAsia" w:ascii="华文楷体" w:hAnsi="华文楷体" w:eastAsia="华文楷体" w:cs="Times New Roman"/>
                <w:b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华文楷体" w:hAnsi="华文楷体" w:eastAsia="华文楷体" w:cs="Times New Roman"/>
                <w:b/>
                <w:kern w:val="0"/>
                <w:szCs w:val="21"/>
              </w:rPr>
              <w:t>月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6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134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Times New Roman"/>
                <w:b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b/>
                <w:kern w:val="0"/>
                <w:szCs w:val="21"/>
              </w:rPr>
              <w:t>绝对额</w:t>
            </w: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Times New Roman"/>
                <w:b/>
                <w:kern w:val="0"/>
                <w:sz w:val="20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b/>
                <w:kern w:val="0"/>
                <w:szCs w:val="21"/>
              </w:rPr>
              <w:t>增速(%)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633" w:hRule="atLeast"/>
        </w:trPr>
        <w:tc>
          <w:tcPr>
            <w:tcW w:w="2687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rPr>
                <w:rFonts w:ascii="华文楷体" w:hAnsi="华文楷体" w:eastAsia="华文楷体" w:cs="Times New Roman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kern w:val="0"/>
                <w:szCs w:val="21"/>
              </w:rPr>
              <w:t>施工房屋面积（平方米）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ind w:right="270"/>
              <w:jc w:val="right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642070</w:t>
            </w: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ind w:right="270"/>
              <w:jc w:val="right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608" w:hRule="atLeast"/>
        </w:trPr>
        <w:tc>
          <w:tcPr>
            <w:tcW w:w="2687" w:type="dxa"/>
            <w:vAlign w:val="center"/>
          </w:tcPr>
          <w:p>
            <w:pPr>
              <w:widowControl/>
              <w:rPr>
                <w:rFonts w:ascii="华文楷体" w:hAnsi="华文楷体" w:eastAsia="华文楷体" w:cs="Times New Roman"/>
                <w:spacing w:val="-6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spacing w:val="-6"/>
                <w:kern w:val="0"/>
                <w:szCs w:val="21"/>
              </w:rPr>
              <w:t>商品房销售面积（平方米）</w:t>
            </w:r>
          </w:p>
        </w:tc>
        <w:tc>
          <w:tcPr>
            <w:tcW w:w="1342" w:type="dxa"/>
            <w:shd w:val="clear" w:color="auto" w:fill="auto"/>
            <w:vAlign w:val="center"/>
          </w:tcPr>
          <w:p>
            <w:pPr>
              <w:ind w:right="270"/>
              <w:jc w:val="right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9695</w:t>
            </w: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ind w:right="270"/>
              <w:jc w:val="right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-68.2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633" w:hRule="atLeast"/>
        </w:trPr>
        <w:tc>
          <w:tcPr>
            <w:tcW w:w="2687" w:type="dxa"/>
            <w:vAlign w:val="center"/>
          </w:tcPr>
          <w:p>
            <w:pPr>
              <w:widowControl/>
              <w:rPr>
                <w:rFonts w:ascii="华文楷体" w:hAnsi="华文楷体" w:eastAsia="华文楷体" w:cs="Times New Roman"/>
                <w:b/>
                <w:spacing w:val="-20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b/>
                <w:spacing w:val="-20"/>
                <w:kern w:val="0"/>
                <w:szCs w:val="21"/>
              </w:rPr>
              <w:t>其他县市固定资产投资（万元）</w:t>
            </w:r>
          </w:p>
        </w:tc>
        <w:tc>
          <w:tcPr>
            <w:tcW w:w="1342" w:type="dxa"/>
            <w:vAlign w:val="center"/>
          </w:tcPr>
          <w:p>
            <w:pPr>
              <w:ind w:right="270" w:firstLine="105" w:firstLineChars="5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389" w:type="dxa"/>
            <w:vAlign w:val="center"/>
          </w:tcPr>
          <w:p>
            <w:pPr>
              <w:ind w:right="270"/>
              <w:jc w:val="righ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633" w:hRule="atLeast"/>
        </w:trPr>
        <w:tc>
          <w:tcPr>
            <w:tcW w:w="2687" w:type="dxa"/>
            <w:vAlign w:val="center"/>
          </w:tcPr>
          <w:p>
            <w:pPr>
              <w:widowControl/>
              <w:ind w:firstLine="315" w:firstLineChars="150"/>
              <w:rPr>
                <w:rFonts w:ascii="华文楷体" w:hAnsi="华文楷体" w:eastAsia="华文楷体" w:cs="Times New Roman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kern w:val="0"/>
                <w:szCs w:val="21"/>
              </w:rPr>
              <w:t>湘西州</w:t>
            </w:r>
          </w:p>
        </w:tc>
        <w:tc>
          <w:tcPr>
            <w:tcW w:w="1342" w:type="dxa"/>
            <w:vAlign w:val="center"/>
          </w:tcPr>
          <w:p>
            <w:pPr>
              <w:ind w:right="270" w:firstLine="105" w:firstLineChars="5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—</w:t>
            </w:r>
          </w:p>
        </w:tc>
        <w:tc>
          <w:tcPr>
            <w:tcW w:w="1389" w:type="dxa"/>
            <w:vAlign w:val="center"/>
          </w:tcPr>
          <w:p>
            <w:pPr>
              <w:ind w:right="270"/>
              <w:jc w:val="right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-1.9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608" w:hRule="atLeast"/>
        </w:trPr>
        <w:tc>
          <w:tcPr>
            <w:tcW w:w="2687" w:type="dxa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Times New Roman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kern w:val="0"/>
                <w:szCs w:val="21"/>
              </w:rPr>
              <w:t>吉首市（含</w:t>
            </w:r>
            <w:r>
              <w:rPr>
                <w:rFonts w:ascii="华文楷体" w:hAnsi="华文楷体" w:eastAsia="华文楷体" w:cs="Times New Roman"/>
                <w:kern w:val="0"/>
                <w:szCs w:val="21"/>
              </w:rPr>
              <w:t>经开区</w:t>
            </w:r>
            <w:r>
              <w:rPr>
                <w:rFonts w:hint="eastAsia" w:ascii="华文楷体" w:hAnsi="华文楷体" w:eastAsia="华文楷体" w:cs="Times New Roman"/>
                <w:kern w:val="0"/>
                <w:szCs w:val="21"/>
              </w:rPr>
              <w:t>）</w:t>
            </w:r>
          </w:p>
        </w:tc>
        <w:tc>
          <w:tcPr>
            <w:tcW w:w="1342" w:type="dxa"/>
            <w:vAlign w:val="center"/>
          </w:tcPr>
          <w:p>
            <w:pPr>
              <w:ind w:right="270" w:firstLine="105" w:firstLineChars="5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—</w:t>
            </w:r>
          </w:p>
        </w:tc>
        <w:tc>
          <w:tcPr>
            <w:tcW w:w="1389" w:type="dxa"/>
            <w:vAlign w:val="center"/>
          </w:tcPr>
          <w:p>
            <w:pPr>
              <w:ind w:right="270"/>
              <w:jc w:val="right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633" w:hRule="atLeast"/>
        </w:trPr>
        <w:tc>
          <w:tcPr>
            <w:tcW w:w="2687" w:type="dxa"/>
            <w:vAlign w:val="center"/>
          </w:tcPr>
          <w:p>
            <w:pPr>
              <w:widowControl/>
              <w:ind w:firstLine="315" w:firstLineChars="150"/>
              <w:rPr>
                <w:rFonts w:ascii="华文楷体" w:hAnsi="华文楷体" w:eastAsia="华文楷体" w:cs="Times New Roman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kern w:val="0"/>
                <w:szCs w:val="21"/>
              </w:rPr>
              <w:t>泸溪县</w:t>
            </w:r>
          </w:p>
        </w:tc>
        <w:tc>
          <w:tcPr>
            <w:tcW w:w="1342" w:type="dxa"/>
            <w:vAlign w:val="center"/>
          </w:tcPr>
          <w:p>
            <w:pPr>
              <w:ind w:right="270" w:firstLine="105" w:firstLineChars="5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—</w:t>
            </w:r>
          </w:p>
        </w:tc>
        <w:tc>
          <w:tcPr>
            <w:tcW w:w="1389" w:type="dxa"/>
            <w:vAlign w:val="center"/>
          </w:tcPr>
          <w:p>
            <w:pPr>
              <w:ind w:right="270"/>
              <w:jc w:val="right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10.3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608" w:hRule="atLeast"/>
        </w:trPr>
        <w:tc>
          <w:tcPr>
            <w:tcW w:w="2687" w:type="dxa"/>
            <w:vAlign w:val="center"/>
          </w:tcPr>
          <w:p>
            <w:pPr>
              <w:widowControl/>
              <w:ind w:firstLine="315" w:firstLineChars="150"/>
              <w:rPr>
                <w:rFonts w:ascii="华文楷体" w:hAnsi="华文楷体" w:eastAsia="华文楷体" w:cs="Times New Roman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kern w:val="0"/>
                <w:szCs w:val="21"/>
              </w:rPr>
              <w:t>凤凰县</w:t>
            </w:r>
          </w:p>
        </w:tc>
        <w:tc>
          <w:tcPr>
            <w:tcW w:w="1342" w:type="dxa"/>
            <w:vAlign w:val="center"/>
          </w:tcPr>
          <w:p>
            <w:pPr>
              <w:ind w:right="270" w:firstLine="105" w:firstLineChars="5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—</w:t>
            </w:r>
          </w:p>
        </w:tc>
        <w:tc>
          <w:tcPr>
            <w:tcW w:w="1389" w:type="dxa"/>
            <w:vAlign w:val="center"/>
          </w:tcPr>
          <w:p>
            <w:pPr>
              <w:ind w:right="270"/>
              <w:jc w:val="right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-2.0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633" w:hRule="atLeast"/>
        </w:trPr>
        <w:tc>
          <w:tcPr>
            <w:tcW w:w="2687" w:type="dxa"/>
            <w:vAlign w:val="center"/>
          </w:tcPr>
          <w:p>
            <w:pPr>
              <w:widowControl/>
              <w:ind w:firstLine="315" w:firstLineChars="150"/>
              <w:rPr>
                <w:rFonts w:ascii="华文楷体" w:hAnsi="华文楷体" w:eastAsia="华文楷体" w:cs="Times New Roman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kern w:val="0"/>
                <w:szCs w:val="21"/>
              </w:rPr>
              <w:t>保靖县</w:t>
            </w:r>
          </w:p>
        </w:tc>
        <w:tc>
          <w:tcPr>
            <w:tcW w:w="1342" w:type="dxa"/>
            <w:vAlign w:val="center"/>
          </w:tcPr>
          <w:p>
            <w:pPr>
              <w:ind w:right="270" w:firstLine="105" w:firstLineChars="5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—</w:t>
            </w:r>
          </w:p>
        </w:tc>
        <w:tc>
          <w:tcPr>
            <w:tcW w:w="1389" w:type="dxa"/>
            <w:vAlign w:val="center"/>
          </w:tcPr>
          <w:p>
            <w:pPr>
              <w:ind w:right="270"/>
              <w:jc w:val="right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11.7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633" w:hRule="atLeast"/>
        </w:trPr>
        <w:tc>
          <w:tcPr>
            <w:tcW w:w="2687" w:type="dxa"/>
            <w:vAlign w:val="center"/>
          </w:tcPr>
          <w:p>
            <w:pPr>
              <w:widowControl/>
              <w:ind w:firstLine="315" w:firstLineChars="150"/>
              <w:rPr>
                <w:rFonts w:ascii="华文楷体" w:hAnsi="华文楷体" w:eastAsia="华文楷体" w:cs="Times New Roman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kern w:val="0"/>
                <w:szCs w:val="21"/>
              </w:rPr>
              <w:t>古丈县</w:t>
            </w:r>
          </w:p>
        </w:tc>
        <w:tc>
          <w:tcPr>
            <w:tcW w:w="1342" w:type="dxa"/>
            <w:vAlign w:val="center"/>
          </w:tcPr>
          <w:p>
            <w:pPr>
              <w:ind w:right="270" w:firstLine="105" w:firstLineChars="5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—</w:t>
            </w:r>
          </w:p>
        </w:tc>
        <w:tc>
          <w:tcPr>
            <w:tcW w:w="1389" w:type="dxa"/>
            <w:vAlign w:val="center"/>
          </w:tcPr>
          <w:p>
            <w:pPr>
              <w:ind w:right="270"/>
              <w:jc w:val="right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17.0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633" w:hRule="atLeast"/>
        </w:trPr>
        <w:tc>
          <w:tcPr>
            <w:tcW w:w="2687" w:type="dxa"/>
            <w:vAlign w:val="center"/>
          </w:tcPr>
          <w:p>
            <w:pPr>
              <w:widowControl/>
              <w:ind w:firstLine="315" w:firstLineChars="150"/>
              <w:rPr>
                <w:rFonts w:ascii="华文楷体" w:hAnsi="华文楷体" w:eastAsia="华文楷体" w:cs="Times New Roman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kern w:val="0"/>
                <w:szCs w:val="21"/>
              </w:rPr>
              <w:t>永顺县</w:t>
            </w:r>
          </w:p>
        </w:tc>
        <w:tc>
          <w:tcPr>
            <w:tcW w:w="1342" w:type="dxa"/>
            <w:vAlign w:val="center"/>
          </w:tcPr>
          <w:p>
            <w:pPr>
              <w:ind w:right="270" w:firstLine="105" w:firstLineChars="5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—</w:t>
            </w:r>
          </w:p>
        </w:tc>
        <w:tc>
          <w:tcPr>
            <w:tcW w:w="1389" w:type="dxa"/>
            <w:vAlign w:val="center"/>
          </w:tcPr>
          <w:p>
            <w:pPr>
              <w:ind w:right="270"/>
              <w:jc w:val="right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608" w:hRule="atLeast"/>
        </w:trPr>
        <w:tc>
          <w:tcPr>
            <w:tcW w:w="2687" w:type="dxa"/>
            <w:vAlign w:val="center"/>
          </w:tcPr>
          <w:p>
            <w:pPr>
              <w:widowControl/>
              <w:ind w:firstLine="315" w:firstLineChars="150"/>
              <w:rPr>
                <w:rFonts w:ascii="华文楷体" w:hAnsi="华文楷体" w:eastAsia="华文楷体" w:cs="Times New Roman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kern w:val="0"/>
                <w:szCs w:val="21"/>
              </w:rPr>
              <w:t>龙山县</w:t>
            </w:r>
          </w:p>
        </w:tc>
        <w:tc>
          <w:tcPr>
            <w:tcW w:w="1342" w:type="dxa"/>
            <w:vAlign w:val="center"/>
          </w:tcPr>
          <w:p>
            <w:pPr>
              <w:ind w:right="270" w:firstLine="105" w:firstLineChars="5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—</w:t>
            </w:r>
          </w:p>
        </w:tc>
        <w:tc>
          <w:tcPr>
            <w:tcW w:w="1389" w:type="dxa"/>
            <w:vAlign w:val="center"/>
          </w:tcPr>
          <w:p>
            <w:pPr>
              <w:ind w:right="270"/>
              <w:jc w:val="right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-45.5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633" w:hRule="atLeast"/>
        </w:trPr>
        <w:tc>
          <w:tcPr>
            <w:tcW w:w="2687" w:type="dxa"/>
            <w:tcBorders>
              <w:top w:val="nil"/>
              <w:bottom w:val="single" w:color="auto" w:sz="12" w:space="0"/>
            </w:tcBorders>
            <w:vAlign w:val="center"/>
          </w:tcPr>
          <w:p>
            <w:pPr>
              <w:widowControl/>
              <w:ind w:firstLine="315" w:firstLineChars="150"/>
              <w:rPr>
                <w:rFonts w:ascii="华文楷体" w:hAnsi="华文楷体" w:eastAsia="华文楷体" w:cs="Times New Roman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kern w:val="0"/>
                <w:szCs w:val="21"/>
              </w:rPr>
              <w:t>湘西经济开发区</w:t>
            </w:r>
          </w:p>
        </w:tc>
        <w:tc>
          <w:tcPr>
            <w:tcW w:w="1342" w:type="dxa"/>
            <w:tcBorders>
              <w:top w:val="nil"/>
              <w:bottom w:val="single" w:color="auto" w:sz="12" w:space="0"/>
            </w:tcBorders>
            <w:vAlign w:val="center"/>
          </w:tcPr>
          <w:p>
            <w:pPr>
              <w:ind w:right="270" w:firstLine="105" w:firstLineChars="5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—</w:t>
            </w:r>
          </w:p>
        </w:tc>
        <w:tc>
          <w:tcPr>
            <w:tcW w:w="1389" w:type="dxa"/>
            <w:tcBorders>
              <w:top w:val="nil"/>
              <w:bottom w:val="single" w:color="auto" w:sz="12" w:space="0"/>
            </w:tcBorders>
            <w:vAlign w:val="center"/>
          </w:tcPr>
          <w:p>
            <w:pPr>
              <w:ind w:right="270"/>
              <w:jc w:val="right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6.6</w:t>
            </w:r>
          </w:p>
        </w:tc>
      </w:tr>
    </w:tbl>
    <w:p>
      <w:pPr>
        <w:widowControl/>
        <w:jc w:val="center"/>
        <w:rPr>
          <w:rFonts w:ascii="华文楷体" w:hAnsi="华文楷体" w:eastAsia="华文楷体"/>
          <w:b/>
          <w:sz w:val="28"/>
          <w:szCs w:val="28"/>
        </w:rPr>
      </w:pPr>
      <w:r>
        <w:rPr>
          <w:rFonts w:hint="eastAsia" w:ascii="华文楷体" w:hAnsi="华文楷体" w:eastAsia="华文楷体"/>
          <w:b/>
          <w:sz w:val="28"/>
          <w:szCs w:val="28"/>
        </w:rPr>
        <w:t>消 费</w:t>
      </w:r>
    </w:p>
    <w:tbl>
      <w:tblPr>
        <w:tblStyle w:val="9"/>
        <w:tblW w:w="5248" w:type="dxa"/>
        <w:tblInd w:w="-147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5"/>
        <w:gridCol w:w="993"/>
        <w:gridCol w:w="1279"/>
        <w:gridCol w:w="841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2135" w:type="dxa"/>
            <w:vMerge w:val="restart"/>
            <w:tcBorders>
              <w:top w:val="single" w:color="auto" w:sz="12" w:space="0"/>
            </w:tcBorders>
          </w:tcPr>
          <w:p>
            <w:pPr>
              <w:widowControl/>
              <w:jc w:val="left"/>
              <w:rPr>
                <w:rFonts w:ascii="华文楷体" w:hAnsi="华文楷体" w:eastAsia="华文楷体" w:cs="Times New Roman"/>
                <w:b/>
                <w:kern w:val="0"/>
                <w:szCs w:val="21"/>
              </w:rPr>
            </w:pPr>
          </w:p>
        </w:tc>
        <w:tc>
          <w:tcPr>
            <w:tcW w:w="2272" w:type="dxa"/>
            <w:gridSpan w:val="2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widowControl/>
              <w:ind w:firstLine="105" w:firstLineChars="50"/>
              <w:rPr>
                <w:rFonts w:ascii="华文楷体" w:hAnsi="华文楷体" w:eastAsia="华文楷体" w:cs="Times New Roman"/>
                <w:b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b/>
                <w:kern w:val="0"/>
                <w:szCs w:val="21"/>
              </w:rPr>
              <w:t>绝对额（万元）</w:t>
            </w:r>
          </w:p>
        </w:tc>
        <w:tc>
          <w:tcPr>
            <w:tcW w:w="841" w:type="dxa"/>
            <w:vMerge w:val="restar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 w:cs="Times New Roman"/>
                <w:b/>
                <w:spacing w:val="-26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b/>
                <w:spacing w:val="-26"/>
                <w:kern w:val="0"/>
                <w:szCs w:val="21"/>
              </w:rPr>
              <w:t>累计</w:t>
            </w:r>
          </w:p>
          <w:p>
            <w:pPr>
              <w:widowControl/>
              <w:jc w:val="left"/>
              <w:rPr>
                <w:rFonts w:ascii="华文楷体" w:hAnsi="华文楷体" w:eastAsia="华文楷体" w:cs="Times New Roman"/>
                <w:b/>
                <w:spacing w:val="-26"/>
                <w:kern w:val="0"/>
                <w:sz w:val="15"/>
                <w:szCs w:val="15"/>
              </w:rPr>
            </w:pPr>
            <w:r>
              <w:rPr>
                <w:rFonts w:hint="eastAsia" w:ascii="华文楷体" w:hAnsi="华文楷体" w:eastAsia="华文楷体" w:cs="Times New Roman"/>
                <w:b/>
                <w:spacing w:val="-26"/>
                <w:kern w:val="0"/>
                <w:szCs w:val="21"/>
              </w:rPr>
              <w:t>增速</w:t>
            </w:r>
          </w:p>
          <w:p>
            <w:pPr>
              <w:widowControl/>
              <w:jc w:val="center"/>
              <w:rPr>
                <w:rFonts w:ascii="华文楷体" w:hAnsi="华文楷体" w:eastAsia="华文楷体" w:cs="Times New Roman"/>
                <w:b/>
                <w:spacing w:val="-10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b/>
                <w:spacing w:val="-10"/>
                <w:kern w:val="0"/>
                <w:szCs w:val="21"/>
              </w:rPr>
              <w:t>（%）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35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rPr>
                <w:rFonts w:ascii="华文楷体" w:hAnsi="华文楷体" w:eastAsia="华文楷体" w:cs="Times New Roman"/>
                <w:b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Times New Roman"/>
                <w:b/>
                <w:spacing w:val="-10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b/>
                <w:spacing w:val="-1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华文楷体" w:hAnsi="华文楷体" w:eastAsia="华文楷体" w:cs="Times New Roman"/>
                <w:b/>
                <w:spacing w:val="-10"/>
                <w:kern w:val="0"/>
                <w:szCs w:val="21"/>
              </w:rPr>
              <w:t>月</w:t>
            </w:r>
          </w:p>
        </w:tc>
        <w:tc>
          <w:tcPr>
            <w:tcW w:w="127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Times New Roman"/>
                <w:b/>
                <w:spacing w:val="-10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b/>
                <w:spacing w:val="-10"/>
                <w:kern w:val="0"/>
                <w:szCs w:val="21"/>
              </w:rPr>
              <w:t>1—</w:t>
            </w:r>
            <w:r>
              <w:rPr>
                <w:rFonts w:hint="eastAsia" w:ascii="华文楷体" w:hAnsi="华文楷体" w:eastAsia="华文楷体" w:cs="Times New Roman"/>
                <w:b/>
                <w:spacing w:val="-1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华文楷体" w:hAnsi="华文楷体" w:eastAsia="华文楷体" w:cs="Times New Roman"/>
                <w:b/>
                <w:spacing w:val="-10"/>
                <w:kern w:val="0"/>
                <w:szCs w:val="21"/>
              </w:rPr>
              <w:t>月</w:t>
            </w:r>
          </w:p>
        </w:tc>
        <w:tc>
          <w:tcPr>
            <w:tcW w:w="841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rFonts w:ascii="华文楷体" w:hAnsi="华文楷体" w:eastAsia="华文楷体" w:cs="Times New Roman"/>
                <w:b/>
                <w:spacing w:val="-1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exact"/>
        </w:trPr>
        <w:tc>
          <w:tcPr>
            <w:tcW w:w="2135" w:type="dxa"/>
            <w:tcBorders>
              <w:top w:val="single" w:color="auto" w:sz="4" w:space="0"/>
            </w:tcBorders>
          </w:tcPr>
          <w:p>
            <w:pPr>
              <w:widowControl/>
              <w:jc w:val="left"/>
              <w:rPr>
                <w:rFonts w:ascii="华文楷体" w:hAnsi="华文楷体" w:eastAsia="华文楷体" w:cs="Times New Roman"/>
                <w:spacing w:val="-6"/>
                <w:w w:val="90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spacing w:val="-6"/>
                <w:w w:val="90"/>
                <w:kern w:val="0"/>
                <w:szCs w:val="21"/>
              </w:rPr>
              <w:t>社会消费品零售总额</w:t>
            </w:r>
          </w:p>
        </w:tc>
        <w:tc>
          <w:tcPr>
            <w:tcW w:w="993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22266.7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24377.6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2.6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exact"/>
        </w:trPr>
        <w:tc>
          <w:tcPr>
            <w:tcW w:w="2135" w:type="dxa"/>
          </w:tcPr>
          <w:p>
            <w:pPr>
              <w:widowControl/>
              <w:ind w:firstLine="210" w:firstLineChars="100"/>
              <w:jc w:val="left"/>
              <w:rPr>
                <w:rFonts w:ascii="华文楷体" w:hAnsi="华文楷体" w:eastAsia="华文楷体" w:cs="Times New Roman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kern w:val="0"/>
                <w:szCs w:val="21"/>
              </w:rPr>
              <w:t>按行业分：</w:t>
            </w:r>
          </w:p>
        </w:tc>
        <w:tc>
          <w:tcPr>
            <w:tcW w:w="993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27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841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exact"/>
        </w:trPr>
        <w:tc>
          <w:tcPr>
            <w:tcW w:w="2135" w:type="dxa"/>
          </w:tcPr>
          <w:p>
            <w:pPr>
              <w:widowControl/>
              <w:ind w:firstLine="420" w:firstLineChars="200"/>
              <w:jc w:val="left"/>
              <w:rPr>
                <w:rFonts w:ascii="华文楷体" w:hAnsi="华文楷体" w:eastAsia="华文楷体" w:cs="Times New Roman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kern w:val="0"/>
                <w:szCs w:val="21"/>
              </w:rPr>
              <w:t>批发业</w:t>
            </w:r>
          </w:p>
        </w:tc>
        <w:tc>
          <w:tcPr>
            <w:tcW w:w="993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136.4</w:t>
            </w:r>
          </w:p>
        </w:tc>
        <w:tc>
          <w:tcPr>
            <w:tcW w:w="127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202.2</w:t>
            </w:r>
          </w:p>
        </w:tc>
        <w:tc>
          <w:tcPr>
            <w:tcW w:w="841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-41.1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exact"/>
        </w:trPr>
        <w:tc>
          <w:tcPr>
            <w:tcW w:w="2135" w:type="dxa"/>
          </w:tcPr>
          <w:p>
            <w:pPr>
              <w:widowControl/>
              <w:ind w:firstLine="630" w:firstLineChars="300"/>
              <w:jc w:val="left"/>
              <w:rPr>
                <w:rFonts w:ascii="华文楷体" w:hAnsi="华文楷体" w:eastAsia="华文楷体" w:cs="Times New Roman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kern w:val="0"/>
                <w:szCs w:val="21"/>
              </w:rPr>
              <w:t>限额以上</w:t>
            </w:r>
          </w:p>
        </w:tc>
        <w:tc>
          <w:tcPr>
            <w:tcW w:w="993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27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841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exact"/>
        </w:trPr>
        <w:tc>
          <w:tcPr>
            <w:tcW w:w="2135" w:type="dxa"/>
          </w:tcPr>
          <w:p>
            <w:pPr>
              <w:widowControl/>
              <w:ind w:firstLine="637" w:firstLineChars="350"/>
              <w:jc w:val="left"/>
              <w:rPr>
                <w:rFonts w:ascii="华文楷体" w:hAnsi="华文楷体" w:eastAsia="华文楷体" w:cs="Times New Roman"/>
                <w:spacing w:val="-14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spacing w:val="-14"/>
                <w:kern w:val="0"/>
                <w:szCs w:val="21"/>
              </w:rPr>
              <w:t>限额以下及个体户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136.4</w:t>
            </w:r>
          </w:p>
        </w:tc>
        <w:tc>
          <w:tcPr>
            <w:tcW w:w="1279" w:type="dxa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202.2</w:t>
            </w:r>
          </w:p>
        </w:tc>
        <w:tc>
          <w:tcPr>
            <w:tcW w:w="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-41.1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exact"/>
        </w:trPr>
        <w:tc>
          <w:tcPr>
            <w:tcW w:w="2135" w:type="dxa"/>
          </w:tcPr>
          <w:p>
            <w:pPr>
              <w:widowControl/>
              <w:ind w:firstLine="420" w:firstLineChars="200"/>
              <w:jc w:val="left"/>
              <w:rPr>
                <w:rFonts w:ascii="华文楷体" w:hAnsi="华文楷体" w:eastAsia="华文楷体" w:cs="Times New Roman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kern w:val="0"/>
                <w:szCs w:val="21"/>
              </w:rPr>
              <w:t>零售业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19716.9</w:t>
            </w:r>
          </w:p>
        </w:tc>
        <w:tc>
          <w:tcPr>
            <w:tcW w:w="12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21081.0</w:t>
            </w:r>
          </w:p>
        </w:tc>
        <w:tc>
          <w:tcPr>
            <w:tcW w:w="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2.1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exact"/>
        </w:trPr>
        <w:tc>
          <w:tcPr>
            <w:tcW w:w="2135" w:type="dxa"/>
          </w:tcPr>
          <w:p>
            <w:pPr>
              <w:widowControl/>
              <w:ind w:firstLine="630" w:firstLineChars="300"/>
              <w:jc w:val="left"/>
              <w:rPr>
                <w:rFonts w:ascii="华文楷体" w:hAnsi="华文楷体" w:eastAsia="华文楷体" w:cs="Times New Roman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kern w:val="0"/>
                <w:szCs w:val="21"/>
              </w:rPr>
              <w:t>限额以上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1322.7</w:t>
            </w:r>
          </w:p>
        </w:tc>
        <w:tc>
          <w:tcPr>
            <w:tcW w:w="12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2634.2</w:t>
            </w:r>
          </w:p>
        </w:tc>
        <w:tc>
          <w:tcPr>
            <w:tcW w:w="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15.5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exact"/>
        </w:trPr>
        <w:tc>
          <w:tcPr>
            <w:tcW w:w="2135" w:type="dxa"/>
          </w:tcPr>
          <w:p>
            <w:pPr>
              <w:widowControl/>
              <w:ind w:firstLine="637" w:firstLineChars="350"/>
              <w:jc w:val="left"/>
              <w:rPr>
                <w:rFonts w:ascii="华文楷体" w:hAnsi="华文楷体" w:eastAsia="华文楷体" w:cs="Times New Roman"/>
                <w:spacing w:val="-14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spacing w:val="-14"/>
                <w:kern w:val="0"/>
                <w:szCs w:val="21"/>
              </w:rPr>
              <w:t>限额以下及个体户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18394.2</w:t>
            </w:r>
          </w:p>
        </w:tc>
        <w:tc>
          <w:tcPr>
            <w:tcW w:w="12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18446.8</w:t>
            </w:r>
          </w:p>
        </w:tc>
        <w:tc>
          <w:tcPr>
            <w:tcW w:w="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exact"/>
        </w:trPr>
        <w:tc>
          <w:tcPr>
            <w:tcW w:w="2135" w:type="dxa"/>
          </w:tcPr>
          <w:p>
            <w:pPr>
              <w:widowControl/>
              <w:ind w:firstLine="430" w:firstLineChars="250"/>
              <w:jc w:val="left"/>
              <w:rPr>
                <w:rFonts w:ascii="华文楷体" w:hAnsi="华文楷体" w:eastAsia="华文楷体" w:cs="Times New Roman"/>
                <w:spacing w:val="-14"/>
                <w:kern w:val="0"/>
                <w:sz w:val="20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spacing w:val="-14"/>
                <w:kern w:val="0"/>
                <w:sz w:val="20"/>
                <w:szCs w:val="21"/>
              </w:rPr>
              <w:t>住宿业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75.9</w:t>
            </w:r>
          </w:p>
        </w:tc>
        <w:tc>
          <w:tcPr>
            <w:tcW w:w="12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161.6</w:t>
            </w:r>
          </w:p>
        </w:tc>
        <w:tc>
          <w:tcPr>
            <w:tcW w:w="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-10.7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exact"/>
        </w:trPr>
        <w:tc>
          <w:tcPr>
            <w:tcW w:w="2135" w:type="dxa"/>
          </w:tcPr>
          <w:p>
            <w:pPr>
              <w:widowControl/>
              <w:ind w:firstLine="602" w:firstLineChars="350"/>
              <w:jc w:val="left"/>
              <w:rPr>
                <w:rFonts w:ascii="华文楷体" w:hAnsi="华文楷体" w:eastAsia="华文楷体" w:cs="Times New Roman"/>
                <w:spacing w:val="-14"/>
                <w:kern w:val="0"/>
                <w:sz w:val="20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spacing w:val="-14"/>
                <w:kern w:val="0"/>
                <w:sz w:val="20"/>
                <w:szCs w:val="21"/>
              </w:rPr>
              <w:t>限额以上</w:t>
            </w:r>
          </w:p>
          <w:p>
            <w:pPr>
              <w:widowControl/>
              <w:ind w:firstLine="430" w:firstLineChars="250"/>
              <w:jc w:val="left"/>
              <w:rPr>
                <w:rFonts w:ascii="华文楷体" w:hAnsi="华文楷体" w:eastAsia="华文楷体" w:cs="Times New Roman"/>
                <w:spacing w:val="-14"/>
                <w:kern w:val="0"/>
                <w:sz w:val="20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45.6</w:t>
            </w:r>
          </w:p>
        </w:tc>
        <w:tc>
          <w:tcPr>
            <w:tcW w:w="12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129.2</w:t>
            </w:r>
          </w:p>
        </w:tc>
        <w:tc>
          <w:tcPr>
            <w:tcW w:w="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-4.0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exact"/>
        </w:trPr>
        <w:tc>
          <w:tcPr>
            <w:tcW w:w="2135" w:type="dxa"/>
          </w:tcPr>
          <w:p>
            <w:pPr>
              <w:widowControl/>
              <w:ind w:firstLine="637" w:firstLineChars="350"/>
              <w:jc w:val="left"/>
              <w:rPr>
                <w:rFonts w:ascii="华文楷体" w:hAnsi="华文楷体" w:eastAsia="华文楷体" w:cs="Times New Roman"/>
                <w:spacing w:val="-14"/>
                <w:kern w:val="0"/>
                <w:sz w:val="20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spacing w:val="-14"/>
                <w:kern w:val="0"/>
                <w:szCs w:val="21"/>
              </w:rPr>
              <w:t>限额以下及个体户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30.3</w:t>
            </w:r>
          </w:p>
        </w:tc>
        <w:tc>
          <w:tcPr>
            <w:tcW w:w="12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32.4</w:t>
            </w:r>
          </w:p>
        </w:tc>
        <w:tc>
          <w:tcPr>
            <w:tcW w:w="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-30.2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exact"/>
        </w:trPr>
        <w:tc>
          <w:tcPr>
            <w:tcW w:w="2135" w:type="dxa"/>
          </w:tcPr>
          <w:p>
            <w:pPr>
              <w:widowControl/>
              <w:jc w:val="left"/>
              <w:rPr>
                <w:rFonts w:ascii="华文楷体" w:hAnsi="华文楷体" w:eastAsia="华文楷体" w:cs="Times New Roman"/>
                <w:spacing w:val="-4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kern w:val="0"/>
                <w:szCs w:val="21"/>
              </w:rPr>
              <w:t xml:space="preserve"> </w:t>
            </w:r>
            <w:r>
              <w:rPr>
                <w:rFonts w:ascii="华文楷体" w:hAnsi="华文楷体" w:eastAsia="华文楷体" w:cs="Times New Roman"/>
                <w:kern w:val="0"/>
                <w:szCs w:val="21"/>
              </w:rPr>
              <w:t xml:space="preserve">   </w:t>
            </w:r>
            <w:r>
              <w:rPr>
                <w:rFonts w:hint="eastAsia" w:ascii="华文楷体" w:hAnsi="华文楷体" w:eastAsia="华文楷体" w:cs="Times New Roman"/>
                <w:kern w:val="0"/>
                <w:szCs w:val="21"/>
              </w:rPr>
              <w:t>餐饮业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2337.5</w:t>
            </w:r>
          </w:p>
        </w:tc>
        <w:tc>
          <w:tcPr>
            <w:tcW w:w="12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2932.8</w:t>
            </w:r>
          </w:p>
        </w:tc>
        <w:tc>
          <w:tcPr>
            <w:tcW w:w="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12.8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exact"/>
        </w:trPr>
        <w:tc>
          <w:tcPr>
            <w:tcW w:w="2135" w:type="dxa"/>
          </w:tcPr>
          <w:p>
            <w:pPr>
              <w:widowControl/>
              <w:ind w:firstLine="630" w:firstLineChars="300"/>
              <w:jc w:val="left"/>
              <w:rPr>
                <w:rFonts w:ascii="华文楷体" w:hAnsi="华文楷体" w:eastAsia="华文楷体" w:cs="Times New Roman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kern w:val="0"/>
                <w:szCs w:val="21"/>
              </w:rPr>
              <w:t>限额以上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69.7</w:t>
            </w:r>
          </w:p>
        </w:tc>
        <w:tc>
          <w:tcPr>
            <w:tcW w:w="12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247.4</w:t>
            </w:r>
          </w:p>
        </w:tc>
        <w:tc>
          <w:tcPr>
            <w:tcW w:w="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exact"/>
        </w:trPr>
        <w:tc>
          <w:tcPr>
            <w:tcW w:w="2135" w:type="dxa"/>
          </w:tcPr>
          <w:p>
            <w:pPr>
              <w:widowControl/>
              <w:ind w:firstLine="637" w:firstLineChars="350"/>
              <w:rPr>
                <w:rFonts w:ascii="华文楷体" w:hAnsi="华文楷体" w:eastAsia="华文楷体" w:cs="Times New Roman"/>
                <w:spacing w:val="-14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spacing w:val="-14"/>
                <w:kern w:val="0"/>
                <w:szCs w:val="21"/>
              </w:rPr>
              <w:t>限额以下及个体户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2267.8</w:t>
            </w:r>
          </w:p>
        </w:tc>
        <w:tc>
          <w:tcPr>
            <w:tcW w:w="12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2685.4</w:t>
            </w:r>
          </w:p>
        </w:tc>
        <w:tc>
          <w:tcPr>
            <w:tcW w:w="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3.3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exact"/>
        </w:trPr>
        <w:tc>
          <w:tcPr>
            <w:tcW w:w="2135" w:type="dxa"/>
          </w:tcPr>
          <w:p>
            <w:pPr>
              <w:widowControl/>
              <w:ind w:firstLine="200" w:firstLineChars="100"/>
              <w:rPr>
                <w:rFonts w:ascii="华文楷体" w:hAnsi="华文楷体" w:eastAsia="华文楷体" w:cs="Times New Roman"/>
                <w:kern w:val="0"/>
                <w:sz w:val="20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kern w:val="0"/>
                <w:sz w:val="20"/>
                <w:szCs w:val="21"/>
              </w:rPr>
              <w:t>按经营地分：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2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exact"/>
        </w:trPr>
        <w:tc>
          <w:tcPr>
            <w:tcW w:w="2135" w:type="dxa"/>
          </w:tcPr>
          <w:p>
            <w:pPr>
              <w:widowControl/>
              <w:ind w:firstLine="400" w:firstLineChars="200"/>
              <w:rPr>
                <w:rFonts w:ascii="华文楷体" w:hAnsi="华文楷体" w:eastAsia="华文楷体" w:cs="Times New Roman"/>
                <w:kern w:val="0"/>
                <w:sz w:val="20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kern w:val="0"/>
                <w:sz w:val="20"/>
                <w:szCs w:val="21"/>
              </w:rPr>
              <w:t>城镇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16245.9</w:t>
            </w:r>
          </w:p>
        </w:tc>
        <w:tc>
          <w:tcPr>
            <w:tcW w:w="12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18025.4</w:t>
            </w:r>
          </w:p>
        </w:tc>
        <w:tc>
          <w:tcPr>
            <w:tcW w:w="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2.0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exact"/>
        </w:trPr>
        <w:tc>
          <w:tcPr>
            <w:tcW w:w="2135" w:type="dxa"/>
          </w:tcPr>
          <w:p>
            <w:pPr>
              <w:widowControl/>
              <w:ind w:firstLine="400" w:firstLineChars="200"/>
              <w:rPr>
                <w:rFonts w:ascii="华文楷体" w:hAnsi="华文楷体" w:eastAsia="华文楷体" w:cs="Times New Roman"/>
                <w:kern w:val="0"/>
                <w:sz w:val="20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kern w:val="0"/>
                <w:sz w:val="20"/>
                <w:szCs w:val="21"/>
              </w:rPr>
              <w:t>农村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6020.8</w:t>
            </w:r>
          </w:p>
        </w:tc>
        <w:tc>
          <w:tcPr>
            <w:tcW w:w="12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6352.2</w:t>
            </w:r>
          </w:p>
        </w:tc>
        <w:tc>
          <w:tcPr>
            <w:tcW w:w="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4.2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exact"/>
        </w:trPr>
        <w:tc>
          <w:tcPr>
            <w:tcW w:w="2135" w:type="dxa"/>
          </w:tcPr>
          <w:p>
            <w:pPr>
              <w:widowControl/>
              <w:ind w:firstLine="200" w:firstLineChars="100"/>
              <w:rPr>
                <w:rFonts w:ascii="华文楷体" w:hAnsi="华文楷体" w:eastAsia="华文楷体" w:cs="Times New Roman"/>
                <w:kern w:val="0"/>
                <w:sz w:val="20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kern w:val="0"/>
                <w:sz w:val="20"/>
                <w:szCs w:val="21"/>
              </w:rPr>
              <w:t>按县市分：</w:t>
            </w:r>
          </w:p>
        </w:tc>
        <w:tc>
          <w:tcPr>
            <w:tcW w:w="993" w:type="dxa"/>
          </w:tcPr>
          <w:p>
            <w:pPr>
              <w:widowControl/>
              <w:spacing w:after="312" w:afterLines="100"/>
              <w:ind w:firstLine="105" w:firstLineChars="50"/>
              <w:jc w:val="right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279" w:type="dxa"/>
          </w:tcPr>
          <w:p>
            <w:pPr>
              <w:widowControl/>
              <w:spacing w:after="312" w:afterLines="100"/>
              <w:ind w:firstLine="105" w:firstLineChars="50"/>
              <w:jc w:val="right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841" w:type="dxa"/>
          </w:tcPr>
          <w:p>
            <w:pPr>
              <w:spacing w:after="312" w:afterLines="100"/>
              <w:ind w:firstLine="105" w:firstLineChars="50"/>
              <w:jc w:val="right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exact"/>
        </w:trPr>
        <w:tc>
          <w:tcPr>
            <w:tcW w:w="2135" w:type="dxa"/>
          </w:tcPr>
          <w:p>
            <w:pPr>
              <w:widowControl/>
              <w:ind w:firstLine="400" w:firstLineChars="200"/>
              <w:rPr>
                <w:rFonts w:ascii="华文楷体" w:hAnsi="华文楷体" w:eastAsia="华文楷体" w:cs="Times New Roman"/>
                <w:kern w:val="0"/>
                <w:sz w:val="20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kern w:val="0"/>
                <w:sz w:val="20"/>
                <w:szCs w:val="21"/>
              </w:rPr>
              <w:t>湘西州</w:t>
            </w:r>
          </w:p>
        </w:tc>
        <w:tc>
          <w:tcPr>
            <w:tcW w:w="993" w:type="dxa"/>
          </w:tcPr>
          <w:p>
            <w:pPr>
              <w:widowControl/>
              <w:spacing w:after="312" w:afterLines="100"/>
              <w:ind w:firstLine="105" w:firstLineChars="50"/>
              <w:jc w:val="right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279" w:type="dxa"/>
            <w:vAlign w:val="center"/>
          </w:tcPr>
          <w:p>
            <w:pPr>
              <w:spacing w:after="312" w:afterLines="100"/>
              <w:ind w:firstLine="105" w:firstLineChars="50"/>
              <w:jc w:val="right"/>
              <w:rPr>
                <w:rFonts w:hint="eastAsia" w:ascii="宋体" w:hAnsi="宋体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val="en-US" w:eastAsia="zh-CN"/>
              </w:rPr>
              <w:t>429042</w:t>
            </w:r>
          </w:p>
        </w:tc>
        <w:tc>
          <w:tcPr>
            <w:tcW w:w="841" w:type="dxa"/>
            <w:vAlign w:val="center"/>
          </w:tcPr>
          <w:p>
            <w:pPr>
              <w:spacing w:after="312" w:afterLines="100"/>
              <w:ind w:firstLine="105" w:firstLineChars="50"/>
              <w:jc w:val="right"/>
              <w:rPr>
                <w:rFonts w:hint="eastAsia" w:ascii="宋体" w:hAnsi="宋体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val="en-US" w:eastAsia="zh-CN"/>
              </w:rPr>
              <w:t>1.8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exact"/>
        </w:trPr>
        <w:tc>
          <w:tcPr>
            <w:tcW w:w="2135" w:type="dxa"/>
          </w:tcPr>
          <w:p>
            <w:pPr>
              <w:widowControl/>
              <w:ind w:firstLine="400" w:firstLineChars="200"/>
              <w:rPr>
                <w:rFonts w:ascii="华文楷体" w:hAnsi="华文楷体" w:eastAsia="华文楷体" w:cs="Times New Roman"/>
                <w:kern w:val="0"/>
                <w:sz w:val="20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kern w:val="0"/>
                <w:sz w:val="20"/>
                <w:szCs w:val="21"/>
              </w:rPr>
              <w:t>吉首市</w:t>
            </w:r>
          </w:p>
        </w:tc>
        <w:tc>
          <w:tcPr>
            <w:tcW w:w="993" w:type="dxa"/>
          </w:tcPr>
          <w:p>
            <w:pPr>
              <w:widowControl/>
              <w:spacing w:after="312" w:afterLines="100"/>
              <w:ind w:firstLine="105" w:firstLineChars="50"/>
              <w:jc w:val="right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279" w:type="dxa"/>
            <w:vAlign w:val="center"/>
          </w:tcPr>
          <w:p>
            <w:pPr>
              <w:spacing w:after="312" w:afterLines="100"/>
              <w:ind w:firstLine="105" w:firstLineChars="50"/>
              <w:jc w:val="right"/>
              <w:rPr>
                <w:rFonts w:hint="eastAsia" w:ascii="宋体" w:hAnsi="宋体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val="en-US" w:eastAsia="zh-CN"/>
              </w:rPr>
              <w:t>220468</w:t>
            </w:r>
          </w:p>
        </w:tc>
        <w:tc>
          <w:tcPr>
            <w:tcW w:w="841" w:type="dxa"/>
            <w:vAlign w:val="center"/>
          </w:tcPr>
          <w:p>
            <w:pPr>
              <w:spacing w:after="312" w:afterLines="100"/>
              <w:ind w:firstLine="105" w:firstLineChars="50"/>
              <w:jc w:val="right"/>
              <w:rPr>
                <w:rFonts w:hint="eastAsia" w:ascii="宋体" w:hAnsi="宋体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val="en-US" w:eastAsia="zh-CN"/>
              </w:rPr>
              <w:t>1.4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exact"/>
        </w:trPr>
        <w:tc>
          <w:tcPr>
            <w:tcW w:w="2135" w:type="dxa"/>
          </w:tcPr>
          <w:p>
            <w:pPr>
              <w:widowControl/>
              <w:ind w:firstLine="400" w:firstLineChars="200"/>
              <w:rPr>
                <w:rFonts w:ascii="华文楷体" w:hAnsi="华文楷体" w:eastAsia="华文楷体" w:cs="Times New Roman"/>
                <w:kern w:val="0"/>
                <w:sz w:val="20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kern w:val="0"/>
                <w:sz w:val="20"/>
                <w:szCs w:val="21"/>
              </w:rPr>
              <w:t>泸溪县</w:t>
            </w:r>
          </w:p>
        </w:tc>
        <w:tc>
          <w:tcPr>
            <w:tcW w:w="993" w:type="dxa"/>
          </w:tcPr>
          <w:p>
            <w:pPr>
              <w:widowControl/>
              <w:spacing w:after="312" w:afterLines="100"/>
              <w:ind w:firstLine="105" w:firstLineChars="50"/>
              <w:jc w:val="right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279" w:type="dxa"/>
            <w:vAlign w:val="center"/>
          </w:tcPr>
          <w:p>
            <w:pPr>
              <w:spacing w:after="312" w:afterLines="100"/>
              <w:ind w:firstLine="105" w:firstLineChars="50"/>
              <w:jc w:val="right"/>
              <w:rPr>
                <w:rFonts w:hint="eastAsia" w:ascii="宋体" w:hAnsi="宋体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val="en-US" w:eastAsia="zh-CN"/>
              </w:rPr>
              <w:t>34675</w:t>
            </w:r>
          </w:p>
        </w:tc>
        <w:tc>
          <w:tcPr>
            <w:tcW w:w="841" w:type="dxa"/>
            <w:vAlign w:val="center"/>
          </w:tcPr>
          <w:p>
            <w:pPr>
              <w:spacing w:after="312" w:afterLines="100"/>
              <w:ind w:firstLine="105" w:firstLineChars="50"/>
              <w:jc w:val="right"/>
              <w:rPr>
                <w:rFonts w:hint="eastAsia" w:ascii="宋体" w:hAnsi="宋体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val="en-US" w:eastAsia="zh-CN"/>
              </w:rPr>
              <w:t>0.9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exact"/>
        </w:trPr>
        <w:tc>
          <w:tcPr>
            <w:tcW w:w="2135" w:type="dxa"/>
          </w:tcPr>
          <w:p>
            <w:pPr>
              <w:widowControl/>
              <w:ind w:firstLine="400" w:firstLineChars="200"/>
              <w:rPr>
                <w:rFonts w:ascii="华文楷体" w:hAnsi="华文楷体" w:eastAsia="华文楷体" w:cs="Times New Roman"/>
                <w:kern w:val="0"/>
                <w:sz w:val="20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kern w:val="0"/>
                <w:sz w:val="20"/>
                <w:szCs w:val="21"/>
              </w:rPr>
              <w:t>凤凰县</w:t>
            </w:r>
          </w:p>
        </w:tc>
        <w:tc>
          <w:tcPr>
            <w:tcW w:w="993" w:type="dxa"/>
          </w:tcPr>
          <w:p>
            <w:pPr>
              <w:widowControl/>
              <w:spacing w:after="312" w:afterLines="100"/>
              <w:ind w:firstLine="105" w:firstLineChars="50"/>
              <w:jc w:val="right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279" w:type="dxa"/>
            <w:vAlign w:val="center"/>
          </w:tcPr>
          <w:p>
            <w:pPr>
              <w:spacing w:after="312" w:afterLines="100"/>
              <w:ind w:firstLine="105" w:firstLineChars="50"/>
              <w:jc w:val="right"/>
              <w:rPr>
                <w:rFonts w:hint="eastAsia" w:ascii="宋体" w:hAnsi="宋体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val="en-US" w:eastAsia="zh-CN"/>
              </w:rPr>
              <w:t>40280</w:t>
            </w:r>
          </w:p>
        </w:tc>
        <w:tc>
          <w:tcPr>
            <w:tcW w:w="841" w:type="dxa"/>
            <w:vAlign w:val="center"/>
          </w:tcPr>
          <w:p>
            <w:pPr>
              <w:spacing w:after="312" w:afterLines="100"/>
              <w:ind w:firstLine="105" w:firstLineChars="50"/>
              <w:jc w:val="right"/>
              <w:rPr>
                <w:rFonts w:hint="eastAsia" w:ascii="宋体" w:hAnsi="宋体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val="en-US" w:eastAsia="zh-CN"/>
              </w:rPr>
              <w:t>2.9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exact"/>
        </w:trPr>
        <w:tc>
          <w:tcPr>
            <w:tcW w:w="2135" w:type="dxa"/>
          </w:tcPr>
          <w:p>
            <w:pPr>
              <w:widowControl/>
              <w:ind w:firstLine="400" w:firstLineChars="200"/>
              <w:rPr>
                <w:rFonts w:ascii="华文楷体" w:hAnsi="华文楷体" w:eastAsia="华文楷体" w:cs="Times New Roman"/>
                <w:kern w:val="0"/>
                <w:sz w:val="20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kern w:val="0"/>
                <w:sz w:val="20"/>
                <w:szCs w:val="21"/>
              </w:rPr>
              <w:t>保靖县</w:t>
            </w:r>
          </w:p>
        </w:tc>
        <w:tc>
          <w:tcPr>
            <w:tcW w:w="993" w:type="dxa"/>
          </w:tcPr>
          <w:p>
            <w:pPr>
              <w:widowControl/>
              <w:spacing w:after="312" w:afterLines="100"/>
              <w:ind w:firstLine="105" w:firstLineChars="50"/>
              <w:jc w:val="right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279" w:type="dxa"/>
            <w:vAlign w:val="center"/>
          </w:tcPr>
          <w:p>
            <w:pPr>
              <w:spacing w:after="312" w:afterLines="100"/>
              <w:ind w:firstLine="105" w:firstLineChars="50"/>
              <w:jc w:val="right"/>
              <w:rPr>
                <w:rFonts w:hint="eastAsia" w:ascii="宋体" w:hAnsi="宋体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val="en-US" w:eastAsia="zh-CN"/>
              </w:rPr>
              <w:t>16516</w:t>
            </w:r>
          </w:p>
        </w:tc>
        <w:tc>
          <w:tcPr>
            <w:tcW w:w="841" w:type="dxa"/>
            <w:vAlign w:val="center"/>
          </w:tcPr>
          <w:p>
            <w:pPr>
              <w:spacing w:after="312" w:afterLines="100"/>
              <w:ind w:firstLine="105" w:firstLineChars="50"/>
              <w:jc w:val="right"/>
              <w:rPr>
                <w:rFonts w:hint="eastAsia" w:ascii="宋体" w:hAnsi="宋体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val="en-US" w:eastAsia="zh-CN"/>
              </w:rPr>
              <w:t>1.3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exact"/>
        </w:trPr>
        <w:tc>
          <w:tcPr>
            <w:tcW w:w="2135" w:type="dxa"/>
          </w:tcPr>
          <w:p>
            <w:pPr>
              <w:widowControl/>
              <w:ind w:firstLine="400" w:firstLineChars="200"/>
              <w:rPr>
                <w:rFonts w:ascii="华文楷体" w:hAnsi="华文楷体" w:eastAsia="华文楷体" w:cs="Times New Roman"/>
                <w:kern w:val="0"/>
                <w:sz w:val="20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kern w:val="0"/>
                <w:sz w:val="20"/>
                <w:szCs w:val="21"/>
              </w:rPr>
              <w:t>古丈县</w:t>
            </w:r>
          </w:p>
        </w:tc>
        <w:tc>
          <w:tcPr>
            <w:tcW w:w="993" w:type="dxa"/>
          </w:tcPr>
          <w:p>
            <w:pPr>
              <w:widowControl/>
              <w:spacing w:after="312" w:afterLines="100"/>
              <w:ind w:firstLine="105" w:firstLineChars="50"/>
              <w:jc w:val="right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279" w:type="dxa"/>
            <w:vAlign w:val="center"/>
          </w:tcPr>
          <w:p>
            <w:pPr>
              <w:spacing w:after="312" w:afterLines="100"/>
              <w:ind w:firstLine="105" w:firstLineChars="50"/>
              <w:jc w:val="right"/>
              <w:rPr>
                <w:rFonts w:hint="eastAsia" w:ascii="宋体" w:hAnsi="宋体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val="en-US" w:eastAsia="zh-CN"/>
              </w:rPr>
              <w:t>10441</w:t>
            </w:r>
          </w:p>
        </w:tc>
        <w:tc>
          <w:tcPr>
            <w:tcW w:w="841" w:type="dxa"/>
            <w:vAlign w:val="center"/>
          </w:tcPr>
          <w:p>
            <w:pPr>
              <w:spacing w:after="312" w:afterLines="100"/>
              <w:ind w:firstLine="105" w:firstLineChars="50"/>
              <w:jc w:val="right"/>
              <w:rPr>
                <w:rFonts w:hint="eastAsia" w:ascii="宋体" w:hAnsi="宋体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val="en-US" w:eastAsia="zh-CN"/>
              </w:rPr>
              <w:t>0.7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exact"/>
        </w:trPr>
        <w:tc>
          <w:tcPr>
            <w:tcW w:w="2135" w:type="dxa"/>
          </w:tcPr>
          <w:p>
            <w:pPr>
              <w:widowControl/>
              <w:ind w:firstLine="400" w:firstLineChars="200"/>
              <w:rPr>
                <w:rFonts w:ascii="华文楷体" w:hAnsi="华文楷体" w:eastAsia="华文楷体" w:cs="Times New Roman"/>
                <w:kern w:val="0"/>
                <w:sz w:val="20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kern w:val="0"/>
                <w:sz w:val="20"/>
                <w:szCs w:val="21"/>
              </w:rPr>
              <w:t>永顺县</w:t>
            </w:r>
          </w:p>
        </w:tc>
        <w:tc>
          <w:tcPr>
            <w:tcW w:w="993" w:type="dxa"/>
          </w:tcPr>
          <w:p>
            <w:pPr>
              <w:widowControl/>
              <w:spacing w:after="312" w:afterLines="100"/>
              <w:ind w:firstLine="105" w:firstLineChars="50"/>
              <w:jc w:val="right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279" w:type="dxa"/>
            <w:vAlign w:val="center"/>
          </w:tcPr>
          <w:p>
            <w:pPr>
              <w:spacing w:after="312" w:afterLines="100"/>
              <w:ind w:firstLine="105" w:firstLineChars="50"/>
              <w:jc w:val="right"/>
              <w:rPr>
                <w:rFonts w:hint="eastAsia" w:ascii="宋体" w:hAnsi="宋体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val="en-US" w:eastAsia="zh-CN"/>
              </w:rPr>
              <w:t>41025</w:t>
            </w:r>
          </w:p>
        </w:tc>
        <w:tc>
          <w:tcPr>
            <w:tcW w:w="841" w:type="dxa"/>
            <w:vAlign w:val="center"/>
          </w:tcPr>
          <w:p>
            <w:pPr>
              <w:spacing w:after="312" w:afterLines="100"/>
              <w:ind w:firstLine="105" w:firstLineChars="50"/>
              <w:jc w:val="right"/>
              <w:rPr>
                <w:rFonts w:hint="eastAsia" w:ascii="宋体" w:hAnsi="宋体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val="en-US" w:eastAsia="zh-CN"/>
              </w:rPr>
              <w:t>3.6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exact"/>
        </w:trPr>
        <w:tc>
          <w:tcPr>
            <w:tcW w:w="2135" w:type="dxa"/>
          </w:tcPr>
          <w:p>
            <w:pPr>
              <w:widowControl/>
              <w:ind w:firstLine="400" w:firstLineChars="200"/>
              <w:rPr>
                <w:rFonts w:ascii="华文楷体" w:hAnsi="华文楷体" w:eastAsia="华文楷体" w:cs="Times New Roman"/>
                <w:kern w:val="0"/>
                <w:sz w:val="20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kern w:val="0"/>
                <w:sz w:val="20"/>
                <w:szCs w:val="21"/>
              </w:rPr>
              <w:t>龙山县</w:t>
            </w:r>
          </w:p>
        </w:tc>
        <w:tc>
          <w:tcPr>
            <w:tcW w:w="993" w:type="dxa"/>
          </w:tcPr>
          <w:p>
            <w:pPr>
              <w:widowControl/>
              <w:spacing w:after="312" w:afterLines="100"/>
              <w:ind w:firstLine="105" w:firstLineChars="50"/>
              <w:jc w:val="right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279" w:type="dxa"/>
            <w:vAlign w:val="center"/>
          </w:tcPr>
          <w:p>
            <w:pPr>
              <w:spacing w:after="312" w:afterLines="100"/>
              <w:ind w:firstLine="105" w:firstLineChars="50"/>
              <w:jc w:val="right"/>
              <w:rPr>
                <w:rFonts w:hint="eastAsia" w:ascii="宋体" w:hAnsi="宋体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val="en-US" w:eastAsia="zh-CN"/>
              </w:rPr>
              <w:t>41260</w:t>
            </w:r>
          </w:p>
        </w:tc>
        <w:tc>
          <w:tcPr>
            <w:tcW w:w="841" w:type="dxa"/>
            <w:vAlign w:val="center"/>
          </w:tcPr>
          <w:p>
            <w:pPr>
              <w:spacing w:after="312" w:afterLines="100"/>
              <w:ind w:firstLine="105" w:firstLineChars="50"/>
              <w:jc w:val="right"/>
              <w:rPr>
                <w:rFonts w:hint="eastAsia" w:ascii="宋体" w:hAnsi="宋体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val="en-US" w:eastAsia="zh-CN"/>
              </w:rPr>
              <w:t>2.2</w:t>
            </w:r>
          </w:p>
        </w:tc>
      </w:tr>
    </w:tbl>
    <w:p>
      <w:pPr>
        <w:widowControl/>
        <w:jc w:val="center"/>
        <w:rPr>
          <w:rFonts w:ascii="华文楷体" w:hAnsi="华文楷体" w:eastAsia="华文楷体"/>
          <w:b/>
          <w:sz w:val="28"/>
          <w:szCs w:val="28"/>
        </w:rPr>
      </w:pPr>
      <w:r>
        <w:rPr>
          <w:rFonts w:hint="eastAsia" w:ascii="华文楷体" w:hAnsi="华文楷体" w:eastAsia="华文楷体"/>
          <w:b/>
          <w:sz w:val="28"/>
          <w:szCs w:val="28"/>
        </w:rPr>
        <w:t>财政及金融</w:t>
      </w:r>
    </w:p>
    <w:tbl>
      <w:tblPr>
        <w:tblStyle w:val="9"/>
        <w:tblW w:w="4836" w:type="dxa"/>
        <w:tblInd w:w="-147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6"/>
        <w:gridCol w:w="896"/>
        <w:gridCol w:w="946"/>
        <w:gridCol w:w="908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2086" w:type="dxa"/>
            <w:vMerge w:val="restart"/>
            <w:tcBorders>
              <w:top w:val="single" w:color="auto" w:sz="12" w:space="0"/>
            </w:tcBorders>
          </w:tcPr>
          <w:p>
            <w:pPr>
              <w:widowControl/>
              <w:jc w:val="left"/>
              <w:rPr>
                <w:rFonts w:ascii="华文楷体" w:hAnsi="华文楷体" w:eastAsia="华文楷体" w:cs="Times New Roman"/>
                <w:b/>
                <w:kern w:val="0"/>
                <w:szCs w:val="21"/>
              </w:rPr>
            </w:pPr>
          </w:p>
        </w:tc>
        <w:tc>
          <w:tcPr>
            <w:tcW w:w="896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华文楷体" w:hAnsi="华文楷体" w:eastAsia="华文楷体" w:cs="Times New Roman"/>
                <w:b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b/>
                <w:kern w:val="0"/>
                <w:szCs w:val="21"/>
              </w:rPr>
              <w:t xml:space="preserve">计量 </w:t>
            </w:r>
            <w:r>
              <w:rPr>
                <w:rFonts w:ascii="华文楷体" w:hAnsi="华文楷体" w:eastAsia="华文楷体" w:cs="Times New Roman"/>
                <w:b/>
                <w:kern w:val="0"/>
                <w:szCs w:val="21"/>
              </w:rPr>
              <w:t xml:space="preserve"> </w:t>
            </w:r>
            <w:r>
              <w:rPr>
                <w:rFonts w:hint="eastAsia" w:ascii="华文楷体" w:hAnsi="华文楷体" w:eastAsia="华文楷体" w:cs="Times New Roman"/>
                <w:b/>
                <w:kern w:val="0"/>
                <w:szCs w:val="21"/>
              </w:rPr>
              <w:t>单位</w:t>
            </w:r>
          </w:p>
        </w:tc>
        <w:tc>
          <w:tcPr>
            <w:tcW w:w="1854" w:type="dxa"/>
            <w:gridSpan w:val="2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华文楷体" w:hAnsi="华文楷体" w:eastAsia="华文楷体" w:cs="Times New Roman"/>
                <w:b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b/>
                <w:spacing w:val="-10"/>
                <w:kern w:val="0"/>
                <w:szCs w:val="21"/>
              </w:rPr>
              <w:t>1—</w:t>
            </w:r>
            <w:r>
              <w:rPr>
                <w:rFonts w:hint="eastAsia" w:ascii="华文楷体" w:hAnsi="华文楷体" w:eastAsia="华文楷体" w:cs="Times New Roman"/>
                <w:b/>
                <w:spacing w:val="-1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华文楷体" w:hAnsi="华文楷体" w:eastAsia="华文楷体" w:cs="Times New Roman"/>
                <w:b/>
                <w:spacing w:val="-10"/>
                <w:kern w:val="0"/>
                <w:szCs w:val="21"/>
              </w:rPr>
              <w:t>月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086" w:type="dxa"/>
            <w:vMerge w:val="continue"/>
          </w:tcPr>
          <w:p>
            <w:pPr>
              <w:widowControl/>
              <w:jc w:val="left"/>
              <w:rPr>
                <w:rFonts w:ascii="华文楷体" w:hAnsi="华文楷体" w:eastAsia="华文楷体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896" w:type="dxa"/>
            <w:vMerge w:val="continue"/>
            <w:vAlign w:val="center"/>
          </w:tcPr>
          <w:p>
            <w:pPr>
              <w:jc w:val="center"/>
              <w:rPr>
                <w:rFonts w:ascii="华文楷体" w:hAnsi="华文楷体" w:eastAsia="华文楷体" w:cs="Times New Roman"/>
                <w:b/>
                <w:kern w:val="0"/>
                <w:sz w:val="20"/>
                <w:szCs w:val="21"/>
              </w:rPr>
            </w:pPr>
          </w:p>
        </w:tc>
        <w:tc>
          <w:tcPr>
            <w:tcW w:w="94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华文楷体" w:hAnsi="华文楷体" w:eastAsia="华文楷体" w:cs="Times New Roman"/>
                <w:b/>
                <w:spacing w:val="-10"/>
                <w:kern w:val="0"/>
                <w:sz w:val="20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b/>
                <w:spacing w:val="-10"/>
                <w:kern w:val="0"/>
                <w:szCs w:val="21"/>
              </w:rPr>
              <w:t>绝对额</w:t>
            </w:r>
          </w:p>
        </w:tc>
        <w:tc>
          <w:tcPr>
            <w:tcW w:w="90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华文楷体" w:hAnsi="华文楷体" w:eastAsia="华文楷体" w:cs="Times New Roman"/>
                <w:b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b/>
                <w:kern w:val="0"/>
                <w:szCs w:val="21"/>
              </w:rPr>
              <w:t>增速</w:t>
            </w:r>
            <w:r>
              <w:rPr>
                <w:rFonts w:hint="eastAsia" w:ascii="华文楷体" w:hAnsi="华文楷体" w:eastAsia="华文楷体" w:cs="Times New Roman"/>
                <w:b/>
                <w:spacing w:val="-10"/>
                <w:kern w:val="0"/>
                <w:szCs w:val="21"/>
              </w:rPr>
              <w:t>(%)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2086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after="312" w:afterLines="100"/>
              <w:jc w:val="left"/>
              <w:rPr>
                <w:rFonts w:ascii="华文楷体" w:hAnsi="华文楷体" w:eastAsia="华文楷体" w:cs="Times New Roman"/>
                <w:b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b/>
                <w:kern w:val="0"/>
                <w:szCs w:val="21"/>
              </w:rPr>
              <w:t>一般公共预算收入</w:t>
            </w:r>
            <w:r>
              <w:rPr>
                <w:rFonts w:hint="eastAsia" w:ascii="华文楷体" w:hAnsi="华文楷体" w:eastAsia="华文楷体" w:cs="Times New Roman"/>
                <w:bCs/>
                <w:kern w:val="0"/>
                <w:szCs w:val="21"/>
              </w:rPr>
              <w:t>（财政总收入）</w:t>
            </w:r>
          </w:p>
        </w:tc>
        <w:tc>
          <w:tcPr>
            <w:tcW w:w="896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after="312" w:afterLines="100"/>
              <w:jc w:val="center"/>
              <w:rPr>
                <w:rFonts w:ascii="华文楷体" w:hAnsi="华文楷体" w:eastAsia="华文楷体" w:cs="Times New Roman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kern w:val="0"/>
                <w:szCs w:val="21"/>
              </w:rPr>
              <w:t>万元</w:t>
            </w:r>
          </w:p>
        </w:tc>
        <w:tc>
          <w:tcPr>
            <w:tcW w:w="946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10585</w:t>
            </w:r>
          </w:p>
        </w:tc>
        <w:tc>
          <w:tcPr>
            <w:tcW w:w="908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41.6 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2086" w:type="dxa"/>
            <w:vAlign w:val="center"/>
          </w:tcPr>
          <w:p>
            <w:pPr>
              <w:widowControl/>
              <w:spacing w:after="312" w:afterLines="100"/>
              <w:ind w:firstLine="210" w:firstLineChars="100"/>
              <w:jc w:val="left"/>
              <w:rPr>
                <w:rFonts w:ascii="华文楷体" w:hAnsi="华文楷体" w:eastAsia="华文楷体" w:cs="Times New Roman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kern w:val="0"/>
                <w:szCs w:val="21"/>
              </w:rPr>
              <w:t>地方财政收入</w:t>
            </w:r>
          </w:p>
        </w:tc>
        <w:tc>
          <w:tcPr>
            <w:tcW w:w="896" w:type="dxa"/>
            <w:vAlign w:val="center"/>
          </w:tcPr>
          <w:p>
            <w:pPr>
              <w:widowControl/>
              <w:spacing w:after="312" w:afterLines="100"/>
              <w:jc w:val="center"/>
              <w:rPr>
                <w:rFonts w:ascii="华文楷体" w:hAnsi="华文楷体" w:eastAsia="华文楷体" w:cs="Times New Roman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kern w:val="0"/>
                <w:szCs w:val="21"/>
              </w:rPr>
              <w:t>万元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7638</w:t>
            </w:r>
          </w:p>
        </w:tc>
        <w:tc>
          <w:tcPr>
            <w:tcW w:w="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75.4 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2086" w:type="dxa"/>
            <w:vAlign w:val="center"/>
          </w:tcPr>
          <w:p>
            <w:pPr>
              <w:widowControl/>
              <w:spacing w:after="312" w:afterLines="100"/>
              <w:ind w:firstLine="420" w:firstLineChars="200"/>
              <w:jc w:val="left"/>
              <w:rPr>
                <w:rFonts w:ascii="华文楷体" w:hAnsi="华文楷体" w:eastAsia="华文楷体" w:cs="Times New Roman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kern w:val="0"/>
                <w:szCs w:val="21"/>
              </w:rPr>
              <w:t>税收收入</w:t>
            </w:r>
          </w:p>
        </w:tc>
        <w:tc>
          <w:tcPr>
            <w:tcW w:w="896" w:type="dxa"/>
            <w:vAlign w:val="center"/>
          </w:tcPr>
          <w:p>
            <w:pPr>
              <w:widowControl/>
              <w:spacing w:after="312" w:afterLines="100"/>
              <w:jc w:val="center"/>
              <w:rPr>
                <w:rFonts w:ascii="华文楷体" w:hAnsi="华文楷体" w:eastAsia="华文楷体" w:cs="Times New Roman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kern w:val="0"/>
                <w:szCs w:val="21"/>
              </w:rPr>
              <w:t>万元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2265 </w:t>
            </w:r>
          </w:p>
        </w:tc>
        <w:tc>
          <w:tcPr>
            <w:tcW w:w="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-21.3 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2086" w:type="dxa"/>
            <w:vAlign w:val="center"/>
          </w:tcPr>
          <w:p>
            <w:pPr>
              <w:widowControl/>
              <w:spacing w:after="312" w:afterLines="100"/>
              <w:ind w:firstLine="420" w:firstLineChars="200"/>
              <w:jc w:val="left"/>
              <w:rPr>
                <w:rFonts w:ascii="华文楷体" w:hAnsi="华文楷体" w:eastAsia="华文楷体" w:cs="Times New Roman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kern w:val="0"/>
                <w:szCs w:val="21"/>
              </w:rPr>
              <w:t>非税收入</w:t>
            </w:r>
          </w:p>
        </w:tc>
        <w:tc>
          <w:tcPr>
            <w:tcW w:w="896" w:type="dxa"/>
            <w:vAlign w:val="center"/>
          </w:tcPr>
          <w:p>
            <w:pPr>
              <w:widowControl/>
              <w:spacing w:after="312" w:afterLines="100"/>
              <w:jc w:val="center"/>
              <w:rPr>
                <w:rFonts w:ascii="华文楷体" w:hAnsi="华文楷体" w:eastAsia="华文楷体" w:cs="Times New Roman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kern w:val="0"/>
                <w:szCs w:val="21"/>
              </w:rPr>
              <w:t>万元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5373</w:t>
            </w:r>
          </w:p>
        </w:tc>
        <w:tc>
          <w:tcPr>
            <w:tcW w:w="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263.8 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2086" w:type="dxa"/>
            <w:vAlign w:val="center"/>
          </w:tcPr>
          <w:p>
            <w:pPr>
              <w:widowControl/>
              <w:spacing w:after="312" w:afterLines="100"/>
              <w:ind w:firstLine="210" w:firstLineChars="100"/>
              <w:jc w:val="left"/>
              <w:rPr>
                <w:rFonts w:ascii="华文楷体" w:hAnsi="华文楷体" w:eastAsia="华文楷体" w:cs="Times New Roman"/>
                <w:spacing w:val="-14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kern w:val="0"/>
                <w:szCs w:val="21"/>
              </w:rPr>
              <w:t>上划收入</w:t>
            </w:r>
          </w:p>
        </w:tc>
        <w:tc>
          <w:tcPr>
            <w:tcW w:w="896" w:type="dxa"/>
            <w:vAlign w:val="center"/>
          </w:tcPr>
          <w:p>
            <w:pPr>
              <w:widowControl/>
              <w:spacing w:after="312" w:afterLines="100"/>
              <w:jc w:val="center"/>
              <w:rPr>
                <w:rFonts w:ascii="华文楷体" w:hAnsi="华文楷体" w:eastAsia="华文楷体" w:cs="Times New Roman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kern w:val="0"/>
                <w:szCs w:val="21"/>
              </w:rPr>
              <w:t>万元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2947</w:t>
            </w:r>
          </w:p>
        </w:tc>
        <w:tc>
          <w:tcPr>
            <w:tcW w:w="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-5.6 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2086" w:type="dxa"/>
            <w:vAlign w:val="center"/>
          </w:tcPr>
          <w:p>
            <w:pPr>
              <w:widowControl/>
              <w:spacing w:after="312" w:afterLines="100"/>
              <w:jc w:val="left"/>
              <w:rPr>
                <w:rFonts w:ascii="华文楷体" w:hAnsi="华文楷体" w:eastAsia="华文楷体" w:cs="Times New Roman"/>
                <w:b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b/>
                <w:kern w:val="0"/>
                <w:szCs w:val="21"/>
              </w:rPr>
              <w:t>财政总支出</w:t>
            </w:r>
          </w:p>
        </w:tc>
        <w:tc>
          <w:tcPr>
            <w:tcW w:w="896" w:type="dxa"/>
            <w:vAlign w:val="center"/>
          </w:tcPr>
          <w:p>
            <w:pPr>
              <w:widowControl/>
              <w:spacing w:after="312" w:afterLines="100"/>
              <w:jc w:val="center"/>
              <w:rPr>
                <w:rFonts w:ascii="华文楷体" w:hAnsi="华文楷体" w:eastAsia="华文楷体" w:cs="Times New Roman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kern w:val="0"/>
                <w:szCs w:val="21"/>
              </w:rPr>
              <w:t>万元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79160</w:t>
            </w:r>
          </w:p>
        </w:tc>
        <w:tc>
          <w:tcPr>
            <w:tcW w:w="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5.9 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2086" w:type="dxa"/>
            <w:vAlign w:val="center"/>
          </w:tcPr>
          <w:p>
            <w:pPr>
              <w:widowControl/>
              <w:spacing w:after="312" w:afterLines="100"/>
              <w:rPr>
                <w:rFonts w:ascii="华文楷体" w:hAnsi="华文楷体" w:eastAsia="华文楷体" w:cs="Times New Roman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kern w:val="0"/>
                <w:szCs w:val="21"/>
              </w:rPr>
              <w:t>金融</w:t>
            </w:r>
            <w:r>
              <w:rPr>
                <w:rFonts w:ascii="华文楷体" w:hAnsi="华文楷体" w:eastAsia="华文楷体" w:cs="Times New Roman"/>
                <w:kern w:val="0"/>
                <w:szCs w:val="21"/>
              </w:rPr>
              <w:t>机构</w:t>
            </w:r>
            <w:r>
              <w:rPr>
                <w:rFonts w:hint="eastAsia" w:ascii="华文楷体" w:hAnsi="华文楷体" w:eastAsia="华文楷体" w:cs="Times New Roman"/>
                <w:kern w:val="0"/>
                <w:szCs w:val="21"/>
              </w:rPr>
              <w:t>本外</w:t>
            </w:r>
            <w:r>
              <w:rPr>
                <w:rFonts w:ascii="华文楷体" w:hAnsi="华文楷体" w:eastAsia="华文楷体" w:cs="Times New Roman"/>
                <w:kern w:val="0"/>
                <w:szCs w:val="21"/>
              </w:rPr>
              <w:t>币</w:t>
            </w:r>
            <w:r>
              <w:rPr>
                <w:rFonts w:hint="eastAsia" w:ascii="华文楷体" w:hAnsi="华文楷体" w:eastAsia="华文楷体" w:cs="Times New Roman"/>
                <w:kern w:val="0"/>
                <w:szCs w:val="21"/>
              </w:rPr>
              <w:t>各项存款余额</w:t>
            </w:r>
          </w:p>
        </w:tc>
        <w:tc>
          <w:tcPr>
            <w:tcW w:w="896" w:type="dxa"/>
            <w:vAlign w:val="center"/>
          </w:tcPr>
          <w:p>
            <w:pPr>
              <w:widowControl/>
              <w:spacing w:after="312" w:afterLines="100"/>
              <w:ind w:firstLine="105" w:firstLineChars="50"/>
              <w:rPr>
                <w:rFonts w:ascii="华文楷体" w:hAnsi="华文楷体" w:eastAsia="华文楷体" w:cs="Times New Roman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kern w:val="0"/>
                <w:szCs w:val="21"/>
              </w:rPr>
              <w:t>亿元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135.5</w:t>
            </w:r>
          </w:p>
        </w:tc>
        <w:tc>
          <w:tcPr>
            <w:tcW w:w="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/>
              </w:rPr>
            </w:pPr>
            <w:bookmarkStart w:id="1" w:name="_GoBack"/>
            <w:bookmarkEnd w:id="1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2086" w:type="dxa"/>
            <w:vAlign w:val="center"/>
          </w:tcPr>
          <w:p>
            <w:pPr>
              <w:widowControl/>
              <w:spacing w:after="312" w:afterLines="100"/>
              <w:rPr>
                <w:rFonts w:ascii="华文楷体" w:hAnsi="华文楷体" w:eastAsia="华文楷体" w:cs="Times New Roman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kern w:val="0"/>
                <w:szCs w:val="21"/>
              </w:rPr>
              <w:t>金融机构本外币各项贷款余额</w:t>
            </w:r>
          </w:p>
        </w:tc>
        <w:tc>
          <w:tcPr>
            <w:tcW w:w="896" w:type="dxa"/>
            <w:vAlign w:val="center"/>
          </w:tcPr>
          <w:p>
            <w:pPr>
              <w:widowControl/>
              <w:spacing w:after="312" w:afterLines="100"/>
              <w:ind w:firstLine="105" w:firstLineChars="50"/>
              <w:rPr>
                <w:rFonts w:ascii="华文楷体" w:hAnsi="华文楷体" w:eastAsia="华文楷体" w:cs="Times New Roman"/>
                <w:kern w:val="0"/>
                <w:szCs w:val="21"/>
              </w:rPr>
            </w:pPr>
            <w:r>
              <w:rPr>
                <w:rFonts w:hint="eastAsia" w:ascii="华文楷体" w:hAnsi="华文楷体" w:eastAsia="华文楷体" w:cs="Times New Roman"/>
                <w:kern w:val="0"/>
                <w:szCs w:val="21"/>
              </w:rPr>
              <w:t>亿元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137.9</w:t>
            </w:r>
          </w:p>
        </w:tc>
        <w:tc>
          <w:tcPr>
            <w:tcW w:w="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2.6</w:t>
            </w:r>
          </w:p>
        </w:tc>
      </w:tr>
    </w:tbl>
    <w:p>
      <w:pPr>
        <w:widowControl/>
        <w:spacing w:line="270" w:lineRule="exact"/>
        <w:jc w:val="center"/>
        <w:rPr>
          <w:rFonts w:ascii="华文楷体" w:hAnsi="华文楷体" w:eastAsia="华文楷体"/>
          <w:b/>
          <w:bCs/>
          <w:sz w:val="28"/>
          <w:szCs w:val="28"/>
        </w:rPr>
      </w:pPr>
      <w:r>
        <w:rPr>
          <w:rFonts w:hint="eastAsia" w:ascii="华文楷体" w:hAnsi="华文楷体" w:eastAsia="华文楷体"/>
          <w:b/>
          <w:bCs/>
          <w:sz w:val="28"/>
          <w:szCs w:val="28"/>
        </w:rPr>
        <w:t>“四上”企业统计标准</w:t>
      </w:r>
    </w:p>
    <w:p>
      <w:pPr>
        <w:widowControl/>
        <w:spacing w:line="270" w:lineRule="exact"/>
        <w:ind w:firstLine="561" w:firstLineChars="200"/>
        <w:rPr>
          <w:rFonts w:ascii="华文楷体" w:hAnsi="华文楷体" w:eastAsia="华文楷体"/>
          <w:b/>
          <w:bCs/>
          <w:sz w:val="28"/>
          <w:szCs w:val="28"/>
        </w:rPr>
      </w:pPr>
    </w:p>
    <w:p>
      <w:pPr>
        <w:widowControl/>
        <w:spacing w:line="270" w:lineRule="exact"/>
        <w:ind w:firstLine="561" w:firstLineChars="200"/>
        <w:rPr>
          <w:rFonts w:ascii="华文楷体" w:hAnsi="华文楷体" w:eastAsia="华文楷体"/>
          <w:b/>
          <w:bCs/>
          <w:sz w:val="28"/>
          <w:szCs w:val="28"/>
        </w:rPr>
      </w:pPr>
      <w:r>
        <w:rPr>
          <w:rFonts w:hint="eastAsia" w:ascii="华文楷体" w:hAnsi="华文楷体" w:eastAsia="华文楷体"/>
          <w:b/>
          <w:bCs/>
          <w:sz w:val="28"/>
          <w:szCs w:val="28"/>
        </w:rPr>
        <w:t>规模以上工业</w:t>
      </w:r>
    </w:p>
    <w:p>
      <w:pPr>
        <w:widowControl/>
        <w:spacing w:line="270" w:lineRule="exact"/>
        <w:ind w:firstLine="560" w:firstLineChars="200"/>
        <w:rPr>
          <w:rFonts w:ascii="华文楷体" w:hAnsi="华文楷体" w:eastAsia="华文楷体"/>
          <w:b/>
          <w:bCs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>年主营业务收入</w:t>
      </w:r>
      <w:r>
        <w:rPr>
          <w:rFonts w:ascii="华文楷体" w:hAnsi="华文楷体" w:eastAsia="华文楷体"/>
          <w:sz w:val="28"/>
          <w:szCs w:val="28"/>
        </w:rPr>
        <w:t>2000万元及以上</w:t>
      </w:r>
    </w:p>
    <w:p>
      <w:pPr>
        <w:widowControl/>
        <w:spacing w:line="270" w:lineRule="exact"/>
        <w:ind w:firstLine="561" w:firstLineChars="200"/>
        <w:rPr>
          <w:rFonts w:ascii="华文楷体" w:hAnsi="华文楷体" w:eastAsia="华文楷体"/>
          <w:b/>
          <w:bCs/>
          <w:sz w:val="28"/>
          <w:szCs w:val="28"/>
        </w:rPr>
      </w:pPr>
      <w:r>
        <w:rPr>
          <w:rFonts w:hint="eastAsia" w:ascii="华文楷体" w:hAnsi="华文楷体" w:eastAsia="华文楷体"/>
          <w:b/>
          <w:bCs/>
          <w:sz w:val="28"/>
          <w:szCs w:val="28"/>
        </w:rPr>
        <w:t>限额以上批发零售住宿餐饮业</w:t>
      </w:r>
    </w:p>
    <w:p>
      <w:pPr>
        <w:widowControl/>
        <w:spacing w:line="270" w:lineRule="exact"/>
        <w:ind w:firstLine="560" w:firstLineChars="200"/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>批发业年主营业务收入</w:t>
      </w:r>
      <w:r>
        <w:rPr>
          <w:rFonts w:ascii="华文楷体" w:hAnsi="华文楷体" w:eastAsia="华文楷体"/>
          <w:sz w:val="28"/>
          <w:szCs w:val="28"/>
        </w:rPr>
        <w:t>2000万元及以上</w:t>
      </w:r>
      <w:r>
        <w:rPr>
          <w:rFonts w:hint="eastAsia" w:ascii="华文楷体" w:hAnsi="华文楷体" w:eastAsia="华文楷体"/>
          <w:sz w:val="28"/>
          <w:szCs w:val="28"/>
        </w:rPr>
        <w:t>。</w:t>
      </w:r>
    </w:p>
    <w:p>
      <w:pPr>
        <w:widowControl/>
        <w:spacing w:line="270" w:lineRule="exact"/>
        <w:ind w:firstLine="560" w:firstLineChars="200"/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>零售业年主营业务收入</w:t>
      </w:r>
      <w:r>
        <w:rPr>
          <w:rFonts w:ascii="华文楷体" w:hAnsi="华文楷体" w:eastAsia="华文楷体"/>
          <w:sz w:val="28"/>
          <w:szCs w:val="28"/>
        </w:rPr>
        <w:t>500万元及以上</w:t>
      </w:r>
      <w:r>
        <w:rPr>
          <w:rFonts w:hint="eastAsia" w:ascii="华文楷体" w:hAnsi="华文楷体" w:eastAsia="华文楷体"/>
          <w:sz w:val="28"/>
          <w:szCs w:val="28"/>
        </w:rPr>
        <w:t>。</w:t>
      </w:r>
    </w:p>
    <w:p>
      <w:pPr>
        <w:widowControl/>
        <w:spacing w:line="270" w:lineRule="exact"/>
        <w:ind w:firstLine="560" w:firstLineChars="200"/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>住宿餐饮业年主营业务收入</w:t>
      </w:r>
      <w:r>
        <w:rPr>
          <w:rFonts w:ascii="华文楷体" w:hAnsi="华文楷体" w:eastAsia="华文楷体"/>
          <w:sz w:val="28"/>
          <w:szCs w:val="28"/>
        </w:rPr>
        <w:t>200万元及以上</w:t>
      </w:r>
      <w:r>
        <w:rPr>
          <w:rFonts w:hint="eastAsia" w:ascii="华文楷体" w:hAnsi="华文楷体" w:eastAsia="华文楷体"/>
          <w:sz w:val="28"/>
          <w:szCs w:val="28"/>
        </w:rPr>
        <w:t>。</w:t>
      </w:r>
    </w:p>
    <w:p>
      <w:pPr>
        <w:widowControl/>
        <w:spacing w:line="270" w:lineRule="exact"/>
        <w:ind w:firstLine="561" w:firstLineChars="200"/>
        <w:rPr>
          <w:rFonts w:ascii="华文楷体" w:hAnsi="华文楷体" w:eastAsia="华文楷体"/>
          <w:b/>
          <w:bCs/>
          <w:sz w:val="28"/>
          <w:szCs w:val="28"/>
        </w:rPr>
      </w:pPr>
      <w:r>
        <w:rPr>
          <w:rFonts w:hint="eastAsia" w:ascii="华文楷体" w:hAnsi="华文楷体" w:eastAsia="华文楷体"/>
          <w:b/>
          <w:bCs/>
          <w:sz w:val="28"/>
          <w:szCs w:val="28"/>
        </w:rPr>
        <w:t>规模以上服务业</w:t>
      </w:r>
    </w:p>
    <w:p>
      <w:pPr>
        <w:widowControl/>
        <w:spacing w:line="270" w:lineRule="exact"/>
        <w:ind w:firstLine="560" w:firstLineChars="200"/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>交通运输、仓储和邮政业，信息传输、软件和信息技术服务业，水利、环境和公共设施管理业和卫生行业大类，</w:t>
      </w:r>
      <w:r>
        <w:rPr>
          <w:rFonts w:ascii="华文楷体" w:hAnsi="华文楷体" w:eastAsia="华文楷体"/>
          <w:sz w:val="28"/>
          <w:szCs w:val="28"/>
        </w:rPr>
        <w:t>年营业收入2000万元及以上</w:t>
      </w:r>
    </w:p>
    <w:p>
      <w:pPr>
        <w:widowControl/>
        <w:spacing w:line="270" w:lineRule="exact"/>
        <w:ind w:firstLine="560" w:firstLineChars="200"/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>租赁和商务服务业，科学研究和技术服务业，教育、物业管理、房地产中介服务、房地产租赁经营和其他房地产业，</w:t>
      </w:r>
      <w:r>
        <w:rPr>
          <w:rFonts w:ascii="华文楷体" w:hAnsi="华文楷体" w:eastAsia="华文楷体"/>
          <w:sz w:val="28"/>
          <w:szCs w:val="28"/>
        </w:rPr>
        <w:t>年营业收入1000万元及以上</w:t>
      </w:r>
    </w:p>
    <w:p>
      <w:pPr>
        <w:widowControl/>
        <w:spacing w:line="270" w:lineRule="exact"/>
        <w:ind w:firstLine="560" w:firstLineChars="200"/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>居民服务、修理和其他服务业，文化、体育和娱乐业和社会工作行业大类，</w:t>
      </w:r>
      <w:r>
        <w:rPr>
          <w:rFonts w:ascii="华文楷体" w:hAnsi="华文楷体" w:eastAsia="华文楷体"/>
          <w:sz w:val="28"/>
          <w:szCs w:val="28"/>
        </w:rPr>
        <w:t>年营业收入500万元及以上</w:t>
      </w:r>
      <w:r>
        <w:rPr>
          <w:rFonts w:hint="eastAsia" w:ascii="华文楷体" w:hAnsi="华文楷体" w:eastAsia="华文楷体"/>
          <w:sz w:val="28"/>
          <w:szCs w:val="28"/>
        </w:rPr>
        <w:t>。</w:t>
      </w:r>
    </w:p>
    <w:p>
      <w:pPr>
        <w:widowControl/>
        <w:spacing w:line="270" w:lineRule="exact"/>
        <w:ind w:firstLine="561" w:firstLineChars="200"/>
        <w:rPr>
          <w:rFonts w:ascii="华文楷体" w:hAnsi="华文楷体" w:eastAsia="华文楷体"/>
          <w:b/>
          <w:bCs/>
          <w:sz w:val="28"/>
          <w:szCs w:val="28"/>
        </w:rPr>
      </w:pPr>
      <w:r>
        <w:rPr>
          <w:rFonts w:hint="eastAsia" w:ascii="华文楷体" w:hAnsi="华文楷体" w:eastAsia="华文楷体"/>
          <w:b/>
          <w:bCs/>
          <w:sz w:val="28"/>
          <w:szCs w:val="28"/>
        </w:rPr>
        <w:t>建筑业</w:t>
      </w:r>
    </w:p>
    <w:p>
      <w:pPr>
        <w:widowControl/>
        <w:spacing w:line="270" w:lineRule="exact"/>
        <w:ind w:firstLine="560" w:firstLineChars="200"/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>在本地注册，有总承包、专业承包资质等级证书的建筑企业。</w:t>
      </w:r>
    </w:p>
    <w:p>
      <w:pPr>
        <w:widowControl/>
        <w:spacing w:line="270" w:lineRule="exact"/>
        <w:ind w:firstLine="561" w:firstLineChars="200"/>
        <w:rPr>
          <w:rFonts w:ascii="华文楷体" w:hAnsi="华文楷体" w:eastAsia="华文楷体"/>
          <w:b/>
          <w:bCs/>
          <w:sz w:val="28"/>
          <w:szCs w:val="28"/>
        </w:rPr>
      </w:pPr>
      <w:r>
        <w:rPr>
          <w:rFonts w:hint="eastAsia" w:ascii="华文楷体" w:hAnsi="华文楷体" w:eastAsia="华文楷体"/>
          <w:b/>
          <w:bCs/>
          <w:sz w:val="28"/>
          <w:szCs w:val="28"/>
        </w:rPr>
        <w:t>房地产开发业</w:t>
      </w:r>
    </w:p>
    <w:p>
      <w:pPr>
        <w:widowControl/>
        <w:spacing w:line="270" w:lineRule="exact"/>
        <w:ind w:firstLine="560" w:firstLineChars="200"/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>在本地注册，有开发经营活动的全部房地产开发经营业法人单位。</w:t>
      </w:r>
    </w:p>
    <w:p>
      <w:pPr>
        <w:widowControl/>
        <w:spacing w:line="270" w:lineRule="exact"/>
        <w:jc w:val="center"/>
        <w:rPr>
          <w:rFonts w:ascii="华文楷体" w:hAnsi="华文楷体" w:eastAsia="华文楷体"/>
          <w:b/>
          <w:bCs/>
          <w:szCs w:val="21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8419" w:h="11906" w:orient="landscape"/>
      <w:pgMar w:top="1701" w:right="3119" w:bottom="567" w:left="567" w:header="284" w:footer="284" w:gutter="0"/>
      <w:pgNumType w:fmt="numberInDash"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宋体" w:hAnsi="宋体" w:eastAsia="宋体"/>
        <w:sz w:val="21"/>
        <w:szCs w:val="21"/>
      </w:rPr>
      <w:id w:val="-1623606558"/>
    </w:sdtPr>
    <w:sdtEndPr>
      <w:rPr>
        <w:rFonts w:ascii="宋体" w:hAnsi="宋体" w:eastAsia="宋体"/>
        <w:sz w:val="21"/>
        <w:szCs w:val="21"/>
      </w:rPr>
    </w:sdtEndPr>
    <w:sdtContent>
      <w:p>
        <w:pPr>
          <w:pStyle w:val="5"/>
          <w:rPr>
            <w:rFonts w:ascii="宋体" w:hAnsi="宋体" w:eastAsia="宋体"/>
            <w:sz w:val="21"/>
            <w:szCs w:val="21"/>
          </w:rPr>
        </w:pPr>
        <w:r>
          <w:rPr>
            <w:rFonts w:ascii="宋体" w:hAnsi="宋体" w:eastAsia="宋体"/>
            <w:sz w:val="21"/>
            <w:szCs w:val="21"/>
          </w:rPr>
          <w:fldChar w:fldCharType="begin"/>
        </w:r>
        <w:r>
          <w:rPr>
            <w:rFonts w:ascii="宋体" w:hAnsi="宋体" w:eastAsia="宋体"/>
            <w:sz w:val="21"/>
            <w:szCs w:val="21"/>
          </w:rPr>
          <w:instrText xml:space="preserve">PAGE   \* MERGEFORMAT</w:instrText>
        </w:r>
        <w:r>
          <w:rPr>
            <w:rFonts w:ascii="宋体" w:hAnsi="宋体" w:eastAsia="宋体"/>
            <w:sz w:val="21"/>
            <w:szCs w:val="21"/>
          </w:rPr>
          <w:fldChar w:fldCharType="separate"/>
        </w:r>
        <w:r>
          <w:rPr>
            <w:rFonts w:ascii="宋体" w:hAnsi="宋体" w:eastAsia="宋体"/>
            <w:sz w:val="21"/>
            <w:szCs w:val="21"/>
            <w:lang w:val="zh-CN"/>
          </w:rPr>
          <w:t>-</w:t>
        </w:r>
        <w:r>
          <w:rPr>
            <w:rFonts w:ascii="宋体" w:hAnsi="宋体" w:eastAsia="宋体"/>
            <w:sz w:val="21"/>
            <w:szCs w:val="21"/>
          </w:rPr>
          <w:t xml:space="preserve"> 5 -</w:t>
        </w:r>
        <w:r>
          <w:rPr>
            <w:rFonts w:ascii="宋体" w:hAnsi="宋体" w:eastAsia="宋体"/>
            <w:sz w:val="21"/>
            <w:szCs w:val="21"/>
          </w:rPr>
          <w:fldChar w:fldCharType="end"/>
        </w:r>
      </w:p>
    </w:sdtContent>
  </w:sdt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98660391"/>
    </w:sdtPr>
    <w:sdtEndPr>
      <w:rPr>
        <w:rFonts w:ascii="宋体" w:hAnsi="宋体" w:eastAsia="宋体"/>
        <w:sz w:val="21"/>
        <w:szCs w:val="21"/>
      </w:rPr>
    </w:sdtEndPr>
    <w:sdtContent>
      <w:p>
        <w:pPr>
          <w:pStyle w:val="5"/>
          <w:jc w:val="right"/>
          <w:rPr>
            <w:rFonts w:ascii="宋体" w:hAnsi="宋体" w:eastAsia="宋体"/>
            <w:sz w:val="21"/>
            <w:szCs w:val="21"/>
          </w:rPr>
        </w:pPr>
        <w:r>
          <w:rPr>
            <w:rFonts w:ascii="宋体" w:hAnsi="宋体" w:eastAsia="宋体"/>
            <w:sz w:val="21"/>
            <w:szCs w:val="21"/>
          </w:rPr>
          <w:fldChar w:fldCharType="begin"/>
        </w:r>
        <w:r>
          <w:rPr>
            <w:rFonts w:ascii="宋体" w:hAnsi="宋体" w:eastAsia="宋体"/>
            <w:sz w:val="21"/>
            <w:szCs w:val="21"/>
          </w:rPr>
          <w:instrText xml:space="preserve">PAGE   \* MERGEFORMAT</w:instrText>
        </w:r>
        <w:r>
          <w:rPr>
            <w:rFonts w:ascii="宋体" w:hAnsi="宋体" w:eastAsia="宋体"/>
            <w:sz w:val="21"/>
            <w:szCs w:val="21"/>
          </w:rPr>
          <w:fldChar w:fldCharType="separate"/>
        </w:r>
        <w:r>
          <w:rPr>
            <w:rFonts w:ascii="宋体" w:hAnsi="宋体" w:eastAsia="宋体"/>
            <w:sz w:val="21"/>
            <w:szCs w:val="21"/>
            <w:lang w:val="zh-CN"/>
          </w:rPr>
          <w:t>-</w:t>
        </w:r>
        <w:r>
          <w:rPr>
            <w:rFonts w:ascii="宋体" w:hAnsi="宋体" w:eastAsia="宋体"/>
            <w:sz w:val="21"/>
            <w:szCs w:val="21"/>
          </w:rPr>
          <w:t xml:space="preserve"> 8 -</w:t>
        </w:r>
        <w:r>
          <w:rPr>
            <w:rFonts w:ascii="宋体" w:hAnsi="宋体" w:eastAsia="宋体"/>
            <w:sz w:val="21"/>
            <w:szCs w:val="21"/>
          </w:rPr>
          <w:fldChar w:fldCharType="end"/>
        </w:r>
      </w:p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evenAndOddHeaders w:val="1"/>
  <w:bookFoldPrinting w:val="1"/>
  <w:bookFoldPrintingSheets w:val="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dkN2ExOTNlZWE2ODhiZDdmOTA3NzUyY2YxNGJjYjEifQ=="/>
  </w:docVars>
  <w:rsids>
    <w:rsidRoot w:val="008C6BB4"/>
    <w:rsid w:val="000010B7"/>
    <w:rsid w:val="00001FF0"/>
    <w:rsid w:val="00003780"/>
    <w:rsid w:val="0000691D"/>
    <w:rsid w:val="00007DE8"/>
    <w:rsid w:val="00012248"/>
    <w:rsid w:val="0001458A"/>
    <w:rsid w:val="00014B97"/>
    <w:rsid w:val="000151CB"/>
    <w:rsid w:val="000151FE"/>
    <w:rsid w:val="0001520B"/>
    <w:rsid w:val="00017455"/>
    <w:rsid w:val="00017D75"/>
    <w:rsid w:val="00017EB6"/>
    <w:rsid w:val="00020024"/>
    <w:rsid w:val="00024926"/>
    <w:rsid w:val="00024D93"/>
    <w:rsid w:val="0002627E"/>
    <w:rsid w:val="00030A20"/>
    <w:rsid w:val="00032767"/>
    <w:rsid w:val="00041697"/>
    <w:rsid w:val="00044FDA"/>
    <w:rsid w:val="000511BF"/>
    <w:rsid w:val="00053780"/>
    <w:rsid w:val="000561E0"/>
    <w:rsid w:val="00057164"/>
    <w:rsid w:val="000578E1"/>
    <w:rsid w:val="00057B5A"/>
    <w:rsid w:val="00057D7B"/>
    <w:rsid w:val="0006049F"/>
    <w:rsid w:val="00061B40"/>
    <w:rsid w:val="0006639C"/>
    <w:rsid w:val="00066C0F"/>
    <w:rsid w:val="00072FB4"/>
    <w:rsid w:val="00077D1A"/>
    <w:rsid w:val="00082910"/>
    <w:rsid w:val="00087925"/>
    <w:rsid w:val="000900E0"/>
    <w:rsid w:val="0009072E"/>
    <w:rsid w:val="00092765"/>
    <w:rsid w:val="00094DBA"/>
    <w:rsid w:val="0009522E"/>
    <w:rsid w:val="00095378"/>
    <w:rsid w:val="00097CFB"/>
    <w:rsid w:val="00097D36"/>
    <w:rsid w:val="000A069C"/>
    <w:rsid w:val="000A1879"/>
    <w:rsid w:val="000A3ED0"/>
    <w:rsid w:val="000A472E"/>
    <w:rsid w:val="000A5E14"/>
    <w:rsid w:val="000B0C28"/>
    <w:rsid w:val="000B3635"/>
    <w:rsid w:val="000B364F"/>
    <w:rsid w:val="000B4263"/>
    <w:rsid w:val="000B493E"/>
    <w:rsid w:val="000B5515"/>
    <w:rsid w:val="000B6DBE"/>
    <w:rsid w:val="000C1F33"/>
    <w:rsid w:val="000C22BE"/>
    <w:rsid w:val="000C38D7"/>
    <w:rsid w:val="000C57A4"/>
    <w:rsid w:val="000D05CF"/>
    <w:rsid w:val="000D081C"/>
    <w:rsid w:val="000D0BC7"/>
    <w:rsid w:val="000D1903"/>
    <w:rsid w:val="000D2B4D"/>
    <w:rsid w:val="000D3EFE"/>
    <w:rsid w:val="000D49F2"/>
    <w:rsid w:val="000D697E"/>
    <w:rsid w:val="000E4E5D"/>
    <w:rsid w:val="000E5FF2"/>
    <w:rsid w:val="000F17CC"/>
    <w:rsid w:val="000F4758"/>
    <w:rsid w:val="000F4BF9"/>
    <w:rsid w:val="000F6134"/>
    <w:rsid w:val="000F7A51"/>
    <w:rsid w:val="001051D1"/>
    <w:rsid w:val="00106964"/>
    <w:rsid w:val="0011101F"/>
    <w:rsid w:val="001112E7"/>
    <w:rsid w:val="00115F80"/>
    <w:rsid w:val="00116A89"/>
    <w:rsid w:val="00116FC9"/>
    <w:rsid w:val="0012204F"/>
    <w:rsid w:val="0012411A"/>
    <w:rsid w:val="00136B75"/>
    <w:rsid w:val="001378E5"/>
    <w:rsid w:val="00137CAC"/>
    <w:rsid w:val="00140747"/>
    <w:rsid w:val="001527FF"/>
    <w:rsid w:val="00155B3D"/>
    <w:rsid w:val="00155C12"/>
    <w:rsid w:val="00163CE9"/>
    <w:rsid w:val="001647E8"/>
    <w:rsid w:val="00164CCB"/>
    <w:rsid w:val="00165538"/>
    <w:rsid w:val="001657E5"/>
    <w:rsid w:val="00166AA5"/>
    <w:rsid w:val="0016711D"/>
    <w:rsid w:val="00170935"/>
    <w:rsid w:val="00172EA9"/>
    <w:rsid w:val="001740E7"/>
    <w:rsid w:val="001744A5"/>
    <w:rsid w:val="00174FA7"/>
    <w:rsid w:val="00180852"/>
    <w:rsid w:val="00181281"/>
    <w:rsid w:val="00183509"/>
    <w:rsid w:val="0018381B"/>
    <w:rsid w:val="001938D9"/>
    <w:rsid w:val="001A2975"/>
    <w:rsid w:val="001A385B"/>
    <w:rsid w:val="001A408B"/>
    <w:rsid w:val="001A6B1D"/>
    <w:rsid w:val="001A6EBB"/>
    <w:rsid w:val="001A7960"/>
    <w:rsid w:val="001A7A11"/>
    <w:rsid w:val="001B475A"/>
    <w:rsid w:val="001B4AFA"/>
    <w:rsid w:val="001B6CF1"/>
    <w:rsid w:val="001B6F1B"/>
    <w:rsid w:val="001B7831"/>
    <w:rsid w:val="001C15A6"/>
    <w:rsid w:val="001C31D1"/>
    <w:rsid w:val="001C3DC3"/>
    <w:rsid w:val="001C4D6D"/>
    <w:rsid w:val="001D495A"/>
    <w:rsid w:val="001D68B3"/>
    <w:rsid w:val="001D6E51"/>
    <w:rsid w:val="001E0088"/>
    <w:rsid w:val="001E05B4"/>
    <w:rsid w:val="001E0FCE"/>
    <w:rsid w:val="001E157B"/>
    <w:rsid w:val="001E43A7"/>
    <w:rsid w:val="001E577F"/>
    <w:rsid w:val="001E57DC"/>
    <w:rsid w:val="001F0963"/>
    <w:rsid w:val="001F3CD3"/>
    <w:rsid w:val="001F61D7"/>
    <w:rsid w:val="001F76AC"/>
    <w:rsid w:val="0020002F"/>
    <w:rsid w:val="00201FE1"/>
    <w:rsid w:val="002054FD"/>
    <w:rsid w:val="00212B11"/>
    <w:rsid w:val="0021412E"/>
    <w:rsid w:val="0021507B"/>
    <w:rsid w:val="00215520"/>
    <w:rsid w:val="00217750"/>
    <w:rsid w:val="0022300B"/>
    <w:rsid w:val="0022447E"/>
    <w:rsid w:val="002246F1"/>
    <w:rsid w:val="00224B1E"/>
    <w:rsid w:val="00227B24"/>
    <w:rsid w:val="00230C61"/>
    <w:rsid w:val="0023254E"/>
    <w:rsid w:val="002338C0"/>
    <w:rsid w:val="00234CB2"/>
    <w:rsid w:val="0024011D"/>
    <w:rsid w:val="00240CD1"/>
    <w:rsid w:val="002434F6"/>
    <w:rsid w:val="00243CCC"/>
    <w:rsid w:val="00247700"/>
    <w:rsid w:val="0024781A"/>
    <w:rsid w:val="00250D72"/>
    <w:rsid w:val="00250E72"/>
    <w:rsid w:val="00263DC4"/>
    <w:rsid w:val="00263EF2"/>
    <w:rsid w:val="00266090"/>
    <w:rsid w:val="002668E6"/>
    <w:rsid w:val="00270D6B"/>
    <w:rsid w:val="002722C9"/>
    <w:rsid w:val="00274FC1"/>
    <w:rsid w:val="00280622"/>
    <w:rsid w:val="002830E6"/>
    <w:rsid w:val="0028465C"/>
    <w:rsid w:val="00284FE3"/>
    <w:rsid w:val="00286314"/>
    <w:rsid w:val="00293290"/>
    <w:rsid w:val="00293EF6"/>
    <w:rsid w:val="002947A8"/>
    <w:rsid w:val="00295A89"/>
    <w:rsid w:val="002A0C50"/>
    <w:rsid w:val="002A0D10"/>
    <w:rsid w:val="002A36FB"/>
    <w:rsid w:val="002A5EC5"/>
    <w:rsid w:val="002B3FDF"/>
    <w:rsid w:val="002B505F"/>
    <w:rsid w:val="002B6646"/>
    <w:rsid w:val="002C2CC1"/>
    <w:rsid w:val="002C52B6"/>
    <w:rsid w:val="002C6E4C"/>
    <w:rsid w:val="002D12D4"/>
    <w:rsid w:val="002D639B"/>
    <w:rsid w:val="002D7F6A"/>
    <w:rsid w:val="002E7515"/>
    <w:rsid w:val="002E7BF8"/>
    <w:rsid w:val="002F1363"/>
    <w:rsid w:val="002F2047"/>
    <w:rsid w:val="002F218D"/>
    <w:rsid w:val="002F4201"/>
    <w:rsid w:val="002F50D5"/>
    <w:rsid w:val="002F63E8"/>
    <w:rsid w:val="00301658"/>
    <w:rsid w:val="00302818"/>
    <w:rsid w:val="00304713"/>
    <w:rsid w:val="0030639D"/>
    <w:rsid w:val="00306954"/>
    <w:rsid w:val="0030731F"/>
    <w:rsid w:val="00310827"/>
    <w:rsid w:val="00312155"/>
    <w:rsid w:val="003154B3"/>
    <w:rsid w:val="00320276"/>
    <w:rsid w:val="00320FA9"/>
    <w:rsid w:val="00321CD1"/>
    <w:rsid w:val="00321EF2"/>
    <w:rsid w:val="003230E5"/>
    <w:rsid w:val="003233CA"/>
    <w:rsid w:val="003235AD"/>
    <w:rsid w:val="00330437"/>
    <w:rsid w:val="003315FD"/>
    <w:rsid w:val="00331973"/>
    <w:rsid w:val="00333AC4"/>
    <w:rsid w:val="0033418B"/>
    <w:rsid w:val="003343A6"/>
    <w:rsid w:val="00335409"/>
    <w:rsid w:val="00335D87"/>
    <w:rsid w:val="00336BE2"/>
    <w:rsid w:val="003371F3"/>
    <w:rsid w:val="00342949"/>
    <w:rsid w:val="003464B2"/>
    <w:rsid w:val="00350461"/>
    <w:rsid w:val="00350C09"/>
    <w:rsid w:val="0035133B"/>
    <w:rsid w:val="00353535"/>
    <w:rsid w:val="00354CE1"/>
    <w:rsid w:val="0035527E"/>
    <w:rsid w:val="00356D03"/>
    <w:rsid w:val="003573D9"/>
    <w:rsid w:val="0035759E"/>
    <w:rsid w:val="00363127"/>
    <w:rsid w:val="0036425E"/>
    <w:rsid w:val="003644C9"/>
    <w:rsid w:val="003646BD"/>
    <w:rsid w:val="003667DF"/>
    <w:rsid w:val="00367C19"/>
    <w:rsid w:val="00375A3A"/>
    <w:rsid w:val="00375CBA"/>
    <w:rsid w:val="0037605D"/>
    <w:rsid w:val="00380428"/>
    <w:rsid w:val="00387DF0"/>
    <w:rsid w:val="00390D04"/>
    <w:rsid w:val="00391DE3"/>
    <w:rsid w:val="003948B2"/>
    <w:rsid w:val="003A15FC"/>
    <w:rsid w:val="003A3D2E"/>
    <w:rsid w:val="003A3DB1"/>
    <w:rsid w:val="003A5390"/>
    <w:rsid w:val="003B53C4"/>
    <w:rsid w:val="003B5A7B"/>
    <w:rsid w:val="003B6DDC"/>
    <w:rsid w:val="003C235E"/>
    <w:rsid w:val="003C2FA8"/>
    <w:rsid w:val="003C55A0"/>
    <w:rsid w:val="003C757D"/>
    <w:rsid w:val="003D04B1"/>
    <w:rsid w:val="003D0DA3"/>
    <w:rsid w:val="003D4A4B"/>
    <w:rsid w:val="003D4A76"/>
    <w:rsid w:val="003D60A0"/>
    <w:rsid w:val="003D70F3"/>
    <w:rsid w:val="003E216D"/>
    <w:rsid w:val="003E3E8B"/>
    <w:rsid w:val="003E5BB3"/>
    <w:rsid w:val="003E640A"/>
    <w:rsid w:val="003E71FC"/>
    <w:rsid w:val="003E7BE8"/>
    <w:rsid w:val="003F1392"/>
    <w:rsid w:val="003F155E"/>
    <w:rsid w:val="003F3DEF"/>
    <w:rsid w:val="003F4A3B"/>
    <w:rsid w:val="003F518B"/>
    <w:rsid w:val="003F6490"/>
    <w:rsid w:val="004002FD"/>
    <w:rsid w:val="00404F29"/>
    <w:rsid w:val="00404F72"/>
    <w:rsid w:val="004052F6"/>
    <w:rsid w:val="00407751"/>
    <w:rsid w:val="00407E4E"/>
    <w:rsid w:val="00410893"/>
    <w:rsid w:val="00412AE5"/>
    <w:rsid w:val="00413429"/>
    <w:rsid w:val="0041397E"/>
    <w:rsid w:val="00414944"/>
    <w:rsid w:val="004174EC"/>
    <w:rsid w:val="00422A4C"/>
    <w:rsid w:val="004258AB"/>
    <w:rsid w:val="00426679"/>
    <w:rsid w:val="00427A7C"/>
    <w:rsid w:val="004324E2"/>
    <w:rsid w:val="004329DC"/>
    <w:rsid w:val="00440783"/>
    <w:rsid w:val="00440876"/>
    <w:rsid w:val="004513AB"/>
    <w:rsid w:val="00451EA6"/>
    <w:rsid w:val="004541EF"/>
    <w:rsid w:val="00455BDB"/>
    <w:rsid w:val="00455C92"/>
    <w:rsid w:val="0045694E"/>
    <w:rsid w:val="00457391"/>
    <w:rsid w:val="0045795C"/>
    <w:rsid w:val="00457D87"/>
    <w:rsid w:val="004607A2"/>
    <w:rsid w:val="00461417"/>
    <w:rsid w:val="0046573C"/>
    <w:rsid w:val="00465877"/>
    <w:rsid w:val="004664F6"/>
    <w:rsid w:val="00467A8A"/>
    <w:rsid w:val="004702BF"/>
    <w:rsid w:val="00471640"/>
    <w:rsid w:val="00472C2D"/>
    <w:rsid w:val="00472CAD"/>
    <w:rsid w:val="00475B9B"/>
    <w:rsid w:val="00476859"/>
    <w:rsid w:val="004768EC"/>
    <w:rsid w:val="00485BDD"/>
    <w:rsid w:val="00485F77"/>
    <w:rsid w:val="00486458"/>
    <w:rsid w:val="00486A54"/>
    <w:rsid w:val="00490D84"/>
    <w:rsid w:val="004931D5"/>
    <w:rsid w:val="0049565E"/>
    <w:rsid w:val="00495C3F"/>
    <w:rsid w:val="00496EAC"/>
    <w:rsid w:val="004970CF"/>
    <w:rsid w:val="00497821"/>
    <w:rsid w:val="004A2F3D"/>
    <w:rsid w:val="004B65BE"/>
    <w:rsid w:val="004C0A3D"/>
    <w:rsid w:val="004C0E2D"/>
    <w:rsid w:val="004C3CC3"/>
    <w:rsid w:val="004C4F88"/>
    <w:rsid w:val="004C6766"/>
    <w:rsid w:val="004D2AD8"/>
    <w:rsid w:val="004D3CC8"/>
    <w:rsid w:val="004D455C"/>
    <w:rsid w:val="004D51B6"/>
    <w:rsid w:val="004D5B02"/>
    <w:rsid w:val="004E3540"/>
    <w:rsid w:val="004E3E56"/>
    <w:rsid w:val="004E65F8"/>
    <w:rsid w:val="004E7903"/>
    <w:rsid w:val="004F1FAA"/>
    <w:rsid w:val="004F1FD9"/>
    <w:rsid w:val="004F3487"/>
    <w:rsid w:val="004F44B4"/>
    <w:rsid w:val="004F514C"/>
    <w:rsid w:val="004F529D"/>
    <w:rsid w:val="004F5AEC"/>
    <w:rsid w:val="004F7B94"/>
    <w:rsid w:val="005023AA"/>
    <w:rsid w:val="00502D3E"/>
    <w:rsid w:val="00505E47"/>
    <w:rsid w:val="0050728E"/>
    <w:rsid w:val="00507B1E"/>
    <w:rsid w:val="00511143"/>
    <w:rsid w:val="00511349"/>
    <w:rsid w:val="005128B2"/>
    <w:rsid w:val="0051311B"/>
    <w:rsid w:val="00513DCC"/>
    <w:rsid w:val="00514DB0"/>
    <w:rsid w:val="00515B08"/>
    <w:rsid w:val="005177FF"/>
    <w:rsid w:val="00521807"/>
    <w:rsid w:val="00524B15"/>
    <w:rsid w:val="00524D20"/>
    <w:rsid w:val="00525319"/>
    <w:rsid w:val="00533661"/>
    <w:rsid w:val="00536933"/>
    <w:rsid w:val="00540C87"/>
    <w:rsid w:val="00540CCD"/>
    <w:rsid w:val="00546FE6"/>
    <w:rsid w:val="00547528"/>
    <w:rsid w:val="005476D3"/>
    <w:rsid w:val="0055145C"/>
    <w:rsid w:val="005527B5"/>
    <w:rsid w:val="00552CBD"/>
    <w:rsid w:val="005603CB"/>
    <w:rsid w:val="00560E6E"/>
    <w:rsid w:val="005617A2"/>
    <w:rsid w:val="00563376"/>
    <w:rsid w:val="00563C70"/>
    <w:rsid w:val="00566C7F"/>
    <w:rsid w:val="00566F5B"/>
    <w:rsid w:val="00570D95"/>
    <w:rsid w:val="0057402A"/>
    <w:rsid w:val="0057499C"/>
    <w:rsid w:val="00576388"/>
    <w:rsid w:val="00577218"/>
    <w:rsid w:val="00580594"/>
    <w:rsid w:val="005811D9"/>
    <w:rsid w:val="005841C9"/>
    <w:rsid w:val="005854B8"/>
    <w:rsid w:val="0059533E"/>
    <w:rsid w:val="00595534"/>
    <w:rsid w:val="00596961"/>
    <w:rsid w:val="00597A05"/>
    <w:rsid w:val="005A2C2B"/>
    <w:rsid w:val="005A4272"/>
    <w:rsid w:val="005A737B"/>
    <w:rsid w:val="005A7CE9"/>
    <w:rsid w:val="005B00F3"/>
    <w:rsid w:val="005B2187"/>
    <w:rsid w:val="005B25B5"/>
    <w:rsid w:val="005B4716"/>
    <w:rsid w:val="005B7464"/>
    <w:rsid w:val="005C2E75"/>
    <w:rsid w:val="005C4BF8"/>
    <w:rsid w:val="005C5059"/>
    <w:rsid w:val="005C5B64"/>
    <w:rsid w:val="005D4F38"/>
    <w:rsid w:val="005D5577"/>
    <w:rsid w:val="005D6D12"/>
    <w:rsid w:val="005E07A5"/>
    <w:rsid w:val="005E297C"/>
    <w:rsid w:val="005E38C4"/>
    <w:rsid w:val="005E3D99"/>
    <w:rsid w:val="005E6A01"/>
    <w:rsid w:val="005F11B5"/>
    <w:rsid w:val="005F2260"/>
    <w:rsid w:val="005F5B5F"/>
    <w:rsid w:val="005F5CEA"/>
    <w:rsid w:val="005F70BC"/>
    <w:rsid w:val="005F7CFC"/>
    <w:rsid w:val="006008A5"/>
    <w:rsid w:val="00603853"/>
    <w:rsid w:val="0060528B"/>
    <w:rsid w:val="00606BD1"/>
    <w:rsid w:val="00607119"/>
    <w:rsid w:val="006108A0"/>
    <w:rsid w:val="0061094E"/>
    <w:rsid w:val="00610D87"/>
    <w:rsid w:val="00612D49"/>
    <w:rsid w:val="00613260"/>
    <w:rsid w:val="006132E9"/>
    <w:rsid w:val="00615C34"/>
    <w:rsid w:val="006213C2"/>
    <w:rsid w:val="00623E54"/>
    <w:rsid w:val="00630395"/>
    <w:rsid w:val="00630647"/>
    <w:rsid w:val="006373AB"/>
    <w:rsid w:val="00642E68"/>
    <w:rsid w:val="006445F7"/>
    <w:rsid w:val="00645536"/>
    <w:rsid w:val="00645A24"/>
    <w:rsid w:val="00646C1B"/>
    <w:rsid w:val="00654E1B"/>
    <w:rsid w:val="0065548F"/>
    <w:rsid w:val="0066317E"/>
    <w:rsid w:val="006634DD"/>
    <w:rsid w:val="00663779"/>
    <w:rsid w:val="00664243"/>
    <w:rsid w:val="0066444F"/>
    <w:rsid w:val="006702E2"/>
    <w:rsid w:val="006705CD"/>
    <w:rsid w:val="00672B81"/>
    <w:rsid w:val="00672EAC"/>
    <w:rsid w:val="00673D07"/>
    <w:rsid w:val="006772E2"/>
    <w:rsid w:val="006773ED"/>
    <w:rsid w:val="006777DD"/>
    <w:rsid w:val="006802DE"/>
    <w:rsid w:val="00683CE0"/>
    <w:rsid w:val="00683D23"/>
    <w:rsid w:val="00687563"/>
    <w:rsid w:val="006918AF"/>
    <w:rsid w:val="00691ABD"/>
    <w:rsid w:val="0069362C"/>
    <w:rsid w:val="00697077"/>
    <w:rsid w:val="0069761F"/>
    <w:rsid w:val="006A2765"/>
    <w:rsid w:val="006A66DC"/>
    <w:rsid w:val="006B021E"/>
    <w:rsid w:val="006B1A23"/>
    <w:rsid w:val="006B4746"/>
    <w:rsid w:val="006B530D"/>
    <w:rsid w:val="006B7880"/>
    <w:rsid w:val="006C0801"/>
    <w:rsid w:val="006C20C5"/>
    <w:rsid w:val="006C2E6F"/>
    <w:rsid w:val="006C30F7"/>
    <w:rsid w:val="006C3358"/>
    <w:rsid w:val="006C4042"/>
    <w:rsid w:val="006C419F"/>
    <w:rsid w:val="006C604A"/>
    <w:rsid w:val="006C6C0A"/>
    <w:rsid w:val="006D242D"/>
    <w:rsid w:val="006D30BD"/>
    <w:rsid w:val="006D52C5"/>
    <w:rsid w:val="006E6883"/>
    <w:rsid w:val="006E7A6A"/>
    <w:rsid w:val="006F0EAA"/>
    <w:rsid w:val="00701E48"/>
    <w:rsid w:val="00702E0B"/>
    <w:rsid w:val="0070515D"/>
    <w:rsid w:val="007057FC"/>
    <w:rsid w:val="00707E3F"/>
    <w:rsid w:val="0071077C"/>
    <w:rsid w:val="00710788"/>
    <w:rsid w:val="007114BC"/>
    <w:rsid w:val="0071189D"/>
    <w:rsid w:val="007131A1"/>
    <w:rsid w:val="0071459F"/>
    <w:rsid w:val="007163D3"/>
    <w:rsid w:val="0071640F"/>
    <w:rsid w:val="00721C2D"/>
    <w:rsid w:val="00721F5A"/>
    <w:rsid w:val="00723441"/>
    <w:rsid w:val="007259A1"/>
    <w:rsid w:val="00727143"/>
    <w:rsid w:val="00730176"/>
    <w:rsid w:val="00730424"/>
    <w:rsid w:val="0073144B"/>
    <w:rsid w:val="00734C97"/>
    <w:rsid w:val="00736EBE"/>
    <w:rsid w:val="00750465"/>
    <w:rsid w:val="007521A1"/>
    <w:rsid w:val="00752B06"/>
    <w:rsid w:val="0075406D"/>
    <w:rsid w:val="0075543F"/>
    <w:rsid w:val="0075608F"/>
    <w:rsid w:val="00757160"/>
    <w:rsid w:val="00761066"/>
    <w:rsid w:val="00762916"/>
    <w:rsid w:val="00765783"/>
    <w:rsid w:val="00767018"/>
    <w:rsid w:val="00767299"/>
    <w:rsid w:val="00771C5D"/>
    <w:rsid w:val="0077216D"/>
    <w:rsid w:val="00772C32"/>
    <w:rsid w:val="007761F5"/>
    <w:rsid w:val="0077688C"/>
    <w:rsid w:val="00783FAB"/>
    <w:rsid w:val="0078426D"/>
    <w:rsid w:val="00784CFB"/>
    <w:rsid w:val="007857E9"/>
    <w:rsid w:val="00787B31"/>
    <w:rsid w:val="0079087A"/>
    <w:rsid w:val="00792121"/>
    <w:rsid w:val="00793AA1"/>
    <w:rsid w:val="00793BB2"/>
    <w:rsid w:val="007977E4"/>
    <w:rsid w:val="007A0D0C"/>
    <w:rsid w:val="007A2AFD"/>
    <w:rsid w:val="007A60AD"/>
    <w:rsid w:val="007A69E4"/>
    <w:rsid w:val="007A6CEC"/>
    <w:rsid w:val="007B19FF"/>
    <w:rsid w:val="007B4A2C"/>
    <w:rsid w:val="007B6CED"/>
    <w:rsid w:val="007B7E31"/>
    <w:rsid w:val="007C1C78"/>
    <w:rsid w:val="007C3AE8"/>
    <w:rsid w:val="007C4018"/>
    <w:rsid w:val="007C4061"/>
    <w:rsid w:val="007C47EA"/>
    <w:rsid w:val="007C486F"/>
    <w:rsid w:val="007C6A7A"/>
    <w:rsid w:val="007C6C1F"/>
    <w:rsid w:val="007D0EC2"/>
    <w:rsid w:val="007D286B"/>
    <w:rsid w:val="007D6AC6"/>
    <w:rsid w:val="007D72D5"/>
    <w:rsid w:val="007E14D5"/>
    <w:rsid w:val="007E7B29"/>
    <w:rsid w:val="007F0C21"/>
    <w:rsid w:val="007F1C6B"/>
    <w:rsid w:val="007F20F1"/>
    <w:rsid w:val="007F2517"/>
    <w:rsid w:val="007F5A11"/>
    <w:rsid w:val="00800291"/>
    <w:rsid w:val="00805517"/>
    <w:rsid w:val="00806878"/>
    <w:rsid w:val="00812F42"/>
    <w:rsid w:val="00814E68"/>
    <w:rsid w:val="008150DB"/>
    <w:rsid w:val="00815785"/>
    <w:rsid w:val="0081597C"/>
    <w:rsid w:val="0081769D"/>
    <w:rsid w:val="00823B95"/>
    <w:rsid w:val="00823CCB"/>
    <w:rsid w:val="00824403"/>
    <w:rsid w:val="008258EE"/>
    <w:rsid w:val="008266D6"/>
    <w:rsid w:val="008302BE"/>
    <w:rsid w:val="00830D2B"/>
    <w:rsid w:val="00840114"/>
    <w:rsid w:val="008406D6"/>
    <w:rsid w:val="008431B5"/>
    <w:rsid w:val="0084542F"/>
    <w:rsid w:val="008457B7"/>
    <w:rsid w:val="00846179"/>
    <w:rsid w:val="00853A58"/>
    <w:rsid w:val="00854C31"/>
    <w:rsid w:val="0085698C"/>
    <w:rsid w:val="00864DD1"/>
    <w:rsid w:val="00865F52"/>
    <w:rsid w:val="00867A6F"/>
    <w:rsid w:val="0087069C"/>
    <w:rsid w:val="008715F3"/>
    <w:rsid w:val="00871C48"/>
    <w:rsid w:val="00871CE2"/>
    <w:rsid w:val="00872D31"/>
    <w:rsid w:val="00873FB7"/>
    <w:rsid w:val="00877FBD"/>
    <w:rsid w:val="008811C5"/>
    <w:rsid w:val="0088652D"/>
    <w:rsid w:val="008877B5"/>
    <w:rsid w:val="00890A0C"/>
    <w:rsid w:val="00894109"/>
    <w:rsid w:val="0089493A"/>
    <w:rsid w:val="00895723"/>
    <w:rsid w:val="00895D8B"/>
    <w:rsid w:val="008A1E73"/>
    <w:rsid w:val="008A5A19"/>
    <w:rsid w:val="008A5A7D"/>
    <w:rsid w:val="008A5BB6"/>
    <w:rsid w:val="008A6851"/>
    <w:rsid w:val="008B2EC0"/>
    <w:rsid w:val="008B5E92"/>
    <w:rsid w:val="008C093F"/>
    <w:rsid w:val="008C238E"/>
    <w:rsid w:val="008C4550"/>
    <w:rsid w:val="008C5AAA"/>
    <w:rsid w:val="008C6BB4"/>
    <w:rsid w:val="008D0E19"/>
    <w:rsid w:val="008D494F"/>
    <w:rsid w:val="008D5457"/>
    <w:rsid w:val="008D65A4"/>
    <w:rsid w:val="008D7309"/>
    <w:rsid w:val="008E348A"/>
    <w:rsid w:val="008E531D"/>
    <w:rsid w:val="008E6320"/>
    <w:rsid w:val="008F4D29"/>
    <w:rsid w:val="008F7737"/>
    <w:rsid w:val="00901684"/>
    <w:rsid w:val="00910967"/>
    <w:rsid w:val="0091592E"/>
    <w:rsid w:val="00917ECF"/>
    <w:rsid w:val="009205E1"/>
    <w:rsid w:val="00930880"/>
    <w:rsid w:val="00931615"/>
    <w:rsid w:val="00931D7B"/>
    <w:rsid w:val="009321AB"/>
    <w:rsid w:val="00932736"/>
    <w:rsid w:val="00933137"/>
    <w:rsid w:val="00935909"/>
    <w:rsid w:val="00936B9C"/>
    <w:rsid w:val="00941AF8"/>
    <w:rsid w:val="00956FD1"/>
    <w:rsid w:val="00957503"/>
    <w:rsid w:val="00960486"/>
    <w:rsid w:val="00963209"/>
    <w:rsid w:val="00971153"/>
    <w:rsid w:val="00974FB8"/>
    <w:rsid w:val="00975C52"/>
    <w:rsid w:val="00977739"/>
    <w:rsid w:val="00977CEC"/>
    <w:rsid w:val="00983725"/>
    <w:rsid w:val="00984F91"/>
    <w:rsid w:val="00986269"/>
    <w:rsid w:val="0098665D"/>
    <w:rsid w:val="00990AB8"/>
    <w:rsid w:val="009910EF"/>
    <w:rsid w:val="0099121B"/>
    <w:rsid w:val="00996046"/>
    <w:rsid w:val="00997632"/>
    <w:rsid w:val="009A2A99"/>
    <w:rsid w:val="009A2FE0"/>
    <w:rsid w:val="009A519E"/>
    <w:rsid w:val="009A5851"/>
    <w:rsid w:val="009B1CDB"/>
    <w:rsid w:val="009B2D88"/>
    <w:rsid w:val="009B5E28"/>
    <w:rsid w:val="009C1DBE"/>
    <w:rsid w:val="009C2946"/>
    <w:rsid w:val="009C53DE"/>
    <w:rsid w:val="009C6245"/>
    <w:rsid w:val="009C73E9"/>
    <w:rsid w:val="009C7B65"/>
    <w:rsid w:val="009C7D83"/>
    <w:rsid w:val="009D0296"/>
    <w:rsid w:val="009D3B36"/>
    <w:rsid w:val="009D40E6"/>
    <w:rsid w:val="009D567B"/>
    <w:rsid w:val="009D56DA"/>
    <w:rsid w:val="009D7989"/>
    <w:rsid w:val="009E19D7"/>
    <w:rsid w:val="009E3982"/>
    <w:rsid w:val="009E3D18"/>
    <w:rsid w:val="009E7F8A"/>
    <w:rsid w:val="009F1B44"/>
    <w:rsid w:val="009F7BB8"/>
    <w:rsid w:val="00A006CD"/>
    <w:rsid w:val="00A03678"/>
    <w:rsid w:val="00A0426C"/>
    <w:rsid w:val="00A15FC5"/>
    <w:rsid w:val="00A174EA"/>
    <w:rsid w:val="00A17912"/>
    <w:rsid w:val="00A17CFD"/>
    <w:rsid w:val="00A231EC"/>
    <w:rsid w:val="00A2748B"/>
    <w:rsid w:val="00A276CD"/>
    <w:rsid w:val="00A27CA6"/>
    <w:rsid w:val="00A34433"/>
    <w:rsid w:val="00A364CB"/>
    <w:rsid w:val="00A373E4"/>
    <w:rsid w:val="00A37B01"/>
    <w:rsid w:val="00A42E67"/>
    <w:rsid w:val="00A45E02"/>
    <w:rsid w:val="00A46362"/>
    <w:rsid w:val="00A52261"/>
    <w:rsid w:val="00A5237E"/>
    <w:rsid w:val="00A54305"/>
    <w:rsid w:val="00A54499"/>
    <w:rsid w:val="00A54D27"/>
    <w:rsid w:val="00A5659B"/>
    <w:rsid w:val="00A575FA"/>
    <w:rsid w:val="00A57B11"/>
    <w:rsid w:val="00A601DA"/>
    <w:rsid w:val="00A602EF"/>
    <w:rsid w:val="00A608B1"/>
    <w:rsid w:val="00A66E32"/>
    <w:rsid w:val="00A677D3"/>
    <w:rsid w:val="00A707EA"/>
    <w:rsid w:val="00A70F19"/>
    <w:rsid w:val="00A71372"/>
    <w:rsid w:val="00A729CD"/>
    <w:rsid w:val="00A81B4E"/>
    <w:rsid w:val="00A826AE"/>
    <w:rsid w:val="00A83D2F"/>
    <w:rsid w:val="00A84CFD"/>
    <w:rsid w:val="00A87650"/>
    <w:rsid w:val="00A90B0D"/>
    <w:rsid w:val="00A90C6F"/>
    <w:rsid w:val="00A91D54"/>
    <w:rsid w:val="00A91EF8"/>
    <w:rsid w:val="00A921CB"/>
    <w:rsid w:val="00A95855"/>
    <w:rsid w:val="00A96A9F"/>
    <w:rsid w:val="00AA12E7"/>
    <w:rsid w:val="00AA1890"/>
    <w:rsid w:val="00AA4A88"/>
    <w:rsid w:val="00AA617D"/>
    <w:rsid w:val="00AB128B"/>
    <w:rsid w:val="00AB3512"/>
    <w:rsid w:val="00AB3788"/>
    <w:rsid w:val="00AB40A5"/>
    <w:rsid w:val="00AB5398"/>
    <w:rsid w:val="00AB6E41"/>
    <w:rsid w:val="00AB6F2E"/>
    <w:rsid w:val="00AB79D0"/>
    <w:rsid w:val="00AC1726"/>
    <w:rsid w:val="00AC17EA"/>
    <w:rsid w:val="00AC2DEB"/>
    <w:rsid w:val="00AC393C"/>
    <w:rsid w:val="00AC749B"/>
    <w:rsid w:val="00AC7687"/>
    <w:rsid w:val="00AD125F"/>
    <w:rsid w:val="00AD55F5"/>
    <w:rsid w:val="00AD5A44"/>
    <w:rsid w:val="00AE79F9"/>
    <w:rsid w:val="00AF0CA7"/>
    <w:rsid w:val="00AF70D4"/>
    <w:rsid w:val="00B005B1"/>
    <w:rsid w:val="00B03BF4"/>
    <w:rsid w:val="00B101F9"/>
    <w:rsid w:val="00B11FD3"/>
    <w:rsid w:val="00B20C30"/>
    <w:rsid w:val="00B22AFE"/>
    <w:rsid w:val="00B237D9"/>
    <w:rsid w:val="00B23A1F"/>
    <w:rsid w:val="00B265A1"/>
    <w:rsid w:val="00B34799"/>
    <w:rsid w:val="00B34C70"/>
    <w:rsid w:val="00B37BA7"/>
    <w:rsid w:val="00B41D53"/>
    <w:rsid w:val="00B424C4"/>
    <w:rsid w:val="00B43C49"/>
    <w:rsid w:val="00B45B6D"/>
    <w:rsid w:val="00B47CD4"/>
    <w:rsid w:val="00B47DD1"/>
    <w:rsid w:val="00B54DBA"/>
    <w:rsid w:val="00B554D5"/>
    <w:rsid w:val="00B57ADA"/>
    <w:rsid w:val="00B61141"/>
    <w:rsid w:val="00B61C8D"/>
    <w:rsid w:val="00B67555"/>
    <w:rsid w:val="00B700B8"/>
    <w:rsid w:val="00B7137A"/>
    <w:rsid w:val="00B745C3"/>
    <w:rsid w:val="00B760B6"/>
    <w:rsid w:val="00B804C8"/>
    <w:rsid w:val="00B831C3"/>
    <w:rsid w:val="00B84FA9"/>
    <w:rsid w:val="00B85549"/>
    <w:rsid w:val="00B9020B"/>
    <w:rsid w:val="00B907BD"/>
    <w:rsid w:val="00B9155F"/>
    <w:rsid w:val="00BA03B3"/>
    <w:rsid w:val="00BA05F6"/>
    <w:rsid w:val="00BA1524"/>
    <w:rsid w:val="00BA2824"/>
    <w:rsid w:val="00BA2E33"/>
    <w:rsid w:val="00BA4D28"/>
    <w:rsid w:val="00BA7B83"/>
    <w:rsid w:val="00BB3994"/>
    <w:rsid w:val="00BB3B10"/>
    <w:rsid w:val="00BB78AD"/>
    <w:rsid w:val="00BC0DC6"/>
    <w:rsid w:val="00BC262B"/>
    <w:rsid w:val="00BC5CE8"/>
    <w:rsid w:val="00BC628D"/>
    <w:rsid w:val="00BC6375"/>
    <w:rsid w:val="00BC65FA"/>
    <w:rsid w:val="00BC6AA3"/>
    <w:rsid w:val="00BC754C"/>
    <w:rsid w:val="00BD0B85"/>
    <w:rsid w:val="00BD15FF"/>
    <w:rsid w:val="00BD467F"/>
    <w:rsid w:val="00BD5D73"/>
    <w:rsid w:val="00BD6CAC"/>
    <w:rsid w:val="00BE1CA2"/>
    <w:rsid w:val="00BE214C"/>
    <w:rsid w:val="00BE2F57"/>
    <w:rsid w:val="00BE63BA"/>
    <w:rsid w:val="00BF065B"/>
    <w:rsid w:val="00BF0B7E"/>
    <w:rsid w:val="00BF0EA2"/>
    <w:rsid w:val="00BF1917"/>
    <w:rsid w:val="00BF4159"/>
    <w:rsid w:val="00BF5F48"/>
    <w:rsid w:val="00C0160B"/>
    <w:rsid w:val="00C03CA7"/>
    <w:rsid w:val="00C042D8"/>
    <w:rsid w:val="00C05E5D"/>
    <w:rsid w:val="00C06AA6"/>
    <w:rsid w:val="00C1042D"/>
    <w:rsid w:val="00C127B2"/>
    <w:rsid w:val="00C13306"/>
    <w:rsid w:val="00C1708C"/>
    <w:rsid w:val="00C172F0"/>
    <w:rsid w:val="00C23029"/>
    <w:rsid w:val="00C2513F"/>
    <w:rsid w:val="00C2621F"/>
    <w:rsid w:val="00C276FF"/>
    <w:rsid w:val="00C3382A"/>
    <w:rsid w:val="00C3659A"/>
    <w:rsid w:val="00C36FCF"/>
    <w:rsid w:val="00C371DB"/>
    <w:rsid w:val="00C3721F"/>
    <w:rsid w:val="00C401AF"/>
    <w:rsid w:val="00C40E7A"/>
    <w:rsid w:val="00C41744"/>
    <w:rsid w:val="00C43752"/>
    <w:rsid w:val="00C472F3"/>
    <w:rsid w:val="00C5093C"/>
    <w:rsid w:val="00C5181D"/>
    <w:rsid w:val="00C5266A"/>
    <w:rsid w:val="00C53B02"/>
    <w:rsid w:val="00C544E3"/>
    <w:rsid w:val="00C63041"/>
    <w:rsid w:val="00C710D8"/>
    <w:rsid w:val="00C77CC4"/>
    <w:rsid w:val="00C77FD3"/>
    <w:rsid w:val="00C80EB7"/>
    <w:rsid w:val="00C81923"/>
    <w:rsid w:val="00C900D3"/>
    <w:rsid w:val="00C92331"/>
    <w:rsid w:val="00C92E75"/>
    <w:rsid w:val="00C93D89"/>
    <w:rsid w:val="00CA028F"/>
    <w:rsid w:val="00CA13FB"/>
    <w:rsid w:val="00CA169B"/>
    <w:rsid w:val="00CA1E6E"/>
    <w:rsid w:val="00CA44CA"/>
    <w:rsid w:val="00CA573B"/>
    <w:rsid w:val="00CA63B4"/>
    <w:rsid w:val="00CB143F"/>
    <w:rsid w:val="00CB78AE"/>
    <w:rsid w:val="00CC2B6E"/>
    <w:rsid w:val="00CC3DF9"/>
    <w:rsid w:val="00CC3E77"/>
    <w:rsid w:val="00CC452C"/>
    <w:rsid w:val="00CC5A33"/>
    <w:rsid w:val="00CC5C60"/>
    <w:rsid w:val="00CC6D78"/>
    <w:rsid w:val="00CC7144"/>
    <w:rsid w:val="00CD0D82"/>
    <w:rsid w:val="00CD1503"/>
    <w:rsid w:val="00CD47EB"/>
    <w:rsid w:val="00CD52C9"/>
    <w:rsid w:val="00CE2123"/>
    <w:rsid w:val="00CE36E7"/>
    <w:rsid w:val="00CE5AF4"/>
    <w:rsid w:val="00CE6664"/>
    <w:rsid w:val="00CE68C4"/>
    <w:rsid w:val="00CF0D47"/>
    <w:rsid w:val="00CF2C4E"/>
    <w:rsid w:val="00CF349E"/>
    <w:rsid w:val="00CF3C20"/>
    <w:rsid w:val="00CF44B0"/>
    <w:rsid w:val="00CF7059"/>
    <w:rsid w:val="00D002D4"/>
    <w:rsid w:val="00D038E9"/>
    <w:rsid w:val="00D075B7"/>
    <w:rsid w:val="00D11C88"/>
    <w:rsid w:val="00D11E5A"/>
    <w:rsid w:val="00D12B79"/>
    <w:rsid w:val="00D15DE9"/>
    <w:rsid w:val="00D20B79"/>
    <w:rsid w:val="00D2357C"/>
    <w:rsid w:val="00D259BB"/>
    <w:rsid w:val="00D31403"/>
    <w:rsid w:val="00D3272F"/>
    <w:rsid w:val="00D348CD"/>
    <w:rsid w:val="00D366A3"/>
    <w:rsid w:val="00D373FF"/>
    <w:rsid w:val="00D433DF"/>
    <w:rsid w:val="00D46CD4"/>
    <w:rsid w:val="00D46E24"/>
    <w:rsid w:val="00D5043B"/>
    <w:rsid w:val="00D5408E"/>
    <w:rsid w:val="00D55EF8"/>
    <w:rsid w:val="00D57608"/>
    <w:rsid w:val="00D57D96"/>
    <w:rsid w:val="00D6118D"/>
    <w:rsid w:val="00D63546"/>
    <w:rsid w:val="00D63781"/>
    <w:rsid w:val="00D70999"/>
    <w:rsid w:val="00D74CFA"/>
    <w:rsid w:val="00D75B7F"/>
    <w:rsid w:val="00D80A32"/>
    <w:rsid w:val="00D80D58"/>
    <w:rsid w:val="00D81D4B"/>
    <w:rsid w:val="00D8254E"/>
    <w:rsid w:val="00D83D28"/>
    <w:rsid w:val="00D85EFB"/>
    <w:rsid w:val="00D8602E"/>
    <w:rsid w:val="00D8756B"/>
    <w:rsid w:val="00D91841"/>
    <w:rsid w:val="00D91925"/>
    <w:rsid w:val="00D91F44"/>
    <w:rsid w:val="00D93485"/>
    <w:rsid w:val="00D944F5"/>
    <w:rsid w:val="00D94FC7"/>
    <w:rsid w:val="00D95C0A"/>
    <w:rsid w:val="00D97AB7"/>
    <w:rsid w:val="00DA34CF"/>
    <w:rsid w:val="00DA3890"/>
    <w:rsid w:val="00DA4631"/>
    <w:rsid w:val="00DA750E"/>
    <w:rsid w:val="00DB411B"/>
    <w:rsid w:val="00DB5466"/>
    <w:rsid w:val="00DC08D4"/>
    <w:rsid w:val="00DC0C93"/>
    <w:rsid w:val="00DC3D06"/>
    <w:rsid w:val="00DC5D1F"/>
    <w:rsid w:val="00DC6B2D"/>
    <w:rsid w:val="00DD03B3"/>
    <w:rsid w:val="00DD3929"/>
    <w:rsid w:val="00DE0623"/>
    <w:rsid w:val="00DE14A1"/>
    <w:rsid w:val="00DE2D20"/>
    <w:rsid w:val="00DE39FA"/>
    <w:rsid w:val="00DE60FA"/>
    <w:rsid w:val="00DE6940"/>
    <w:rsid w:val="00DF1AA6"/>
    <w:rsid w:val="00DF309F"/>
    <w:rsid w:val="00DF3129"/>
    <w:rsid w:val="00DF3895"/>
    <w:rsid w:val="00DF471E"/>
    <w:rsid w:val="00DF59FD"/>
    <w:rsid w:val="00DF759A"/>
    <w:rsid w:val="00DF7B16"/>
    <w:rsid w:val="00E00B84"/>
    <w:rsid w:val="00E01A5F"/>
    <w:rsid w:val="00E03052"/>
    <w:rsid w:val="00E1144B"/>
    <w:rsid w:val="00E1232C"/>
    <w:rsid w:val="00E12E93"/>
    <w:rsid w:val="00E15327"/>
    <w:rsid w:val="00E16318"/>
    <w:rsid w:val="00E20721"/>
    <w:rsid w:val="00E24584"/>
    <w:rsid w:val="00E2725F"/>
    <w:rsid w:val="00E276F2"/>
    <w:rsid w:val="00E27BF8"/>
    <w:rsid w:val="00E302C8"/>
    <w:rsid w:val="00E33DC6"/>
    <w:rsid w:val="00E35D51"/>
    <w:rsid w:val="00E364E1"/>
    <w:rsid w:val="00E3684E"/>
    <w:rsid w:val="00E36D34"/>
    <w:rsid w:val="00E419F5"/>
    <w:rsid w:val="00E4470C"/>
    <w:rsid w:val="00E45136"/>
    <w:rsid w:val="00E46704"/>
    <w:rsid w:val="00E507DA"/>
    <w:rsid w:val="00E54BE1"/>
    <w:rsid w:val="00E54EA9"/>
    <w:rsid w:val="00E56F92"/>
    <w:rsid w:val="00E61E85"/>
    <w:rsid w:val="00E624AF"/>
    <w:rsid w:val="00E6297C"/>
    <w:rsid w:val="00E629B6"/>
    <w:rsid w:val="00E62CD5"/>
    <w:rsid w:val="00E67A46"/>
    <w:rsid w:val="00E67ACC"/>
    <w:rsid w:val="00E71D0D"/>
    <w:rsid w:val="00E72FCD"/>
    <w:rsid w:val="00E765AB"/>
    <w:rsid w:val="00E802DA"/>
    <w:rsid w:val="00E8153B"/>
    <w:rsid w:val="00E81868"/>
    <w:rsid w:val="00E823F3"/>
    <w:rsid w:val="00E84576"/>
    <w:rsid w:val="00E85663"/>
    <w:rsid w:val="00E92181"/>
    <w:rsid w:val="00E9402D"/>
    <w:rsid w:val="00E97D24"/>
    <w:rsid w:val="00EA065F"/>
    <w:rsid w:val="00EA0A63"/>
    <w:rsid w:val="00EA10C2"/>
    <w:rsid w:val="00EA1112"/>
    <w:rsid w:val="00EA202B"/>
    <w:rsid w:val="00EA24F4"/>
    <w:rsid w:val="00EA2854"/>
    <w:rsid w:val="00EA44AF"/>
    <w:rsid w:val="00EA4B8E"/>
    <w:rsid w:val="00EA597D"/>
    <w:rsid w:val="00EA5B4D"/>
    <w:rsid w:val="00EA6FBF"/>
    <w:rsid w:val="00EA77F4"/>
    <w:rsid w:val="00EB1067"/>
    <w:rsid w:val="00EB39EC"/>
    <w:rsid w:val="00EB5317"/>
    <w:rsid w:val="00EC0B2A"/>
    <w:rsid w:val="00EC2ADA"/>
    <w:rsid w:val="00EC7419"/>
    <w:rsid w:val="00EC7BBD"/>
    <w:rsid w:val="00ED1DBA"/>
    <w:rsid w:val="00ED2A0E"/>
    <w:rsid w:val="00ED3DB2"/>
    <w:rsid w:val="00ED4A2D"/>
    <w:rsid w:val="00ED4D9D"/>
    <w:rsid w:val="00ED6D0B"/>
    <w:rsid w:val="00EE2DAC"/>
    <w:rsid w:val="00EE319B"/>
    <w:rsid w:val="00EE4C95"/>
    <w:rsid w:val="00EE65BA"/>
    <w:rsid w:val="00EF3112"/>
    <w:rsid w:val="00EF31E8"/>
    <w:rsid w:val="00EF6095"/>
    <w:rsid w:val="00EF6608"/>
    <w:rsid w:val="00EF7652"/>
    <w:rsid w:val="00F01E4F"/>
    <w:rsid w:val="00F02873"/>
    <w:rsid w:val="00F029B4"/>
    <w:rsid w:val="00F05D0E"/>
    <w:rsid w:val="00F10633"/>
    <w:rsid w:val="00F108C8"/>
    <w:rsid w:val="00F10F97"/>
    <w:rsid w:val="00F14597"/>
    <w:rsid w:val="00F16CA2"/>
    <w:rsid w:val="00F179EB"/>
    <w:rsid w:val="00F24ACD"/>
    <w:rsid w:val="00F2567D"/>
    <w:rsid w:val="00F277F4"/>
    <w:rsid w:val="00F303E0"/>
    <w:rsid w:val="00F308AA"/>
    <w:rsid w:val="00F319AE"/>
    <w:rsid w:val="00F32F63"/>
    <w:rsid w:val="00F34931"/>
    <w:rsid w:val="00F350EB"/>
    <w:rsid w:val="00F40CD3"/>
    <w:rsid w:val="00F439BE"/>
    <w:rsid w:val="00F45871"/>
    <w:rsid w:val="00F46731"/>
    <w:rsid w:val="00F50123"/>
    <w:rsid w:val="00F50225"/>
    <w:rsid w:val="00F50C2A"/>
    <w:rsid w:val="00F536B0"/>
    <w:rsid w:val="00F65525"/>
    <w:rsid w:val="00F67391"/>
    <w:rsid w:val="00F71FED"/>
    <w:rsid w:val="00F72B20"/>
    <w:rsid w:val="00F7645E"/>
    <w:rsid w:val="00F83F95"/>
    <w:rsid w:val="00F84CAE"/>
    <w:rsid w:val="00F855FE"/>
    <w:rsid w:val="00F86149"/>
    <w:rsid w:val="00F864AB"/>
    <w:rsid w:val="00F87AC1"/>
    <w:rsid w:val="00F87AC4"/>
    <w:rsid w:val="00F9004F"/>
    <w:rsid w:val="00F904D3"/>
    <w:rsid w:val="00FA22AF"/>
    <w:rsid w:val="00FA2438"/>
    <w:rsid w:val="00FA2C7E"/>
    <w:rsid w:val="00FA3E48"/>
    <w:rsid w:val="00FA4FA6"/>
    <w:rsid w:val="00FA538A"/>
    <w:rsid w:val="00FA7166"/>
    <w:rsid w:val="00FB45CA"/>
    <w:rsid w:val="00FB4E7A"/>
    <w:rsid w:val="00FB5AA6"/>
    <w:rsid w:val="00FB6826"/>
    <w:rsid w:val="00FC1B78"/>
    <w:rsid w:val="00FC50D1"/>
    <w:rsid w:val="00FC70D6"/>
    <w:rsid w:val="00FD0B71"/>
    <w:rsid w:val="00FD209B"/>
    <w:rsid w:val="00FD3DF7"/>
    <w:rsid w:val="00FD50AA"/>
    <w:rsid w:val="00FD630B"/>
    <w:rsid w:val="00FD6DCF"/>
    <w:rsid w:val="00FE1B47"/>
    <w:rsid w:val="00FE3336"/>
    <w:rsid w:val="00FE4227"/>
    <w:rsid w:val="00FF1A81"/>
    <w:rsid w:val="00FF1B1C"/>
    <w:rsid w:val="00FF2C15"/>
    <w:rsid w:val="00FF2DF7"/>
    <w:rsid w:val="00FF31E9"/>
    <w:rsid w:val="00FF5ABC"/>
    <w:rsid w:val="00FF689E"/>
    <w:rsid w:val="00FF712C"/>
    <w:rsid w:val="00FF7431"/>
    <w:rsid w:val="03150672"/>
    <w:rsid w:val="033B7979"/>
    <w:rsid w:val="04B91729"/>
    <w:rsid w:val="054A05A2"/>
    <w:rsid w:val="05631513"/>
    <w:rsid w:val="064B3908"/>
    <w:rsid w:val="0686070D"/>
    <w:rsid w:val="06FA0DFD"/>
    <w:rsid w:val="07303C50"/>
    <w:rsid w:val="089B730E"/>
    <w:rsid w:val="09A04135"/>
    <w:rsid w:val="0A9A4D13"/>
    <w:rsid w:val="0AA574D1"/>
    <w:rsid w:val="0AD86C72"/>
    <w:rsid w:val="0D155AE9"/>
    <w:rsid w:val="0DB5503F"/>
    <w:rsid w:val="0DE00044"/>
    <w:rsid w:val="0E765D8A"/>
    <w:rsid w:val="0EAA53B1"/>
    <w:rsid w:val="103F33AF"/>
    <w:rsid w:val="110F3040"/>
    <w:rsid w:val="11B95B90"/>
    <w:rsid w:val="12C40108"/>
    <w:rsid w:val="149779C6"/>
    <w:rsid w:val="18BB16F7"/>
    <w:rsid w:val="18FD27BC"/>
    <w:rsid w:val="1A2F3B61"/>
    <w:rsid w:val="1BF9003F"/>
    <w:rsid w:val="1C4D6C20"/>
    <w:rsid w:val="1C504FBB"/>
    <w:rsid w:val="1CA957BC"/>
    <w:rsid w:val="1E641AB8"/>
    <w:rsid w:val="1E992418"/>
    <w:rsid w:val="1EA877F0"/>
    <w:rsid w:val="1F0A3557"/>
    <w:rsid w:val="1F3475ED"/>
    <w:rsid w:val="1F7F294E"/>
    <w:rsid w:val="1FEB66F8"/>
    <w:rsid w:val="200922DA"/>
    <w:rsid w:val="20A706C5"/>
    <w:rsid w:val="22C61BC5"/>
    <w:rsid w:val="231368AF"/>
    <w:rsid w:val="25B23E3A"/>
    <w:rsid w:val="269F5D8C"/>
    <w:rsid w:val="27DD0FD2"/>
    <w:rsid w:val="2861560C"/>
    <w:rsid w:val="2894799E"/>
    <w:rsid w:val="29356CCC"/>
    <w:rsid w:val="2A6D1219"/>
    <w:rsid w:val="2B56290B"/>
    <w:rsid w:val="2BA843E5"/>
    <w:rsid w:val="2C0D7098"/>
    <w:rsid w:val="2D0B0513"/>
    <w:rsid w:val="2EE74189"/>
    <w:rsid w:val="302A07C6"/>
    <w:rsid w:val="36686D30"/>
    <w:rsid w:val="36BC4C65"/>
    <w:rsid w:val="36C10543"/>
    <w:rsid w:val="378B1F5C"/>
    <w:rsid w:val="37943F63"/>
    <w:rsid w:val="386000CA"/>
    <w:rsid w:val="387066A5"/>
    <w:rsid w:val="38C01218"/>
    <w:rsid w:val="39D92770"/>
    <w:rsid w:val="3DFF44C7"/>
    <w:rsid w:val="3F602C3D"/>
    <w:rsid w:val="40845BD1"/>
    <w:rsid w:val="41E700FB"/>
    <w:rsid w:val="4220757B"/>
    <w:rsid w:val="43045FAE"/>
    <w:rsid w:val="43594A74"/>
    <w:rsid w:val="44A10AB9"/>
    <w:rsid w:val="46233F4C"/>
    <w:rsid w:val="46CD6F8D"/>
    <w:rsid w:val="470F3445"/>
    <w:rsid w:val="47221D4E"/>
    <w:rsid w:val="47711E95"/>
    <w:rsid w:val="48C2098B"/>
    <w:rsid w:val="4A740A25"/>
    <w:rsid w:val="4B197C4C"/>
    <w:rsid w:val="4CD0344F"/>
    <w:rsid w:val="4CE45A4A"/>
    <w:rsid w:val="4CF00E38"/>
    <w:rsid w:val="4DC436E7"/>
    <w:rsid w:val="4DDA2982"/>
    <w:rsid w:val="4E6444EB"/>
    <w:rsid w:val="4F0A46C7"/>
    <w:rsid w:val="4FE00925"/>
    <w:rsid w:val="503A21C8"/>
    <w:rsid w:val="51122FEB"/>
    <w:rsid w:val="51A5306B"/>
    <w:rsid w:val="52723C7B"/>
    <w:rsid w:val="52894907"/>
    <w:rsid w:val="5423333B"/>
    <w:rsid w:val="544A1FE8"/>
    <w:rsid w:val="544F3920"/>
    <w:rsid w:val="556A4F04"/>
    <w:rsid w:val="5702729B"/>
    <w:rsid w:val="575B658B"/>
    <w:rsid w:val="59EE2B99"/>
    <w:rsid w:val="5A9056D4"/>
    <w:rsid w:val="5AAB6282"/>
    <w:rsid w:val="5BBF5964"/>
    <w:rsid w:val="5C2144ED"/>
    <w:rsid w:val="5D80450C"/>
    <w:rsid w:val="5F00773C"/>
    <w:rsid w:val="604B4505"/>
    <w:rsid w:val="609D01B9"/>
    <w:rsid w:val="60F84A41"/>
    <w:rsid w:val="61B04653"/>
    <w:rsid w:val="6237463C"/>
    <w:rsid w:val="66A03798"/>
    <w:rsid w:val="66D472F5"/>
    <w:rsid w:val="66F315E1"/>
    <w:rsid w:val="67D37C29"/>
    <w:rsid w:val="684045C8"/>
    <w:rsid w:val="696323F6"/>
    <w:rsid w:val="69922DF3"/>
    <w:rsid w:val="69C34753"/>
    <w:rsid w:val="69D74A35"/>
    <w:rsid w:val="6A1E40C9"/>
    <w:rsid w:val="6BDA174A"/>
    <w:rsid w:val="6BF32EDC"/>
    <w:rsid w:val="6D8525C2"/>
    <w:rsid w:val="6DCA364B"/>
    <w:rsid w:val="6E60685F"/>
    <w:rsid w:val="6EA242E5"/>
    <w:rsid w:val="6EF53E0B"/>
    <w:rsid w:val="704B7612"/>
    <w:rsid w:val="71C35FE8"/>
    <w:rsid w:val="72C16BE2"/>
    <w:rsid w:val="740B2203"/>
    <w:rsid w:val="74FD08C3"/>
    <w:rsid w:val="752531F5"/>
    <w:rsid w:val="753E486C"/>
    <w:rsid w:val="7593140A"/>
    <w:rsid w:val="76756522"/>
    <w:rsid w:val="76763E94"/>
    <w:rsid w:val="76844084"/>
    <w:rsid w:val="76B241FC"/>
    <w:rsid w:val="77D25E19"/>
    <w:rsid w:val="79EC11DF"/>
    <w:rsid w:val="7A8D0235"/>
    <w:rsid w:val="7BCE79AD"/>
    <w:rsid w:val="7C59374C"/>
    <w:rsid w:val="7C5C2013"/>
    <w:rsid w:val="7C696C63"/>
    <w:rsid w:val="7D1C2487"/>
    <w:rsid w:val="7F070C8C"/>
    <w:rsid w:val="7F347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8"/>
    <w:qFormat/>
    <w:uiPriority w:val="0"/>
    <w:pPr>
      <w:spacing w:line="280" w:lineRule="exact"/>
    </w:pPr>
    <w:rPr>
      <w:rFonts w:ascii="黑体" w:hAnsi="Times New Roman" w:eastAsia="黑体" w:cs="Times New Roman"/>
      <w:sz w:val="18"/>
      <w:szCs w:val="24"/>
    </w:rPr>
  </w:style>
  <w:style w:type="paragraph" w:styleId="3">
    <w:name w:val="Date"/>
    <w:basedOn w:val="1"/>
    <w:next w:val="1"/>
    <w:link w:val="17"/>
    <w:qFormat/>
    <w:uiPriority w:val="0"/>
    <w:rPr>
      <w:rFonts w:ascii="Times New Roman" w:hAnsi="Times New Roman" w:eastAsia="宋体" w:cs="Times New Roman"/>
      <w:szCs w:val="24"/>
    </w:rPr>
  </w:style>
  <w:style w:type="paragraph" w:styleId="4">
    <w:name w:val="Balloon Text"/>
    <w:basedOn w:val="1"/>
    <w:link w:val="13"/>
    <w:unhideWhenUsed/>
    <w:qFormat/>
    <w:uiPriority w:val="0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page number"/>
    <w:basedOn w:val="10"/>
    <w:qFormat/>
    <w:uiPriority w:val="0"/>
  </w:style>
  <w:style w:type="character" w:customStyle="1" w:styleId="13">
    <w:name w:val="批注框文本 Char"/>
    <w:basedOn w:val="10"/>
    <w:link w:val="4"/>
    <w:qFormat/>
    <w:uiPriority w:val="0"/>
    <w:rPr>
      <w:sz w:val="18"/>
      <w:szCs w:val="18"/>
    </w:rPr>
  </w:style>
  <w:style w:type="character" w:customStyle="1" w:styleId="14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5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6">
    <w:name w:val="apple-converted-space"/>
    <w:basedOn w:val="10"/>
    <w:qFormat/>
    <w:uiPriority w:val="0"/>
  </w:style>
  <w:style w:type="character" w:customStyle="1" w:styleId="17">
    <w:name w:val="日期 Char"/>
    <w:basedOn w:val="10"/>
    <w:link w:val="3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8">
    <w:name w:val="正文文本 Char"/>
    <w:basedOn w:val="10"/>
    <w:link w:val="2"/>
    <w:qFormat/>
    <w:uiPriority w:val="0"/>
    <w:rPr>
      <w:rFonts w:ascii="黑体" w:hAnsi="Times New Roman" w:eastAsia="黑体" w:cs="Times New Roman"/>
      <w:sz w:val="18"/>
      <w:szCs w:val="24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table" w:customStyle="1" w:styleId="20">
    <w:name w:val="网格型1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55F89A-26E9-4CD3-95E0-D80298F8C1C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1603</Words>
  <Characters>2220</Characters>
  <Lines>20</Lines>
  <Paragraphs>5</Paragraphs>
  <TotalTime>0</TotalTime>
  <ScaleCrop>false</ScaleCrop>
  <LinksUpToDate>false</LinksUpToDate>
  <CharactersWithSpaces>2357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2021-01-26T02:26:00Z</dcterms:created>
  <dc:creator>lxj</dc:creator>
  <cp:lastModifiedBy>石咏洁</cp:lastModifiedBy>
  <cp:lastPrinted>2020-10-26T02:14:00Z</cp:lastPrinted>
  <dcterms:modified xsi:type="dcterms:W3CDTF">2024-05-06T07:50:14Z</dcterms:modified>
  <cp:revision>107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EEB189E9C6BB4425B845E28B930EB9F4_13</vt:lpwstr>
  </property>
</Properties>
</file>